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0AB4" w14:textId="7C4E102F" w:rsidR="00A17853" w:rsidRPr="00980134" w:rsidRDefault="001B1ECB" w:rsidP="00F24DE5">
      <w:pPr>
        <w:pStyle w:val="1-MainHeading"/>
        <w:tabs>
          <w:tab w:val="left" w:pos="720"/>
          <w:tab w:val="left" w:pos="1440"/>
          <w:tab w:val="left" w:pos="2160"/>
          <w:tab w:val="left" w:pos="2880"/>
          <w:tab w:val="left" w:pos="3600"/>
          <w:tab w:val="left" w:pos="4320"/>
          <w:tab w:val="left" w:pos="5040"/>
          <w:tab w:val="center" w:pos="7465"/>
        </w:tabs>
      </w:pPr>
      <w:bookmarkStart w:id="0" w:name="_Toc145452628"/>
      <w:r w:rsidRPr="00980134">
        <w:t>5</w:t>
      </w:r>
      <w:r w:rsidR="00433044" w:rsidRPr="00980134">
        <w:t>.</w:t>
      </w:r>
      <w:r w:rsidRPr="00980134">
        <w:t>17</w:t>
      </w:r>
      <w:r w:rsidR="00163F66" w:rsidRPr="00980134">
        <w:tab/>
      </w:r>
      <w:r w:rsidR="00A17853" w:rsidRPr="00980134">
        <w:t>TRASTUZUMAB DERUXTECAN,</w:t>
      </w:r>
      <w:r w:rsidR="00A17853" w:rsidRPr="00980134">
        <w:br/>
        <w:t>Pow</w:t>
      </w:r>
      <w:r w:rsidR="00E77294" w:rsidRPr="00980134">
        <w:t>d</w:t>
      </w:r>
      <w:r w:rsidR="00A17853" w:rsidRPr="00980134">
        <w:t>er for I.V. infusion</w:t>
      </w:r>
      <w:r w:rsidR="00791659" w:rsidRPr="00980134">
        <w:t xml:space="preserve"> 100 mg</w:t>
      </w:r>
      <w:r w:rsidR="00A17853" w:rsidRPr="00980134">
        <w:t>,</w:t>
      </w:r>
      <w:r w:rsidR="00A17853" w:rsidRPr="00980134">
        <w:br/>
      </w:r>
      <w:proofErr w:type="spellStart"/>
      <w:r w:rsidR="00A17853" w:rsidRPr="00980134">
        <w:t>Enhertu</w:t>
      </w:r>
      <w:proofErr w:type="spellEnd"/>
      <w:r w:rsidR="00A17853" w:rsidRPr="00980134">
        <w:rPr>
          <w:vertAlign w:val="superscript"/>
        </w:rPr>
        <w:t>®</w:t>
      </w:r>
      <w:r w:rsidR="00A17853" w:rsidRPr="00980134">
        <w:t>,</w:t>
      </w:r>
      <w:r w:rsidR="00A17853" w:rsidRPr="00980134">
        <w:br/>
        <w:t>ASTRAZENECA PTY LTD.</w:t>
      </w:r>
      <w:bookmarkEnd w:id="0"/>
    </w:p>
    <w:p w14:paraId="441F1419" w14:textId="77777777" w:rsidR="00EE5515" w:rsidRPr="00980134" w:rsidRDefault="00EE5515" w:rsidP="00EE5515">
      <w:pPr>
        <w:pStyle w:val="2-SectionHeading"/>
      </w:pPr>
      <w:bookmarkStart w:id="1" w:name="_Toc142092378"/>
      <w:bookmarkStart w:id="2" w:name="_Toc142576834"/>
      <w:bookmarkStart w:id="3" w:name="_Toc145452629"/>
      <w:r w:rsidRPr="00980134">
        <w:t>Purpose of submission</w:t>
      </w:r>
      <w:bookmarkEnd w:id="1"/>
      <w:bookmarkEnd w:id="2"/>
      <w:bookmarkEnd w:id="3"/>
    </w:p>
    <w:p w14:paraId="7752EA68" w14:textId="7A0E0D4A" w:rsidR="00EE5515" w:rsidRPr="00980134" w:rsidRDefault="00EE5515" w:rsidP="00EE5515">
      <w:pPr>
        <w:pStyle w:val="3-BodyText"/>
      </w:pPr>
      <w:r w:rsidRPr="00980134">
        <w:t xml:space="preserve">This Category 1 submission requested Section 100 (Efficient Funding of Chemotherapy) listing for </w:t>
      </w:r>
      <w:r w:rsidR="003543EE" w:rsidRPr="00980134">
        <w:t>t</w:t>
      </w:r>
      <w:r w:rsidRPr="00980134">
        <w:t xml:space="preserve">rastuzumab </w:t>
      </w:r>
      <w:proofErr w:type="spellStart"/>
      <w:r w:rsidR="003543EE" w:rsidRPr="00980134">
        <w:t>deruxtecan</w:t>
      </w:r>
      <w:proofErr w:type="spellEnd"/>
      <w:r w:rsidRPr="00980134">
        <w:t xml:space="preserve"> (T-</w:t>
      </w:r>
      <w:proofErr w:type="spellStart"/>
      <w:r w:rsidRPr="00980134">
        <w:t>DXd</w:t>
      </w:r>
      <w:proofErr w:type="spellEnd"/>
      <w:r w:rsidRPr="00980134">
        <w:t xml:space="preserve">) for the treatment of patients with human epidermal growth factor receptor 2 (HER2) low (immunohistochemical [IHC] 1+ or IHC 2+ and </w:t>
      </w:r>
      <w:r w:rsidRPr="00980134">
        <w:rPr>
          <w:i/>
          <w:iCs/>
        </w:rPr>
        <w:t>in situ</w:t>
      </w:r>
      <w:r w:rsidRPr="00980134">
        <w:t xml:space="preserve"> hybridisation [ISH] negative) unresectable breast cancer (</w:t>
      </w:r>
      <w:proofErr w:type="spellStart"/>
      <w:r w:rsidRPr="00980134">
        <w:t>uBC</w:t>
      </w:r>
      <w:proofErr w:type="spellEnd"/>
      <w:r w:rsidRPr="00980134">
        <w:t>) and/or metastatic breast cancer (</w:t>
      </w:r>
      <w:proofErr w:type="spellStart"/>
      <w:r w:rsidRPr="00980134">
        <w:t>mBC</w:t>
      </w:r>
      <w:proofErr w:type="spellEnd"/>
      <w:r w:rsidRPr="00980134">
        <w:t>). These patients must have received prior chemotherapy in the metastatic setting or developed disease recurrence during or within 6 months of completing adjuvant chemotherapy. The target population includes patients with hormone receptor (HR) positive /HER2 low disease who have received or are ineligible for endocrine therapy (ET), and patients with HR negative /HER2 low disease.</w:t>
      </w:r>
    </w:p>
    <w:p w14:paraId="42F78421" w14:textId="232AE7E0" w:rsidR="00EE5515" w:rsidRPr="00980134" w:rsidRDefault="00EE5515" w:rsidP="00EE5515">
      <w:pPr>
        <w:pStyle w:val="3-BodyText"/>
      </w:pPr>
      <w:r w:rsidRPr="00980134">
        <w:t xml:space="preserve">Listing was requested on the basis of a cost-effectiveness analysis versus treatment of physician’s choice (TPC) consisting of capecitabine, gemcitabine, </w:t>
      </w:r>
      <w:proofErr w:type="spellStart"/>
      <w:r w:rsidRPr="00980134">
        <w:t>eribulin</w:t>
      </w:r>
      <w:proofErr w:type="spellEnd"/>
      <w:r w:rsidRPr="00980134">
        <w:t>, paclitaxel, and nab-paclitaxel. The submission also presented a cost-minimisation of T-</w:t>
      </w:r>
      <w:proofErr w:type="spellStart"/>
      <w:r w:rsidRPr="00980134">
        <w:t>DXd</w:t>
      </w:r>
      <w:proofErr w:type="spellEnd"/>
      <w:r w:rsidRPr="00980134">
        <w:t xml:space="preserve"> </w:t>
      </w:r>
      <w:r w:rsidR="00CC6135" w:rsidRPr="00980134">
        <w:t>versus</w:t>
      </w:r>
      <w:r w:rsidRPr="00980134">
        <w:t xml:space="preserve"> </w:t>
      </w:r>
      <w:proofErr w:type="spellStart"/>
      <w:r w:rsidR="00CC6135" w:rsidRPr="00980134">
        <w:t>s</w:t>
      </w:r>
      <w:r w:rsidRPr="00980134">
        <w:t>acituzumab</w:t>
      </w:r>
      <w:proofErr w:type="spellEnd"/>
      <w:r w:rsidRPr="00980134">
        <w:t xml:space="preserve"> </w:t>
      </w:r>
      <w:proofErr w:type="spellStart"/>
      <w:r w:rsidR="00CC6135" w:rsidRPr="00980134">
        <w:t>g</w:t>
      </w:r>
      <w:r w:rsidRPr="00980134">
        <w:t>ovitecan</w:t>
      </w:r>
      <w:proofErr w:type="spellEnd"/>
      <w:r w:rsidRPr="00980134">
        <w:t xml:space="preserve"> (SG) for the HR negative/HER2 low population based on a claim of non-inferior clinical effectiveness and safety against SG’s published price.</w:t>
      </w:r>
    </w:p>
    <w:p w14:paraId="2C94B2A4" w14:textId="0AA67D87" w:rsidR="00EE5515" w:rsidRPr="00980134" w:rsidRDefault="00EE5515" w:rsidP="00EE5515">
      <w:pPr>
        <w:pStyle w:val="TableFigureHeading"/>
        <w:rPr>
          <w:rStyle w:val="CommentReference"/>
          <w:b/>
          <w:szCs w:val="24"/>
        </w:rPr>
      </w:pPr>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1</w:t>
      </w:r>
      <w:r w:rsidR="006E03AE">
        <w:rPr>
          <w:noProof/>
        </w:rPr>
        <w:fldChar w:fldCharType="end"/>
      </w:r>
      <w:r w:rsidRPr="00980134">
        <w:t>:</w:t>
      </w:r>
      <w:r w:rsidRPr="00980134">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EE5515" w:rsidRPr="00980134" w14:paraId="3237770E" w14:textId="77777777">
        <w:trPr>
          <w:cantSplit/>
          <w:tblHeader/>
        </w:trPr>
        <w:tc>
          <w:tcPr>
            <w:tcW w:w="924" w:type="pct"/>
            <w:shd w:val="clear" w:color="auto" w:fill="auto"/>
          </w:tcPr>
          <w:p w14:paraId="5F961072" w14:textId="77777777" w:rsidR="00EE5515" w:rsidRPr="00980134" w:rsidRDefault="00EE5515" w:rsidP="00063856">
            <w:pPr>
              <w:pStyle w:val="In-tableHeading"/>
              <w:rPr>
                <w:szCs w:val="20"/>
                <w:lang w:val="en-AU"/>
              </w:rPr>
            </w:pPr>
            <w:r w:rsidRPr="00980134">
              <w:rPr>
                <w:lang w:val="en-AU"/>
              </w:rPr>
              <w:t>Component</w:t>
            </w:r>
          </w:p>
        </w:tc>
        <w:tc>
          <w:tcPr>
            <w:tcW w:w="4076" w:type="pct"/>
            <w:shd w:val="clear" w:color="auto" w:fill="auto"/>
          </w:tcPr>
          <w:p w14:paraId="1B01E193" w14:textId="77777777" w:rsidR="00EE5515" w:rsidRPr="00980134" w:rsidRDefault="00EE5515" w:rsidP="00063856">
            <w:pPr>
              <w:pStyle w:val="In-tableHeading"/>
              <w:rPr>
                <w:lang w:val="en-AU"/>
              </w:rPr>
            </w:pPr>
            <w:r w:rsidRPr="00980134">
              <w:rPr>
                <w:lang w:val="en-AU"/>
              </w:rPr>
              <w:t>Description</w:t>
            </w:r>
          </w:p>
        </w:tc>
      </w:tr>
      <w:tr w:rsidR="00EE5515" w:rsidRPr="00980134" w14:paraId="5D15E8C3" w14:textId="77777777">
        <w:trPr>
          <w:cantSplit/>
        </w:trPr>
        <w:tc>
          <w:tcPr>
            <w:tcW w:w="924" w:type="pct"/>
            <w:shd w:val="clear" w:color="auto" w:fill="auto"/>
          </w:tcPr>
          <w:p w14:paraId="14DF25D6" w14:textId="77777777" w:rsidR="00EE5515" w:rsidRPr="00980134" w:rsidRDefault="00EE5515" w:rsidP="00063856">
            <w:pPr>
              <w:pStyle w:val="TableText0"/>
            </w:pPr>
            <w:r w:rsidRPr="00980134">
              <w:t>Population</w:t>
            </w:r>
          </w:p>
        </w:tc>
        <w:tc>
          <w:tcPr>
            <w:tcW w:w="4076" w:type="pct"/>
            <w:shd w:val="clear" w:color="auto" w:fill="auto"/>
          </w:tcPr>
          <w:p w14:paraId="4FBB3CBC" w14:textId="77777777" w:rsidR="00EE5515" w:rsidRPr="00980134" w:rsidRDefault="00EE5515" w:rsidP="00063856">
            <w:pPr>
              <w:pStyle w:val="TableText0"/>
              <w:rPr>
                <w:szCs w:val="20"/>
              </w:rPr>
            </w:pPr>
            <w:r w:rsidRPr="00980134">
              <w:t>Patients with HER2 low (IHC 1+ or IHC 2+/ISH-negative) unresectable and/or metastatic BC who have received a prior chemotherapy in the metastatic setting or developed disease recurrence during or within 6 months of completing adjuvant chemotherapy. This includes patients with HR positive/HER2 low BC who have received or are ineligible for endocrine therapy and patients with HR negative/HER2 low BC.</w:t>
            </w:r>
          </w:p>
        </w:tc>
      </w:tr>
      <w:tr w:rsidR="00EE5515" w:rsidRPr="00980134" w14:paraId="6EA54B84" w14:textId="77777777">
        <w:trPr>
          <w:cantSplit/>
        </w:trPr>
        <w:tc>
          <w:tcPr>
            <w:tcW w:w="924" w:type="pct"/>
            <w:shd w:val="clear" w:color="auto" w:fill="auto"/>
          </w:tcPr>
          <w:p w14:paraId="2C8F7355" w14:textId="77777777" w:rsidR="00EE5515" w:rsidRPr="00980134" w:rsidRDefault="00EE5515" w:rsidP="00063856">
            <w:pPr>
              <w:pStyle w:val="TableText0"/>
            </w:pPr>
            <w:r w:rsidRPr="00980134">
              <w:t>Intervention</w:t>
            </w:r>
          </w:p>
        </w:tc>
        <w:tc>
          <w:tcPr>
            <w:tcW w:w="4076" w:type="pct"/>
            <w:shd w:val="clear" w:color="auto" w:fill="auto"/>
          </w:tcPr>
          <w:p w14:paraId="16484C56" w14:textId="12547DA5" w:rsidR="00EE5515" w:rsidRPr="00980134" w:rsidRDefault="00EE5515" w:rsidP="00063856">
            <w:pPr>
              <w:pStyle w:val="TableText0"/>
            </w:pPr>
            <w:r w:rsidRPr="00980134">
              <w:t xml:space="preserve">Trastuzumab </w:t>
            </w:r>
            <w:proofErr w:type="spellStart"/>
            <w:r w:rsidRPr="00980134">
              <w:t>deruxtecan</w:t>
            </w:r>
            <w:proofErr w:type="spellEnd"/>
            <w:r w:rsidRPr="00980134">
              <w:t xml:space="preserve"> (T-</w:t>
            </w:r>
            <w:proofErr w:type="spellStart"/>
            <w:r w:rsidRPr="00980134">
              <w:t>DXd</w:t>
            </w:r>
            <w:proofErr w:type="spellEnd"/>
            <w:r w:rsidRPr="00980134">
              <w:t>)</w:t>
            </w:r>
          </w:p>
        </w:tc>
      </w:tr>
      <w:tr w:rsidR="00EE5515" w:rsidRPr="00980134" w14:paraId="5FD79FF1" w14:textId="77777777">
        <w:trPr>
          <w:cantSplit/>
        </w:trPr>
        <w:tc>
          <w:tcPr>
            <w:tcW w:w="924" w:type="pct"/>
            <w:shd w:val="clear" w:color="auto" w:fill="auto"/>
          </w:tcPr>
          <w:p w14:paraId="564F03B5" w14:textId="77777777" w:rsidR="00EE5515" w:rsidRPr="00980134" w:rsidRDefault="00EE5515" w:rsidP="00063856">
            <w:pPr>
              <w:pStyle w:val="TableText0"/>
            </w:pPr>
            <w:r w:rsidRPr="00980134">
              <w:t>Comparator</w:t>
            </w:r>
          </w:p>
        </w:tc>
        <w:tc>
          <w:tcPr>
            <w:tcW w:w="4076" w:type="pct"/>
            <w:shd w:val="clear" w:color="auto" w:fill="auto"/>
          </w:tcPr>
          <w:p w14:paraId="304E213A" w14:textId="77777777" w:rsidR="00EE5515" w:rsidRPr="00980134" w:rsidRDefault="00EE5515" w:rsidP="00063856">
            <w:pPr>
              <w:spacing w:line="276" w:lineRule="auto"/>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HR positive/HER2 low: Physician’s choice of chemotherapy (TPC), consisting of capecitabine, </w:t>
            </w:r>
            <w:proofErr w:type="spellStart"/>
            <w:r w:rsidRPr="00980134">
              <w:rPr>
                <w:rFonts w:ascii="Arial Narrow" w:eastAsiaTheme="majorEastAsia" w:hAnsi="Arial Narrow"/>
                <w:sz w:val="20"/>
                <w:szCs w:val="20"/>
                <w:lang w:bidi="en-US"/>
              </w:rPr>
              <w:t>eribulin</w:t>
            </w:r>
            <w:proofErr w:type="spellEnd"/>
            <w:r w:rsidRPr="00980134">
              <w:rPr>
                <w:rFonts w:ascii="Arial Narrow" w:eastAsiaTheme="majorEastAsia" w:hAnsi="Arial Narrow"/>
                <w:sz w:val="20"/>
                <w:szCs w:val="20"/>
                <w:lang w:bidi="en-US"/>
              </w:rPr>
              <w:t>, gemcitabine, paclitaxel and nab-paclitaxel.</w:t>
            </w:r>
          </w:p>
          <w:p w14:paraId="405D8C2E" w14:textId="4BF3F3C6" w:rsidR="00EE5515" w:rsidRPr="00980134" w:rsidRDefault="00EE5515" w:rsidP="00063856">
            <w:pPr>
              <w:pStyle w:val="TableText0"/>
            </w:pPr>
            <w:r w:rsidRPr="00980134">
              <w:rPr>
                <w:rFonts w:cs="Arial"/>
                <w:szCs w:val="20"/>
                <w:lang w:bidi="en-US"/>
              </w:rPr>
              <w:t xml:space="preserve">HR negative/HER2 low: Sacituzumab </w:t>
            </w:r>
            <w:proofErr w:type="spellStart"/>
            <w:r w:rsidRPr="00980134">
              <w:rPr>
                <w:rFonts w:cs="Arial"/>
                <w:szCs w:val="20"/>
                <w:lang w:bidi="en-US"/>
              </w:rPr>
              <w:t>govitecan</w:t>
            </w:r>
            <w:proofErr w:type="spellEnd"/>
            <w:r w:rsidRPr="00980134">
              <w:rPr>
                <w:rFonts w:cs="Arial"/>
                <w:szCs w:val="20"/>
                <w:lang w:bidi="en-US"/>
              </w:rPr>
              <w:t xml:space="preserve"> (SG)</w:t>
            </w:r>
          </w:p>
        </w:tc>
      </w:tr>
      <w:tr w:rsidR="00EE5515" w:rsidRPr="00980134" w14:paraId="01E0A5C8" w14:textId="77777777">
        <w:trPr>
          <w:cantSplit/>
        </w:trPr>
        <w:tc>
          <w:tcPr>
            <w:tcW w:w="924" w:type="pct"/>
            <w:shd w:val="clear" w:color="auto" w:fill="auto"/>
          </w:tcPr>
          <w:p w14:paraId="6E1FDB95" w14:textId="77777777" w:rsidR="00EE5515" w:rsidRPr="00980134" w:rsidRDefault="00EE5515" w:rsidP="00063856">
            <w:pPr>
              <w:pStyle w:val="TableText0"/>
            </w:pPr>
            <w:r w:rsidRPr="00980134">
              <w:t>Outcomes</w:t>
            </w:r>
          </w:p>
        </w:tc>
        <w:tc>
          <w:tcPr>
            <w:tcW w:w="4076" w:type="pct"/>
            <w:shd w:val="clear" w:color="auto" w:fill="auto"/>
          </w:tcPr>
          <w:p w14:paraId="5737C6B5" w14:textId="5FE99AD3"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Overall survival </w:t>
            </w:r>
          </w:p>
          <w:p w14:paraId="11CEF708" w14:textId="1FE571E9"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Progression-free survival </w:t>
            </w:r>
          </w:p>
          <w:p w14:paraId="4BE7A940" w14:textId="404FC8A4"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Objective response rate </w:t>
            </w:r>
          </w:p>
          <w:p w14:paraId="1154D0B3" w14:textId="4FD122FB"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Duration of response </w:t>
            </w:r>
          </w:p>
          <w:p w14:paraId="7DD70B56" w14:textId="2537C423"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Time to progression </w:t>
            </w:r>
          </w:p>
          <w:p w14:paraId="3DDAD7CE" w14:textId="676C3B18" w:rsidR="00EE5515" w:rsidRPr="00980134" w:rsidRDefault="00EE5515" w:rsidP="00FE2DFB">
            <w:pPr>
              <w:numPr>
                <w:ilvl w:val="0"/>
                <w:numId w:val="13"/>
              </w:numPr>
              <w:ind w:left="357" w:hanging="357"/>
              <w:rPr>
                <w:rFonts w:ascii="Arial Narrow" w:eastAsiaTheme="majorEastAsia" w:hAnsi="Arial Narrow"/>
                <w:sz w:val="20"/>
                <w:szCs w:val="20"/>
                <w:lang w:bidi="en-US"/>
              </w:rPr>
            </w:pPr>
            <w:r w:rsidRPr="00980134">
              <w:rPr>
                <w:rFonts w:ascii="Arial Narrow" w:eastAsiaTheme="majorEastAsia" w:hAnsi="Arial Narrow"/>
                <w:sz w:val="20"/>
                <w:szCs w:val="20"/>
                <w:lang w:bidi="en-US"/>
              </w:rPr>
              <w:t xml:space="preserve">Quality of life </w:t>
            </w:r>
          </w:p>
          <w:p w14:paraId="0F95D387" w14:textId="77777777" w:rsidR="00EE5515" w:rsidRPr="00980134" w:rsidRDefault="00EE5515" w:rsidP="00FE2DFB">
            <w:pPr>
              <w:pStyle w:val="TableText0"/>
              <w:numPr>
                <w:ilvl w:val="0"/>
                <w:numId w:val="13"/>
              </w:numPr>
              <w:ind w:left="357" w:hanging="357"/>
              <w:rPr>
                <w:rFonts w:eastAsia="Times New Roman" w:cs="Arial"/>
                <w:bCs w:val="0"/>
                <w:snapToGrid w:val="0"/>
                <w:szCs w:val="20"/>
              </w:rPr>
            </w:pPr>
            <w:r w:rsidRPr="00980134">
              <w:rPr>
                <w:rFonts w:cs="Arial"/>
                <w:szCs w:val="20"/>
                <w:lang w:bidi="en-US"/>
              </w:rPr>
              <w:t>Safety</w:t>
            </w:r>
          </w:p>
        </w:tc>
      </w:tr>
      <w:tr w:rsidR="00EE5515" w:rsidRPr="00980134" w14:paraId="11BFEAA7" w14:textId="77777777">
        <w:trPr>
          <w:cantSplit/>
        </w:trPr>
        <w:tc>
          <w:tcPr>
            <w:tcW w:w="924" w:type="pct"/>
            <w:shd w:val="clear" w:color="auto" w:fill="auto"/>
          </w:tcPr>
          <w:p w14:paraId="2244A4ED" w14:textId="77777777" w:rsidR="00EE5515" w:rsidRPr="00980134" w:rsidRDefault="00EE5515" w:rsidP="00063856">
            <w:pPr>
              <w:pStyle w:val="TableText0"/>
            </w:pPr>
            <w:r w:rsidRPr="00980134">
              <w:t>Clinical claim</w:t>
            </w:r>
          </w:p>
        </w:tc>
        <w:tc>
          <w:tcPr>
            <w:tcW w:w="4076" w:type="pct"/>
            <w:shd w:val="clear" w:color="auto" w:fill="auto"/>
          </w:tcPr>
          <w:p w14:paraId="3E77E594" w14:textId="77777777" w:rsidR="00EE5515" w:rsidRPr="00980134" w:rsidRDefault="00EE5515" w:rsidP="00063856">
            <w:pPr>
              <w:spacing w:line="276" w:lineRule="auto"/>
              <w:rPr>
                <w:rFonts w:ascii="Arial Narrow" w:eastAsiaTheme="majorEastAsia" w:hAnsi="Arial Narrow"/>
                <w:sz w:val="20"/>
                <w:szCs w:val="20"/>
                <w:lang w:bidi="en-US"/>
              </w:rPr>
            </w:pPr>
            <w:r w:rsidRPr="00980134">
              <w:rPr>
                <w:rFonts w:ascii="Arial Narrow" w:eastAsiaTheme="majorEastAsia" w:hAnsi="Arial Narrow"/>
                <w:sz w:val="20"/>
                <w:szCs w:val="20"/>
                <w:lang w:bidi="en-US"/>
              </w:rPr>
              <w:t>In patients with HR positive/HER2 low unresectable or metastatic BC, T-</w:t>
            </w:r>
            <w:proofErr w:type="spellStart"/>
            <w:r w:rsidRPr="00980134">
              <w:rPr>
                <w:rFonts w:ascii="Arial Narrow" w:eastAsiaTheme="majorEastAsia" w:hAnsi="Arial Narrow"/>
                <w:sz w:val="20"/>
                <w:szCs w:val="20"/>
                <w:lang w:bidi="en-US"/>
              </w:rPr>
              <w:t>DXd</w:t>
            </w:r>
            <w:proofErr w:type="spellEnd"/>
            <w:r w:rsidRPr="00980134">
              <w:rPr>
                <w:rFonts w:ascii="Arial Narrow" w:eastAsiaTheme="majorEastAsia" w:hAnsi="Arial Narrow"/>
                <w:sz w:val="20"/>
                <w:szCs w:val="20"/>
                <w:lang w:bidi="en-US"/>
              </w:rPr>
              <w:t xml:space="preserve"> has superior efficacy and a different but non-inferior safety profile, compared to TPC. </w:t>
            </w:r>
          </w:p>
          <w:p w14:paraId="18AF2234" w14:textId="77777777" w:rsidR="00EE5515" w:rsidRPr="00980134" w:rsidRDefault="00EE5515" w:rsidP="00063856">
            <w:pPr>
              <w:pStyle w:val="TableText0"/>
              <w:rPr>
                <w:rFonts w:eastAsia="Times New Roman" w:cs="Arial"/>
                <w:bCs w:val="0"/>
                <w:snapToGrid w:val="0"/>
                <w:color w:val="0066FF"/>
                <w:szCs w:val="20"/>
              </w:rPr>
            </w:pPr>
            <w:r w:rsidRPr="00980134">
              <w:rPr>
                <w:rFonts w:cs="Arial"/>
                <w:szCs w:val="20"/>
                <w:lang w:bidi="en-US"/>
              </w:rPr>
              <w:t>In patients with HR negative/HER2 low unresectable or metastatic BC, T-</w:t>
            </w:r>
            <w:proofErr w:type="spellStart"/>
            <w:r w:rsidRPr="00980134">
              <w:rPr>
                <w:rFonts w:cs="Arial"/>
                <w:szCs w:val="20"/>
                <w:lang w:bidi="en-US"/>
              </w:rPr>
              <w:t>DXd</w:t>
            </w:r>
            <w:proofErr w:type="spellEnd"/>
            <w:r w:rsidRPr="00980134">
              <w:rPr>
                <w:rFonts w:cs="Arial"/>
                <w:szCs w:val="20"/>
                <w:lang w:bidi="en-US"/>
              </w:rPr>
              <w:t xml:space="preserve"> has non-inferior efficacy and a different but non-inferior safety profile, compared to SG.</w:t>
            </w:r>
          </w:p>
        </w:tc>
      </w:tr>
    </w:tbl>
    <w:p w14:paraId="0A99C045" w14:textId="77777777" w:rsidR="00EE5515" w:rsidRPr="00980134" w:rsidRDefault="00EE5515" w:rsidP="00EE5515">
      <w:pPr>
        <w:pStyle w:val="FooterTableFigure"/>
      </w:pPr>
      <w:r w:rsidRPr="00980134">
        <w:t>Source: Table 1-1, p47 of the submission.</w:t>
      </w:r>
    </w:p>
    <w:p w14:paraId="4771C200" w14:textId="77777777" w:rsidR="00EE5515" w:rsidRPr="00980134" w:rsidRDefault="00EE5515" w:rsidP="00EE5515">
      <w:pPr>
        <w:pStyle w:val="FooterTableFigure"/>
      </w:pPr>
      <w:r w:rsidRPr="00980134">
        <w:t>BC = breast cancer; HER2 = human epidermal growth factor receptor 2; HR = hormone receptor; IHC = immunohistochemical; ISH = in situ hybridisation</w:t>
      </w:r>
    </w:p>
    <w:p w14:paraId="2A0F0B7A" w14:textId="77777777" w:rsidR="00EE5515" w:rsidRPr="00980134" w:rsidRDefault="00EE5515" w:rsidP="00EE5515">
      <w:pPr>
        <w:pStyle w:val="2-SectionHeading"/>
      </w:pPr>
      <w:bookmarkStart w:id="4" w:name="_Toc142576835"/>
      <w:bookmarkStart w:id="5" w:name="_Toc145452630"/>
      <w:r w:rsidRPr="00980134">
        <w:t>Background</w:t>
      </w:r>
      <w:bookmarkEnd w:id="4"/>
      <w:bookmarkEnd w:id="5"/>
    </w:p>
    <w:p w14:paraId="1E381147" w14:textId="77777777" w:rsidR="00EE5515" w:rsidRPr="00980134" w:rsidRDefault="00EE5515" w:rsidP="00EE5515">
      <w:pPr>
        <w:pStyle w:val="4-SubsectionHeading"/>
      </w:pPr>
      <w:bookmarkStart w:id="6" w:name="_Toc22897638"/>
      <w:bookmarkStart w:id="7" w:name="_Toc142576836"/>
      <w:bookmarkStart w:id="8" w:name="_Toc145452631"/>
      <w:r w:rsidRPr="00980134">
        <w:t>Registration status</w:t>
      </w:r>
      <w:bookmarkEnd w:id="6"/>
      <w:bookmarkEnd w:id="7"/>
      <w:bookmarkEnd w:id="8"/>
    </w:p>
    <w:p w14:paraId="67FB8EFB" w14:textId="77777777" w:rsidR="00EE5515" w:rsidRPr="00980134" w:rsidRDefault="00EE5515" w:rsidP="00EE5515">
      <w:pPr>
        <w:pStyle w:val="3-BodyText"/>
      </w:pPr>
      <w:r w:rsidRPr="00980134">
        <w:t>T-</w:t>
      </w:r>
      <w:proofErr w:type="spellStart"/>
      <w:r w:rsidRPr="00980134">
        <w:t>DXd</w:t>
      </w:r>
      <w:proofErr w:type="spellEnd"/>
      <w:r w:rsidRPr="00980134">
        <w:t xml:space="preserve"> was approved by the TGA in January 2023 for the following indication: treatment of adult patients with unresectable or metastatic HER2 low (IHC 1+ or IHC 2+/ISH negative) breast cancer who have received prior chemotherapy in the metastatic setting or developed disease recurrence during or within 6 months of completing adjuvant chemotherapy. Patients with hormone receptor positive breast cancer should additionally have received and no longer be considered eligible for endocrine therapy. </w:t>
      </w:r>
    </w:p>
    <w:p w14:paraId="38A92A3F" w14:textId="7AC486EB" w:rsidR="00EE5515" w:rsidRPr="00980134" w:rsidRDefault="00EE5515" w:rsidP="00EE5515">
      <w:pPr>
        <w:pStyle w:val="3-BodyText"/>
      </w:pPr>
      <w:r w:rsidRPr="00980134">
        <w:t xml:space="preserve">The TGA evaluation noted that a validated diagnostic test is key for the accurate diagnosis of HER2 low breast cancer. The TGA </w:t>
      </w:r>
      <w:r w:rsidR="00791659" w:rsidRPr="00980134">
        <w:t>D</w:t>
      </w:r>
      <w:r w:rsidRPr="00980134">
        <w:t>elegate sought opinions on testing of HER2 low in Australia and the expert opinions were that the current testing practices in Australia should be sufficient</w:t>
      </w:r>
      <w:r w:rsidRPr="00640308">
        <w:t>. The TGA Delegate overview also includes a Sponsor’s response indicating</w:t>
      </w:r>
      <w:r w:rsidR="00640308" w:rsidRPr="00640308">
        <w:t xml:space="preserve"> </w:t>
      </w:r>
      <w:r w:rsidR="00640308" w:rsidRPr="00D73924">
        <w:rPr>
          <w:color w:val="000000"/>
          <w:w w:val="15"/>
          <w:shd w:val="solid" w:color="000000" w:fill="000000"/>
          <w:fitText w:val="-20" w:id="-1032110080"/>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80"/>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9"/>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9"/>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8"/>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8"/>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7"/>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7"/>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6"/>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6"/>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5"/>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5"/>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4"/>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4"/>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3"/>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3"/>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2"/>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2"/>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1"/>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1"/>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70"/>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0"/>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9"/>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9"/>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8"/>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8"/>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7"/>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7"/>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6"/>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6"/>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5"/>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5"/>
          <w14:textFill>
            <w14:solidFill>
              <w14:srgbClr w14:val="000000">
                <w14:alpha w14:val="100000"/>
              </w14:srgbClr>
            </w14:solidFill>
          </w14:textFill>
        </w:rPr>
        <w:t>|</w:t>
      </w:r>
      <w:r w:rsidR="00640308">
        <w:t xml:space="preserve"> </w:t>
      </w:r>
      <w:r w:rsidR="00640308" w:rsidRPr="00D73924">
        <w:rPr>
          <w:color w:val="000000"/>
          <w:w w:val="15"/>
          <w:shd w:val="solid" w:color="000000" w:fill="000000"/>
          <w:fitText w:val="-20" w:id="-1032110064"/>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64"/>
          <w14:textFill>
            <w14:solidFill>
              <w14:srgbClr w14:val="000000">
                <w14:alpha w14:val="100000"/>
              </w14:srgbClr>
            </w14:solidFill>
          </w14:textFill>
        </w:rPr>
        <w:t>|</w:t>
      </w:r>
      <w:r w:rsidRPr="00640308">
        <w:t>.</w:t>
      </w:r>
    </w:p>
    <w:p w14:paraId="4CC67E6A" w14:textId="77777777" w:rsidR="00EE5515" w:rsidRPr="00980134" w:rsidRDefault="00EE5515" w:rsidP="00EE5515">
      <w:pPr>
        <w:pStyle w:val="3-BodyText"/>
      </w:pPr>
      <w:r w:rsidRPr="00980134">
        <w:t>T-</w:t>
      </w:r>
      <w:proofErr w:type="spellStart"/>
      <w:r w:rsidRPr="00980134">
        <w:t>DXd</w:t>
      </w:r>
      <w:proofErr w:type="spellEnd"/>
      <w:r w:rsidRPr="00980134">
        <w:t xml:space="preserve"> is also currently TGA approved for the treatment of unresectable or metastatic HER2 positive breast cancer in patients who have previously received trastuzumab and a </w:t>
      </w:r>
      <w:proofErr w:type="spellStart"/>
      <w:r w:rsidRPr="00980134">
        <w:t>taxane</w:t>
      </w:r>
      <w:proofErr w:type="spellEnd"/>
      <w:r w:rsidRPr="00980134">
        <w:t xml:space="preserve"> for metastatic disease, or one prior anti HER2 based regimen, and developed recurrence during or within six months of completing neo-adjuvant or adjuvant therapy. </w:t>
      </w:r>
    </w:p>
    <w:p w14:paraId="75EC85F1" w14:textId="77777777" w:rsidR="00EE5515" w:rsidRPr="00980134" w:rsidRDefault="00EE5515" w:rsidP="00EE5515">
      <w:pPr>
        <w:pStyle w:val="4-SubsectionHeading"/>
      </w:pPr>
      <w:bookmarkStart w:id="9" w:name="_Toc22897639"/>
      <w:bookmarkStart w:id="10" w:name="_Toc142576837"/>
      <w:bookmarkStart w:id="11" w:name="_Toc145452632"/>
      <w:r w:rsidRPr="00980134">
        <w:lastRenderedPageBreak/>
        <w:t>Previous PBAC consideration</w:t>
      </w:r>
      <w:bookmarkEnd w:id="9"/>
      <w:bookmarkEnd w:id="10"/>
      <w:bookmarkEnd w:id="11"/>
    </w:p>
    <w:p w14:paraId="0DDB5BCD" w14:textId="5FE0C565" w:rsidR="00EE5515" w:rsidRPr="00980134" w:rsidRDefault="00EE5515" w:rsidP="00EE5515">
      <w:pPr>
        <w:pStyle w:val="3-BodyText"/>
      </w:pPr>
      <w:r w:rsidRPr="00980134">
        <w:t>T-</w:t>
      </w:r>
      <w:proofErr w:type="spellStart"/>
      <w:r w:rsidRPr="00980134">
        <w:t>DXd</w:t>
      </w:r>
      <w:proofErr w:type="spellEnd"/>
      <w:r w:rsidRPr="00980134">
        <w:t xml:space="preserve"> has not previously been considered by the PBAC for use in the HER2 low population. T-</w:t>
      </w:r>
      <w:proofErr w:type="spellStart"/>
      <w:r w:rsidRPr="00980134">
        <w:t>DXd</w:t>
      </w:r>
      <w:proofErr w:type="spellEnd"/>
      <w:r w:rsidRPr="00980134">
        <w:t xml:space="preserve"> </w:t>
      </w:r>
      <w:r w:rsidR="007E1D99" w:rsidRPr="00980134">
        <w:t>was recommended for PBS listing at the March 2023 PBAC meeting</w:t>
      </w:r>
      <w:r w:rsidRPr="00980134">
        <w:t xml:space="preserve"> for the treatment HER2 positive breast cancer for patients who have progressed following up to two prior lines of HER2 directed therapy for metastatic disease, or relapsed during or within 6 months of receiving HER2 directed adjuvant therapy.</w:t>
      </w:r>
    </w:p>
    <w:p w14:paraId="235118D1" w14:textId="77777777" w:rsidR="00EE5515" w:rsidRPr="00980134" w:rsidRDefault="00EE5515" w:rsidP="00EE5515">
      <w:pPr>
        <w:pStyle w:val="2-SectionHeading"/>
      </w:pPr>
      <w:bookmarkStart w:id="12" w:name="_Toc107902078"/>
      <w:bookmarkStart w:id="13" w:name="_Toc142092382"/>
      <w:bookmarkStart w:id="14" w:name="_Toc142576838"/>
      <w:bookmarkStart w:id="15" w:name="_Toc145452633"/>
      <w:bookmarkEnd w:id="12"/>
      <w:r w:rsidRPr="00980134">
        <w:t>Requested listing</w:t>
      </w:r>
      <w:bookmarkEnd w:id="13"/>
      <w:bookmarkEnd w:id="14"/>
      <w:bookmarkEnd w:id="15"/>
    </w:p>
    <w:p w14:paraId="7931BDD9" w14:textId="3E9AB02E" w:rsidR="00EE5515" w:rsidRPr="00980134" w:rsidRDefault="00342764" w:rsidP="00342764">
      <w:pPr>
        <w:pStyle w:val="3-BodyText"/>
        <w:rPr>
          <w:bCs/>
          <w:color w:val="0066FF"/>
        </w:rPr>
      </w:pPr>
      <w:bookmarkStart w:id="16" w:name="_Ref152324015"/>
      <w:r w:rsidRPr="00980134">
        <w:t>Suggestions and additions proposed by the Secretariat are added in italics and suggested deletions are crossed out with strikethrough</w:t>
      </w:r>
      <w:r w:rsidR="00FE2DFB" w:rsidRPr="00980134">
        <w:t>.</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7"/>
      </w:tblGrid>
      <w:tr w:rsidR="00EE5515" w:rsidRPr="00980134" w14:paraId="4891B83B" w14:textId="77777777">
        <w:trPr>
          <w:cantSplit/>
          <w:trHeight w:val="20"/>
        </w:trPr>
        <w:tc>
          <w:tcPr>
            <w:tcW w:w="1716" w:type="pct"/>
            <w:vAlign w:val="center"/>
          </w:tcPr>
          <w:p w14:paraId="044D2951" w14:textId="77777777" w:rsidR="00EE5515" w:rsidRPr="00980134" w:rsidRDefault="00EE5515">
            <w:pPr>
              <w:pStyle w:val="In-tableHeading"/>
              <w:keepLines/>
              <w:rPr>
                <w:lang w:val="en-AU"/>
              </w:rPr>
            </w:pPr>
            <w:r w:rsidRPr="00980134">
              <w:rPr>
                <w:lang w:val="en-AU"/>
              </w:rPr>
              <w:t>MEDICINAL PRODUCT</w:t>
            </w:r>
          </w:p>
          <w:p w14:paraId="1F36C917" w14:textId="77777777" w:rsidR="00EE5515" w:rsidRPr="00980134" w:rsidRDefault="00EE5515">
            <w:pPr>
              <w:pStyle w:val="In-tableHeading"/>
              <w:keepLines/>
              <w:rPr>
                <w:lang w:val="en-AU"/>
              </w:rPr>
            </w:pPr>
            <w:r w:rsidRPr="00980134">
              <w:rPr>
                <w:lang w:val="en-AU"/>
              </w:rPr>
              <w:t>Form</w:t>
            </w:r>
          </w:p>
        </w:tc>
        <w:tc>
          <w:tcPr>
            <w:tcW w:w="1094" w:type="pct"/>
            <w:vAlign w:val="center"/>
          </w:tcPr>
          <w:p w14:paraId="13CD47D5" w14:textId="77777777" w:rsidR="00EE5515" w:rsidRPr="00980134" w:rsidRDefault="00EE5515">
            <w:pPr>
              <w:pStyle w:val="In-tableHeading"/>
              <w:keepLines/>
              <w:jc w:val="center"/>
              <w:rPr>
                <w:lang w:val="en-AU"/>
              </w:rPr>
            </w:pPr>
            <w:r w:rsidRPr="00980134">
              <w:rPr>
                <w:lang w:val="en-AU"/>
              </w:rPr>
              <w:t>Dispensed Price Max Amt</w:t>
            </w:r>
          </w:p>
        </w:tc>
        <w:tc>
          <w:tcPr>
            <w:tcW w:w="1094" w:type="pct"/>
            <w:vAlign w:val="center"/>
          </w:tcPr>
          <w:p w14:paraId="45496D00" w14:textId="77777777" w:rsidR="00EE5515" w:rsidRPr="00980134" w:rsidRDefault="00EE5515">
            <w:pPr>
              <w:pStyle w:val="In-tableHeading"/>
              <w:keepLines/>
              <w:jc w:val="center"/>
              <w:rPr>
                <w:lang w:val="en-AU"/>
              </w:rPr>
            </w:pPr>
            <w:r w:rsidRPr="00980134">
              <w:rPr>
                <w:lang w:val="en-AU"/>
              </w:rPr>
              <w:t>Max. Amount</w:t>
            </w:r>
          </w:p>
        </w:tc>
        <w:tc>
          <w:tcPr>
            <w:tcW w:w="1096" w:type="pct"/>
            <w:vAlign w:val="center"/>
          </w:tcPr>
          <w:p w14:paraId="2CE782CD" w14:textId="77777777" w:rsidR="00EE5515" w:rsidRPr="00980134" w:rsidRDefault="00EE5515">
            <w:pPr>
              <w:pStyle w:val="In-tableHeading"/>
              <w:keepLines/>
              <w:jc w:val="center"/>
              <w:rPr>
                <w:lang w:val="en-AU"/>
              </w:rPr>
            </w:pPr>
            <w:r w:rsidRPr="00980134">
              <w:rPr>
                <w:lang w:val="en-AU"/>
              </w:rPr>
              <w:t>№.of Rpts</w:t>
            </w:r>
          </w:p>
        </w:tc>
      </w:tr>
      <w:tr w:rsidR="00EE5515" w:rsidRPr="00980134" w14:paraId="4709196B" w14:textId="77777777">
        <w:trPr>
          <w:cantSplit/>
          <w:trHeight w:val="20"/>
        </w:trPr>
        <w:tc>
          <w:tcPr>
            <w:tcW w:w="1716" w:type="pct"/>
            <w:vAlign w:val="center"/>
          </w:tcPr>
          <w:p w14:paraId="19558D65" w14:textId="77777777" w:rsidR="00EE5515" w:rsidRPr="00980134" w:rsidRDefault="00EE5515">
            <w:pPr>
              <w:pStyle w:val="TableText0"/>
            </w:pPr>
            <w:r w:rsidRPr="00980134">
              <w:t>TRASTUZUMAB DERUXTECAN</w:t>
            </w:r>
          </w:p>
          <w:p w14:paraId="021E2CFE" w14:textId="77777777" w:rsidR="00EE5515" w:rsidRPr="00980134" w:rsidRDefault="00EE5515">
            <w:pPr>
              <w:pStyle w:val="TableText0"/>
              <w:keepLines/>
            </w:pPr>
            <w:r w:rsidRPr="00980134">
              <w:t>Solution for infusion</w:t>
            </w:r>
          </w:p>
        </w:tc>
        <w:tc>
          <w:tcPr>
            <w:tcW w:w="1094" w:type="pct"/>
            <w:vAlign w:val="center"/>
          </w:tcPr>
          <w:p w14:paraId="4A2ED51F" w14:textId="77777777" w:rsidR="00EE5515" w:rsidRPr="00980134" w:rsidRDefault="00EE5515">
            <w:pPr>
              <w:pStyle w:val="TableText0"/>
              <w:jc w:val="center"/>
              <w:rPr>
                <w:u w:val="single"/>
              </w:rPr>
            </w:pPr>
            <w:r w:rsidRPr="00980134">
              <w:rPr>
                <w:u w:val="single"/>
              </w:rPr>
              <w:t>Published price.</w:t>
            </w:r>
          </w:p>
          <w:p w14:paraId="01B2E726" w14:textId="77777777" w:rsidR="00EE5515" w:rsidRPr="00980134" w:rsidRDefault="00EE5515">
            <w:pPr>
              <w:pStyle w:val="TableText0"/>
              <w:jc w:val="center"/>
            </w:pPr>
            <w:r w:rsidRPr="00A03BF1">
              <w:t>$</w:t>
            </w:r>
            <w:r w:rsidRPr="00980134">
              <w:t>17,540.04 (public)</w:t>
            </w:r>
          </w:p>
          <w:p w14:paraId="475A4AF6" w14:textId="77777777" w:rsidR="00EE5515" w:rsidRPr="00980134" w:rsidRDefault="00EE5515">
            <w:pPr>
              <w:pStyle w:val="TableText0"/>
              <w:jc w:val="center"/>
            </w:pPr>
            <w:r w:rsidRPr="00980134">
              <w:t>$17,827.65 (private)</w:t>
            </w:r>
          </w:p>
          <w:p w14:paraId="6DFA9503" w14:textId="77777777" w:rsidR="00EE5515" w:rsidRPr="00980134" w:rsidRDefault="00EE5515">
            <w:pPr>
              <w:pStyle w:val="TableText0"/>
              <w:jc w:val="center"/>
              <w:rPr>
                <w:u w:val="single"/>
              </w:rPr>
            </w:pPr>
            <w:r w:rsidRPr="00980134">
              <w:rPr>
                <w:u w:val="single"/>
              </w:rPr>
              <w:t>Effective price.</w:t>
            </w:r>
          </w:p>
          <w:p w14:paraId="4133762C" w14:textId="123DB728" w:rsidR="00EE5515" w:rsidRPr="00A21C73" w:rsidRDefault="00EE5515">
            <w:pPr>
              <w:pStyle w:val="TableText0"/>
              <w:jc w:val="center"/>
            </w:pPr>
            <w:r w:rsidRPr="00A21C73">
              <w:t>$</w:t>
            </w:r>
            <w:r w:rsidR="00640308" w:rsidRPr="00640308">
              <w:t xml:space="preserve"> </w:t>
            </w:r>
            <w:r w:rsidR="00640308" w:rsidRPr="00D73924">
              <w:rPr>
                <w:rFonts w:hint="eastAsia"/>
                <w:color w:val="000000"/>
                <w:w w:val="15"/>
                <w:shd w:val="solid" w:color="000000" w:fill="000000"/>
                <w:fitText w:val="20" w:id="-1032110080"/>
                <w14:textFill>
                  <w14:solidFill>
                    <w14:srgbClr w14:val="000000">
                      <w14:alpha w14:val="100000"/>
                    </w14:srgbClr>
                  </w14:solidFill>
                </w14:textFill>
              </w:rPr>
              <w:t xml:space="preserve">　</w:t>
            </w:r>
            <w:r w:rsidR="00640308" w:rsidRPr="00D73924">
              <w:rPr>
                <w:color w:val="000000"/>
                <w:w w:val="15"/>
                <w:shd w:val="solid" w:color="000000" w:fill="000000"/>
                <w:fitText w:val="20" w:id="-1032110080"/>
                <w14:textFill>
                  <w14:solidFill>
                    <w14:srgbClr w14:val="000000">
                      <w14:alpha w14:val="100000"/>
                    </w14:srgbClr>
                  </w14:solidFill>
                </w14:textFill>
              </w:rPr>
              <w:t>|</w:t>
            </w:r>
            <w:r w:rsidR="00640308" w:rsidRPr="00D73924">
              <w:rPr>
                <w:rFonts w:hint="eastAsia"/>
                <w:color w:val="000000"/>
                <w:spacing w:val="-45"/>
                <w:w w:val="15"/>
                <w:shd w:val="solid" w:color="000000" w:fill="000000"/>
                <w:fitText w:val="20" w:id="-1032110080"/>
                <w14:textFill>
                  <w14:solidFill>
                    <w14:srgbClr w14:val="000000">
                      <w14:alpha w14:val="100000"/>
                    </w14:srgbClr>
                  </w14:solidFill>
                </w14:textFill>
              </w:rPr>
              <w:t xml:space="preserve">　</w:t>
            </w:r>
            <w:r w:rsidRPr="00A21C73">
              <w:t xml:space="preserve"> (public)</w:t>
            </w:r>
          </w:p>
          <w:p w14:paraId="6E4946FB" w14:textId="705EEAED" w:rsidR="00EE5515" w:rsidRPr="00980134" w:rsidRDefault="00EE5515">
            <w:pPr>
              <w:pStyle w:val="TableText0"/>
              <w:keepLines/>
              <w:jc w:val="center"/>
            </w:pPr>
            <w:r w:rsidRPr="00A21C73">
              <w:t>$</w:t>
            </w:r>
            <w:r w:rsidR="00640308" w:rsidRPr="00640308">
              <w:t xml:space="preserve"> </w:t>
            </w:r>
            <w:r w:rsidR="00640308" w:rsidRPr="00640308">
              <w:rPr>
                <w:rFonts w:hint="eastAsia"/>
                <w:color w:val="000000"/>
                <w:w w:val="15"/>
                <w:shd w:val="solid" w:color="000000" w:fill="000000"/>
                <w:fitText w:val="60" w:id="-1032110079"/>
                <w14:textFill>
                  <w14:solidFill>
                    <w14:srgbClr w14:val="000000">
                      <w14:alpha w14:val="100000"/>
                    </w14:srgbClr>
                  </w14:solidFill>
                </w14:textFill>
              </w:rPr>
              <w:t xml:space="preserve">　</w:t>
            </w:r>
            <w:r w:rsidR="00640308" w:rsidRPr="00640308">
              <w:rPr>
                <w:color w:val="000000"/>
                <w:w w:val="15"/>
                <w:shd w:val="solid" w:color="000000" w:fill="000000"/>
                <w:fitText w:val="60" w:id="-1032110079"/>
                <w14:textFill>
                  <w14:solidFill>
                    <w14:srgbClr w14:val="000000">
                      <w14:alpha w14:val="100000"/>
                    </w14:srgbClr>
                  </w14:solidFill>
                </w14:textFill>
              </w:rPr>
              <w:t>|</w:t>
            </w:r>
            <w:r w:rsidR="00640308" w:rsidRPr="00640308">
              <w:rPr>
                <w:rFonts w:hint="eastAsia"/>
                <w:color w:val="000000"/>
                <w:spacing w:val="-15"/>
                <w:w w:val="15"/>
                <w:shd w:val="solid" w:color="000000" w:fill="000000"/>
                <w:fitText w:val="60" w:id="-1032110079"/>
                <w14:textFill>
                  <w14:solidFill>
                    <w14:srgbClr w14:val="000000">
                      <w14:alpha w14:val="100000"/>
                    </w14:srgbClr>
                  </w14:solidFill>
                </w14:textFill>
              </w:rPr>
              <w:t xml:space="preserve">　</w:t>
            </w:r>
            <w:r w:rsidRPr="00A21C73">
              <w:t xml:space="preserve"> (private)</w:t>
            </w:r>
          </w:p>
        </w:tc>
        <w:tc>
          <w:tcPr>
            <w:tcW w:w="1094" w:type="pct"/>
            <w:vAlign w:val="center"/>
          </w:tcPr>
          <w:p w14:paraId="0C34F297" w14:textId="2E22D469" w:rsidR="00EE5515" w:rsidRPr="00980134" w:rsidRDefault="00EE5515">
            <w:pPr>
              <w:pStyle w:val="TableText0"/>
              <w:keepLines/>
              <w:jc w:val="center"/>
            </w:pPr>
            <w:r w:rsidRPr="00980134">
              <w:t>675</w:t>
            </w:r>
            <w:r w:rsidR="00791659" w:rsidRPr="00980134">
              <w:t xml:space="preserve"> </w:t>
            </w:r>
            <w:r w:rsidRPr="00980134">
              <w:t>mg</w:t>
            </w:r>
          </w:p>
        </w:tc>
        <w:tc>
          <w:tcPr>
            <w:tcW w:w="1096" w:type="pct"/>
            <w:vAlign w:val="center"/>
          </w:tcPr>
          <w:p w14:paraId="664B3171" w14:textId="77777777" w:rsidR="00EE5515" w:rsidRPr="00980134" w:rsidRDefault="00EE5515">
            <w:pPr>
              <w:pStyle w:val="TableText0"/>
              <w:jc w:val="center"/>
            </w:pPr>
            <w:r w:rsidRPr="00980134">
              <w:t>0 (initial)</w:t>
            </w:r>
          </w:p>
          <w:p w14:paraId="6DB4AACB" w14:textId="77777777" w:rsidR="00EE5515" w:rsidRPr="00980134" w:rsidRDefault="00EE5515">
            <w:pPr>
              <w:pStyle w:val="TableText0"/>
              <w:keepLines/>
              <w:jc w:val="center"/>
            </w:pPr>
            <w:r w:rsidRPr="00980134">
              <w:t>8 (continuing)</w:t>
            </w:r>
          </w:p>
        </w:tc>
      </w:tr>
      <w:tr w:rsidR="00EE5515" w:rsidRPr="00980134" w14:paraId="62E8917E" w14:textId="77777777">
        <w:trPr>
          <w:cantSplit/>
          <w:trHeight w:val="20"/>
        </w:trPr>
        <w:tc>
          <w:tcPr>
            <w:tcW w:w="5000" w:type="pct"/>
            <w:gridSpan w:val="4"/>
            <w:vAlign w:val="center"/>
          </w:tcPr>
          <w:p w14:paraId="4320F876" w14:textId="77777777" w:rsidR="00EE5515" w:rsidRPr="00980134" w:rsidRDefault="00EE5515">
            <w:pPr>
              <w:keepNext/>
              <w:keepLines/>
              <w:rPr>
                <w:b/>
              </w:rPr>
            </w:pPr>
            <w:r w:rsidRPr="00980134">
              <w:rPr>
                <w:rFonts w:ascii="Arial Narrow" w:eastAsiaTheme="majorEastAsia" w:hAnsi="Arial Narrow" w:cs="Times New Roman"/>
                <w:b/>
                <w:sz w:val="20"/>
              </w:rPr>
              <w:t>Available brands</w:t>
            </w:r>
            <w:r w:rsidRPr="00980134">
              <w:rPr>
                <w:b/>
              </w:rPr>
              <w:t xml:space="preserve"> </w:t>
            </w:r>
          </w:p>
        </w:tc>
      </w:tr>
      <w:tr w:rsidR="00EE5515" w:rsidRPr="00980134" w14:paraId="55F12DF9" w14:textId="77777777">
        <w:trPr>
          <w:cantSplit/>
          <w:trHeight w:val="20"/>
        </w:trPr>
        <w:tc>
          <w:tcPr>
            <w:tcW w:w="5000" w:type="pct"/>
            <w:gridSpan w:val="4"/>
            <w:vAlign w:val="center"/>
          </w:tcPr>
          <w:p w14:paraId="0F228BAF" w14:textId="77777777" w:rsidR="00EE5515" w:rsidRPr="00980134" w:rsidRDefault="00EE5515">
            <w:pPr>
              <w:pStyle w:val="TableText0"/>
              <w:keepLines/>
            </w:pPr>
            <w:proofErr w:type="spellStart"/>
            <w:r w:rsidRPr="00980134">
              <w:t>Enhertu</w:t>
            </w:r>
            <w:proofErr w:type="spellEnd"/>
            <w:r w:rsidRPr="00980134">
              <w:t>®</w:t>
            </w:r>
          </w:p>
          <w:p w14:paraId="3B55642F" w14:textId="77777777" w:rsidR="00EE5515" w:rsidRPr="00980134" w:rsidRDefault="00EE5515">
            <w:pPr>
              <w:pStyle w:val="TableText0"/>
              <w:keepLines/>
            </w:pPr>
            <w:r w:rsidRPr="00980134">
              <w:t xml:space="preserve">Trastuzumab </w:t>
            </w:r>
            <w:proofErr w:type="spellStart"/>
            <w:r w:rsidRPr="00980134">
              <w:t>deruxtecan</w:t>
            </w:r>
            <w:proofErr w:type="spellEnd"/>
            <w:r w:rsidRPr="00980134">
              <w:t>, solution for infusion, 100mg/vial</w:t>
            </w:r>
          </w:p>
        </w:tc>
      </w:tr>
    </w:tbl>
    <w:p w14:paraId="207D8D90" w14:textId="2B85834F" w:rsidR="00EE5515" w:rsidRPr="00980134" w:rsidRDefault="00EE5515" w:rsidP="00EE5515">
      <w:bookmarkStart w:id="17" w:name="_Hlk104809082"/>
    </w:p>
    <w:tbl>
      <w:tblPr>
        <w:tblStyle w:val="HTATableshaded"/>
        <w:tblW w:w="5000" w:type="pct"/>
        <w:tblLook w:val="04A0" w:firstRow="1" w:lastRow="0" w:firstColumn="1" w:lastColumn="0" w:noHBand="0" w:noVBand="1"/>
      </w:tblPr>
      <w:tblGrid>
        <w:gridCol w:w="9017"/>
      </w:tblGrid>
      <w:tr w:rsidR="00342764" w:rsidRPr="00980134" w14:paraId="575D4FC8" w14:textId="77777777" w:rsidTr="00342764">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77BE3752" w14:textId="77777777" w:rsidR="00342764" w:rsidRPr="00980134" w:rsidRDefault="00342764" w:rsidP="00C144F5">
            <w:pPr>
              <w:keepNext/>
              <w:rPr>
                <w:rFonts w:ascii="Arial Narrow" w:hAnsi="Arial Narrow"/>
                <w:sz w:val="20"/>
                <w:szCs w:val="20"/>
              </w:rPr>
            </w:pPr>
            <w:r w:rsidRPr="00980134">
              <w:rPr>
                <w:rFonts w:ascii="Arial Narrow" w:hAnsi="Arial Narrow"/>
                <w:b/>
                <w:sz w:val="20"/>
                <w:szCs w:val="20"/>
              </w:rPr>
              <w:t xml:space="preserve">Category / Program: </w:t>
            </w:r>
            <w:r w:rsidRPr="00980134">
              <w:rPr>
                <w:rFonts w:ascii="Arial Narrow" w:hAnsi="Arial Narrow"/>
                <w:sz w:val="20"/>
                <w:szCs w:val="20"/>
              </w:rPr>
              <w:t>Section 100 – Efficient Funding of Chemotherapy Public/Private hospitals</w:t>
            </w:r>
          </w:p>
        </w:tc>
      </w:tr>
      <w:tr w:rsidR="00342764" w:rsidRPr="00980134" w14:paraId="77738BA6" w14:textId="77777777" w:rsidTr="00342764">
        <w:trPr>
          <w:trHeight w:val="20"/>
        </w:trPr>
        <w:tc>
          <w:tcPr>
            <w:tcW w:w="5000" w:type="pct"/>
          </w:tcPr>
          <w:p w14:paraId="411FAE6E" w14:textId="77777777" w:rsidR="00342764" w:rsidRPr="00980134" w:rsidRDefault="00342764" w:rsidP="00C144F5">
            <w:pPr>
              <w:keepNext/>
              <w:rPr>
                <w:rFonts w:ascii="Arial Narrow" w:hAnsi="Arial Narrow"/>
                <w:b/>
                <w:sz w:val="20"/>
                <w:szCs w:val="20"/>
              </w:rPr>
            </w:pPr>
            <w:r w:rsidRPr="00980134">
              <w:rPr>
                <w:rFonts w:ascii="Arial Narrow" w:hAnsi="Arial Narrow"/>
                <w:b/>
                <w:sz w:val="20"/>
                <w:szCs w:val="20"/>
              </w:rPr>
              <w:t xml:space="preserve">Prescriber type: </w:t>
            </w:r>
            <w:r w:rsidRPr="00980134">
              <w:rPr>
                <w:rFonts w:ascii="Arial Narrow" w:hAnsi="Arial Narrow"/>
                <w:sz w:val="20"/>
                <w:szCs w:val="20"/>
              </w:rPr>
              <w:fldChar w:fldCharType="begin" w:fldLock="1">
                <w:ffData>
                  <w:name w:val=""/>
                  <w:enabled/>
                  <w:calcOnExit w:val="0"/>
                  <w:checkBox>
                    <w:sizeAuto/>
                    <w:default w:val="1"/>
                  </w:checkBox>
                </w:ffData>
              </w:fldChar>
            </w:r>
            <w:r w:rsidRPr="00980134">
              <w:rPr>
                <w:rFonts w:ascii="Arial Narrow" w:hAnsi="Arial Narrow"/>
                <w:sz w:val="20"/>
                <w:szCs w:val="20"/>
              </w:rPr>
              <w:instrText xml:space="preserve"> FORMCHECKBOX </w:instrText>
            </w:r>
            <w:r w:rsidR="006E03AE">
              <w:rPr>
                <w:rFonts w:ascii="Arial Narrow" w:hAnsi="Arial Narrow"/>
                <w:sz w:val="20"/>
                <w:szCs w:val="20"/>
              </w:rPr>
            </w:r>
            <w:r w:rsidR="006E03AE">
              <w:rPr>
                <w:rFonts w:ascii="Arial Narrow" w:hAnsi="Arial Narrow"/>
                <w:sz w:val="20"/>
                <w:szCs w:val="20"/>
              </w:rPr>
              <w:fldChar w:fldCharType="separate"/>
            </w:r>
            <w:r w:rsidRPr="00980134">
              <w:rPr>
                <w:rFonts w:ascii="Arial Narrow" w:hAnsi="Arial Narrow"/>
                <w:sz w:val="20"/>
                <w:szCs w:val="20"/>
              </w:rPr>
              <w:fldChar w:fldCharType="end"/>
            </w:r>
            <w:r w:rsidRPr="00980134">
              <w:rPr>
                <w:rFonts w:ascii="Arial Narrow" w:hAnsi="Arial Narrow"/>
                <w:sz w:val="20"/>
                <w:szCs w:val="20"/>
              </w:rPr>
              <w:t>Medical Practitioners</w:t>
            </w:r>
          </w:p>
        </w:tc>
      </w:tr>
      <w:tr w:rsidR="00342764" w:rsidRPr="00980134" w14:paraId="40057E33" w14:textId="77777777" w:rsidTr="00342764">
        <w:trPr>
          <w:trHeight w:val="20"/>
        </w:trPr>
        <w:tc>
          <w:tcPr>
            <w:tcW w:w="5000" w:type="pct"/>
          </w:tcPr>
          <w:p w14:paraId="6029D60C" w14:textId="77777777" w:rsidR="00342764" w:rsidRPr="00980134" w:rsidRDefault="00342764" w:rsidP="00C144F5">
            <w:pPr>
              <w:jc w:val="left"/>
              <w:rPr>
                <w:rFonts w:ascii="Arial Narrow" w:eastAsia="Calibri" w:hAnsi="Arial Narrow"/>
                <w:sz w:val="20"/>
                <w:szCs w:val="20"/>
              </w:rPr>
            </w:pPr>
            <w:r w:rsidRPr="00980134">
              <w:rPr>
                <w:rFonts w:ascii="Arial Narrow" w:hAnsi="Arial Narrow"/>
                <w:b/>
                <w:sz w:val="20"/>
                <w:szCs w:val="20"/>
              </w:rPr>
              <w:t xml:space="preserve">Restriction type: </w:t>
            </w:r>
            <w:r w:rsidRPr="00980134">
              <w:rPr>
                <w:rFonts w:ascii="Arial Narrow" w:eastAsia="Calibri" w:hAnsi="Arial Narrow"/>
                <w:color w:val="FF0000"/>
                <w:sz w:val="20"/>
                <w:szCs w:val="20"/>
              </w:rPr>
              <w:br/>
            </w:r>
            <w:r w:rsidRPr="00980134">
              <w:rPr>
                <w:rFonts w:ascii="Arial Narrow" w:eastAsia="Calibri" w:hAnsi="Arial Narrow"/>
                <w:sz w:val="20"/>
                <w:szCs w:val="20"/>
              </w:rPr>
              <w:fldChar w:fldCharType="begin" w:fldLock="1">
                <w:ffData>
                  <w:name w:val="Check3"/>
                  <w:enabled/>
                  <w:calcOnExit w:val="0"/>
                  <w:checkBox>
                    <w:sizeAuto/>
                    <w:default w:val="1"/>
                  </w:checkBox>
                </w:ffData>
              </w:fldChar>
            </w:r>
            <w:r w:rsidRPr="00980134">
              <w:rPr>
                <w:rFonts w:ascii="Arial Narrow" w:eastAsia="Calibri" w:hAnsi="Arial Narrow"/>
                <w:sz w:val="20"/>
                <w:szCs w:val="20"/>
              </w:rPr>
              <w:instrText xml:space="preserve"> FORMCHECKBOX </w:instrText>
            </w:r>
            <w:r w:rsidR="006E03AE">
              <w:rPr>
                <w:rFonts w:ascii="Arial Narrow" w:eastAsia="Calibri" w:hAnsi="Arial Narrow"/>
                <w:sz w:val="20"/>
                <w:szCs w:val="20"/>
              </w:rPr>
            </w:r>
            <w:r w:rsidR="006E03AE">
              <w:rPr>
                <w:rFonts w:ascii="Arial Narrow" w:eastAsia="Calibri" w:hAnsi="Arial Narrow"/>
                <w:sz w:val="20"/>
                <w:szCs w:val="20"/>
              </w:rPr>
              <w:fldChar w:fldCharType="separate"/>
            </w:r>
            <w:r w:rsidRPr="00980134">
              <w:rPr>
                <w:rFonts w:ascii="Arial Narrow" w:eastAsia="Calibri" w:hAnsi="Arial Narrow"/>
                <w:sz w:val="20"/>
                <w:szCs w:val="20"/>
              </w:rPr>
              <w:fldChar w:fldCharType="end"/>
            </w:r>
            <w:r w:rsidRPr="00980134">
              <w:rPr>
                <w:rFonts w:ascii="Arial Narrow" w:eastAsia="Calibri" w:hAnsi="Arial Narrow"/>
                <w:sz w:val="20"/>
                <w:szCs w:val="20"/>
              </w:rPr>
              <w:t>Authority Required (telephone/online PBS Authorities system</w:t>
            </w:r>
          </w:p>
        </w:tc>
      </w:tr>
      <w:tr w:rsidR="00342764" w:rsidRPr="00980134" w14:paraId="3F09BEF5" w14:textId="77777777" w:rsidTr="00342764">
        <w:trPr>
          <w:trHeight w:val="20"/>
        </w:trPr>
        <w:tc>
          <w:tcPr>
            <w:tcW w:w="5000" w:type="pct"/>
          </w:tcPr>
          <w:p w14:paraId="4F8867FA" w14:textId="77777777" w:rsidR="00342764" w:rsidRPr="00980134" w:rsidRDefault="00342764" w:rsidP="00C144F5">
            <w:pPr>
              <w:keepLines/>
              <w:rPr>
                <w:rFonts w:ascii="Arial Narrow" w:hAnsi="Arial Narrow"/>
                <w:b/>
                <w:bCs/>
                <w:color w:val="333333"/>
                <w:sz w:val="20"/>
                <w:szCs w:val="20"/>
              </w:rPr>
            </w:pPr>
            <w:r w:rsidRPr="00980134">
              <w:rPr>
                <w:rFonts w:ascii="Arial Narrow" w:hAnsi="Arial Narrow"/>
                <w:b/>
                <w:bCs/>
                <w:color w:val="333333"/>
                <w:sz w:val="20"/>
                <w:szCs w:val="20"/>
              </w:rPr>
              <w:t xml:space="preserve">Administrative Advice: </w:t>
            </w:r>
            <w:r w:rsidRPr="00980134">
              <w:rPr>
                <w:rFonts w:ascii="Arial Narrow" w:eastAsia="Calibri" w:hAnsi="Arial Narrow"/>
                <w:sz w:val="20"/>
                <w:szCs w:val="20"/>
              </w:rPr>
              <w:t>Special pricing arrangements apply</w:t>
            </w:r>
          </w:p>
        </w:tc>
      </w:tr>
      <w:tr w:rsidR="00342764" w:rsidRPr="00980134" w14:paraId="5562B6E6" w14:textId="77777777" w:rsidTr="00342764">
        <w:trPr>
          <w:trHeight w:val="20"/>
        </w:trPr>
        <w:tc>
          <w:tcPr>
            <w:tcW w:w="5000" w:type="pct"/>
          </w:tcPr>
          <w:p w14:paraId="4835DCC1" w14:textId="77777777" w:rsidR="00342764" w:rsidRPr="00980134" w:rsidRDefault="00342764" w:rsidP="00C144F5">
            <w:pPr>
              <w:keepLines/>
              <w:rPr>
                <w:rFonts w:ascii="Arial Narrow" w:hAnsi="Arial Narrow"/>
                <w:b/>
                <w:bCs/>
                <w:color w:val="333333"/>
                <w:sz w:val="20"/>
                <w:szCs w:val="20"/>
              </w:rPr>
            </w:pPr>
            <w:r w:rsidRPr="00980134">
              <w:rPr>
                <w:rFonts w:ascii="Arial Narrow" w:hAnsi="Arial Narrow"/>
                <w:b/>
                <w:bCs/>
                <w:color w:val="333333"/>
                <w:sz w:val="20"/>
                <w:szCs w:val="20"/>
              </w:rPr>
              <w:t xml:space="preserve">Severity: </w:t>
            </w:r>
            <w:r w:rsidRPr="00980134">
              <w:rPr>
                <w:rFonts w:ascii="Arial Narrow" w:eastAsia="Calibri" w:hAnsi="Arial Narrow"/>
                <w:sz w:val="20"/>
                <w:szCs w:val="20"/>
              </w:rPr>
              <w:t>Unresectable and/or metastatic</w:t>
            </w:r>
          </w:p>
        </w:tc>
      </w:tr>
      <w:tr w:rsidR="00342764" w:rsidRPr="00980134" w14:paraId="11EA02C0" w14:textId="77777777" w:rsidTr="00342764">
        <w:trPr>
          <w:trHeight w:val="20"/>
        </w:trPr>
        <w:tc>
          <w:tcPr>
            <w:tcW w:w="5000" w:type="pct"/>
          </w:tcPr>
          <w:p w14:paraId="34E6B63D" w14:textId="77777777" w:rsidR="00342764" w:rsidRPr="00980134" w:rsidRDefault="00342764" w:rsidP="00C144F5">
            <w:pPr>
              <w:keepLines/>
              <w:rPr>
                <w:rFonts w:ascii="Arial Narrow" w:hAnsi="Arial Narrow"/>
                <w:b/>
                <w:bCs/>
                <w:color w:val="333333"/>
                <w:sz w:val="20"/>
                <w:szCs w:val="20"/>
              </w:rPr>
            </w:pPr>
            <w:r w:rsidRPr="00980134">
              <w:rPr>
                <w:rFonts w:ascii="Arial Narrow" w:hAnsi="Arial Narrow"/>
                <w:b/>
                <w:bCs/>
                <w:color w:val="333333"/>
                <w:sz w:val="20"/>
                <w:szCs w:val="20"/>
              </w:rPr>
              <w:t xml:space="preserve">Condition: </w:t>
            </w:r>
            <w:r w:rsidRPr="00980134">
              <w:rPr>
                <w:rFonts w:ascii="Arial Narrow" w:hAnsi="Arial Narrow"/>
                <w:bCs/>
                <w:color w:val="333333"/>
                <w:sz w:val="20"/>
                <w:szCs w:val="20"/>
              </w:rPr>
              <w:t>HER2-low breast cancer</w:t>
            </w:r>
          </w:p>
        </w:tc>
      </w:tr>
      <w:tr w:rsidR="00342764" w:rsidRPr="00980134" w14:paraId="522A3344" w14:textId="77777777" w:rsidTr="00342764">
        <w:trPr>
          <w:trHeight w:val="20"/>
        </w:trPr>
        <w:tc>
          <w:tcPr>
            <w:tcW w:w="5000" w:type="pct"/>
            <w:hideMark/>
          </w:tcPr>
          <w:p w14:paraId="769F23B8" w14:textId="77777777" w:rsidR="00342764" w:rsidRPr="00980134" w:rsidRDefault="00342764" w:rsidP="00C144F5">
            <w:pPr>
              <w:keepLines/>
              <w:rPr>
                <w:rFonts w:ascii="Arial Narrow" w:hAnsi="Arial Narrow"/>
                <w:color w:val="333333"/>
                <w:sz w:val="20"/>
                <w:szCs w:val="20"/>
              </w:rPr>
            </w:pPr>
            <w:r w:rsidRPr="00980134">
              <w:rPr>
                <w:rFonts w:ascii="Arial Narrow" w:hAnsi="Arial Narrow"/>
                <w:b/>
                <w:bCs/>
                <w:color w:val="333333"/>
                <w:sz w:val="20"/>
                <w:szCs w:val="20"/>
              </w:rPr>
              <w:t>Indication:</w:t>
            </w:r>
            <w:r w:rsidRPr="00980134">
              <w:rPr>
                <w:rFonts w:ascii="Arial Narrow" w:hAnsi="Arial Narrow"/>
                <w:color w:val="333333"/>
                <w:sz w:val="20"/>
                <w:szCs w:val="20"/>
              </w:rPr>
              <w:t xml:space="preserve"> </w:t>
            </w:r>
            <w:r w:rsidRPr="00980134">
              <w:rPr>
                <w:rFonts w:ascii="Arial Narrow" w:eastAsia="Calibri" w:hAnsi="Arial Narrow"/>
                <w:sz w:val="20"/>
                <w:szCs w:val="20"/>
              </w:rPr>
              <w:t xml:space="preserve">Unresectable and/or metastatic </w:t>
            </w:r>
            <w:r w:rsidRPr="00980134">
              <w:rPr>
                <w:rFonts w:ascii="Arial Narrow" w:hAnsi="Arial Narrow"/>
                <w:bCs/>
                <w:color w:val="333333"/>
                <w:sz w:val="20"/>
                <w:szCs w:val="20"/>
              </w:rPr>
              <w:t>HER2-low breast cancer</w:t>
            </w:r>
          </w:p>
        </w:tc>
      </w:tr>
      <w:tr w:rsidR="00342764" w:rsidRPr="00980134" w14:paraId="16653A16" w14:textId="77777777" w:rsidTr="00342764">
        <w:trPr>
          <w:trHeight w:val="20"/>
        </w:trPr>
        <w:tc>
          <w:tcPr>
            <w:tcW w:w="5000" w:type="pct"/>
            <w:hideMark/>
          </w:tcPr>
          <w:p w14:paraId="190CAD68" w14:textId="77777777" w:rsidR="00342764" w:rsidRPr="00980134" w:rsidRDefault="00342764" w:rsidP="00C144F5">
            <w:pPr>
              <w:rPr>
                <w:rFonts w:ascii="Arial Narrow" w:hAnsi="Arial Narrow"/>
                <w:strike/>
                <w:sz w:val="20"/>
                <w:szCs w:val="20"/>
              </w:rPr>
            </w:pPr>
            <w:r w:rsidRPr="00980134">
              <w:rPr>
                <w:rFonts w:ascii="Arial Narrow" w:hAnsi="Arial Narrow"/>
                <w:b/>
                <w:bCs/>
                <w:strike/>
                <w:sz w:val="20"/>
                <w:szCs w:val="20"/>
              </w:rPr>
              <w:t>Treatment Phase:</w:t>
            </w:r>
            <w:r w:rsidRPr="00980134">
              <w:rPr>
                <w:rFonts w:ascii="Arial Narrow" w:hAnsi="Arial Narrow"/>
                <w:strike/>
                <w:sz w:val="20"/>
                <w:szCs w:val="20"/>
              </w:rPr>
              <w:t xml:space="preserve"> Initial</w:t>
            </w:r>
          </w:p>
        </w:tc>
      </w:tr>
      <w:tr w:rsidR="00342764" w:rsidRPr="00980134" w14:paraId="361C175F" w14:textId="77777777" w:rsidTr="00342764">
        <w:trPr>
          <w:trHeight w:val="20"/>
        </w:trPr>
        <w:tc>
          <w:tcPr>
            <w:tcW w:w="5000" w:type="pct"/>
            <w:hideMark/>
          </w:tcPr>
          <w:p w14:paraId="6A3CB5EC" w14:textId="77777777" w:rsidR="00342764" w:rsidRPr="00980134" w:rsidRDefault="00342764" w:rsidP="00C144F5">
            <w:pPr>
              <w:rPr>
                <w:rFonts w:ascii="Arial Narrow" w:hAnsi="Arial Narrow"/>
                <w:color w:val="FF0000"/>
                <w:sz w:val="20"/>
                <w:szCs w:val="20"/>
              </w:rPr>
            </w:pPr>
            <w:r w:rsidRPr="00980134">
              <w:rPr>
                <w:rFonts w:ascii="Arial Narrow" w:hAnsi="Arial Narrow"/>
                <w:b/>
                <w:bCs/>
                <w:color w:val="333333"/>
                <w:sz w:val="20"/>
                <w:szCs w:val="20"/>
              </w:rPr>
              <w:t xml:space="preserve">Clinical criteria: </w:t>
            </w:r>
          </w:p>
        </w:tc>
      </w:tr>
      <w:tr w:rsidR="00342764" w:rsidRPr="00980134" w14:paraId="4F99B1CF" w14:textId="77777777" w:rsidTr="00342764">
        <w:trPr>
          <w:trHeight w:val="20"/>
        </w:trPr>
        <w:tc>
          <w:tcPr>
            <w:tcW w:w="5000" w:type="pct"/>
            <w:hideMark/>
          </w:tcPr>
          <w:p w14:paraId="5808405A" w14:textId="77777777" w:rsidR="00342764" w:rsidRPr="00980134" w:rsidRDefault="00342764" w:rsidP="00C144F5">
            <w:pPr>
              <w:rPr>
                <w:rFonts w:ascii="Arial Narrow" w:hAnsi="Arial Narrow"/>
                <w:color w:val="333333"/>
                <w:sz w:val="20"/>
                <w:szCs w:val="20"/>
              </w:rPr>
            </w:pPr>
            <w:r w:rsidRPr="00980134">
              <w:rPr>
                <w:rFonts w:ascii="Arial Narrow" w:eastAsia="Calibri" w:hAnsi="Arial Narrow"/>
                <w:sz w:val="20"/>
                <w:szCs w:val="20"/>
              </w:rPr>
              <w:t xml:space="preserve">Patient must have evidence of human epidermal growth factor receptor 2 (HER2)-low </w:t>
            </w:r>
            <w:r w:rsidRPr="00980134">
              <w:rPr>
                <w:rFonts w:ascii="Arial Narrow" w:eastAsia="Calibri" w:hAnsi="Arial Narrow"/>
                <w:i/>
                <w:iCs/>
                <w:sz w:val="20"/>
                <w:szCs w:val="20"/>
              </w:rPr>
              <w:t xml:space="preserve">disease </w:t>
            </w:r>
            <w:r w:rsidRPr="00980134">
              <w:rPr>
                <w:rStyle w:val="cf01"/>
                <w:rFonts w:ascii="Arial Narrow" w:hAnsi="Arial Narrow"/>
                <w:i/>
                <w:iCs/>
                <w:sz w:val="20"/>
                <w:szCs w:val="20"/>
              </w:rPr>
              <w:t>as demonstrated by in situ hybridisation (ISH)</w:t>
            </w:r>
            <w:r w:rsidRPr="00980134">
              <w:rPr>
                <w:rStyle w:val="cf01"/>
              </w:rPr>
              <w:t xml:space="preserve"> </w:t>
            </w:r>
            <w:r w:rsidRPr="00980134">
              <w:rPr>
                <w:rFonts w:ascii="Arial Narrow" w:eastAsia="Calibri" w:hAnsi="Arial Narrow"/>
                <w:sz w:val="20"/>
                <w:szCs w:val="20"/>
              </w:rPr>
              <w:t>either in the primary tumour</w:t>
            </w:r>
            <w:r w:rsidRPr="00980134">
              <w:rPr>
                <w:rFonts w:ascii="Arial Narrow" w:eastAsia="Calibri" w:hAnsi="Arial Narrow"/>
                <w:strike/>
                <w:sz w:val="20"/>
                <w:szCs w:val="20"/>
              </w:rPr>
              <w:t xml:space="preserve"> or</w:t>
            </w:r>
            <w:r w:rsidRPr="00980134">
              <w:rPr>
                <w:rFonts w:ascii="Arial Narrow" w:eastAsia="Calibri" w:hAnsi="Arial Narrow"/>
                <w:sz w:val="20"/>
                <w:szCs w:val="20"/>
              </w:rPr>
              <w:t xml:space="preserve"> </w:t>
            </w:r>
            <w:r w:rsidRPr="00980134">
              <w:rPr>
                <w:rFonts w:ascii="Arial Narrow" w:eastAsia="Calibri" w:hAnsi="Arial Narrow"/>
                <w:i/>
                <w:iCs/>
                <w:sz w:val="20"/>
                <w:szCs w:val="20"/>
              </w:rPr>
              <w:t>/</w:t>
            </w:r>
            <w:r w:rsidRPr="00980134">
              <w:rPr>
                <w:rFonts w:ascii="Arial Narrow" w:eastAsia="Calibri" w:hAnsi="Arial Narrow"/>
                <w:sz w:val="20"/>
                <w:szCs w:val="20"/>
              </w:rPr>
              <w:t xml:space="preserve">a metastatic lesion </w:t>
            </w:r>
            <w:r w:rsidRPr="00980134">
              <w:rPr>
                <w:rFonts w:ascii="Arial Narrow" w:eastAsia="Calibri" w:hAnsi="Arial Narrow"/>
                <w:i/>
                <w:iCs/>
                <w:sz w:val="20"/>
                <w:szCs w:val="20"/>
              </w:rPr>
              <w:t>– establish this finding once only with the first PBS prescription</w:t>
            </w:r>
          </w:p>
        </w:tc>
      </w:tr>
      <w:tr w:rsidR="00342764" w:rsidRPr="00980134" w14:paraId="11353E16" w14:textId="77777777" w:rsidTr="00342764">
        <w:trPr>
          <w:trHeight w:val="20"/>
        </w:trPr>
        <w:tc>
          <w:tcPr>
            <w:tcW w:w="5000" w:type="pct"/>
            <w:hideMark/>
          </w:tcPr>
          <w:p w14:paraId="02E473A5"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AND</w:t>
            </w:r>
          </w:p>
        </w:tc>
      </w:tr>
      <w:tr w:rsidR="00342764" w:rsidRPr="00980134" w14:paraId="2242BC25" w14:textId="77777777" w:rsidTr="00342764">
        <w:trPr>
          <w:trHeight w:val="20"/>
        </w:trPr>
        <w:tc>
          <w:tcPr>
            <w:tcW w:w="5000" w:type="pct"/>
            <w:hideMark/>
          </w:tcPr>
          <w:p w14:paraId="649E26C8"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Clinical criteria:</w:t>
            </w:r>
          </w:p>
        </w:tc>
      </w:tr>
      <w:tr w:rsidR="00342764" w:rsidRPr="00980134" w14:paraId="0C8A310E" w14:textId="77777777" w:rsidTr="00342764">
        <w:trPr>
          <w:trHeight w:val="20"/>
        </w:trPr>
        <w:tc>
          <w:tcPr>
            <w:tcW w:w="5000" w:type="pct"/>
            <w:hideMark/>
          </w:tcPr>
          <w:p w14:paraId="19E1F53F"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Patient must have received prior chemotherapy in the metastatic setting,</w:t>
            </w:r>
          </w:p>
        </w:tc>
      </w:tr>
      <w:tr w:rsidR="00342764" w:rsidRPr="00980134" w14:paraId="2C387E0D" w14:textId="77777777" w:rsidTr="00342764">
        <w:trPr>
          <w:trHeight w:val="20"/>
        </w:trPr>
        <w:tc>
          <w:tcPr>
            <w:tcW w:w="5000" w:type="pct"/>
          </w:tcPr>
          <w:p w14:paraId="102D12D7"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OR</w:t>
            </w:r>
          </w:p>
        </w:tc>
      </w:tr>
      <w:tr w:rsidR="00342764" w:rsidRPr="00980134" w14:paraId="29A2566D" w14:textId="77777777" w:rsidTr="00342764">
        <w:trPr>
          <w:trHeight w:val="20"/>
        </w:trPr>
        <w:tc>
          <w:tcPr>
            <w:tcW w:w="5000" w:type="pct"/>
          </w:tcPr>
          <w:p w14:paraId="0D379D83"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Patient must have developed disease recurrence during or within 6 months of completing adjuvant chemotherapy</w:t>
            </w:r>
          </w:p>
        </w:tc>
      </w:tr>
      <w:tr w:rsidR="00342764" w:rsidRPr="00980134" w14:paraId="03716541" w14:textId="77777777" w:rsidTr="00342764">
        <w:trPr>
          <w:trHeight w:val="20"/>
        </w:trPr>
        <w:tc>
          <w:tcPr>
            <w:tcW w:w="5000" w:type="pct"/>
            <w:hideMark/>
          </w:tcPr>
          <w:p w14:paraId="7963C45F"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AND</w:t>
            </w:r>
          </w:p>
        </w:tc>
      </w:tr>
      <w:tr w:rsidR="00342764" w:rsidRPr="00980134" w14:paraId="66394BEE" w14:textId="77777777" w:rsidTr="00342764">
        <w:trPr>
          <w:trHeight w:val="20"/>
        </w:trPr>
        <w:tc>
          <w:tcPr>
            <w:tcW w:w="5000" w:type="pct"/>
            <w:hideMark/>
          </w:tcPr>
          <w:p w14:paraId="0D969E08"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Clinical criteria:</w:t>
            </w:r>
          </w:p>
        </w:tc>
      </w:tr>
      <w:tr w:rsidR="00342764" w:rsidRPr="00980134" w14:paraId="11F4684D" w14:textId="77777777" w:rsidTr="00342764">
        <w:trPr>
          <w:trHeight w:val="20"/>
        </w:trPr>
        <w:tc>
          <w:tcPr>
            <w:tcW w:w="5000" w:type="pct"/>
          </w:tcPr>
          <w:p w14:paraId="37AD647A"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Patients with hormone receptor positive disease must have received or be ineligible for endocrine therapy,</w:t>
            </w:r>
          </w:p>
        </w:tc>
      </w:tr>
      <w:tr w:rsidR="00342764" w:rsidRPr="00980134" w14:paraId="19E89CE4" w14:textId="77777777" w:rsidTr="00342764">
        <w:trPr>
          <w:trHeight w:val="20"/>
        </w:trPr>
        <w:tc>
          <w:tcPr>
            <w:tcW w:w="5000" w:type="pct"/>
            <w:hideMark/>
          </w:tcPr>
          <w:p w14:paraId="2EB6124B"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AND</w:t>
            </w:r>
          </w:p>
        </w:tc>
      </w:tr>
      <w:tr w:rsidR="00342764" w:rsidRPr="00980134" w14:paraId="2A0205AD" w14:textId="77777777" w:rsidTr="00342764">
        <w:trPr>
          <w:trHeight w:val="20"/>
        </w:trPr>
        <w:tc>
          <w:tcPr>
            <w:tcW w:w="5000" w:type="pct"/>
            <w:hideMark/>
          </w:tcPr>
          <w:p w14:paraId="6A6B1B45"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lastRenderedPageBreak/>
              <w:t>Clinical criteria:</w:t>
            </w:r>
          </w:p>
        </w:tc>
      </w:tr>
      <w:tr w:rsidR="00342764" w:rsidRPr="00980134" w14:paraId="02509AC0" w14:textId="77777777" w:rsidTr="00342764">
        <w:trPr>
          <w:trHeight w:val="20"/>
        </w:trPr>
        <w:tc>
          <w:tcPr>
            <w:tcW w:w="5000" w:type="pct"/>
          </w:tcPr>
          <w:p w14:paraId="6C9A9B9C"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 xml:space="preserve">Patient must have </w:t>
            </w:r>
            <w:r w:rsidRPr="00980134">
              <w:rPr>
                <w:rFonts w:ascii="Arial Narrow" w:eastAsia="Calibri" w:hAnsi="Arial Narrow"/>
                <w:i/>
                <w:iCs/>
                <w:sz w:val="20"/>
                <w:szCs w:val="20"/>
              </w:rPr>
              <w:t>at the time of initiating treatment with this drug, a WHO performance status</w:t>
            </w:r>
            <w:r w:rsidRPr="00980134">
              <w:rPr>
                <w:rFonts w:ascii="Arial Narrow" w:eastAsia="Calibri" w:hAnsi="Arial Narrow"/>
                <w:sz w:val="20"/>
                <w:szCs w:val="20"/>
              </w:rPr>
              <w:t xml:space="preserve"> </w:t>
            </w:r>
            <w:r w:rsidRPr="00980134">
              <w:rPr>
                <w:rFonts w:ascii="Arial Narrow" w:eastAsia="Calibri" w:hAnsi="Arial Narrow"/>
                <w:strike/>
                <w:sz w:val="20"/>
                <w:szCs w:val="20"/>
              </w:rPr>
              <w:t>a World Health Organisation (WHO) Eastern Cooperative Oncology Group (ECOG)</w:t>
            </w:r>
            <w:r w:rsidRPr="00980134">
              <w:rPr>
                <w:rFonts w:ascii="Arial Narrow" w:eastAsia="Calibri" w:hAnsi="Arial Narrow"/>
                <w:sz w:val="20"/>
                <w:szCs w:val="20"/>
              </w:rPr>
              <w:t xml:space="preserve"> no higher than 1 </w:t>
            </w:r>
            <w:r w:rsidRPr="00980134">
              <w:rPr>
                <w:rFonts w:ascii="Arial Narrow" w:eastAsia="Calibri" w:hAnsi="Arial Narrow"/>
                <w:strike/>
                <w:sz w:val="20"/>
                <w:szCs w:val="20"/>
              </w:rPr>
              <w:t>at treatment initiation</w:t>
            </w:r>
          </w:p>
        </w:tc>
      </w:tr>
      <w:tr w:rsidR="00342764" w:rsidRPr="00980134" w14:paraId="2CFDD2B1" w14:textId="77777777" w:rsidTr="00342764">
        <w:trPr>
          <w:trHeight w:val="20"/>
        </w:trPr>
        <w:tc>
          <w:tcPr>
            <w:tcW w:w="5000" w:type="pct"/>
            <w:hideMark/>
          </w:tcPr>
          <w:p w14:paraId="57993E74"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AND</w:t>
            </w:r>
          </w:p>
        </w:tc>
      </w:tr>
      <w:tr w:rsidR="00342764" w:rsidRPr="00980134" w14:paraId="7C08FAB7" w14:textId="77777777" w:rsidTr="00342764">
        <w:trPr>
          <w:trHeight w:val="20"/>
        </w:trPr>
        <w:tc>
          <w:tcPr>
            <w:tcW w:w="5000" w:type="pct"/>
            <w:hideMark/>
          </w:tcPr>
          <w:p w14:paraId="31E36791"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Clinical criteria:</w:t>
            </w:r>
          </w:p>
        </w:tc>
      </w:tr>
      <w:tr w:rsidR="00342764" w:rsidRPr="00980134" w14:paraId="40B70C05" w14:textId="77777777" w:rsidTr="00342764">
        <w:trPr>
          <w:trHeight w:val="20"/>
        </w:trPr>
        <w:tc>
          <w:tcPr>
            <w:tcW w:w="5000" w:type="pct"/>
          </w:tcPr>
          <w:p w14:paraId="036B26AA" w14:textId="77777777" w:rsidR="00342764" w:rsidRPr="00980134" w:rsidRDefault="00342764" w:rsidP="00C144F5">
            <w:pPr>
              <w:rPr>
                <w:rFonts w:ascii="Arial Narrow" w:eastAsia="Calibri" w:hAnsi="Arial Narrow"/>
                <w:sz w:val="20"/>
                <w:szCs w:val="20"/>
              </w:rPr>
            </w:pPr>
            <w:r w:rsidRPr="00980134">
              <w:rPr>
                <w:rFonts w:ascii="Arial Narrow" w:eastAsia="Calibri" w:hAnsi="Arial Narrow"/>
                <w:sz w:val="20"/>
                <w:szCs w:val="20"/>
              </w:rPr>
              <w:t xml:space="preserve">The treatment must be the sole PBS-subsidised </w:t>
            </w:r>
            <w:r w:rsidRPr="00980134">
              <w:rPr>
                <w:rFonts w:ascii="Arial Narrow" w:eastAsia="Calibri" w:hAnsi="Arial Narrow"/>
                <w:i/>
                <w:iCs/>
                <w:sz w:val="20"/>
                <w:szCs w:val="20"/>
              </w:rPr>
              <w:t>systemic anti-cancer</w:t>
            </w:r>
            <w:r w:rsidRPr="00980134">
              <w:rPr>
                <w:rFonts w:ascii="Arial Narrow" w:eastAsia="Calibri" w:hAnsi="Arial Narrow"/>
                <w:sz w:val="20"/>
                <w:szCs w:val="20"/>
              </w:rPr>
              <w:t xml:space="preserve"> therapy for this PBS indication.</w:t>
            </w:r>
          </w:p>
        </w:tc>
      </w:tr>
      <w:tr w:rsidR="00342764" w:rsidRPr="00980134" w14:paraId="53413131" w14:textId="77777777" w:rsidTr="00342764">
        <w:trPr>
          <w:trHeight w:val="20"/>
        </w:trPr>
        <w:tc>
          <w:tcPr>
            <w:tcW w:w="5000" w:type="pct"/>
            <w:hideMark/>
          </w:tcPr>
          <w:p w14:paraId="585BC27E"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AND</w:t>
            </w:r>
          </w:p>
        </w:tc>
      </w:tr>
      <w:tr w:rsidR="00342764" w:rsidRPr="00980134" w14:paraId="322673B4" w14:textId="77777777" w:rsidTr="00342764">
        <w:trPr>
          <w:trHeight w:val="20"/>
        </w:trPr>
        <w:tc>
          <w:tcPr>
            <w:tcW w:w="5000" w:type="pct"/>
            <w:hideMark/>
          </w:tcPr>
          <w:p w14:paraId="7F852697" w14:textId="77777777" w:rsidR="00342764" w:rsidRPr="00980134" w:rsidRDefault="00342764" w:rsidP="00C144F5">
            <w:pPr>
              <w:rPr>
                <w:rFonts w:ascii="Arial Narrow" w:hAnsi="Arial Narrow"/>
                <w:strike/>
                <w:color w:val="333333"/>
                <w:sz w:val="20"/>
                <w:szCs w:val="20"/>
              </w:rPr>
            </w:pPr>
            <w:r w:rsidRPr="00980134">
              <w:rPr>
                <w:rFonts w:ascii="Arial Narrow" w:hAnsi="Arial Narrow"/>
                <w:b/>
                <w:bCs/>
                <w:strike/>
                <w:color w:val="333333"/>
                <w:sz w:val="20"/>
                <w:szCs w:val="20"/>
              </w:rPr>
              <w:t xml:space="preserve">Population </w:t>
            </w:r>
            <w:r w:rsidRPr="00980134">
              <w:rPr>
                <w:rFonts w:ascii="Arial Narrow" w:hAnsi="Arial Narrow"/>
                <w:b/>
                <w:bCs/>
                <w:i/>
                <w:iCs/>
                <w:strike/>
                <w:color w:val="333333"/>
                <w:sz w:val="20"/>
                <w:szCs w:val="20"/>
              </w:rPr>
              <w:t>Clinical</w:t>
            </w:r>
            <w:r w:rsidRPr="00980134">
              <w:rPr>
                <w:rFonts w:ascii="Arial Narrow" w:hAnsi="Arial Narrow"/>
                <w:b/>
                <w:bCs/>
                <w:strike/>
                <w:color w:val="333333"/>
                <w:sz w:val="20"/>
                <w:szCs w:val="20"/>
              </w:rPr>
              <w:t xml:space="preserve"> criteria:</w:t>
            </w:r>
          </w:p>
        </w:tc>
      </w:tr>
      <w:tr w:rsidR="00342764" w:rsidRPr="00980134" w14:paraId="78047C19" w14:textId="77777777" w:rsidTr="00342764">
        <w:trPr>
          <w:trHeight w:val="20"/>
        </w:trPr>
        <w:tc>
          <w:tcPr>
            <w:tcW w:w="5000" w:type="pct"/>
            <w:hideMark/>
          </w:tcPr>
          <w:p w14:paraId="724157BD" w14:textId="77777777" w:rsidR="00342764" w:rsidRPr="00980134" w:rsidRDefault="00342764" w:rsidP="00C144F5">
            <w:pPr>
              <w:rPr>
                <w:rFonts w:ascii="Arial Narrow" w:eastAsia="Calibri" w:hAnsi="Arial Narrow"/>
                <w:strike/>
                <w:sz w:val="20"/>
                <w:szCs w:val="20"/>
              </w:rPr>
            </w:pPr>
            <w:r w:rsidRPr="00980134">
              <w:rPr>
                <w:rFonts w:ascii="Arial Narrow" w:eastAsia="Calibri" w:hAnsi="Arial Narrow"/>
                <w:strike/>
                <w:sz w:val="20"/>
                <w:szCs w:val="20"/>
              </w:rPr>
              <w:t>The treatment must not be used in a patient with a left ventricular ejection fraction (LVEF) of less than 45% and/or with symptomatic heart failure.</w:t>
            </w:r>
          </w:p>
          <w:p w14:paraId="4FCFF55B" w14:textId="77777777" w:rsidR="00342764" w:rsidRPr="00980134" w:rsidRDefault="00342764" w:rsidP="00C144F5">
            <w:pPr>
              <w:rPr>
                <w:rFonts w:ascii="Arial Narrow" w:eastAsia="Calibri" w:hAnsi="Arial Narrow"/>
                <w:strike/>
                <w:sz w:val="20"/>
                <w:szCs w:val="20"/>
              </w:rPr>
            </w:pPr>
            <w:r w:rsidRPr="00980134">
              <w:rPr>
                <w:rFonts w:ascii="Arial Narrow" w:eastAsia="Calibri" w:hAnsi="Arial Narrow"/>
                <w:i/>
                <w:iCs/>
                <w:sz w:val="20"/>
                <w:szCs w:val="20"/>
              </w:rPr>
              <w:t>The treatment must not be prescribed where any of the following is present: (</w:t>
            </w:r>
            <w:proofErr w:type="spellStart"/>
            <w:r w:rsidRPr="00980134">
              <w:rPr>
                <w:rFonts w:ascii="Arial Narrow" w:eastAsia="Calibri" w:hAnsi="Arial Narrow"/>
                <w:i/>
                <w:iCs/>
                <w:sz w:val="20"/>
                <w:szCs w:val="20"/>
              </w:rPr>
              <w:t>i</w:t>
            </w:r>
            <w:proofErr w:type="spellEnd"/>
            <w:r w:rsidRPr="00980134">
              <w:rPr>
                <w:rFonts w:ascii="Arial Narrow" w:eastAsia="Calibri" w:hAnsi="Arial Narrow"/>
                <w:i/>
                <w:iCs/>
                <w:sz w:val="20"/>
                <w:szCs w:val="20"/>
              </w:rPr>
              <w:t>) left ventricular ejection fraction of less than 50%, (ii) symptomatic heart failure; confirm cardiac function testing for the first PBS-prescription only</w:t>
            </w:r>
          </w:p>
        </w:tc>
      </w:tr>
      <w:tr w:rsidR="00342764" w:rsidRPr="00980134" w14:paraId="6E0F9BF7" w14:textId="77777777" w:rsidTr="00342764">
        <w:trPr>
          <w:trHeight w:val="20"/>
        </w:trPr>
        <w:tc>
          <w:tcPr>
            <w:tcW w:w="5000" w:type="pct"/>
            <w:hideMark/>
          </w:tcPr>
          <w:p w14:paraId="784E473B" w14:textId="77777777" w:rsidR="00342764" w:rsidRPr="00980134" w:rsidRDefault="00342764" w:rsidP="00C144F5">
            <w:pPr>
              <w:keepNext/>
              <w:keepLines/>
              <w:rPr>
                <w:rFonts w:ascii="Arial Narrow" w:hAnsi="Arial Narrow"/>
                <w:i/>
                <w:iCs/>
                <w:sz w:val="20"/>
                <w:szCs w:val="20"/>
              </w:rPr>
            </w:pPr>
            <w:r w:rsidRPr="00980134">
              <w:rPr>
                <w:rFonts w:ascii="Arial Narrow" w:hAnsi="Arial Narrow"/>
                <w:b/>
                <w:bCs/>
                <w:i/>
                <w:iCs/>
                <w:sz w:val="20"/>
                <w:szCs w:val="20"/>
              </w:rPr>
              <w:t>Treatment criteria:</w:t>
            </w:r>
          </w:p>
        </w:tc>
      </w:tr>
      <w:tr w:rsidR="00342764" w:rsidRPr="00980134" w14:paraId="1AEB9264" w14:textId="77777777" w:rsidTr="00342764">
        <w:trPr>
          <w:trHeight w:val="20"/>
        </w:trPr>
        <w:tc>
          <w:tcPr>
            <w:tcW w:w="5000" w:type="pct"/>
            <w:hideMark/>
          </w:tcPr>
          <w:p w14:paraId="7B558566" w14:textId="77777777" w:rsidR="00342764" w:rsidRPr="00980134" w:rsidRDefault="00342764" w:rsidP="00C144F5">
            <w:pPr>
              <w:keepNext/>
              <w:keepLines/>
              <w:rPr>
                <w:rFonts w:ascii="Arial Narrow" w:eastAsia="Calibri" w:hAnsi="Arial Narrow"/>
                <w:i/>
                <w:iCs/>
                <w:sz w:val="20"/>
                <w:szCs w:val="20"/>
              </w:rPr>
            </w:pPr>
            <w:r w:rsidRPr="00980134">
              <w:rPr>
                <w:rFonts w:ascii="Arial Narrow" w:eastAsia="Calibri" w:hAnsi="Arial Narrow"/>
                <w:i/>
                <w:iCs/>
                <w:sz w:val="20"/>
                <w:szCs w:val="20"/>
              </w:rPr>
              <w:t>Patient must be undergoing initial treatment with this drug – the following are true: (</w:t>
            </w:r>
            <w:proofErr w:type="spellStart"/>
            <w:r w:rsidRPr="00980134">
              <w:rPr>
                <w:rFonts w:ascii="Arial Narrow" w:eastAsia="Calibri" w:hAnsi="Arial Narrow"/>
                <w:i/>
                <w:iCs/>
                <w:sz w:val="20"/>
                <w:szCs w:val="20"/>
              </w:rPr>
              <w:t>i</w:t>
            </w:r>
            <w:proofErr w:type="spellEnd"/>
            <w:r w:rsidRPr="00980134">
              <w:rPr>
                <w:rFonts w:ascii="Arial Narrow" w:eastAsia="Calibri" w:hAnsi="Arial Narrow"/>
                <w:i/>
                <w:iCs/>
                <w:sz w:val="20"/>
                <w:szCs w:val="20"/>
              </w:rPr>
              <w:t>) this is the first prescription for this drug, (ii) this prescription seeks no more than 3 repeat prescriptions; or</w:t>
            </w:r>
          </w:p>
        </w:tc>
      </w:tr>
      <w:tr w:rsidR="00342764" w:rsidRPr="00980134" w14:paraId="2BF0BD62" w14:textId="77777777" w:rsidTr="00342764">
        <w:trPr>
          <w:trHeight w:val="20"/>
        </w:trPr>
        <w:tc>
          <w:tcPr>
            <w:tcW w:w="5000" w:type="pct"/>
            <w:hideMark/>
          </w:tcPr>
          <w:p w14:paraId="1015B5EB" w14:textId="77777777" w:rsidR="00342764" w:rsidRPr="00980134" w:rsidRDefault="00342764" w:rsidP="00C144F5">
            <w:pPr>
              <w:rPr>
                <w:rFonts w:ascii="Arial Narrow" w:eastAsia="Calibri" w:hAnsi="Arial Narrow"/>
                <w:i/>
                <w:iCs/>
                <w:sz w:val="20"/>
                <w:szCs w:val="20"/>
              </w:rPr>
            </w:pPr>
            <w:r w:rsidRPr="00980134">
              <w:rPr>
                <w:rFonts w:ascii="Arial Narrow" w:eastAsia="Calibri" w:hAnsi="Arial Narrow"/>
                <w:i/>
                <w:iCs/>
                <w:sz w:val="20"/>
                <w:szCs w:val="20"/>
              </w:rPr>
              <w:t>Patient must be undergoing continuing treatment with drug – the following are true: (</w:t>
            </w:r>
            <w:proofErr w:type="spellStart"/>
            <w:r w:rsidRPr="00980134">
              <w:rPr>
                <w:rFonts w:ascii="Arial Narrow" w:eastAsia="Calibri" w:hAnsi="Arial Narrow"/>
                <w:i/>
                <w:iCs/>
                <w:sz w:val="20"/>
                <w:szCs w:val="20"/>
              </w:rPr>
              <w:t>i</w:t>
            </w:r>
            <w:proofErr w:type="spellEnd"/>
            <w:r w:rsidRPr="00980134">
              <w:rPr>
                <w:rFonts w:ascii="Arial Narrow" w:eastAsia="Calibri" w:hAnsi="Arial Narrow"/>
                <w:i/>
                <w:iCs/>
                <w:sz w:val="20"/>
                <w:szCs w:val="20"/>
              </w:rPr>
              <w:t>) there has been an absence of further disease progression whilst on active treatment with this drug, (ii) this prescription does not seek to re-treat after disease progression, (iii) this prescription seeks no more than 8 repeat prescriptions</w:t>
            </w:r>
          </w:p>
        </w:tc>
      </w:tr>
      <w:tr w:rsidR="00342764" w:rsidRPr="00980134" w14:paraId="0BBE6E4A" w14:textId="77777777" w:rsidTr="00342764">
        <w:trPr>
          <w:trHeight w:val="20"/>
        </w:trPr>
        <w:tc>
          <w:tcPr>
            <w:tcW w:w="5000" w:type="pct"/>
            <w:hideMark/>
          </w:tcPr>
          <w:p w14:paraId="44EE79AB" w14:textId="77777777" w:rsidR="00342764" w:rsidRPr="00980134" w:rsidRDefault="00342764" w:rsidP="00C144F5">
            <w:pPr>
              <w:rPr>
                <w:rFonts w:ascii="Arial Narrow" w:hAnsi="Arial Narrow"/>
                <w:color w:val="333333"/>
                <w:sz w:val="20"/>
                <w:szCs w:val="20"/>
              </w:rPr>
            </w:pPr>
            <w:r w:rsidRPr="00980134">
              <w:rPr>
                <w:rFonts w:ascii="Arial Narrow" w:hAnsi="Arial Narrow"/>
                <w:b/>
                <w:bCs/>
                <w:color w:val="333333"/>
                <w:sz w:val="20"/>
                <w:szCs w:val="20"/>
              </w:rPr>
              <w:t xml:space="preserve">Prescribing Instructions: </w:t>
            </w:r>
            <w:r w:rsidRPr="00980134">
              <w:rPr>
                <w:rFonts w:ascii="Arial Narrow" w:eastAsia="Calibri" w:hAnsi="Arial Narrow"/>
                <w:sz w:val="20"/>
                <w:szCs w:val="20"/>
              </w:rPr>
              <w:t>HER2-low is defined as an immunohistochemical [IHC] score of 1+ or an IHC score of 2+ and a negative result on in situ hybridization [ISH]).</w:t>
            </w:r>
          </w:p>
        </w:tc>
      </w:tr>
      <w:tr w:rsidR="00342764" w:rsidRPr="00980134" w14:paraId="52401D47" w14:textId="77777777" w:rsidTr="00342764">
        <w:trPr>
          <w:trHeight w:val="20"/>
        </w:trPr>
        <w:tc>
          <w:tcPr>
            <w:tcW w:w="5000" w:type="pct"/>
            <w:hideMark/>
          </w:tcPr>
          <w:p w14:paraId="5D559101" w14:textId="77777777" w:rsidR="00342764" w:rsidRPr="00980134" w:rsidRDefault="00342764" w:rsidP="00C144F5">
            <w:pPr>
              <w:keepNext/>
              <w:rPr>
                <w:rFonts w:ascii="Arial Narrow" w:hAnsi="Arial Narrow"/>
                <w:i/>
                <w:iCs/>
                <w:sz w:val="20"/>
                <w:szCs w:val="20"/>
              </w:rPr>
            </w:pPr>
            <w:r w:rsidRPr="00980134">
              <w:rPr>
                <w:rFonts w:ascii="Arial Narrow" w:hAnsi="Arial Narrow"/>
                <w:b/>
                <w:bCs/>
                <w:i/>
                <w:iCs/>
                <w:sz w:val="20"/>
                <w:szCs w:val="20"/>
              </w:rPr>
              <w:t>Prescribing Instructions:</w:t>
            </w:r>
          </w:p>
          <w:p w14:paraId="36A8C495" w14:textId="77777777" w:rsidR="00342764" w:rsidRPr="00980134" w:rsidRDefault="00342764" w:rsidP="00C144F5">
            <w:pPr>
              <w:keepNext/>
              <w:rPr>
                <w:rFonts w:ascii="Arial Narrow" w:hAnsi="Arial Narrow"/>
                <w:i/>
                <w:iCs/>
                <w:sz w:val="20"/>
                <w:szCs w:val="20"/>
              </w:rPr>
            </w:pPr>
            <w:r w:rsidRPr="00980134">
              <w:rPr>
                <w:rFonts w:ascii="Arial Narrow" w:hAnsi="Arial Narrow"/>
                <w:i/>
                <w:iCs/>
                <w:sz w:val="20"/>
                <w:szCs w:val="20"/>
              </w:rPr>
              <w:t>Confirm that the following information is documented/retained in the patient’s medical records once only with the first PBS prescription:</w:t>
            </w:r>
          </w:p>
          <w:p w14:paraId="038A4D38" w14:textId="77777777" w:rsidR="00342764" w:rsidRPr="00980134" w:rsidRDefault="00342764" w:rsidP="00C144F5">
            <w:pPr>
              <w:keepNext/>
              <w:rPr>
                <w:rFonts w:ascii="Arial Narrow" w:hAnsi="Arial Narrow"/>
                <w:i/>
                <w:iCs/>
                <w:sz w:val="20"/>
                <w:szCs w:val="20"/>
              </w:rPr>
            </w:pPr>
            <w:r w:rsidRPr="00980134">
              <w:rPr>
                <w:rFonts w:ascii="Arial Narrow" w:hAnsi="Arial Narrow"/>
                <w:i/>
                <w:iCs/>
                <w:sz w:val="20"/>
                <w:szCs w:val="20"/>
              </w:rPr>
              <w:t>1) Evidence of HER2-low status</w:t>
            </w:r>
          </w:p>
          <w:p w14:paraId="6BC0FC96" w14:textId="77777777" w:rsidR="00342764" w:rsidRPr="00980134" w:rsidRDefault="00342764" w:rsidP="00C144F5">
            <w:pPr>
              <w:keepNext/>
              <w:rPr>
                <w:rFonts w:ascii="Arial Narrow" w:hAnsi="Arial Narrow"/>
                <w:i/>
                <w:iCs/>
                <w:sz w:val="20"/>
                <w:szCs w:val="20"/>
              </w:rPr>
            </w:pPr>
            <w:r w:rsidRPr="00980134">
              <w:rPr>
                <w:rFonts w:ascii="Arial Narrow" w:hAnsi="Arial Narrow"/>
                <w:i/>
                <w:iCs/>
                <w:sz w:val="20"/>
                <w:szCs w:val="20"/>
              </w:rPr>
              <w:t>2) Details of prior drug regimens prescribed for the patient</w:t>
            </w:r>
          </w:p>
          <w:p w14:paraId="65A6FCE0" w14:textId="77777777" w:rsidR="00342764" w:rsidRPr="00980134" w:rsidRDefault="00342764" w:rsidP="00C144F5">
            <w:pPr>
              <w:keepNext/>
              <w:rPr>
                <w:rFonts w:ascii="Arial Narrow" w:hAnsi="Arial Narrow"/>
                <w:i/>
                <w:iCs/>
                <w:sz w:val="20"/>
                <w:szCs w:val="20"/>
              </w:rPr>
            </w:pPr>
            <w:r w:rsidRPr="00980134">
              <w:rPr>
                <w:rFonts w:ascii="Arial Narrow" w:hAnsi="Arial Narrow"/>
                <w:i/>
                <w:iCs/>
                <w:sz w:val="20"/>
                <w:szCs w:val="20"/>
              </w:rPr>
              <w:t>3) Cardiac function test results</w:t>
            </w:r>
          </w:p>
        </w:tc>
      </w:tr>
      <w:tr w:rsidR="00342764" w:rsidRPr="00980134" w14:paraId="4C542EAE" w14:textId="77777777" w:rsidTr="00342764">
        <w:trPr>
          <w:trHeight w:val="20"/>
        </w:trPr>
        <w:tc>
          <w:tcPr>
            <w:tcW w:w="5000" w:type="pct"/>
            <w:hideMark/>
          </w:tcPr>
          <w:p w14:paraId="7C546283" w14:textId="77777777" w:rsidR="00342764" w:rsidRPr="00980134" w:rsidRDefault="00342764" w:rsidP="00C144F5">
            <w:pPr>
              <w:textAlignment w:val="baseline"/>
              <w:rPr>
                <w:rFonts w:ascii="Arial Narrow" w:hAnsi="Arial Narrow"/>
                <w:i/>
                <w:iCs/>
                <w:sz w:val="20"/>
                <w:szCs w:val="20"/>
              </w:rPr>
            </w:pPr>
            <w:r w:rsidRPr="00980134">
              <w:rPr>
                <w:rFonts w:ascii="Arial Narrow" w:hAnsi="Arial Narrow"/>
                <w:b/>
                <w:bCs/>
                <w:i/>
                <w:iCs/>
                <w:color w:val="333333"/>
                <w:sz w:val="20"/>
                <w:szCs w:val="20"/>
              </w:rPr>
              <w:t>Administrative Advice:</w:t>
            </w:r>
            <w:r w:rsidRPr="00980134">
              <w:rPr>
                <w:rFonts w:ascii="Arial Narrow" w:hAnsi="Arial Narrow"/>
                <w:i/>
                <w:iCs/>
                <w:sz w:val="20"/>
                <w:szCs w:val="20"/>
              </w:rPr>
              <w:t xml:space="preserve"> Increased maximum amounts can be requested where a patient's weight is greater than 125 kg.</w:t>
            </w:r>
          </w:p>
        </w:tc>
      </w:tr>
      <w:tr w:rsidR="00342764" w:rsidRPr="00980134" w14:paraId="040ADE3F" w14:textId="77777777" w:rsidTr="00342764">
        <w:trPr>
          <w:trHeight w:val="20"/>
        </w:trPr>
        <w:tc>
          <w:tcPr>
            <w:tcW w:w="5000" w:type="pct"/>
            <w:hideMark/>
          </w:tcPr>
          <w:p w14:paraId="2729A77B" w14:textId="77777777" w:rsidR="00342764" w:rsidRPr="00980134" w:rsidRDefault="00342764" w:rsidP="00C144F5">
            <w:pPr>
              <w:textAlignment w:val="baseline"/>
              <w:rPr>
                <w:rFonts w:ascii="Arial Narrow" w:hAnsi="Arial Narrow"/>
                <w:i/>
                <w:iCs/>
                <w:sz w:val="20"/>
                <w:szCs w:val="20"/>
              </w:rPr>
            </w:pPr>
            <w:r w:rsidRPr="00980134">
              <w:rPr>
                <w:rFonts w:ascii="Arial Narrow" w:hAnsi="Arial Narrow"/>
                <w:b/>
                <w:bCs/>
                <w:i/>
                <w:iCs/>
                <w:color w:val="333333"/>
                <w:sz w:val="20"/>
                <w:szCs w:val="20"/>
              </w:rPr>
              <w:t>Administrative Advice:</w:t>
            </w:r>
            <w:r w:rsidRPr="00980134">
              <w:rPr>
                <w:rFonts w:ascii="Arial Narrow" w:hAnsi="Arial Narrow"/>
                <w:i/>
                <w:iCs/>
                <w:sz w:val="20"/>
                <w:szCs w:val="20"/>
              </w:rPr>
              <w:t xml:space="preserve"> No increase in the maximum number of repeats may be authorised.</w:t>
            </w:r>
          </w:p>
        </w:tc>
      </w:tr>
      <w:tr w:rsidR="00342764" w:rsidRPr="00980134" w14:paraId="4F6DB3A2" w14:textId="77777777" w:rsidTr="00342764">
        <w:trPr>
          <w:trHeight w:val="406"/>
        </w:trPr>
        <w:tc>
          <w:tcPr>
            <w:tcW w:w="5000" w:type="pct"/>
            <w:hideMark/>
          </w:tcPr>
          <w:p w14:paraId="11143624" w14:textId="77777777" w:rsidR="00342764" w:rsidRPr="00980134" w:rsidRDefault="00342764" w:rsidP="00C144F5">
            <w:pPr>
              <w:pStyle w:val="pf0"/>
              <w:rPr>
                <w:rFonts w:ascii="Arial" w:hAnsi="Arial" w:cs="Arial"/>
                <w:sz w:val="20"/>
                <w:szCs w:val="20"/>
              </w:rPr>
            </w:pPr>
            <w:r w:rsidRPr="00980134">
              <w:rPr>
                <w:rFonts w:ascii="Arial Narrow" w:hAnsi="Arial Narrow"/>
                <w:b/>
                <w:bCs/>
                <w:i/>
                <w:iCs/>
                <w:color w:val="333333"/>
                <w:sz w:val="20"/>
                <w:szCs w:val="20"/>
              </w:rPr>
              <w:t xml:space="preserve">Administrative Advice: </w:t>
            </w:r>
            <w:r w:rsidRPr="00980134">
              <w:rPr>
                <w:rFonts w:ascii="Arial Narrow" w:eastAsiaTheme="minorHAnsi" w:hAnsi="Arial Narrow"/>
                <w:i/>
                <w:iCs/>
                <w:sz w:val="20"/>
                <w:szCs w:val="20"/>
                <w:lang w:eastAsia="en-US"/>
              </w:rPr>
              <w:t xml:space="preserve">Applications for authorisation under this restriction may be made in real time using the Online PBS Authorities system (see </w:t>
            </w:r>
            <w:hyperlink r:id="rId8" w:history="1">
              <w:r w:rsidRPr="00980134">
                <w:rPr>
                  <w:rFonts w:ascii="Arial Narrow" w:eastAsiaTheme="minorHAnsi" w:hAnsi="Arial Narrow"/>
                  <w:i/>
                  <w:iCs/>
                  <w:sz w:val="20"/>
                  <w:szCs w:val="20"/>
                  <w:lang w:eastAsia="en-US"/>
                </w:rPr>
                <w:t>www.servicesaustralia.gov.au/HPOS</w:t>
              </w:r>
            </w:hyperlink>
            <w:r w:rsidRPr="00980134">
              <w:rPr>
                <w:rFonts w:ascii="Arial Narrow" w:eastAsiaTheme="minorHAnsi" w:hAnsi="Arial Narrow"/>
                <w:i/>
                <w:iCs/>
                <w:sz w:val="20"/>
                <w:szCs w:val="20"/>
                <w:lang w:eastAsia="en-US"/>
              </w:rPr>
              <w:t>) or by telephone by contacting Services Australia on 1800 700 270 (hours of operation 8 a.m. to 5 p.m. Monday to Friday).</w:t>
            </w:r>
          </w:p>
        </w:tc>
      </w:tr>
    </w:tbl>
    <w:bookmarkEnd w:id="17"/>
    <w:p w14:paraId="709DC451" w14:textId="19B88264" w:rsidR="006277A6" w:rsidRPr="00980134" w:rsidRDefault="006277A6" w:rsidP="005C413A">
      <w:pPr>
        <w:pStyle w:val="3-BodyText"/>
        <w:spacing w:before="120"/>
      </w:pPr>
      <w:r w:rsidRPr="00980134">
        <w:t>The submission requested a special pricing arrangement. The published approved ex</w:t>
      </w:r>
      <w:r w:rsidR="00FE2DFB" w:rsidRPr="00980134">
        <w:noBreakHyphen/>
      </w:r>
      <w:r w:rsidRPr="00980134">
        <w:t>manufacturer price (AEMP) per vial is $2,493.06 with a requested effective AEMP per vial of $</w:t>
      </w:r>
      <w:r w:rsidR="00640308" w:rsidRPr="00D73924">
        <w:rPr>
          <w:color w:val="000000"/>
          <w:w w:val="15"/>
          <w:shd w:val="solid" w:color="000000" w:fill="000000"/>
          <w:fitText w:val="-20" w:id="-1032110078"/>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8"/>
          <w14:textFill>
            <w14:solidFill>
              <w14:srgbClr w14:val="000000">
                <w14:alpha w14:val="100000"/>
              </w14:srgbClr>
            </w14:solidFill>
          </w14:textFill>
        </w:rPr>
        <w:t>|</w:t>
      </w:r>
      <w:r w:rsidRPr="00980134">
        <w:t>.</w:t>
      </w:r>
    </w:p>
    <w:p w14:paraId="2A7FB37A" w14:textId="181D97F6" w:rsidR="00EE5515" w:rsidRPr="00980134" w:rsidRDefault="00EE5515" w:rsidP="00B75DB1">
      <w:pPr>
        <w:pStyle w:val="3-BodyText"/>
        <w:rPr>
          <w:color w:val="0066FF"/>
        </w:rPr>
      </w:pPr>
      <w:r w:rsidRPr="00980134">
        <w:t xml:space="preserve">The requested PBS restriction is mostly consistent with the TGA indication for HER2 low breast cancer apart from a difference in the wording for the use of ET in HR positive patients. The PBS restriction states that patients with HR positive disease must have received or be ineligible for endocrine therapy while the TGA restriction states that patients with HR positive breast cancer should additionally have received and no longer be considered eligible for endocrine therapy. </w:t>
      </w:r>
      <w:r w:rsidR="00135060" w:rsidRPr="00980134">
        <w:t>The ESC noted the difference in wording but did not think it would make a s</w:t>
      </w:r>
      <w:r w:rsidR="0068609D" w:rsidRPr="00980134">
        <w:t>ubstantial</w:t>
      </w:r>
      <w:r w:rsidR="00135060" w:rsidRPr="00980134">
        <w:t xml:space="preserve"> difference to</w:t>
      </w:r>
      <w:r w:rsidR="00A01AC3" w:rsidRPr="00980134">
        <w:t xml:space="preserve"> the use of T-</w:t>
      </w:r>
      <w:proofErr w:type="spellStart"/>
      <w:r w:rsidR="00A01AC3" w:rsidRPr="00980134">
        <w:t>DXd</w:t>
      </w:r>
      <w:proofErr w:type="spellEnd"/>
      <w:r w:rsidR="00135060" w:rsidRPr="00980134">
        <w:t xml:space="preserve">. </w:t>
      </w:r>
      <w:r w:rsidR="00FE2DFB" w:rsidRPr="00980134">
        <w:rPr>
          <w:iCs/>
        </w:rPr>
        <w:t xml:space="preserve">The PBAC considered that it would be unlikely for a patient to receive </w:t>
      </w:r>
      <w:r w:rsidR="00FE2DFB" w:rsidRPr="00980134">
        <w:t>T</w:t>
      </w:r>
      <w:r w:rsidR="00FE2DFB" w:rsidRPr="00980134">
        <w:noBreakHyphen/>
      </w:r>
      <w:proofErr w:type="spellStart"/>
      <w:r w:rsidR="00FE2DFB" w:rsidRPr="00980134">
        <w:t>DXd</w:t>
      </w:r>
      <w:proofErr w:type="spellEnd"/>
      <w:r w:rsidR="00FE2DFB" w:rsidRPr="00980134">
        <w:rPr>
          <w:iCs/>
        </w:rPr>
        <w:t xml:space="preserve"> prior to endocrine therapy, as it is an effective and less toxic treatment option compared to T-</w:t>
      </w:r>
      <w:proofErr w:type="spellStart"/>
      <w:r w:rsidR="00FE2DFB" w:rsidRPr="00980134">
        <w:rPr>
          <w:iCs/>
        </w:rPr>
        <w:t>DXd</w:t>
      </w:r>
      <w:proofErr w:type="spellEnd"/>
      <w:r w:rsidR="00FE2DFB" w:rsidRPr="00980134">
        <w:rPr>
          <w:iCs/>
        </w:rPr>
        <w:t xml:space="preserve"> in the HR</w:t>
      </w:r>
      <w:r w:rsidR="00B75DB1" w:rsidRPr="00980134">
        <w:rPr>
          <w:iCs/>
        </w:rPr>
        <w:t xml:space="preserve"> positive</w:t>
      </w:r>
      <w:r w:rsidR="00FE2DFB" w:rsidRPr="00980134">
        <w:rPr>
          <w:iCs/>
        </w:rPr>
        <w:t xml:space="preserve"> </w:t>
      </w:r>
      <w:r w:rsidR="00B75DB1" w:rsidRPr="00980134">
        <w:rPr>
          <w:iCs/>
        </w:rPr>
        <w:t>metastatic breast cancer (</w:t>
      </w:r>
      <w:proofErr w:type="spellStart"/>
      <w:r w:rsidR="00B75DB1" w:rsidRPr="00980134">
        <w:rPr>
          <w:iCs/>
        </w:rPr>
        <w:t>mBC</w:t>
      </w:r>
      <w:proofErr w:type="spellEnd"/>
      <w:r w:rsidR="00B75DB1" w:rsidRPr="00980134">
        <w:rPr>
          <w:iCs/>
        </w:rPr>
        <w:t xml:space="preserve">) </w:t>
      </w:r>
      <w:r w:rsidR="00FE2DFB" w:rsidRPr="00980134">
        <w:rPr>
          <w:iCs/>
        </w:rPr>
        <w:t xml:space="preserve">BC setting. </w:t>
      </w:r>
    </w:p>
    <w:p w14:paraId="5D234915" w14:textId="41A83825" w:rsidR="00B9774B" w:rsidRPr="00980134" w:rsidRDefault="00EE5515" w:rsidP="009A26C6">
      <w:pPr>
        <w:pStyle w:val="3-BodyText"/>
        <w:rPr>
          <w:lang w:eastAsia="en-US"/>
        </w:rPr>
      </w:pPr>
      <w:r w:rsidRPr="00980134">
        <w:lastRenderedPageBreak/>
        <w:t xml:space="preserve">The current wording of the proposed PBS listing </w:t>
      </w:r>
      <w:r w:rsidR="003E5628" w:rsidRPr="00980134">
        <w:t>is consistent with the inclusion criteria</w:t>
      </w:r>
      <w:r w:rsidR="00B9774B" w:rsidRPr="00980134">
        <w:t xml:space="preserve"> of the key trial presented in the submission (DB-04)</w:t>
      </w:r>
      <w:r w:rsidR="003E5628" w:rsidRPr="00980134">
        <w:t>. However,</w:t>
      </w:r>
      <w:r w:rsidRPr="00980134">
        <w:t xml:space="preserve"> patients who have experienced disease progression during or within 6 months of completing adjuvant chemotherapy </w:t>
      </w:r>
      <w:r w:rsidR="00164FC1" w:rsidRPr="00980134">
        <w:t xml:space="preserve">would be able </w:t>
      </w:r>
      <w:r w:rsidRPr="00980134">
        <w:t>to receive T-</w:t>
      </w:r>
      <w:proofErr w:type="spellStart"/>
      <w:r w:rsidRPr="00980134">
        <w:t>DXd</w:t>
      </w:r>
      <w:proofErr w:type="spellEnd"/>
      <w:r w:rsidRPr="00980134">
        <w:t xml:space="preserve"> in the first line metastatic setting. </w:t>
      </w:r>
      <w:r w:rsidR="005732C4" w:rsidRPr="00980134">
        <w:t>Although this is consistent with the trial inclusion criteria</w:t>
      </w:r>
      <w:r w:rsidRPr="00980134">
        <w:t>, all patients in the DB-04 trial received at least one line of prior systemic therapy for metastatic disease and all, but two, patients received at least one line of prior chemotherapy.</w:t>
      </w:r>
    </w:p>
    <w:p w14:paraId="3D0B9D01" w14:textId="470670D4" w:rsidR="00342764" w:rsidRPr="00980134" w:rsidRDefault="00342764" w:rsidP="00342764">
      <w:pPr>
        <w:pStyle w:val="3-BodyText"/>
        <w:rPr>
          <w:lang w:eastAsia="en-US"/>
        </w:rPr>
      </w:pPr>
      <w:r w:rsidRPr="00980134">
        <w:rPr>
          <w:lang w:eastAsia="en-US"/>
        </w:rPr>
        <w:t xml:space="preserve">The submission proposed separate initial, continuing and grandfather treatment phases. There was no clear justification for separate phases and </w:t>
      </w:r>
      <w:r w:rsidR="00B9774B" w:rsidRPr="00980134">
        <w:rPr>
          <w:lang w:eastAsia="en-US"/>
        </w:rPr>
        <w:t xml:space="preserve">the Secretariat considered </w:t>
      </w:r>
      <w:r w:rsidRPr="00980134">
        <w:rPr>
          <w:lang w:eastAsia="en-US"/>
        </w:rPr>
        <w:t>a single restriction may be preferred, consistent with the recommended listing for T-</w:t>
      </w:r>
      <w:proofErr w:type="spellStart"/>
      <w:r w:rsidRPr="00980134">
        <w:rPr>
          <w:lang w:eastAsia="en-US"/>
        </w:rPr>
        <w:t>DXd</w:t>
      </w:r>
      <w:proofErr w:type="spellEnd"/>
      <w:r w:rsidRPr="00980134">
        <w:rPr>
          <w:lang w:eastAsia="en-US"/>
        </w:rPr>
        <w:t xml:space="preserve"> for HER2 positive breast cancer and with current restrictions for </w:t>
      </w:r>
      <w:r w:rsidR="00B9774B" w:rsidRPr="00980134">
        <w:rPr>
          <w:lang w:eastAsia="en-US"/>
        </w:rPr>
        <w:t>trastuzumab emtansine</w:t>
      </w:r>
      <w:r w:rsidRPr="00980134">
        <w:rPr>
          <w:lang w:eastAsia="en-US"/>
        </w:rPr>
        <w:t>.</w:t>
      </w:r>
    </w:p>
    <w:p w14:paraId="6A89EF8D" w14:textId="086C4D7A" w:rsidR="00342764" w:rsidRPr="00980134" w:rsidRDefault="00342764" w:rsidP="00342764">
      <w:pPr>
        <w:pStyle w:val="3-BodyText"/>
        <w:rPr>
          <w:lang w:eastAsia="en-US"/>
        </w:rPr>
      </w:pPr>
      <w:r w:rsidRPr="00980134">
        <w:rPr>
          <w:lang w:eastAsia="en-US"/>
        </w:rPr>
        <w:t xml:space="preserve">Patients with </w:t>
      </w:r>
      <w:r w:rsidR="0073682B" w:rsidRPr="00980134">
        <w:rPr>
          <w:lang w:eastAsia="en-US"/>
        </w:rPr>
        <w:t>l</w:t>
      </w:r>
      <w:r w:rsidRPr="00980134">
        <w:rPr>
          <w:lang w:eastAsia="en-US"/>
        </w:rPr>
        <w:t xml:space="preserve">eft </w:t>
      </w:r>
      <w:r w:rsidR="0073682B" w:rsidRPr="00980134">
        <w:rPr>
          <w:lang w:eastAsia="en-US"/>
        </w:rPr>
        <w:t>v</w:t>
      </w:r>
      <w:r w:rsidRPr="00980134">
        <w:rPr>
          <w:lang w:eastAsia="en-US"/>
        </w:rPr>
        <w:t xml:space="preserve">entricular </w:t>
      </w:r>
      <w:r w:rsidR="0073682B" w:rsidRPr="00980134">
        <w:rPr>
          <w:lang w:eastAsia="en-US"/>
        </w:rPr>
        <w:t>e</w:t>
      </w:r>
      <w:r w:rsidRPr="00980134">
        <w:rPr>
          <w:lang w:eastAsia="en-US"/>
        </w:rPr>
        <w:t xml:space="preserve">jection </w:t>
      </w:r>
      <w:r w:rsidR="0073682B" w:rsidRPr="00980134">
        <w:rPr>
          <w:lang w:eastAsia="en-US"/>
        </w:rPr>
        <w:t>f</w:t>
      </w:r>
      <w:r w:rsidRPr="00980134">
        <w:rPr>
          <w:lang w:eastAsia="en-US"/>
        </w:rPr>
        <w:t xml:space="preserve">raction (LVEF) of less than 50% within 28 days prior to randomisation were excluded from the DB-04 trial, however the proposed restriction excludes patients with LVEF less than 45%. The criteria regarding heart failure have been amended </w:t>
      </w:r>
      <w:r w:rsidR="00B9774B" w:rsidRPr="00980134">
        <w:rPr>
          <w:lang w:eastAsia="en-US"/>
        </w:rPr>
        <w:t xml:space="preserve">in the restriction above </w:t>
      </w:r>
      <w:r w:rsidRPr="00980134">
        <w:rPr>
          <w:lang w:eastAsia="en-US"/>
        </w:rPr>
        <w:t>to be consistent with the DB-04 trial and the recommended listing for T-</w:t>
      </w:r>
      <w:proofErr w:type="spellStart"/>
      <w:r w:rsidRPr="00980134">
        <w:rPr>
          <w:lang w:eastAsia="en-US"/>
        </w:rPr>
        <w:t>DXd</w:t>
      </w:r>
      <w:proofErr w:type="spellEnd"/>
      <w:r w:rsidRPr="00980134">
        <w:rPr>
          <w:lang w:eastAsia="en-US"/>
        </w:rPr>
        <w:t xml:space="preserve"> in HER2 positive breast cancer.</w:t>
      </w:r>
    </w:p>
    <w:p w14:paraId="64EA74DF" w14:textId="79F4A700" w:rsidR="00342764" w:rsidRPr="00980134" w:rsidRDefault="00342764" w:rsidP="00342764">
      <w:pPr>
        <w:pStyle w:val="3-BodyText"/>
        <w:rPr>
          <w:lang w:eastAsia="en-US"/>
        </w:rPr>
      </w:pPr>
      <w:r w:rsidRPr="00980134">
        <w:rPr>
          <w:lang w:eastAsia="en-US"/>
        </w:rPr>
        <w:t xml:space="preserve">The submission requested a grandfathering restriction for approximately </w:t>
      </w:r>
      <w:r w:rsidR="00FE50FC">
        <w:rPr>
          <w:lang w:eastAsia="en-US"/>
        </w:rPr>
        <w:t>&lt; 500</w:t>
      </w:r>
      <w:r w:rsidR="00FE50FC" w:rsidRPr="00980134">
        <w:rPr>
          <w:lang w:eastAsia="en-US"/>
        </w:rPr>
        <w:t xml:space="preserve"> </w:t>
      </w:r>
      <w:r w:rsidRPr="00980134">
        <w:rPr>
          <w:lang w:eastAsia="en-US"/>
        </w:rPr>
        <w:t>patients who will be enrolled in an early access (</w:t>
      </w:r>
      <w:r w:rsidR="005C413A">
        <w:rPr>
          <w:lang w:eastAsia="en-US"/>
        </w:rPr>
        <w:t>‘</w:t>
      </w:r>
      <w:r w:rsidR="00640308" w:rsidRPr="00D73924">
        <w:rPr>
          <w:color w:val="000000"/>
          <w:w w:val="15"/>
          <w:shd w:val="solid" w:color="000000" w:fill="000000"/>
          <w:fitText w:val="-20" w:id="-1032110077"/>
          <w:lang w:eastAsia="en-US"/>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7"/>
          <w:lang w:eastAsia="en-US"/>
          <w14:textFill>
            <w14:solidFill>
              <w14:srgbClr w14:val="000000">
                <w14:alpha w14:val="100000"/>
              </w14:srgbClr>
            </w14:solidFill>
          </w14:textFill>
        </w:rPr>
        <w:t>|</w:t>
      </w:r>
      <w:r w:rsidR="00640308">
        <w:rPr>
          <w:lang w:eastAsia="en-US"/>
        </w:rPr>
        <w:t xml:space="preserve"> </w:t>
      </w:r>
      <w:r w:rsidR="00640308" w:rsidRPr="00D73924">
        <w:rPr>
          <w:color w:val="000000"/>
          <w:w w:val="15"/>
          <w:shd w:val="solid" w:color="000000" w:fill="000000"/>
          <w:fitText w:val="-20" w:id="-1032110076"/>
          <w:lang w:eastAsia="en-US"/>
          <w14:textFill>
            <w14:solidFill>
              <w14:srgbClr w14:val="000000">
                <w14:alpha w14:val="100000"/>
              </w14:srgbClr>
            </w14:solidFill>
          </w14:textFill>
        </w:rPr>
        <w:t xml:space="preserve">| </w:t>
      </w:r>
      <w:r w:rsidR="00640308" w:rsidRPr="00D73924">
        <w:rPr>
          <w:color w:val="000000"/>
          <w:spacing w:val="-61"/>
          <w:w w:val="15"/>
          <w:shd w:val="solid" w:color="000000" w:fill="000000"/>
          <w:fitText w:val="-20" w:id="-1032110076"/>
          <w:lang w:eastAsia="en-US"/>
          <w14:textFill>
            <w14:solidFill>
              <w14:srgbClr w14:val="000000">
                <w14:alpha w14:val="100000"/>
              </w14:srgbClr>
            </w14:solidFill>
          </w14:textFill>
        </w:rPr>
        <w:t>|</w:t>
      </w:r>
      <w:r w:rsidR="005C413A">
        <w:rPr>
          <w:lang w:eastAsia="en-US"/>
        </w:rPr>
        <w:t>’</w:t>
      </w:r>
      <w:r w:rsidRPr="00980134">
        <w:rPr>
          <w:lang w:eastAsia="en-US"/>
        </w:rPr>
        <w:t xml:space="preserve">) program. </w:t>
      </w:r>
      <w:r w:rsidR="00B9774B" w:rsidRPr="00980134">
        <w:rPr>
          <w:lang w:eastAsia="en-US"/>
        </w:rPr>
        <w:t>T</w:t>
      </w:r>
      <w:r w:rsidRPr="00980134">
        <w:rPr>
          <w:lang w:eastAsia="en-US"/>
        </w:rPr>
        <w:t>he criteria</w:t>
      </w:r>
      <w:r w:rsidR="00B9774B" w:rsidRPr="00980134">
        <w:rPr>
          <w:lang w:eastAsia="en-US"/>
        </w:rPr>
        <w:t xml:space="preserve"> ha</w:t>
      </w:r>
      <w:r w:rsidR="009A26C6" w:rsidRPr="00980134">
        <w:rPr>
          <w:lang w:eastAsia="en-US"/>
        </w:rPr>
        <w:t>ve</w:t>
      </w:r>
      <w:r w:rsidR="00B9774B" w:rsidRPr="00980134">
        <w:rPr>
          <w:lang w:eastAsia="en-US"/>
        </w:rPr>
        <w:t xml:space="preserve"> been amended above</w:t>
      </w:r>
      <w:r w:rsidRPr="00980134">
        <w:rPr>
          <w:lang w:eastAsia="en-US"/>
        </w:rPr>
        <w:t xml:space="preserve"> such that a separate restriction for these patients is not required. </w:t>
      </w:r>
    </w:p>
    <w:p w14:paraId="15F8F01F" w14:textId="30AD3B70" w:rsidR="00342764" w:rsidRPr="00980134" w:rsidRDefault="00342764" w:rsidP="00342764">
      <w:pPr>
        <w:pStyle w:val="3-BodyText"/>
        <w:rPr>
          <w:lang w:eastAsia="en-US"/>
        </w:rPr>
      </w:pPr>
      <w:bookmarkStart w:id="18" w:name="_Ref152240704"/>
      <w:r w:rsidRPr="00980134">
        <w:rPr>
          <w:lang w:eastAsia="en-US"/>
        </w:rPr>
        <w:t>The PBS listing for SG and the proposed listing for T-</w:t>
      </w:r>
      <w:proofErr w:type="spellStart"/>
      <w:r w:rsidRPr="00980134">
        <w:rPr>
          <w:lang w:eastAsia="en-US"/>
        </w:rPr>
        <w:t>DXd</w:t>
      </w:r>
      <w:proofErr w:type="spellEnd"/>
      <w:r w:rsidRPr="00980134">
        <w:rPr>
          <w:lang w:eastAsia="en-US"/>
        </w:rPr>
        <w:t xml:space="preserve"> do not exclude the possibility of sequential usage of the two drugs, although there is little evidence to support the sequential use of T-</w:t>
      </w:r>
      <w:proofErr w:type="spellStart"/>
      <w:r w:rsidRPr="00980134">
        <w:rPr>
          <w:lang w:eastAsia="en-US"/>
        </w:rPr>
        <w:t>DXd</w:t>
      </w:r>
      <w:proofErr w:type="spellEnd"/>
      <w:r w:rsidRPr="00980134">
        <w:rPr>
          <w:lang w:eastAsia="en-US"/>
        </w:rPr>
        <w:t xml:space="preserve"> and SG in either order. There is also some evidence of development of cross-resistance between the two drugs due to the similar mechanism of action. </w:t>
      </w:r>
      <w:r w:rsidR="009A26C6" w:rsidRPr="00980134">
        <w:rPr>
          <w:lang w:eastAsia="en-US"/>
        </w:rPr>
        <w:t>The PBAC considered that there was insufficient evidence to determine whether or not sequential use is likely to be effective.</w:t>
      </w:r>
      <w:bookmarkEnd w:id="18"/>
      <w:r w:rsidR="00AE07FF" w:rsidRPr="00980134">
        <w:rPr>
          <w:lang w:eastAsia="en-US"/>
        </w:rPr>
        <w:t xml:space="preserve"> </w:t>
      </w:r>
    </w:p>
    <w:p w14:paraId="2F26074F" w14:textId="1DE56D98" w:rsidR="00632BA7" w:rsidRPr="00980134" w:rsidRDefault="00632BA7" w:rsidP="00632BA7">
      <w:pPr>
        <w:pStyle w:val="3-BodyText"/>
        <w:numPr>
          <w:ilvl w:val="0"/>
          <w:numId w:val="0"/>
        </w:numPr>
        <w:ind w:left="720"/>
        <w:rPr>
          <w:i/>
          <w:iCs/>
          <w:lang w:eastAsia="en-US"/>
        </w:rPr>
      </w:pPr>
      <w:r w:rsidRPr="00980134">
        <w:rPr>
          <w:i/>
          <w:iCs/>
          <w:lang w:eastAsia="en-US"/>
        </w:rPr>
        <w:t>For more detail on PBAC’s view, see section 7 PBAC outcome.</w:t>
      </w:r>
    </w:p>
    <w:p w14:paraId="445218AA" w14:textId="77777777" w:rsidR="00EE5515" w:rsidRPr="00980134" w:rsidDel="00195452" w:rsidRDefault="00EE5515" w:rsidP="00EE5515">
      <w:pPr>
        <w:pStyle w:val="2-SectionHeading"/>
      </w:pPr>
      <w:bookmarkStart w:id="19" w:name="_Toc142092383"/>
      <w:bookmarkStart w:id="20" w:name="_Toc142576839"/>
      <w:bookmarkStart w:id="21" w:name="_Toc145452634"/>
      <w:r w:rsidRPr="00980134" w:rsidDel="00195452">
        <w:t>Population and disease</w:t>
      </w:r>
      <w:bookmarkEnd w:id="19"/>
      <w:bookmarkEnd w:id="20"/>
      <w:bookmarkEnd w:id="21"/>
    </w:p>
    <w:p w14:paraId="1C8911AB" w14:textId="04CD6AF3" w:rsidR="00EE5515" w:rsidRPr="00980134" w:rsidRDefault="00EE5515" w:rsidP="00EE5515">
      <w:pPr>
        <w:pStyle w:val="3-BodyText"/>
        <w:rPr>
          <w:color w:val="0066FF"/>
        </w:rPr>
      </w:pPr>
      <w:r w:rsidRPr="00980134">
        <w:rPr>
          <w:rFonts w:cs="Calibri"/>
        </w:rPr>
        <w:t>Breast cancer is the second most diagnosed cancer in Australia with an estimated 20,640 new cases in 2022</w:t>
      </w:r>
      <w:r w:rsidRPr="00980134">
        <w:rPr>
          <w:rStyle w:val="FootnoteReference"/>
          <w:rFonts w:cs="Calibri"/>
        </w:rPr>
        <w:footnoteReference w:id="2"/>
      </w:r>
      <w:r w:rsidRPr="00980134">
        <w:rPr>
          <w:rFonts w:cs="Calibri"/>
        </w:rPr>
        <w:t>. It is also the second leading cause of mortality among women in Australia, with 3,214 deaths in 2022</w:t>
      </w:r>
      <w:r w:rsidRPr="00980134">
        <w:rPr>
          <w:rStyle w:val="FootnoteReference"/>
          <w:rFonts w:cs="Calibri"/>
        </w:rPr>
        <w:footnoteReference w:id="3"/>
      </w:r>
      <w:r w:rsidRPr="00980134">
        <w:rPr>
          <w:rFonts w:cs="Calibri"/>
        </w:rPr>
        <w:t xml:space="preserve">. Metastatic breast cancer is considered non-curable and the purpose of treatment in this setting is to </w:t>
      </w:r>
      <w:r w:rsidR="00687237" w:rsidRPr="00980134">
        <w:rPr>
          <w:rFonts w:cs="Calibri"/>
        </w:rPr>
        <w:t xml:space="preserve">extend </w:t>
      </w:r>
      <w:r w:rsidRPr="00980134">
        <w:rPr>
          <w:rFonts w:cs="Calibri"/>
        </w:rPr>
        <w:t xml:space="preserve">survival and </w:t>
      </w:r>
      <w:r w:rsidR="00687237" w:rsidRPr="00980134">
        <w:rPr>
          <w:rFonts w:cs="Calibri"/>
        </w:rPr>
        <w:t xml:space="preserve">maintain </w:t>
      </w:r>
      <w:r w:rsidRPr="00980134">
        <w:rPr>
          <w:rFonts w:cs="Calibri"/>
        </w:rPr>
        <w:t>quality of life</w:t>
      </w:r>
      <w:r w:rsidR="00B75DB1" w:rsidRPr="00980134">
        <w:rPr>
          <w:rFonts w:cs="Calibri"/>
        </w:rPr>
        <w:t>.</w:t>
      </w:r>
    </w:p>
    <w:p w14:paraId="5177A16A" w14:textId="77777777" w:rsidR="00EE5515" w:rsidRPr="00980134" w:rsidRDefault="00EE5515" w:rsidP="00EE5515">
      <w:pPr>
        <w:pStyle w:val="3-BodyText"/>
        <w:rPr>
          <w:color w:val="0066FF"/>
        </w:rPr>
      </w:pPr>
      <w:r w:rsidRPr="00980134">
        <w:rPr>
          <w:rFonts w:cs="Calibri"/>
        </w:rPr>
        <w:lastRenderedPageBreak/>
        <w:t>HER2 is a receptor tyrosine kinase protein that is over-expressed in 15%-30% of breast cancers</w:t>
      </w:r>
      <w:r w:rsidRPr="00980134">
        <w:rPr>
          <w:rStyle w:val="FootnoteReference"/>
          <w:rFonts w:cs="Calibri"/>
        </w:rPr>
        <w:footnoteReference w:id="4"/>
      </w:r>
      <w:r w:rsidRPr="00980134">
        <w:rPr>
          <w:rFonts w:cs="Calibri"/>
        </w:rPr>
        <w:t>. The over-expression promotes cell proliferation and prevents apoptosis and is strongly associated with an increased risk of disease recurrence and poor prognosis</w:t>
      </w:r>
      <w:r w:rsidRPr="00980134">
        <w:rPr>
          <w:rStyle w:val="FootnoteReference"/>
          <w:rFonts w:cs="Calibri"/>
        </w:rPr>
        <w:footnoteReference w:id="5"/>
      </w:r>
      <w:r w:rsidRPr="00980134">
        <w:rPr>
          <w:rFonts w:cs="Calibri"/>
        </w:rPr>
        <w:t>. However, the presence of HER2 on cancer cells also provides a target for targeted therapies</w:t>
      </w:r>
      <w:r w:rsidRPr="00980134">
        <w:rPr>
          <w:rStyle w:val="FootnoteReference"/>
          <w:rFonts w:cs="Calibri"/>
        </w:rPr>
        <w:footnoteReference w:id="6"/>
      </w:r>
      <w:r w:rsidRPr="00980134">
        <w:rPr>
          <w:rFonts w:cs="Calibri"/>
        </w:rPr>
        <w:t>. HER2 low breast cancer is a newly defined subset of breast cancer that has a HER2 IHC score of 1+ or 2+/a negative ISH phenotype</w:t>
      </w:r>
      <w:r w:rsidRPr="00980134">
        <w:rPr>
          <w:rStyle w:val="FootnoteReference"/>
          <w:rFonts w:cs="Calibri"/>
        </w:rPr>
        <w:footnoteReference w:id="7"/>
      </w:r>
      <w:r w:rsidRPr="00980134">
        <w:rPr>
          <w:rFonts w:cs="Calibri"/>
        </w:rPr>
        <w:t>. Cancers with these IHC/ISH scores would traditionally be defined as HER2 negative and treated as such. HER2 low breast cancer is still not well characterised clinically and pathologically, however recent evidence suggests this level of expression of HER2 is still a viable target for pharmacological therapy</w:t>
      </w:r>
      <w:r w:rsidRPr="00980134">
        <w:rPr>
          <w:rFonts w:cs="Calibri"/>
          <w:vertAlign w:val="superscript"/>
        </w:rPr>
        <w:t>7</w:t>
      </w:r>
      <w:r w:rsidRPr="00980134">
        <w:rPr>
          <w:rFonts w:cs="Calibri"/>
        </w:rPr>
        <w:t>. It should be noted that the American Society of Clinical Oncology-College of American Pathologists (ASCO-CAP) does not currently recognise HER2 low as a separate category. The 2023 ASCO-CAP HER2 testing guidelines acknowledge the new category of HER2 low, and stated that it is clinically relevant, but decided that it was premature to create a new results category for HER2 expression due to the limited available evidence</w:t>
      </w:r>
      <w:r w:rsidRPr="00980134">
        <w:rPr>
          <w:rStyle w:val="FootnoteReference"/>
          <w:rFonts w:cs="Calibri"/>
        </w:rPr>
        <w:footnoteReference w:id="8"/>
      </w:r>
      <w:r w:rsidRPr="00980134">
        <w:rPr>
          <w:rFonts w:cs="Calibri"/>
        </w:rPr>
        <w:t>.</w:t>
      </w:r>
    </w:p>
    <w:p w14:paraId="7578469B" w14:textId="77777777" w:rsidR="00EE5515" w:rsidRPr="00980134" w:rsidRDefault="00EE5515" w:rsidP="00EE5515">
      <w:pPr>
        <w:pStyle w:val="3-BodyText"/>
      </w:pPr>
      <w:r w:rsidRPr="00980134">
        <w:t>HR positive breast cancer cells express either estrogen receptors (ER), progesterone receptors (PR), or both. The hormone receptors provide a target for pharmacological intervention and endocrine therapy such as tamoxifen can vastly reduce breast cancer mortality in ER+ cancers</w:t>
      </w:r>
      <w:r w:rsidRPr="00980134">
        <w:rPr>
          <w:rStyle w:val="FootnoteReference"/>
        </w:rPr>
        <w:footnoteReference w:id="9"/>
      </w:r>
      <w:r w:rsidRPr="00980134">
        <w:t>.</w:t>
      </w:r>
    </w:p>
    <w:p w14:paraId="2239A61E" w14:textId="0C37B317" w:rsidR="00EE5515" w:rsidRPr="00980134" w:rsidRDefault="00EE5515" w:rsidP="00EE5515">
      <w:pPr>
        <w:pStyle w:val="3-BodyText"/>
      </w:pPr>
      <w:r w:rsidRPr="00980134">
        <w:t xml:space="preserve">In the treatment algorithm for HR positive/HER2 low </w:t>
      </w:r>
      <w:proofErr w:type="spellStart"/>
      <w:r w:rsidRPr="00980134">
        <w:t>uBC</w:t>
      </w:r>
      <w:proofErr w:type="spellEnd"/>
      <w:r w:rsidRPr="00980134">
        <w:t xml:space="preserve"> or </w:t>
      </w:r>
      <w:proofErr w:type="spellStart"/>
      <w:r w:rsidRPr="00980134">
        <w:t>mBC</w:t>
      </w:r>
      <w:proofErr w:type="spellEnd"/>
      <w:r w:rsidRPr="00980134">
        <w:t>, T-</w:t>
      </w:r>
      <w:proofErr w:type="spellStart"/>
      <w:r w:rsidRPr="00980134">
        <w:t>DXd</w:t>
      </w:r>
      <w:proofErr w:type="spellEnd"/>
      <w:r w:rsidRPr="00980134">
        <w:t xml:space="preserve"> would be placed in the third line setting, after ET ± CDK4/6 inhibitors ± targeted therapies</w:t>
      </w:r>
      <w:r w:rsidR="009B08FF" w:rsidRPr="00980134">
        <w:t xml:space="preserve"> (</w:t>
      </w:r>
      <w:proofErr w:type="spellStart"/>
      <w:r w:rsidR="009B08FF" w:rsidRPr="00980134">
        <w:t>everolimus</w:t>
      </w:r>
      <w:proofErr w:type="spellEnd"/>
      <w:r w:rsidR="009B08FF" w:rsidRPr="00980134">
        <w:t>)</w:t>
      </w:r>
      <w:r w:rsidRPr="00980134">
        <w:t xml:space="preserve"> and at least one line of chemotherapy. It could also potentially be used as a second line treatment in HR positive/HER2 low patients who are not eligible for ET or as a first line treatment </w:t>
      </w:r>
      <w:r w:rsidR="001D421D" w:rsidRPr="00980134">
        <w:t xml:space="preserve">(in the unresectable/metastatic setting) </w:t>
      </w:r>
      <w:r w:rsidRPr="00980134">
        <w:t>for patients who have experienced disease progression during or within 6 months of receiving adjuvant chemotherapy.</w:t>
      </w:r>
    </w:p>
    <w:p w14:paraId="18A67F7A" w14:textId="65A40497" w:rsidR="00EE5515" w:rsidRPr="00980134" w:rsidRDefault="00EE5515" w:rsidP="00EE5515">
      <w:pPr>
        <w:pStyle w:val="3-BodyText"/>
      </w:pPr>
      <w:r w:rsidRPr="00980134">
        <w:t xml:space="preserve">In patients with HR negative/HER2 low </w:t>
      </w:r>
      <w:proofErr w:type="spellStart"/>
      <w:r w:rsidRPr="00980134">
        <w:t>uBC</w:t>
      </w:r>
      <w:proofErr w:type="spellEnd"/>
      <w:r w:rsidRPr="00980134">
        <w:t xml:space="preserve"> or </w:t>
      </w:r>
      <w:proofErr w:type="spellStart"/>
      <w:r w:rsidRPr="00980134">
        <w:t>mBC</w:t>
      </w:r>
      <w:proofErr w:type="spellEnd"/>
      <w:r w:rsidRPr="00980134">
        <w:t>, T-</w:t>
      </w:r>
      <w:proofErr w:type="spellStart"/>
      <w:r w:rsidRPr="00980134">
        <w:t>DXd</w:t>
      </w:r>
      <w:proofErr w:type="spellEnd"/>
      <w:r w:rsidRPr="00980134">
        <w:t xml:space="preserve"> can be used as a second or third line treatment after one or two lines of chemotherapy or one line of chemotherapy and SG in the second line</w:t>
      </w:r>
      <w:r w:rsidR="00302751" w:rsidRPr="00980134">
        <w:t xml:space="preserve"> (see also paragraph </w:t>
      </w:r>
      <w:r w:rsidR="00302751" w:rsidRPr="00980134">
        <w:fldChar w:fldCharType="begin" w:fldLock="1"/>
      </w:r>
      <w:r w:rsidR="00302751" w:rsidRPr="00980134">
        <w:instrText xml:space="preserve"> REF _Ref152240704 \r \h </w:instrText>
      </w:r>
      <w:r w:rsidR="00302751" w:rsidRPr="00980134">
        <w:fldChar w:fldCharType="separate"/>
      </w:r>
      <w:r w:rsidR="00DF66B3">
        <w:t>3.8</w:t>
      </w:r>
      <w:r w:rsidR="00302751" w:rsidRPr="00980134">
        <w:fldChar w:fldCharType="end"/>
      </w:r>
      <w:r w:rsidR="00302751" w:rsidRPr="00980134">
        <w:t xml:space="preserve"> regarding sequential use of SG and T-</w:t>
      </w:r>
      <w:proofErr w:type="spellStart"/>
      <w:r w:rsidR="00302751" w:rsidRPr="00980134">
        <w:t>DXd</w:t>
      </w:r>
      <w:proofErr w:type="spellEnd"/>
      <w:r w:rsidR="00302751" w:rsidRPr="00980134">
        <w:t>)</w:t>
      </w:r>
      <w:r w:rsidRPr="00980134">
        <w:t>.</w:t>
      </w:r>
      <w:r w:rsidR="0091515D" w:rsidRPr="00980134">
        <w:t xml:space="preserve"> </w:t>
      </w:r>
      <w:r w:rsidR="009B08FF" w:rsidRPr="00980134">
        <w:t>P</w:t>
      </w:r>
      <w:r w:rsidR="0091515D" w:rsidRPr="00980134">
        <w:t xml:space="preserve">embrolizumab was recommended at the March 2023 PBAC meeting for first line use in metastatic TNBC with PD-L1 expression (para 7.1, pembrolizumab </w:t>
      </w:r>
      <w:r w:rsidR="00A038ED">
        <w:t>P</w:t>
      </w:r>
      <w:r w:rsidR="00A038ED" w:rsidRPr="00980134">
        <w:t xml:space="preserve">ublic </w:t>
      </w:r>
      <w:r w:rsidR="00A038ED">
        <w:t>S</w:t>
      </w:r>
      <w:r w:rsidR="00A038ED" w:rsidRPr="00980134">
        <w:t xml:space="preserve">ummary </w:t>
      </w:r>
      <w:r w:rsidR="00A038ED">
        <w:t>D</w:t>
      </w:r>
      <w:r w:rsidR="00A038ED" w:rsidRPr="00980134">
        <w:t xml:space="preserve">ocument </w:t>
      </w:r>
      <w:r w:rsidR="00687237" w:rsidRPr="00980134">
        <w:t>(PSD)</w:t>
      </w:r>
      <w:r w:rsidR="0091515D" w:rsidRPr="00980134">
        <w:t xml:space="preserve">, </w:t>
      </w:r>
      <w:r w:rsidR="00BB0250" w:rsidRPr="00980134">
        <w:t>March</w:t>
      </w:r>
      <w:r w:rsidR="00BB0250">
        <w:t> </w:t>
      </w:r>
      <w:r w:rsidR="0091515D" w:rsidRPr="00980134">
        <w:t>2023 PBAC meeting)</w:t>
      </w:r>
      <w:r w:rsidR="009B08FF" w:rsidRPr="00980134">
        <w:t xml:space="preserve"> and is </w:t>
      </w:r>
      <w:r w:rsidR="009B08FF" w:rsidRPr="00980134">
        <w:lastRenderedPageBreak/>
        <w:t xml:space="preserve">not included in the presented </w:t>
      </w:r>
      <w:r w:rsidR="003E5628" w:rsidRPr="00980134">
        <w:t xml:space="preserve">clinical management </w:t>
      </w:r>
      <w:r w:rsidR="009B08FF" w:rsidRPr="00980134">
        <w:t>algorithms</w:t>
      </w:r>
      <w:r w:rsidR="0091515D" w:rsidRPr="00980134">
        <w:t>.</w:t>
      </w:r>
      <w:r w:rsidR="009B08FF" w:rsidRPr="00980134">
        <w:t xml:space="preserve"> As pembrolizumab is restricted to the first line metastatic setting in combination with chemotherapy, it </w:t>
      </w:r>
      <w:r w:rsidR="00302751" w:rsidRPr="00980134">
        <w:t>would not be replaced by use of T-</w:t>
      </w:r>
      <w:proofErr w:type="spellStart"/>
      <w:r w:rsidR="00302751" w:rsidRPr="00980134">
        <w:t>DXd</w:t>
      </w:r>
      <w:proofErr w:type="spellEnd"/>
      <w:r w:rsidR="00302751" w:rsidRPr="00980134">
        <w:t>, which would be used in a later line</w:t>
      </w:r>
      <w:r w:rsidR="009B08FF" w:rsidRPr="00980134">
        <w:t>.</w:t>
      </w:r>
      <w:r w:rsidR="00647451" w:rsidRPr="00980134">
        <w:t xml:space="preserve"> </w:t>
      </w:r>
      <w:r w:rsidR="004F3D0D" w:rsidRPr="00980134">
        <w:t>T</w:t>
      </w:r>
      <w:r w:rsidR="009B08FF" w:rsidRPr="00980134">
        <w:t>he SG and T-</w:t>
      </w:r>
      <w:proofErr w:type="spellStart"/>
      <w:r w:rsidR="009B08FF" w:rsidRPr="00980134">
        <w:t>DXd</w:t>
      </w:r>
      <w:proofErr w:type="spellEnd"/>
      <w:r w:rsidR="009B08FF" w:rsidRPr="00980134">
        <w:t xml:space="preserve"> listings do not exclude prior use of pembrolizumab</w:t>
      </w:r>
      <w:r w:rsidR="004F3D0D" w:rsidRPr="00980134">
        <w:t>, however few patients (2-4%) in the key trial for T-</w:t>
      </w:r>
      <w:proofErr w:type="spellStart"/>
      <w:r w:rsidR="004F3D0D" w:rsidRPr="00980134">
        <w:t>DXd</w:t>
      </w:r>
      <w:proofErr w:type="spellEnd"/>
      <w:r w:rsidR="004F3D0D" w:rsidRPr="00980134">
        <w:t xml:space="preserve"> (DB-04) were treated with pembrolizumab</w:t>
      </w:r>
      <w:r w:rsidR="009B08FF" w:rsidRPr="00980134">
        <w:t xml:space="preserve">. </w:t>
      </w:r>
    </w:p>
    <w:p w14:paraId="12577CE1" w14:textId="169CEB40" w:rsidR="00694697" w:rsidRPr="00980134" w:rsidDel="00195452" w:rsidRDefault="00694697" w:rsidP="00EE5515">
      <w:pPr>
        <w:pStyle w:val="3-BodyText"/>
      </w:pPr>
      <w:r w:rsidRPr="00980134">
        <w:t>The pre-PBAC response stated that the 2023 ESMO expert consensus statement on the management of HER2 low breast cancer</w:t>
      </w:r>
      <w:r w:rsidR="00A410F3" w:rsidRPr="00980134">
        <w:rPr>
          <w:rStyle w:val="FootnoteReference"/>
        </w:rPr>
        <w:footnoteReference w:id="10"/>
      </w:r>
      <w:r w:rsidRPr="00980134">
        <w:t xml:space="preserve"> suggests that when available, both SG and T-</w:t>
      </w:r>
      <w:proofErr w:type="spellStart"/>
      <w:r w:rsidRPr="00980134">
        <w:t>DXd</w:t>
      </w:r>
      <w:proofErr w:type="spellEnd"/>
      <w:r w:rsidRPr="00980134">
        <w:t xml:space="preserve"> </w:t>
      </w:r>
      <w:r w:rsidR="002969CF" w:rsidRPr="00980134">
        <w:t xml:space="preserve">may </w:t>
      </w:r>
      <w:r w:rsidRPr="00980134">
        <w:t>be used sequentially, with a recommendation that T-</w:t>
      </w:r>
      <w:proofErr w:type="spellStart"/>
      <w:r w:rsidRPr="00980134">
        <w:t>DXd</w:t>
      </w:r>
      <w:proofErr w:type="spellEnd"/>
      <w:r w:rsidRPr="00980134">
        <w:t xml:space="preserve"> be sequenced ahead of SG in HR positive disease, and SG ahead of T-</w:t>
      </w:r>
      <w:proofErr w:type="spellStart"/>
      <w:r w:rsidRPr="00980134">
        <w:t>DXd</w:t>
      </w:r>
      <w:proofErr w:type="spellEnd"/>
      <w:r w:rsidRPr="00980134">
        <w:t xml:space="preserve"> in HR negative disease</w:t>
      </w:r>
      <w:r w:rsidR="004F3D0D" w:rsidRPr="00980134">
        <w:t>.</w:t>
      </w:r>
      <w:r w:rsidR="002969CF" w:rsidRPr="00980134">
        <w:t xml:space="preserve"> The PBAC noted that the consensus statement recommends that if both SG and T-</w:t>
      </w:r>
      <w:proofErr w:type="spellStart"/>
      <w:r w:rsidR="002969CF" w:rsidRPr="00980134">
        <w:t>DXd</w:t>
      </w:r>
      <w:proofErr w:type="spellEnd"/>
      <w:r w:rsidR="002969CF" w:rsidRPr="00980134">
        <w:t xml:space="preserve"> are available options, T-</w:t>
      </w:r>
      <w:proofErr w:type="spellStart"/>
      <w:r w:rsidR="002969CF" w:rsidRPr="00980134">
        <w:t>DXd</w:t>
      </w:r>
      <w:proofErr w:type="spellEnd"/>
      <w:r w:rsidR="002969CF" w:rsidRPr="00980134">
        <w:t xml:space="preserve"> should be prioritised </w:t>
      </w:r>
      <w:r w:rsidR="00B75DB1" w:rsidRPr="00980134">
        <w:t xml:space="preserve">for the HR positive population </w:t>
      </w:r>
      <w:r w:rsidR="002969CF" w:rsidRPr="00980134">
        <w:t>as it was studied in a less pre-treated population. In HR negative patients SG should be considered first as the evidence in this population is more robust.</w:t>
      </w:r>
    </w:p>
    <w:p w14:paraId="46753619" w14:textId="5284E795" w:rsidR="00EE5515" w:rsidRPr="00980134" w:rsidDel="00195452" w:rsidRDefault="00EE5515" w:rsidP="00EE5515">
      <w:pPr>
        <w:pStyle w:val="3-BodyText"/>
      </w:pPr>
      <w:r w:rsidRPr="00980134">
        <w:t xml:space="preserve">Trastuzumab </w:t>
      </w:r>
      <w:proofErr w:type="spellStart"/>
      <w:r w:rsidRPr="00980134">
        <w:t>deruxtecan</w:t>
      </w:r>
      <w:proofErr w:type="spellEnd"/>
      <w:r w:rsidRPr="00980134">
        <w:t xml:space="preserve"> is a HER2 targeted antibody-drug conjugate. </w:t>
      </w:r>
      <w:r w:rsidR="00632BA7" w:rsidRPr="00980134">
        <w:t>Trastuzumab, a</w:t>
      </w:r>
      <w:r w:rsidRPr="00980134">
        <w:t>n anti-HER2 antibody</w:t>
      </w:r>
      <w:r w:rsidR="00632BA7" w:rsidRPr="00980134">
        <w:t>,</w:t>
      </w:r>
      <w:r w:rsidRPr="00980134">
        <w:t xml:space="preserve"> is linked to the topoisomerase I inhibitor, </w:t>
      </w:r>
      <w:proofErr w:type="spellStart"/>
      <w:r w:rsidR="00687237" w:rsidRPr="00980134">
        <w:t>deruxtecan</w:t>
      </w:r>
      <w:proofErr w:type="spellEnd"/>
      <w:r w:rsidR="00687237" w:rsidRPr="00980134">
        <w:t xml:space="preserve"> (</w:t>
      </w:r>
      <w:proofErr w:type="spellStart"/>
      <w:r w:rsidRPr="00980134">
        <w:t>DXd</w:t>
      </w:r>
      <w:proofErr w:type="spellEnd"/>
      <w:r w:rsidR="00687237" w:rsidRPr="00980134">
        <w:t>)</w:t>
      </w:r>
      <w:r w:rsidRPr="00980134">
        <w:rPr>
          <w:rStyle w:val="FootnoteReference"/>
        </w:rPr>
        <w:footnoteReference w:id="11"/>
      </w:r>
      <w:r w:rsidRPr="00980134">
        <w:t>. Topoisomerase I is an enzyme that plays a role in changing the topological state of DNA during replication</w:t>
      </w:r>
      <w:r w:rsidRPr="00980134">
        <w:rPr>
          <w:rStyle w:val="FootnoteReference"/>
        </w:rPr>
        <w:footnoteReference w:id="12"/>
      </w:r>
      <w:r w:rsidRPr="00980134">
        <w:t xml:space="preserve">. By inhibiting this enzyme, </w:t>
      </w:r>
      <w:proofErr w:type="spellStart"/>
      <w:r w:rsidRPr="00980134">
        <w:t>DXd</w:t>
      </w:r>
      <w:proofErr w:type="spellEnd"/>
      <w:r w:rsidRPr="00980134">
        <w:t xml:space="preserve"> can prevent cellular replication. By combining these two molecules, </w:t>
      </w:r>
      <w:r w:rsidR="00632BA7" w:rsidRPr="00980134">
        <w:t>T-</w:t>
      </w:r>
      <w:proofErr w:type="spellStart"/>
      <w:r w:rsidRPr="00980134">
        <w:t>DXd</w:t>
      </w:r>
      <w:proofErr w:type="spellEnd"/>
      <w:r w:rsidRPr="00980134">
        <w:t xml:space="preserve"> can be delivered to cells expressing HER2. In cancers that express HER2, this allows efficient delivery of the cytotoxic payload with the aim of minimising systemic exposure and toxicity</w:t>
      </w:r>
      <w:r w:rsidR="009333A4" w:rsidRPr="00980134">
        <w:t xml:space="preserve">. </w:t>
      </w:r>
    </w:p>
    <w:p w14:paraId="19A94190" w14:textId="77777777" w:rsidR="00EE5515" w:rsidRPr="00980134" w:rsidRDefault="00EE5515" w:rsidP="00EE5515">
      <w:pPr>
        <w:pStyle w:val="2-SectionHeading"/>
      </w:pPr>
      <w:bookmarkStart w:id="22" w:name="_Toc142092384"/>
      <w:bookmarkStart w:id="23" w:name="_Toc142576840"/>
      <w:bookmarkStart w:id="24" w:name="_Toc145452635"/>
      <w:bookmarkStart w:id="25" w:name="_Toc22897640"/>
      <w:r w:rsidRPr="00980134">
        <w:t>Comparator</w:t>
      </w:r>
      <w:bookmarkEnd w:id="22"/>
      <w:bookmarkEnd w:id="23"/>
      <w:bookmarkEnd w:id="24"/>
    </w:p>
    <w:p w14:paraId="0D44FB0C" w14:textId="37E5ED1F" w:rsidR="00EE5515" w:rsidRPr="00980134" w:rsidRDefault="00EE5515" w:rsidP="00EE5515">
      <w:pPr>
        <w:pStyle w:val="3-BodyText"/>
        <w:rPr>
          <w:snapToGrid/>
        </w:rPr>
      </w:pPr>
      <w:r w:rsidRPr="00980134">
        <w:rPr>
          <w:snapToGrid/>
        </w:rPr>
        <w:t xml:space="preserve">The submission nominated TPC (comprising capecitabine, gemcitabine, </w:t>
      </w:r>
      <w:proofErr w:type="spellStart"/>
      <w:r w:rsidRPr="00980134">
        <w:rPr>
          <w:snapToGrid/>
        </w:rPr>
        <w:t>eribulin</w:t>
      </w:r>
      <w:proofErr w:type="spellEnd"/>
      <w:r w:rsidRPr="00980134">
        <w:rPr>
          <w:snapToGrid/>
        </w:rPr>
        <w:t>, nab-paclitaxel, or paclitaxel) as the main comparator</w:t>
      </w:r>
      <w:r w:rsidR="0057335F" w:rsidRPr="00980134">
        <w:rPr>
          <w:snapToGrid/>
        </w:rPr>
        <w:t xml:space="preserve"> for HR positive/HER2 low patients and SG as the </w:t>
      </w:r>
      <w:r w:rsidR="00797377" w:rsidRPr="00980134">
        <w:rPr>
          <w:snapToGrid/>
        </w:rPr>
        <w:t xml:space="preserve">main </w:t>
      </w:r>
      <w:r w:rsidR="0057335F" w:rsidRPr="00980134">
        <w:rPr>
          <w:snapToGrid/>
        </w:rPr>
        <w:t>comparator for HR negative/HER2 low patients</w:t>
      </w:r>
      <w:r w:rsidRPr="00980134">
        <w:rPr>
          <w:snapToGrid/>
        </w:rPr>
        <w:t>. The main argument provided in support of</w:t>
      </w:r>
      <w:r w:rsidR="00797377" w:rsidRPr="00980134">
        <w:rPr>
          <w:snapToGrid/>
        </w:rPr>
        <w:t xml:space="preserve"> the</w:t>
      </w:r>
      <w:r w:rsidRPr="00980134">
        <w:rPr>
          <w:snapToGrid/>
        </w:rPr>
        <w:t xml:space="preserve"> nomination</w:t>
      </w:r>
      <w:r w:rsidR="00797377" w:rsidRPr="00980134">
        <w:rPr>
          <w:snapToGrid/>
        </w:rPr>
        <w:t xml:space="preserve"> in the HR positive/HER2 low population</w:t>
      </w:r>
      <w:r w:rsidRPr="00980134">
        <w:rPr>
          <w:snapToGrid/>
        </w:rPr>
        <w:t xml:space="preserve"> was that chemotherapy is the standard treatment option for HR positive patients with HER2 low </w:t>
      </w:r>
      <w:proofErr w:type="spellStart"/>
      <w:r w:rsidRPr="00980134">
        <w:rPr>
          <w:snapToGrid/>
        </w:rPr>
        <w:t>uBC</w:t>
      </w:r>
      <w:proofErr w:type="spellEnd"/>
      <w:r w:rsidRPr="00980134">
        <w:rPr>
          <w:snapToGrid/>
        </w:rPr>
        <w:t xml:space="preserve"> and/or </w:t>
      </w:r>
      <w:proofErr w:type="spellStart"/>
      <w:r w:rsidRPr="00980134">
        <w:rPr>
          <w:snapToGrid/>
        </w:rPr>
        <w:t>mBC</w:t>
      </w:r>
      <w:proofErr w:type="spellEnd"/>
      <w:r w:rsidRPr="00980134">
        <w:rPr>
          <w:snapToGrid/>
        </w:rPr>
        <w:t xml:space="preserve"> who have received a prior line of chemotherapy in the metastatic setting, including rapid progressors who have received chemotherapy in the adjuvant setting. TPC is the therapy most likely to be replaced by T-</w:t>
      </w:r>
      <w:proofErr w:type="spellStart"/>
      <w:r w:rsidRPr="00980134">
        <w:rPr>
          <w:snapToGrid/>
        </w:rPr>
        <w:t>DXd</w:t>
      </w:r>
      <w:proofErr w:type="spellEnd"/>
      <w:r w:rsidR="0057335F" w:rsidRPr="00980134">
        <w:rPr>
          <w:snapToGrid/>
        </w:rPr>
        <w:t xml:space="preserve"> in HR positive/HER2 low </w:t>
      </w:r>
      <w:proofErr w:type="spellStart"/>
      <w:r w:rsidR="0057335F" w:rsidRPr="00980134">
        <w:rPr>
          <w:snapToGrid/>
        </w:rPr>
        <w:t>uBC</w:t>
      </w:r>
      <w:proofErr w:type="spellEnd"/>
      <w:r w:rsidR="0057335F" w:rsidRPr="00980134">
        <w:rPr>
          <w:snapToGrid/>
        </w:rPr>
        <w:t xml:space="preserve"> and/or </w:t>
      </w:r>
      <w:proofErr w:type="spellStart"/>
      <w:r w:rsidR="0057335F" w:rsidRPr="00980134">
        <w:rPr>
          <w:snapToGrid/>
        </w:rPr>
        <w:t>mBC</w:t>
      </w:r>
      <w:proofErr w:type="spellEnd"/>
      <w:r w:rsidRPr="00980134">
        <w:rPr>
          <w:snapToGrid/>
        </w:rPr>
        <w:t xml:space="preserve">, and </w:t>
      </w:r>
      <w:r w:rsidR="0068609D" w:rsidRPr="00980134">
        <w:rPr>
          <w:snapToGrid/>
        </w:rPr>
        <w:t xml:space="preserve">the ESC considered it </w:t>
      </w:r>
      <w:r w:rsidRPr="00980134">
        <w:rPr>
          <w:snapToGrid/>
        </w:rPr>
        <w:t>is the appropriate comparator for the target population in the Australian clinical setting.</w:t>
      </w:r>
      <w:r w:rsidR="00063856" w:rsidRPr="00980134">
        <w:rPr>
          <w:i/>
          <w:iCs/>
          <w:snapToGrid/>
        </w:rPr>
        <w:t xml:space="preserve"> </w:t>
      </w:r>
    </w:p>
    <w:p w14:paraId="2A5FA4A6" w14:textId="13A60FAF" w:rsidR="00EE5515" w:rsidRPr="00980134" w:rsidRDefault="007A744D" w:rsidP="007A744D">
      <w:pPr>
        <w:pStyle w:val="3-BodyText"/>
        <w:rPr>
          <w:snapToGrid/>
        </w:rPr>
      </w:pPr>
      <w:bookmarkStart w:id="26" w:name="_Ref152252491"/>
      <w:r w:rsidRPr="00980134">
        <w:rPr>
          <w:bCs/>
          <w:szCs w:val="20"/>
        </w:rPr>
        <w:t>T</w:t>
      </w:r>
      <w:r w:rsidR="00B7169F" w:rsidRPr="00980134">
        <w:rPr>
          <w:bCs/>
          <w:szCs w:val="20"/>
        </w:rPr>
        <w:t>he submiss</w:t>
      </w:r>
      <w:r w:rsidR="00BB0BB3" w:rsidRPr="00980134">
        <w:rPr>
          <w:bCs/>
          <w:szCs w:val="20"/>
        </w:rPr>
        <w:t>ion</w:t>
      </w:r>
      <w:r w:rsidR="00B7169F" w:rsidRPr="00980134">
        <w:rPr>
          <w:bCs/>
          <w:szCs w:val="20"/>
        </w:rPr>
        <w:t xml:space="preserve"> nominat</w:t>
      </w:r>
      <w:r w:rsidR="00BB0BB3" w:rsidRPr="00980134">
        <w:rPr>
          <w:bCs/>
          <w:szCs w:val="20"/>
        </w:rPr>
        <w:t>ed</w:t>
      </w:r>
      <w:r w:rsidR="00B7169F" w:rsidRPr="00980134">
        <w:rPr>
          <w:bCs/>
          <w:szCs w:val="20"/>
        </w:rPr>
        <w:t xml:space="preserve"> SG as the </w:t>
      </w:r>
      <w:r w:rsidR="00797377" w:rsidRPr="00980134">
        <w:rPr>
          <w:bCs/>
          <w:szCs w:val="20"/>
        </w:rPr>
        <w:t xml:space="preserve">main </w:t>
      </w:r>
      <w:r w:rsidR="00B7169F" w:rsidRPr="00980134">
        <w:rPr>
          <w:bCs/>
          <w:szCs w:val="20"/>
        </w:rPr>
        <w:t>comparator for the HR negative/HER2 low population as this is the treatment</w:t>
      </w:r>
      <w:r w:rsidR="00B7169F" w:rsidRPr="00980134">
        <w:rPr>
          <w:szCs w:val="20"/>
        </w:rPr>
        <w:t xml:space="preserve"> most likely to be replaced by T-</w:t>
      </w:r>
      <w:proofErr w:type="spellStart"/>
      <w:r w:rsidR="00B7169F" w:rsidRPr="00980134">
        <w:rPr>
          <w:szCs w:val="20"/>
        </w:rPr>
        <w:t>DXd</w:t>
      </w:r>
      <w:proofErr w:type="spellEnd"/>
      <w:r w:rsidR="00B7169F" w:rsidRPr="00980134">
        <w:rPr>
          <w:szCs w:val="20"/>
        </w:rPr>
        <w:t xml:space="preserve"> in clinical </w:t>
      </w:r>
      <w:r w:rsidR="00B7169F" w:rsidRPr="00980134">
        <w:rPr>
          <w:szCs w:val="20"/>
        </w:rPr>
        <w:lastRenderedPageBreak/>
        <w:t>practice</w:t>
      </w:r>
      <w:r w:rsidR="00B7169F" w:rsidRPr="00980134">
        <w:rPr>
          <w:bCs/>
          <w:szCs w:val="20"/>
        </w:rPr>
        <w:t>.</w:t>
      </w:r>
      <w:r w:rsidRPr="00980134">
        <w:rPr>
          <w:bCs/>
          <w:szCs w:val="20"/>
        </w:rPr>
        <w:t xml:space="preserve"> </w:t>
      </w:r>
      <w:r w:rsidR="00EE5515" w:rsidRPr="00980134">
        <w:rPr>
          <w:snapToGrid/>
        </w:rPr>
        <w:t xml:space="preserve">SG is currently listed for HR negative/HER2 negative </w:t>
      </w:r>
      <w:r w:rsidR="001D421D" w:rsidRPr="00980134">
        <w:rPr>
          <w:snapToGrid/>
        </w:rPr>
        <w:t xml:space="preserve">(also referred to as triple negative) </w:t>
      </w:r>
      <w:r w:rsidR="00EE5515" w:rsidRPr="00980134">
        <w:rPr>
          <w:snapToGrid/>
        </w:rPr>
        <w:t xml:space="preserve">patients with metastatic breast cancer who have received two or more prior systemic therapies, at least one of them in the locally advanced or metastatic setting. The HR negative/HER2 negative </w:t>
      </w:r>
      <w:r w:rsidR="003C1352" w:rsidRPr="00980134">
        <w:rPr>
          <w:snapToGrid/>
        </w:rPr>
        <w:t xml:space="preserve">(IHC 0, IHC 1+, IHC 2+/ISH-) </w:t>
      </w:r>
      <w:r w:rsidR="00EE5515" w:rsidRPr="00980134">
        <w:rPr>
          <w:snapToGrid/>
        </w:rPr>
        <w:t xml:space="preserve">patients eligible to receive SG would also </w:t>
      </w:r>
      <w:r w:rsidR="001D421D" w:rsidRPr="00980134">
        <w:rPr>
          <w:snapToGrid/>
        </w:rPr>
        <w:t xml:space="preserve">include </w:t>
      </w:r>
      <w:r w:rsidR="00EE5515" w:rsidRPr="00980134">
        <w:rPr>
          <w:snapToGrid/>
        </w:rPr>
        <w:t xml:space="preserve">HR negative/HER2 low </w:t>
      </w:r>
      <w:r w:rsidR="005732C4" w:rsidRPr="00980134">
        <w:rPr>
          <w:snapToGrid/>
        </w:rPr>
        <w:t xml:space="preserve">(IHC 1+ or IHC 2+/ISH-) </w:t>
      </w:r>
      <w:r w:rsidR="00EE5515" w:rsidRPr="00980134">
        <w:rPr>
          <w:snapToGrid/>
        </w:rPr>
        <w:t xml:space="preserve">patients as HER2 low is a </w:t>
      </w:r>
      <w:r w:rsidR="00057983" w:rsidRPr="00980134">
        <w:rPr>
          <w:snapToGrid/>
        </w:rPr>
        <w:t xml:space="preserve">subset </w:t>
      </w:r>
      <w:r w:rsidR="00EE5515" w:rsidRPr="00980134">
        <w:rPr>
          <w:snapToGrid/>
        </w:rPr>
        <w:t xml:space="preserve">of patients that would have previously been identified, and treated, as HER2 negative. </w:t>
      </w:r>
      <w:r w:rsidRPr="00980134">
        <w:rPr>
          <w:snapToGrid/>
        </w:rPr>
        <w:t>The PBAC did not consider T-</w:t>
      </w:r>
      <w:proofErr w:type="spellStart"/>
      <w:r w:rsidRPr="00980134">
        <w:rPr>
          <w:snapToGrid/>
        </w:rPr>
        <w:t>DXd</w:t>
      </w:r>
      <w:proofErr w:type="spellEnd"/>
      <w:r w:rsidRPr="00980134">
        <w:rPr>
          <w:snapToGrid/>
        </w:rPr>
        <w:t xml:space="preserve"> would replace SG in this population as SG was likely to be used preferentially</w:t>
      </w:r>
      <w:r w:rsidR="00DA6F80" w:rsidRPr="00980134">
        <w:rPr>
          <w:snapToGrid/>
        </w:rPr>
        <w:t xml:space="preserve"> as the evidence for SG in this population is more robust</w:t>
      </w:r>
      <w:r w:rsidRPr="00980134">
        <w:rPr>
          <w:snapToGrid/>
        </w:rPr>
        <w:t>. The PBAC consi</w:t>
      </w:r>
      <w:r w:rsidR="00B75DB1" w:rsidRPr="00980134">
        <w:rPr>
          <w:snapToGrid/>
        </w:rPr>
        <w:t>d</w:t>
      </w:r>
      <w:r w:rsidRPr="00980134">
        <w:rPr>
          <w:snapToGrid/>
        </w:rPr>
        <w:t xml:space="preserve">ered </w:t>
      </w:r>
      <w:r w:rsidR="00DA6F80" w:rsidRPr="00980134">
        <w:rPr>
          <w:snapToGrid/>
        </w:rPr>
        <w:t>that as SG is not likely to be replaced by T-</w:t>
      </w:r>
      <w:proofErr w:type="spellStart"/>
      <w:r w:rsidR="00DA6F80" w:rsidRPr="00980134">
        <w:rPr>
          <w:snapToGrid/>
        </w:rPr>
        <w:t>DXd</w:t>
      </w:r>
      <w:proofErr w:type="spellEnd"/>
      <w:r w:rsidR="00DA6F80" w:rsidRPr="00980134">
        <w:rPr>
          <w:snapToGrid/>
        </w:rPr>
        <w:t xml:space="preserve">, </w:t>
      </w:r>
      <w:r w:rsidRPr="00980134">
        <w:rPr>
          <w:snapToGrid/>
        </w:rPr>
        <w:t xml:space="preserve">TPC was an appropriate comparator for the HER2 low population, including the HR negative population. </w:t>
      </w:r>
      <w:bookmarkEnd w:id="26"/>
    </w:p>
    <w:p w14:paraId="25266936" w14:textId="598A9D27" w:rsidR="00687237" w:rsidRPr="00980134" w:rsidRDefault="00687237" w:rsidP="00687237">
      <w:pPr>
        <w:pStyle w:val="3-BodyText"/>
        <w:numPr>
          <w:ilvl w:val="0"/>
          <w:numId w:val="0"/>
        </w:numPr>
        <w:ind w:firstLine="720"/>
        <w:rPr>
          <w:i/>
          <w:iCs/>
          <w:snapToGrid/>
        </w:rPr>
      </w:pPr>
      <w:r w:rsidRPr="00980134">
        <w:rPr>
          <w:i/>
          <w:iCs/>
          <w:snapToGrid/>
        </w:rPr>
        <w:t>For more detail on PBAC’s view, see section 7 PBAC outcome.</w:t>
      </w:r>
    </w:p>
    <w:p w14:paraId="494A8FC4" w14:textId="77777777" w:rsidR="00EE5515" w:rsidRPr="00980134" w:rsidRDefault="00EE5515" w:rsidP="00EE5515">
      <w:pPr>
        <w:pStyle w:val="2-SectionHeading"/>
      </w:pPr>
      <w:bookmarkStart w:id="27" w:name="_Toc142576841"/>
      <w:bookmarkStart w:id="28" w:name="_Toc145452636"/>
      <w:r w:rsidRPr="00980134">
        <w:t>Consideration of the evidence</w:t>
      </w:r>
      <w:bookmarkEnd w:id="27"/>
      <w:bookmarkEnd w:id="28"/>
    </w:p>
    <w:p w14:paraId="305BFB82" w14:textId="77777777" w:rsidR="005B5622" w:rsidRPr="00980134" w:rsidRDefault="005B5622" w:rsidP="0097161B">
      <w:pPr>
        <w:pStyle w:val="4-SubsectionHeading"/>
      </w:pPr>
      <w:bookmarkStart w:id="29" w:name="_Toc142092386"/>
      <w:bookmarkStart w:id="30" w:name="_Toc142576842"/>
      <w:bookmarkStart w:id="31" w:name="_Toc145452637"/>
      <w:bookmarkEnd w:id="25"/>
      <w:r w:rsidRPr="00980134">
        <w:t>Sponsor hearing</w:t>
      </w:r>
    </w:p>
    <w:p w14:paraId="66528499" w14:textId="7D7FA83E" w:rsidR="005B5622" w:rsidRPr="00980134" w:rsidRDefault="005B5622" w:rsidP="005B5622">
      <w:pPr>
        <w:widowControl w:val="0"/>
        <w:numPr>
          <w:ilvl w:val="1"/>
          <w:numId w:val="1"/>
        </w:numPr>
        <w:spacing w:after="120"/>
        <w:rPr>
          <w:rFonts w:cs="Calibri"/>
          <w:bCs/>
          <w:snapToGrid w:val="0"/>
        </w:rPr>
      </w:pPr>
      <w:r w:rsidRPr="00980134">
        <w:rPr>
          <w:rFonts w:cs="Calibri"/>
          <w:bCs/>
          <w:snapToGrid w:val="0"/>
        </w:rPr>
        <w:t>There was no hearing for this item</w:t>
      </w:r>
      <w:r w:rsidR="0097161B" w:rsidRPr="00980134">
        <w:rPr>
          <w:rFonts w:cs="Calibri"/>
          <w:bCs/>
          <w:snapToGrid w:val="0"/>
        </w:rPr>
        <w:t>.</w:t>
      </w:r>
    </w:p>
    <w:p w14:paraId="0822AA89" w14:textId="77777777" w:rsidR="005B5622" w:rsidRPr="00980134" w:rsidRDefault="005B5622" w:rsidP="0097161B">
      <w:pPr>
        <w:pStyle w:val="4-SubsectionHeading"/>
      </w:pPr>
      <w:r w:rsidRPr="00980134">
        <w:t>Consumer comments</w:t>
      </w:r>
    </w:p>
    <w:p w14:paraId="07517C59" w14:textId="0FB5766E" w:rsidR="00913DB2" w:rsidRPr="00980134" w:rsidRDefault="00913DB2" w:rsidP="005B5622">
      <w:pPr>
        <w:pStyle w:val="3-BodyText"/>
      </w:pPr>
      <w:bookmarkStart w:id="32" w:name="_Hlk160436828"/>
      <w:r w:rsidRPr="00980134">
        <w:rPr>
          <w:bCs/>
        </w:rPr>
        <w:t>The PBAC noted and welcomed the input from individuals (</w:t>
      </w:r>
      <w:r w:rsidR="00670E56" w:rsidRPr="00980134">
        <w:rPr>
          <w:bCs/>
        </w:rPr>
        <w:t>2</w:t>
      </w:r>
      <w:r w:rsidRPr="00980134">
        <w:rPr>
          <w:bCs/>
        </w:rPr>
        <w:t>)</w:t>
      </w:r>
      <w:r w:rsidR="00670E56" w:rsidRPr="00980134">
        <w:rPr>
          <w:bCs/>
        </w:rPr>
        <w:t xml:space="preserve"> </w:t>
      </w:r>
      <w:r w:rsidRPr="00980134">
        <w:rPr>
          <w:bCs/>
        </w:rPr>
        <w:t>and organisations (</w:t>
      </w:r>
      <w:r w:rsidR="00670E56" w:rsidRPr="00980134">
        <w:rPr>
          <w:bCs/>
        </w:rPr>
        <w:t>5</w:t>
      </w:r>
      <w:r w:rsidRPr="00980134">
        <w:rPr>
          <w:bCs/>
        </w:rPr>
        <w:t xml:space="preserve">) via the Consumer Comments facility on the PBS website. </w:t>
      </w:r>
      <w:r w:rsidR="005D71BA" w:rsidRPr="00980134">
        <w:rPr>
          <w:bCs/>
        </w:rPr>
        <w:t>The comments described the effectiveness of T-</w:t>
      </w:r>
      <w:proofErr w:type="spellStart"/>
      <w:r w:rsidR="005D71BA" w:rsidRPr="00980134">
        <w:rPr>
          <w:bCs/>
        </w:rPr>
        <w:t>DXd</w:t>
      </w:r>
      <w:proofErr w:type="spellEnd"/>
      <w:r w:rsidR="005D71BA" w:rsidRPr="00980134">
        <w:rPr>
          <w:bCs/>
        </w:rPr>
        <w:t xml:space="preserve"> in those with HER2 low breast cancer in slowing disease progression, the improvement in quality of life and the manageable side effect profile. Input described the negative impact having to pay privately for a high cost treatment has on mental well-being.</w:t>
      </w:r>
    </w:p>
    <w:p w14:paraId="3F8D02B9" w14:textId="14BAE958" w:rsidR="005D71BA" w:rsidRPr="00980134" w:rsidRDefault="005D71BA" w:rsidP="005B5622">
      <w:pPr>
        <w:pStyle w:val="3-BodyText"/>
      </w:pPr>
      <w:r w:rsidRPr="00980134">
        <w:t>The PBAC acknowledged the input from the Breast Cancer Network Australia (BCNA), Breast Cancer Special Interest Group, Rare Cancers Australia and Pink Hope who all expressed their support for listing T-</w:t>
      </w:r>
      <w:proofErr w:type="spellStart"/>
      <w:r w:rsidRPr="00980134">
        <w:t>DXd</w:t>
      </w:r>
      <w:proofErr w:type="spellEnd"/>
      <w:r w:rsidRPr="00980134">
        <w:t xml:space="preserve"> on the PBS for those with HER2 low breast cancer</w:t>
      </w:r>
      <w:r w:rsidR="00980134">
        <w:t xml:space="preserve">. </w:t>
      </w:r>
    </w:p>
    <w:bookmarkEnd w:id="32"/>
    <w:p w14:paraId="7900E300" w14:textId="1DB9D890" w:rsidR="00843CE1" w:rsidRPr="00980134" w:rsidRDefault="005D71BA" w:rsidP="00843CE1">
      <w:pPr>
        <w:pStyle w:val="3-BodyText"/>
      </w:pPr>
      <w:r w:rsidRPr="00980134">
        <w:t>The BCNA noted the importance of additional treatment options and how valuable metastatic breast cancer patients consider any additional months of progression-free or overall survival. The BCNA noted T-</w:t>
      </w:r>
      <w:proofErr w:type="spellStart"/>
      <w:r w:rsidRPr="00980134">
        <w:t>DXd</w:t>
      </w:r>
      <w:proofErr w:type="spellEnd"/>
      <w:r w:rsidRPr="00980134">
        <w:t xml:space="preserve"> is associated with some side effects (including interstitial lung disease) but further noted patients with metastatic breast cancer routinely navigate balancing the efficacy and safety of their treatments with their oncologist. The BCNA stated that without listing T-</w:t>
      </w:r>
      <w:proofErr w:type="spellStart"/>
      <w:r w:rsidRPr="00980134">
        <w:t>DXd</w:t>
      </w:r>
      <w:proofErr w:type="spellEnd"/>
      <w:r w:rsidRPr="00980134">
        <w:t xml:space="preserve"> on the PBS, the private cost represented a significant financial barrier that will prevent many Australian women and men from accessing this treatment.</w:t>
      </w:r>
    </w:p>
    <w:p w14:paraId="280F4074" w14:textId="287E3610" w:rsidR="00843CE1" w:rsidRPr="00980134" w:rsidRDefault="00843CE1" w:rsidP="00843CE1">
      <w:pPr>
        <w:pStyle w:val="3-BodyText"/>
      </w:pPr>
      <w:r w:rsidRPr="00980134">
        <w:t xml:space="preserve">Pink Hope noted the importance </w:t>
      </w:r>
      <w:r w:rsidR="00FF37E3" w:rsidRPr="00980134">
        <w:t xml:space="preserve">patients place on any improved survival and </w:t>
      </w:r>
      <w:r w:rsidRPr="00980134">
        <w:t xml:space="preserve">of having an additional funded treatment </w:t>
      </w:r>
      <w:r w:rsidR="00FF37E3" w:rsidRPr="00980134">
        <w:t>available f</w:t>
      </w:r>
      <w:r w:rsidRPr="00980134">
        <w:t>or patients with HER low metastatic breast cancer</w:t>
      </w:r>
      <w:r w:rsidR="00980134">
        <w:t xml:space="preserve">. </w:t>
      </w:r>
    </w:p>
    <w:p w14:paraId="7DB5DD15" w14:textId="26C92271" w:rsidR="00843CE1" w:rsidRPr="00980134" w:rsidRDefault="00843CE1" w:rsidP="00843CE1">
      <w:pPr>
        <w:pStyle w:val="3-BodyText"/>
      </w:pPr>
      <w:r w:rsidRPr="00980134">
        <w:lastRenderedPageBreak/>
        <w:t>Rare Cancers Australia supported making T-</w:t>
      </w:r>
      <w:proofErr w:type="spellStart"/>
      <w:r w:rsidRPr="00980134">
        <w:t>DXd</w:t>
      </w:r>
      <w:proofErr w:type="spellEnd"/>
      <w:r w:rsidRPr="00980134">
        <w:t xml:space="preserve"> available for patients with HER2 low breast cancer and noted the high emotional and financial burden associated with this condition. </w:t>
      </w:r>
    </w:p>
    <w:p w14:paraId="5360A524" w14:textId="54CD7E83" w:rsidR="005D71BA" w:rsidRPr="00980134" w:rsidRDefault="00843CE1" w:rsidP="005D71BA">
      <w:pPr>
        <w:pStyle w:val="3-BodyText"/>
      </w:pPr>
      <w:r w:rsidRPr="00980134">
        <w:t>The Breast Cancer Special Interest Group of the Medical Oncology Group of Australia (MOGA) noted the OS benefit provided by T-</w:t>
      </w:r>
      <w:proofErr w:type="spellStart"/>
      <w:r w:rsidRPr="00980134">
        <w:t>DXd</w:t>
      </w:r>
      <w:proofErr w:type="spellEnd"/>
      <w:r w:rsidRPr="00980134">
        <w:t xml:space="preserve"> and, in terms of its safety, stated clinicians have gained experienced with using T-</w:t>
      </w:r>
      <w:proofErr w:type="spellStart"/>
      <w:r w:rsidRPr="00980134">
        <w:t>DXd</w:t>
      </w:r>
      <w:proofErr w:type="spellEnd"/>
      <w:r w:rsidRPr="00980134">
        <w:t xml:space="preserve"> in the HER2 positive population</w:t>
      </w:r>
      <w:r w:rsidR="00980134">
        <w:t xml:space="preserve">. </w:t>
      </w:r>
      <w:r w:rsidRPr="00980134">
        <w:t>The Group noted it is unclear how many patients may have HER low metastatic breast cancer and a key challenge will be to identify the size of the population. The Group noted T-</w:t>
      </w:r>
      <w:proofErr w:type="spellStart"/>
      <w:r w:rsidRPr="00980134">
        <w:t>DXd</w:t>
      </w:r>
      <w:proofErr w:type="spellEnd"/>
      <w:r w:rsidRPr="00980134">
        <w:t xml:space="preserve"> is unaffordable to many patients on the private market</w:t>
      </w:r>
      <w:r w:rsidR="00980134">
        <w:t xml:space="preserve">. </w:t>
      </w:r>
    </w:p>
    <w:p w14:paraId="6F53ADFB" w14:textId="165AC978" w:rsidR="008713A3" w:rsidRPr="00980134" w:rsidRDefault="008713A3" w:rsidP="008713A3">
      <w:pPr>
        <w:pStyle w:val="3-BodyText"/>
      </w:pPr>
      <w:r w:rsidRPr="00980134">
        <w:t xml:space="preserve">The MOGA also expressed its strong support for the </w:t>
      </w:r>
      <w:r w:rsidR="00313157" w:rsidRPr="00980134">
        <w:t>T-</w:t>
      </w:r>
      <w:proofErr w:type="spellStart"/>
      <w:r w:rsidR="00313157" w:rsidRPr="00980134">
        <w:t>DXd</w:t>
      </w:r>
      <w:proofErr w:type="spellEnd"/>
      <w:r w:rsidR="00313157" w:rsidRPr="00980134">
        <w:t xml:space="preserve"> </w:t>
      </w:r>
      <w:r w:rsidRPr="00980134">
        <w:t>submission, categorising it as one of the therapies of “highest priority for PBS listing</w:t>
      </w:r>
      <w:r w:rsidR="00313157" w:rsidRPr="00980134">
        <w:t>”</w:t>
      </w:r>
      <w:r w:rsidRPr="00980134">
        <w:t xml:space="preserve">. The PBAC noted that the MOGA presented a European Society for Medical Oncology Magnitude of Clinical Benefit Scale (ESMO-MCBS) for </w:t>
      </w:r>
      <w:r w:rsidR="00313157" w:rsidRPr="00980134">
        <w:t>T-</w:t>
      </w:r>
      <w:proofErr w:type="spellStart"/>
      <w:r w:rsidR="00313157" w:rsidRPr="00980134">
        <w:t>DXd</w:t>
      </w:r>
      <w:proofErr w:type="spellEnd"/>
      <w:r w:rsidRPr="00980134">
        <w:t xml:space="preserve">, which was limited to </w:t>
      </w:r>
      <w:r w:rsidR="00313157" w:rsidRPr="00980134">
        <w:t>4</w:t>
      </w:r>
      <w:r w:rsidRPr="00980134">
        <w:t xml:space="preserve"> (out of a maximum of 5, where 5 and 4 represent the grades with substantial improvement)</w:t>
      </w:r>
      <w:r w:rsidR="00313157" w:rsidRPr="00980134">
        <w:t>.</w:t>
      </w:r>
      <w:r w:rsidR="00313157" w:rsidRPr="00980134">
        <w:rPr>
          <w:rStyle w:val="FootnoteReference"/>
        </w:rPr>
        <w:footnoteReference w:id="13"/>
      </w:r>
    </w:p>
    <w:p w14:paraId="4C7A3A34" w14:textId="717FF198" w:rsidR="00EE5515" w:rsidRPr="00980134" w:rsidRDefault="00EE5515" w:rsidP="0097161B">
      <w:pPr>
        <w:pStyle w:val="4-SubsectionHeading"/>
      </w:pPr>
      <w:r w:rsidRPr="00980134">
        <w:t>Clinical trials</w:t>
      </w:r>
      <w:bookmarkEnd w:id="29"/>
      <w:bookmarkEnd w:id="30"/>
      <w:bookmarkEnd w:id="31"/>
    </w:p>
    <w:p w14:paraId="0817BB3B" w14:textId="1F42B8B7" w:rsidR="00EE5515" w:rsidRPr="00980134" w:rsidRDefault="00EE5515" w:rsidP="00874955">
      <w:pPr>
        <w:pStyle w:val="3-BodyText"/>
      </w:pPr>
      <w:r w:rsidRPr="00980134">
        <w:t>The submission was based on a single head-to-head randomised controlled trial (RCT) comparing T-</w:t>
      </w:r>
      <w:proofErr w:type="spellStart"/>
      <w:r w:rsidRPr="00980134">
        <w:t>DXd</w:t>
      </w:r>
      <w:proofErr w:type="spellEnd"/>
      <w:r w:rsidRPr="00980134">
        <w:t xml:space="preserve"> to TPC, known as DB-04. A supporting post hoc subgroup analysis from the ASCENT trial was also used to indirectly compare T-</w:t>
      </w:r>
      <w:proofErr w:type="spellStart"/>
      <w:r w:rsidRPr="00980134">
        <w:t>DXd</w:t>
      </w:r>
      <w:proofErr w:type="spellEnd"/>
      <w:r w:rsidRPr="00980134">
        <w:t xml:space="preserve"> with SG (although a formal indirect comparison was not performed due to transitivity concerns). </w:t>
      </w:r>
    </w:p>
    <w:p w14:paraId="11766DD9" w14:textId="349C2A7C" w:rsidR="00EE5515" w:rsidRPr="00980134" w:rsidRDefault="00EE5515" w:rsidP="00EE5515">
      <w:pPr>
        <w:pStyle w:val="3-BodyText"/>
      </w:pPr>
      <w:r w:rsidRPr="00980134">
        <w:rPr>
          <w:snapToGrid/>
        </w:rPr>
        <w:t xml:space="preserve">Details of the trials presented in the submission are provided in </w:t>
      </w:r>
      <w:r w:rsidRPr="00980134">
        <w:rPr>
          <w:snapToGrid/>
        </w:rPr>
        <w:fldChar w:fldCharType="begin" w:fldLock="1"/>
      </w:r>
      <w:r w:rsidRPr="00980134">
        <w:rPr>
          <w:snapToGrid/>
        </w:rPr>
        <w:instrText xml:space="preserve"> REF _Ref104803956 \h </w:instrText>
      </w:r>
      <w:r w:rsidRPr="00980134">
        <w:rPr>
          <w:snapToGrid/>
        </w:rPr>
      </w:r>
      <w:r w:rsidRPr="00980134">
        <w:rPr>
          <w:snapToGrid/>
        </w:rPr>
        <w:fldChar w:fldCharType="separate"/>
      </w:r>
      <w:r w:rsidR="00DF66B3" w:rsidRPr="00980134">
        <w:t xml:space="preserve">Table </w:t>
      </w:r>
      <w:r w:rsidR="00DF66B3">
        <w:rPr>
          <w:noProof/>
        </w:rPr>
        <w:t>2</w:t>
      </w:r>
      <w:r w:rsidRPr="00980134">
        <w:rPr>
          <w:snapToGrid/>
        </w:rPr>
        <w:fldChar w:fldCharType="end"/>
      </w:r>
      <w:r w:rsidRPr="00980134">
        <w:rPr>
          <w:snapToGrid/>
        </w:rPr>
        <w:t>.</w:t>
      </w:r>
      <w:r w:rsidR="00313157" w:rsidRPr="00980134">
        <w:rPr>
          <w:snapToGrid/>
        </w:rPr>
        <w:t xml:space="preserve"> </w:t>
      </w:r>
    </w:p>
    <w:p w14:paraId="0760E624" w14:textId="1516BF00" w:rsidR="00EE5515" w:rsidRPr="00980134" w:rsidRDefault="00EE5515" w:rsidP="00EE5515">
      <w:pPr>
        <w:pStyle w:val="TableFigureHeading"/>
        <w:rPr>
          <w:rStyle w:val="CommentReference"/>
          <w:b/>
          <w:szCs w:val="24"/>
        </w:rPr>
      </w:pPr>
      <w:bookmarkStart w:id="33" w:name="_Ref104803956"/>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2</w:t>
      </w:r>
      <w:r w:rsidR="006E03AE">
        <w:rPr>
          <w:noProof/>
        </w:rPr>
        <w:fldChar w:fldCharType="end"/>
      </w:r>
      <w:bookmarkEnd w:id="33"/>
      <w:r w:rsidRPr="00980134">
        <w:t>:</w:t>
      </w:r>
      <w:r w:rsidRPr="00980134">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EE5515" w:rsidRPr="00980134" w14:paraId="069FD9C7" w14:textId="77777777">
        <w:trPr>
          <w:cantSplit/>
          <w:tblHeader/>
        </w:trPr>
        <w:tc>
          <w:tcPr>
            <w:tcW w:w="795" w:type="pct"/>
            <w:vAlign w:val="center"/>
          </w:tcPr>
          <w:p w14:paraId="2B69B16C" w14:textId="77777777" w:rsidR="00EE5515" w:rsidRPr="00980134" w:rsidRDefault="00EE5515">
            <w:pPr>
              <w:pStyle w:val="In-tableHeading"/>
              <w:jc w:val="center"/>
              <w:rPr>
                <w:lang w:val="en-AU"/>
              </w:rPr>
            </w:pPr>
            <w:r w:rsidRPr="00980134">
              <w:rPr>
                <w:lang w:val="en-AU"/>
              </w:rPr>
              <w:t>Trial ID</w:t>
            </w:r>
          </w:p>
        </w:tc>
        <w:tc>
          <w:tcPr>
            <w:tcW w:w="2803" w:type="pct"/>
            <w:vAlign w:val="center"/>
          </w:tcPr>
          <w:p w14:paraId="10C83482" w14:textId="77777777" w:rsidR="00EE5515" w:rsidRPr="00980134" w:rsidRDefault="00EE5515">
            <w:pPr>
              <w:pStyle w:val="In-tableHeading"/>
              <w:rPr>
                <w:lang w:val="en-AU"/>
              </w:rPr>
            </w:pPr>
            <w:r w:rsidRPr="00980134">
              <w:rPr>
                <w:lang w:val="en-AU"/>
              </w:rPr>
              <w:t>Protocol title/ Publication title</w:t>
            </w:r>
          </w:p>
        </w:tc>
        <w:tc>
          <w:tcPr>
            <w:tcW w:w="1402" w:type="pct"/>
            <w:vAlign w:val="center"/>
          </w:tcPr>
          <w:p w14:paraId="6B932283" w14:textId="77777777" w:rsidR="00EE5515" w:rsidRPr="00980134" w:rsidRDefault="00EE5515">
            <w:pPr>
              <w:pStyle w:val="In-tableHeading"/>
              <w:rPr>
                <w:lang w:val="en-AU"/>
              </w:rPr>
            </w:pPr>
            <w:r w:rsidRPr="00980134">
              <w:rPr>
                <w:lang w:val="en-AU"/>
              </w:rPr>
              <w:t>Publication citation</w:t>
            </w:r>
          </w:p>
        </w:tc>
      </w:tr>
      <w:tr w:rsidR="00EE5515" w:rsidRPr="00980134" w14:paraId="4CA153C8" w14:textId="77777777">
        <w:trPr>
          <w:cantSplit/>
        </w:trPr>
        <w:tc>
          <w:tcPr>
            <w:tcW w:w="795" w:type="pct"/>
            <w:vMerge w:val="restart"/>
            <w:vAlign w:val="center"/>
          </w:tcPr>
          <w:p w14:paraId="3D726735" w14:textId="77777777" w:rsidR="00EE5515" w:rsidRPr="00980134" w:rsidRDefault="00EE5515">
            <w:pPr>
              <w:pStyle w:val="TableText0"/>
              <w:jc w:val="center"/>
              <w:rPr>
                <w:szCs w:val="20"/>
              </w:rPr>
            </w:pPr>
            <w:r w:rsidRPr="00980134">
              <w:t>DB-04</w:t>
            </w:r>
          </w:p>
        </w:tc>
        <w:tc>
          <w:tcPr>
            <w:tcW w:w="2803" w:type="pct"/>
            <w:tcBorders>
              <w:bottom w:val="nil"/>
            </w:tcBorders>
            <w:vAlign w:val="center"/>
          </w:tcPr>
          <w:p w14:paraId="68EE33C5" w14:textId="49C6E94D" w:rsidR="00EE5515" w:rsidRPr="00980134" w:rsidRDefault="00EE5515">
            <w:pPr>
              <w:pStyle w:val="TableText0"/>
            </w:pPr>
            <w:r w:rsidRPr="00980134">
              <w:t>Modi S.,</w:t>
            </w:r>
            <w:r w:rsidR="00640308">
              <w:t xml:space="preserve"> </w:t>
            </w:r>
            <w:proofErr w:type="spellStart"/>
            <w:r w:rsidRPr="00980134">
              <w:t>Jacot</w:t>
            </w:r>
            <w:proofErr w:type="spellEnd"/>
            <w:r w:rsidRPr="00980134">
              <w:t xml:space="preserve"> W.,</w:t>
            </w:r>
            <w:r w:rsidR="00640308">
              <w:t xml:space="preserve"> </w:t>
            </w:r>
            <w:r w:rsidRPr="00980134">
              <w:t>Yamashita T.,</w:t>
            </w:r>
            <w:r w:rsidR="00640308">
              <w:t xml:space="preserve"> </w:t>
            </w:r>
            <w:r w:rsidRPr="00980134">
              <w:t>Sohn J.,</w:t>
            </w:r>
            <w:r w:rsidR="00640308">
              <w:t xml:space="preserve"> </w:t>
            </w:r>
            <w:r w:rsidRPr="00980134">
              <w:t>Vidal M.,</w:t>
            </w:r>
            <w:r w:rsidR="00640308">
              <w:t xml:space="preserve"> </w:t>
            </w:r>
            <w:r w:rsidRPr="00980134">
              <w:t>Tokunaga E.,</w:t>
            </w:r>
            <w:r w:rsidR="00640308">
              <w:t xml:space="preserve"> </w:t>
            </w:r>
            <w:proofErr w:type="spellStart"/>
            <w:r w:rsidRPr="00980134">
              <w:t>Tsurutani</w:t>
            </w:r>
            <w:proofErr w:type="spellEnd"/>
            <w:r w:rsidRPr="00980134">
              <w:t xml:space="preserve"> J.,</w:t>
            </w:r>
            <w:r w:rsidR="00640308">
              <w:t xml:space="preserve"> </w:t>
            </w:r>
            <w:r w:rsidRPr="00980134">
              <w:t>Ueno N.T.,</w:t>
            </w:r>
            <w:r w:rsidR="00640308">
              <w:t xml:space="preserve"> </w:t>
            </w:r>
            <w:r w:rsidRPr="00980134">
              <w:t>Prat A.,</w:t>
            </w:r>
            <w:r w:rsidR="00640308">
              <w:t xml:space="preserve"> </w:t>
            </w:r>
            <w:r w:rsidRPr="00980134">
              <w:t>Chae Y.S.,</w:t>
            </w:r>
            <w:r w:rsidR="00640308">
              <w:t xml:space="preserve"> </w:t>
            </w:r>
            <w:r w:rsidRPr="00980134">
              <w:t>Lee K.S.,</w:t>
            </w:r>
            <w:r w:rsidR="00640308">
              <w:t xml:space="preserve"> </w:t>
            </w:r>
            <w:proofErr w:type="spellStart"/>
            <w:r w:rsidRPr="00980134">
              <w:t>Niikura</w:t>
            </w:r>
            <w:proofErr w:type="spellEnd"/>
            <w:r w:rsidRPr="00980134">
              <w:t xml:space="preserve"> N.,</w:t>
            </w:r>
            <w:r w:rsidR="00640308">
              <w:t xml:space="preserve"> </w:t>
            </w:r>
            <w:r w:rsidRPr="00980134">
              <w:t>Park Y.H.,</w:t>
            </w:r>
            <w:r w:rsidR="00640308">
              <w:t xml:space="preserve"> </w:t>
            </w:r>
            <w:r w:rsidRPr="00980134">
              <w:t>Xu B.,</w:t>
            </w:r>
            <w:r w:rsidR="00640308">
              <w:t xml:space="preserve"> </w:t>
            </w:r>
            <w:r w:rsidRPr="00980134">
              <w:t>Wang X.,</w:t>
            </w:r>
            <w:r w:rsidR="00640308">
              <w:t xml:space="preserve"> </w:t>
            </w:r>
            <w:r w:rsidRPr="00980134">
              <w:t>Gil-Gil M.,</w:t>
            </w:r>
            <w:r w:rsidR="00640308">
              <w:t xml:space="preserve"> </w:t>
            </w:r>
            <w:r w:rsidRPr="00980134">
              <w:t>Li W.,</w:t>
            </w:r>
            <w:r w:rsidR="00640308">
              <w:t xml:space="preserve"> </w:t>
            </w:r>
            <w:proofErr w:type="spellStart"/>
            <w:r w:rsidRPr="00980134">
              <w:t>Pierga</w:t>
            </w:r>
            <w:proofErr w:type="spellEnd"/>
            <w:r w:rsidRPr="00980134">
              <w:t xml:space="preserve"> J.-Y.,</w:t>
            </w:r>
            <w:r w:rsidR="00640308">
              <w:t xml:space="preserve"> </w:t>
            </w:r>
            <w:proofErr w:type="spellStart"/>
            <w:r w:rsidRPr="00980134">
              <w:t>Im</w:t>
            </w:r>
            <w:proofErr w:type="spellEnd"/>
            <w:r w:rsidRPr="00980134">
              <w:t xml:space="preserve"> S.-A.,</w:t>
            </w:r>
            <w:r w:rsidR="00640308">
              <w:t xml:space="preserve"> </w:t>
            </w:r>
            <w:r w:rsidRPr="00980134">
              <w:t>Moore H.C.F.,</w:t>
            </w:r>
            <w:r w:rsidR="00640308">
              <w:t xml:space="preserve"> </w:t>
            </w:r>
            <w:proofErr w:type="spellStart"/>
            <w:r w:rsidRPr="00980134">
              <w:t>Rugo</w:t>
            </w:r>
            <w:proofErr w:type="spellEnd"/>
            <w:r w:rsidRPr="00980134">
              <w:t xml:space="preserve"> H.S.,</w:t>
            </w:r>
            <w:r w:rsidR="00640308">
              <w:t xml:space="preserve"> </w:t>
            </w:r>
            <w:proofErr w:type="spellStart"/>
            <w:r w:rsidRPr="00980134">
              <w:t>Yerushalmi</w:t>
            </w:r>
            <w:proofErr w:type="spellEnd"/>
            <w:r w:rsidRPr="00980134">
              <w:t xml:space="preserve"> R.,</w:t>
            </w:r>
            <w:r w:rsidR="00640308">
              <w:t xml:space="preserve"> </w:t>
            </w:r>
            <w:proofErr w:type="spellStart"/>
            <w:r w:rsidRPr="00980134">
              <w:t>Zagouri</w:t>
            </w:r>
            <w:proofErr w:type="spellEnd"/>
            <w:r w:rsidRPr="00980134">
              <w:t xml:space="preserve"> F.,</w:t>
            </w:r>
            <w:r w:rsidR="00640308">
              <w:t xml:space="preserve"> </w:t>
            </w:r>
            <w:proofErr w:type="spellStart"/>
            <w:r w:rsidRPr="00980134">
              <w:t>Gombos</w:t>
            </w:r>
            <w:proofErr w:type="spellEnd"/>
            <w:r w:rsidRPr="00980134">
              <w:t xml:space="preserve"> A.,</w:t>
            </w:r>
            <w:r w:rsidR="00640308">
              <w:t xml:space="preserve"> </w:t>
            </w:r>
            <w:r w:rsidRPr="00980134">
              <w:t>Kim S.-B.,</w:t>
            </w:r>
            <w:r w:rsidR="00640308">
              <w:t xml:space="preserve"> </w:t>
            </w:r>
            <w:r w:rsidRPr="00980134">
              <w:t>Liu Q.,</w:t>
            </w:r>
            <w:r w:rsidR="00640308">
              <w:t xml:space="preserve"> </w:t>
            </w:r>
            <w:r w:rsidRPr="00980134">
              <w:t>Luo T.,</w:t>
            </w:r>
            <w:r w:rsidR="00640308">
              <w:t xml:space="preserve"> </w:t>
            </w:r>
            <w:proofErr w:type="spellStart"/>
            <w:r w:rsidRPr="00980134">
              <w:t>Saura</w:t>
            </w:r>
            <w:proofErr w:type="spellEnd"/>
            <w:r w:rsidRPr="00980134">
              <w:t xml:space="preserve"> C.,</w:t>
            </w:r>
            <w:r w:rsidR="00640308">
              <w:t xml:space="preserve"> </w:t>
            </w:r>
            <w:r w:rsidRPr="00980134">
              <w:t>Schmid P.,</w:t>
            </w:r>
            <w:r w:rsidR="00640308">
              <w:t xml:space="preserve"> </w:t>
            </w:r>
            <w:r w:rsidRPr="00980134">
              <w:t>Sun T.,</w:t>
            </w:r>
            <w:r w:rsidR="00640308">
              <w:t xml:space="preserve"> </w:t>
            </w:r>
            <w:proofErr w:type="spellStart"/>
            <w:r w:rsidRPr="00980134">
              <w:t>Gambhire</w:t>
            </w:r>
            <w:proofErr w:type="spellEnd"/>
            <w:r w:rsidRPr="00980134">
              <w:t xml:space="preserve"> D.,</w:t>
            </w:r>
            <w:r w:rsidR="00640308">
              <w:t xml:space="preserve"> </w:t>
            </w:r>
            <w:r w:rsidRPr="00980134">
              <w:t>Yung L.,</w:t>
            </w:r>
            <w:r w:rsidR="00640308">
              <w:t xml:space="preserve"> </w:t>
            </w:r>
            <w:r w:rsidRPr="00980134">
              <w:t>Wang Y.,</w:t>
            </w:r>
            <w:r w:rsidR="00640308">
              <w:t xml:space="preserve"> </w:t>
            </w:r>
            <w:r w:rsidRPr="00980134">
              <w:t>Singh J.,</w:t>
            </w:r>
            <w:r w:rsidR="00640308">
              <w:t xml:space="preserve"> </w:t>
            </w:r>
            <w:proofErr w:type="spellStart"/>
            <w:r w:rsidRPr="00980134">
              <w:t>Vitazka</w:t>
            </w:r>
            <w:proofErr w:type="spellEnd"/>
            <w:r w:rsidRPr="00980134">
              <w:t xml:space="preserve"> P.,</w:t>
            </w:r>
            <w:r w:rsidR="00640308">
              <w:t xml:space="preserve"> </w:t>
            </w:r>
            <w:r w:rsidRPr="00980134">
              <w:t>Meinhardt G.,</w:t>
            </w:r>
            <w:r w:rsidR="00640308">
              <w:t xml:space="preserve"> </w:t>
            </w:r>
            <w:proofErr w:type="spellStart"/>
            <w:r w:rsidRPr="00980134">
              <w:t>Harbeck</w:t>
            </w:r>
            <w:proofErr w:type="spellEnd"/>
            <w:r w:rsidRPr="00980134">
              <w:t xml:space="preserve"> N.,</w:t>
            </w:r>
            <w:r w:rsidR="00640308">
              <w:t xml:space="preserve"> </w:t>
            </w:r>
            <w:r w:rsidRPr="00980134">
              <w:t xml:space="preserve">Cameron D.A Trastuzumab </w:t>
            </w:r>
            <w:proofErr w:type="spellStart"/>
            <w:r w:rsidRPr="00980134">
              <w:t>Deruxtecan</w:t>
            </w:r>
            <w:proofErr w:type="spellEnd"/>
            <w:r w:rsidRPr="00980134">
              <w:t xml:space="preserve"> in Previously Treated HER2-Low Advanced Breast Cancer</w:t>
            </w:r>
          </w:p>
          <w:p w14:paraId="1544EC67" w14:textId="77777777" w:rsidR="00EE5515" w:rsidRPr="00980134" w:rsidRDefault="00EE5515">
            <w:pPr>
              <w:pStyle w:val="TableText0"/>
            </w:pPr>
          </w:p>
        </w:tc>
        <w:tc>
          <w:tcPr>
            <w:tcW w:w="1402" w:type="pct"/>
            <w:tcBorders>
              <w:bottom w:val="nil"/>
            </w:tcBorders>
            <w:vAlign w:val="center"/>
          </w:tcPr>
          <w:p w14:paraId="102DEB1C" w14:textId="77777777" w:rsidR="00EE5515" w:rsidRPr="00980134" w:rsidRDefault="00EE5515">
            <w:pPr>
              <w:pStyle w:val="TableText0"/>
              <w:rPr>
                <w:rFonts w:ascii="Times" w:hAnsi="Times"/>
              </w:rPr>
            </w:pPr>
            <w:r w:rsidRPr="00980134">
              <w:rPr>
                <w:i/>
                <w:iCs/>
              </w:rPr>
              <w:t>New England Journal of Medicine</w:t>
            </w:r>
            <w:r w:rsidRPr="00980134">
              <w:t xml:space="preserve"> 2022; 387(1): 9-20.</w:t>
            </w:r>
          </w:p>
        </w:tc>
      </w:tr>
      <w:tr w:rsidR="00EE5515" w:rsidRPr="00980134" w14:paraId="2C9735C9" w14:textId="77777777">
        <w:trPr>
          <w:cantSplit/>
        </w:trPr>
        <w:tc>
          <w:tcPr>
            <w:tcW w:w="795" w:type="pct"/>
            <w:vMerge/>
            <w:vAlign w:val="center"/>
          </w:tcPr>
          <w:p w14:paraId="64180BDA" w14:textId="77777777" w:rsidR="00EE5515" w:rsidRPr="00980134" w:rsidRDefault="00EE5515">
            <w:pPr>
              <w:pStyle w:val="TableText0"/>
              <w:jc w:val="center"/>
            </w:pPr>
          </w:p>
        </w:tc>
        <w:tc>
          <w:tcPr>
            <w:tcW w:w="2803" w:type="pct"/>
            <w:tcBorders>
              <w:top w:val="nil"/>
              <w:bottom w:val="nil"/>
            </w:tcBorders>
            <w:vAlign w:val="center"/>
          </w:tcPr>
          <w:p w14:paraId="098B8F21" w14:textId="0C28B32F" w:rsidR="00EE5515" w:rsidRPr="00980134" w:rsidRDefault="00EE5515">
            <w:pPr>
              <w:pStyle w:val="TableText0"/>
            </w:pPr>
            <w:r w:rsidRPr="00980134">
              <w:t>Ueno N.T.,</w:t>
            </w:r>
            <w:r w:rsidR="00640308">
              <w:t xml:space="preserve"> </w:t>
            </w:r>
            <w:proofErr w:type="spellStart"/>
            <w:r w:rsidRPr="00980134">
              <w:t>Jacot</w:t>
            </w:r>
            <w:proofErr w:type="spellEnd"/>
            <w:r w:rsidRPr="00980134">
              <w:t xml:space="preserve"> W.,</w:t>
            </w:r>
            <w:r w:rsidR="00640308">
              <w:t xml:space="preserve"> </w:t>
            </w:r>
            <w:r w:rsidRPr="00980134">
              <w:t>Yamashita T.,</w:t>
            </w:r>
            <w:r w:rsidR="00640308">
              <w:t xml:space="preserve"> </w:t>
            </w:r>
            <w:r w:rsidRPr="00980134">
              <w:t>Sohn J.,</w:t>
            </w:r>
            <w:r w:rsidR="00640308">
              <w:t xml:space="preserve"> </w:t>
            </w:r>
            <w:r w:rsidRPr="00980134">
              <w:t>Tokunaga E.,</w:t>
            </w:r>
            <w:r w:rsidR="00640308">
              <w:t xml:space="preserve"> </w:t>
            </w:r>
            <w:r w:rsidRPr="00980134">
              <w:t>Prat A.,</w:t>
            </w:r>
            <w:r w:rsidR="00640308">
              <w:t xml:space="preserve"> </w:t>
            </w:r>
            <w:proofErr w:type="spellStart"/>
            <w:r w:rsidRPr="00980134">
              <w:t>Tsurutani</w:t>
            </w:r>
            <w:proofErr w:type="spellEnd"/>
            <w:r w:rsidRPr="00980134">
              <w:t xml:space="preserve"> J.,</w:t>
            </w:r>
            <w:r w:rsidR="00640308">
              <w:t xml:space="preserve"> </w:t>
            </w:r>
            <w:r w:rsidRPr="00980134">
              <w:t>Park Y.H.,</w:t>
            </w:r>
            <w:r w:rsidR="00640308">
              <w:t xml:space="preserve"> </w:t>
            </w:r>
            <w:proofErr w:type="spellStart"/>
            <w:r w:rsidRPr="00980134">
              <w:t>Rugo</w:t>
            </w:r>
            <w:proofErr w:type="spellEnd"/>
            <w:r w:rsidRPr="00980134">
              <w:t xml:space="preserve"> H.S.,</w:t>
            </w:r>
            <w:r w:rsidR="00640308">
              <w:t xml:space="preserve"> </w:t>
            </w:r>
            <w:r w:rsidRPr="00980134">
              <w:t>Xu B.,</w:t>
            </w:r>
            <w:r w:rsidR="00640308">
              <w:t xml:space="preserve"> </w:t>
            </w:r>
            <w:r w:rsidRPr="00980134">
              <w:t>Cardoso F.,</w:t>
            </w:r>
            <w:r w:rsidR="00640308">
              <w:t xml:space="preserve"> </w:t>
            </w:r>
            <w:proofErr w:type="spellStart"/>
            <w:r w:rsidRPr="00980134">
              <w:t>Mitri</w:t>
            </w:r>
            <w:proofErr w:type="spellEnd"/>
            <w:r w:rsidRPr="00980134">
              <w:t xml:space="preserve"> Z.,</w:t>
            </w:r>
            <w:r w:rsidR="00640308">
              <w:t xml:space="preserve"> </w:t>
            </w:r>
            <w:r w:rsidRPr="00980134">
              <w:t>Mahtani R.,</w:t>
            </w:r>
            <w:r w:rsidR="00640308">
              <w:t xml:space="preserve"> </w:t>
            </w:r>
            <w:r w:rsidRPr="00980134">
              <w:t>Dunton K.,</w:t>
            </w:r>
            <w:r w:rsidR="00640308">
              <w:t xml:space="preserve"> </w:t>
            </w:r>
            <w:r w:rsidRPr="00980134">
              <w:t>Wang Y.,</w:t>
            </w:r>
            <w:r w:rsidR="00640308">
              <w:t xml:space="preserve"> </w:t>
            </w:r>
            <w:proofErr w:type="spellStart"/>
            <w:r w:rsidRPr="00980134">
              <w:t>Gambhire</w:t>
            </w:r>
            <w:proofErr w:type="spellEnd"/>
            <w:r w:rsidRPr="00980134">
              <w:t xml:space="preserve"> D.,</w:t>
            </w:r>
            <w:r w:rsidR="00640308">
              <w:t xml:space="preserve"> </w:t>
            </w:r>
            <w:proofErr w:type="spellStart"/>
            <w:r w:rsidRPr="00980134">
              <w:t>Cottone</w:t>
            </w:r>
            <w:proofErr w:type="spellEnd"/>
            <w:r w:rsidRPr="00980134">
              <w:t xml:space="preserve"> F.,</w:t>
            </w:r>
            <w:r w:rsidR="00640308">
              <w:t xml:space="preserve"> </w:t>
            </w:r>
            <w:proofErr w:type="spellStart"/>
            <w:r w:rsidRPr="00980134">
              <w:t>Harbeck</w:t>
            </w:r>
            <w:proofErr w:type="spellEnd"/>
            <w:r w:rsidRPr="00980134">
              <w:t xml:space="preserve"> N.,</w:t>
            </w:r>
            <w:r w:rsidR="00640308">
              <w:t xml:space="preserve"> </w:t>
            </w:r>
            <w:r w:rsidRPr="00980134">
              <w:t>Cameron D.A.,</w:t>
            </w:r>
            <w:r w:rsidR="00640308">
              <w:t xml:space="preserve"> </w:t>
            </w:r>
            <w:r w:rsidRPr="00980134">
              <w:t xml:space="preserve">Modi S. Patient-reported outcomes (PROs) from DESTINY-Breast04, a randomized phase III study of trastuzumab </w:t>
            </w:r>
            <w:proofErr w:type="spellStart"/>
            <w:r w:rsidRPr="00980134">
              <w:t>deruxtecan</w:t>
            </w:r>
            <w:proofErr w:type="spellEnd"/>
            <w:r w:rsidRPr="00980134">
              <w:t xml:space="preserve"> (T-</w:t>
            </w:r>
            <w:proofErr w:type="spellStart"/>
            <w:r w:rsidRPr="00980134">
              <w:t>DXd</w:t>
            </w:r>
            <w:proofErr w:type="spellEnd"/>
            <w:r w:rsidRPr="00980134">
              <w:t>) vs treatment of physician's choice (TPC) in patients (pts) with HER2-low metastatic breast cancer (MBC)</w:t>
            </w:r>
            <w:r w:rsidR="00640308">
              <w:t xml:space="preserve"> </w:t>
            </w:r>
          </w:p>
          <w:p w14:paraId="49FE8BCD" w14:textId="77777777" w:rsidR="00EE5515" w:rsidRPr="00980134" w:rsidRDefault="00EE5515">
            <w:pPr>
              <w:pStyle w:val="TableText0"/>
            </w:pPr>
          </w:p>
        </w:tc>
        <w:tc>
          <w:tcPr>
            <w:tcW w:w="1402" w:type="pct"/>
            <w:tcBorders>
              <w:top w:val="nil"/>
              <w:bottom w:val="nil"/>
            </w:tcBorders>
            <w:vAlign w:val="center"/>
          </w:tcPr>
          <w:p w14:paraId="454614C2" w14:textId="77777777" w:rsidR="00EE5515" w:rsidRPr="00980134" w:rsidRDefault="00EE5515">
            <w:pPr>
              <w:pStyle w:val="TableText0"/>
            </w:pPr>
            <w:r w:rsidRPr="00980134">
              <w:rPr>
                <w:i/>
              </w:rPr>
              <w:t xml:space="preserve">Annals of Oncology </w:t>
            </w:r>
            <w:r w:rsidRPr="00980134">
              <w:rPr>
                <w:iCs/>
              </w:rPr>
              <w:t>2022; 33(Supplement 7): S632-S633.</w:t>
            </w:r>
          </w:p>
        </w:tc>
      </w:tr>
      <w:tr w:rsidR="00EE5515" w:rsidRPr="00980134" w14:paraId="3A06402A" w14:textId="77777777">
        <w:trPr>
          <w:cantSplit/>
        </w:trPr>
        <w:tc>
          <w:tcPr>
            <w:tcW w:w="795" w:type="pct"/>
            <w:vMerge/>
            <w:vAlign w:val="center"/>
          </w:tcPr>
          <w:p w14:paraId="3FF73BA8" w14:textId="77777777" w:rsidR="00EE5515" w:rsidRPr="00980134" w:rsidRDefault="00EE5515">
            <w:pPr>
              <w:pStyle w:val="TableText0"/>
              <w:jc w:val="center"/>
            </w:pPr>
          </w:p>
        </w:tc>
        <w:tc>
          <w:tcPr>
            <w:tcW w:w="2803" w:type="pct"/>
            <w:tcBorders>
              <w:top w:val="nil"/>
              <w:bottom w:val="nil"/>
            </w:tcBorders>
            <w:vAlign w:val="center"/>
          </w:tcPr>
          <w:p w14:paraId="0AB87B7E" w14:textId="6D06A4A0" w:rsidR="00EE5515" w:rsidRPr="00980134" w:rsidRDefault="00EE5515">
            <w:pPr>
              <w:pStyle w:val="TableText0"/>
            </w:pPr>
            <w:r w:rsidRPr="00980134">
              <w:t>Modi S.,</w:t>
            </w:r>
            <w:r w:rsidR="00640308">
              <w:t xml:space="preserve"> </w:t>
            </w:r>
            <w:proofErr w:type="spellStart"/>
            <w:r w:rsidRPr="00980134">
              <w:t>Jacot</w:t>
            </w:r>
            <w:proofErr w:type="spellEnd"/>
            <w:r w:rsidRPr="00980134">
              <w:t xml:space="preserve"> W.,</w:t>
            </w:r>
            <w:r w:rsidR="00640308">
              <w:t xml:space="preserve"> </w:t>
            </w:r>
            <w:r w:rsidRPr="00980134">
              <w:t>Yamashita T.,</w:t>
            </w:r>
            <w:r w:rsidR="00640308">
              <w:t xml:space="preserve"> </w:t>
            </w:r>
            <w:r w:rsidRPr="00980134">
              <w:t>Sohn J.,</w:t>
            </w:r>
            <w:r w:rsidR="00640308">
              <w:t xml:space="preserve"> </w:t>
            </w:r>
            <w:r w:rsidRPr="00980134">
              <w:t>Vidal M.,</w:t>
            </w:r>
            <w:r w:rsidR="00640308">
              <w:t xml:space="preserve"> </w:t>
            </w:r>
            <w:r w:rsidRPr="00980134">
              <w:t>Tokunaga E.,</w:t>
            </w:r>
            <w:r w:rsidR="00640308">
              <w:t xml:space="preserve"> </w:t>
            </w:r>
            <w:proofErr w:type="spellStart"/>
            <w:r w:rsidRPr="00980134">
              <w:t>Tsurutani</w:t>
            </w:r>
            <w:proofErr w:type="spellEnd"/>
            <w:r w:rsidRPr="00980134">
              <w:t xml:space="preserve"> J.,</w:t>
            </w:r>
            <w:r w:rsidR="00640308">
              <w:t xml:space="preserve"> </w:t>
            </w:r>
            <w:r w:rsidRPr="00980134">
              <w:t>Ueno N.T.,</w:t>
            </w:r>
            <w:r w:rsidR="00640308">
              <w:t xml:space="preserve"> </w:t>
            </w:r>
            <w:r w:rsidRPr="00980134">
              <w:t>Chae Y.S.,</w:t>
            </w:r>
            <w:r w:rsidR="00640308">
              <w:t xml:space="preserve"> </w:t>
            </w:r>
            <w:r w:rsidRPr="00980134">
              <w:t>Lee K.S.,</w:t>
            </w:r>
            <w:r w:rsidR="00640308">
              <w:t xml:space="preserve"> </w:t>
            </w:r>
            <w:proofErr w:type="spellStart"/>
            <w:r w:rsidRPr="00980134">
              <w:t>Niikura</w:t>
            </w:r>
            <w:proofErr w:type="spellEnd"/>
            <w:r w:rsidRPr="00980134">
              <w:t xml:space="preserve"> N.,</w:t>
            </w:r>
            <w:r w:rsidR="00640308">
              <w:t xml:space="preserve"> </w:t>
            </w:r>
            <w:r w:rsidRPr="00980134">
              <w:t>Park Y.H.,</w:t>
            </w:r>
            <w:r w:rsidR="00640308">
              <w:t xml:space="preserve"> </w:t>
            </w:r>
            <w:r w:rsidRPr="00980134">
              <w:t>Wang X.,</w:t>
            </w:r>
            <w:r w:rsidR="00640308">
              <w:t xml:space="preserve"> </w:t>
            </w:r>
            <w:r w:rsidRPr="00980134">
              <w:t>Xu B.,</w:t>
            </w:r>
            <w:r w:rsidR="00640308">
              <w:t xml:space="preserve"> </w:t>
            </w:r>
            <w:proofErr w:type="spellStart"/>
            <w:r w:rsidRPr="00980134">
              <w:t>Gambhire</w:t>
            </w:r>
            <w:proofErr w:type="spellEnd"/>
            <w:r w:rsidRPr="00980134">
              <w:t xml:space="preserve"> D.,</w:t>
            </w:r>
            <w:r w:rsidR="00640308">
              <w:t xml:space="preserve"> </w:t>
            </w:r>
            <w:r w:rsidRPr="00980134">
              <w:t>Yung L.,</w:t>
            </w:r>
            <w:r w:rsidR="00640308">
              <w:t xml:space="preserve"> </w:t>
            </w:r>
            <w:r w:rsidRPr="00980134">
              <w:t>Meinhardt G.,</w:t>
            </w:r>
            <w:r w:rsidR="00640308">
              <w:t xml:space="preserve"> </w:t>
            </w:r>
            <w:r w:rsidRPr="00980134">
              <w:t>Wang Y.,</w:t>
            </w:r>
            <w:r w:rsidR="00640308">
              <w:t xml:space="preserve"> </w:t>
            </w:r>
            <w:proofErr w:type="spellStart"/>
            <w:r w:rsidRPr="00980134">
              <w:t>Harbeck</w:t>
            </w:r>
            <w:proofErr w:type="spellEnd"/>
            <w:r w:rsidRPr="00980134">
              <w:t xml:space="preserve"> N.,</w:t>
            </w:r>
            <w:r w:rsidR="00640308">
              <w:t xml:space="preserve"> </w:t>
            </w:r>
            <w:r w:rsidRPr="00980134">
              <w:t xml:space="preserve">Cameron D.A. Trastuzumab </w:t>
            </w:r>
            <w:proofErr w:type="spellStart"/>
            <w:r w:rsidRPr="00980134">
              <w:t>deruxtecan</w:t>
            </w:r>
            <w:proofErr w:type="spellEnd"/>
            <w:r w:rsidRPr="00980134">
              <w:t xml:space="preserve"> (T-</w:t>
            </w:r>
            <w:proofErr w:type="spellStart"/>
            <w:r w:rsidRPr="00980134">
              <w:t>DXd</w:t>
            </w:r>
            <w:proofErr w:type="spellEnd"/>
            <w:r w:rsidRPr="00980134">
              <w:t>) versus treatment of physician's choice (TPC) in patients (pts) with HER2-low unresectable and/or metastatic breast cancer (</w:t>
            </w:r>
            <w:proofErr w:type="spellStart"/>
            <w:r w:rsidRPr="00980134">
              <w:t>mBC</w:t>
            </w:r>
            <w:proofErr w:type="spellEnd"/>
            <w:r w:rsidRPr="00980134">
              <w:t>): Results of DESTINY-Breast04, a randomized, phase 3 study</w:t>
            </w:r>
          </w:p>
          <w:p w14:paraId="626653FB" w14:textId="77777777" w:rsidR="00EE5515" w:rsidRPr="00980134" w:rsidRDefault="00EE5515">
            <w:pPr>
              <w:pStyle w:val="TableText0"/>
            </w:pPr>
          </w:p>
        </w:tc>
        <w:tc>
          <w:tcPr>
            <w:tcW w:w="1402" w:type="pct"/>
            <w:tcBorders>
              <w:top w:val="nil"/>
              <w:bottom w:val="nil"/>
            </w:tcBorders>
            <w:vAlign w:val="center"/>
          </w:tcPr>
          <w:p w14:paraId="0AB0C1C4" w14:textId="77777777" w:rsidR="00EE5515" w:rsidRPr="00980134" w:rsidRDefault="00EE5515">
            <w:pPr>
              <w:pStyle w:val="TableText0"/>
              <w:rPr>
                <w:i/>
              </w:rPr>
            </w:pPr>
            <w:r w:rsidRPr="00980134">
              <w:rPr>
                <w:i/>
              </w:rPr>
              <w:t xml:space="preserve">Journal of Clinical Oncology </w:t>
            </w:r>
            <w:r w:rsidRPr="00980134">
              <w:rPr>
                <w:iCs/>
              </w:rPr>
              <w:t>2022; 40(17): Supplement.</w:t>
            </w:r>
          </w:p>
        </w:tc>
      </w:tr>
      <w:tr w:rsidR="00EE5515" w:rsidRPr="00980134" w14:paraId="6E3F6081" w14:textId="77777777">
        <w:trPr>
          <w:cantSplit/>
        </w:trPr>
        <w:tc>
          <w:tcPr>
            <w:tcW w:w="795" w:type="pct"/>
            <w:vMerge/>
            <w:vAlign w:val="center"/>
          </w:tcPr>
          <w:p w14:paraId="1CD85B6F" w14:textId="77777777" w:rsidR="00EE5515" w:rsidRPr="00980134" w:rsidRDefault="00EE5515">
            <w:pPr>
              <w:pStyle w:val="TableText0"/>
              <w:jc w:val="center"/>
            </w:pPr>
          </w:p>
        </w:tc>
        <w:tc>
          <w:tcPr>
            <w:tcW w:w="2803" w:type="pct"/>
            <w:tcBorders>
              <w:top w:val="nil"/>
              <w:bottom w:val="nil"/>
            </w:tcBorders>
            <w:vAlign w:val="center"/>
          </w:tcPr>
          <w:p w14:paraId="33387270" w14:textId="07576B10" w:rsidR="00EE5515" w:rsidRPr="00980134" w:rsidRDefault="00EE5515">
            <w:pPr>
              <w:pStyle w:val="TableText0"/>
            </w:pPr>
            <w:r w:rsidRPr="00980134">
              <w:t xml:space="preserve">Zaman K., Modi S., </w:t>
            </w:r>
            <w:proofErr w:type="spellStart"/>
            <w:r w:rsidRPr="00980134">
              <w:t>Ohtan</w:t>
            </w:r>
            <w:proofErr w:type="spellEnd"/>
            <w:r w:rsidRPr="00980134">
              <w:t xml:space="preserve"> S.,</w:t>
            </w:r>
            <w:r w:rsidR="00640308">
              <w:t xml:space="preserve"> </w:t>
            </w:r>
            <w:r w:rsidRPr="00980134">
              <w:t>Lee C.,</w:t>
            </w:r>
            <w:r w:rsidR="00640308">
              <w:t xml:space="preserve"> </w:t>
            </w:r>
            <w:r w:rsidRPr="00980134">
              <w:t>Wang Y.,</w:t>
            </w:r>
            <w:r w:rsidR="00640308">
              <w:t xml:space="preserve"> </w:t>
            </w:r>
            <w:r w:rsidRPr="00980134">
              <w:t>Saxena K.,</w:t>
            </w:r>
            <w:r w:rsidR="00640308">
              <w:t xml:space="preserve"> </w:t>
            </w:r>
            <w:r w:rsidRPr="00980134">
              <w:t>Cameron D.A</w:t>
            </w:r>
            <w:r w:rsidR="00980134">
              <w:t xml:space="preserve">. </w:t>
            </w:r>
            <w:r w:rsidRPr="00980134">
              <w:t xml:space="preserve">A phase 3, </w:t>
            </w:r>
            <w:proofErr w:type="spellStart"/>
            <w:r w:rsidRPr="00980134">
              <w:t>multicenter</w:t>
            </w:r>
            <w:proofErr w:type="spellEnd"/>
            <w:r w:rsidRPr="00980134">
              <w:t xml:space="preserve">, randomized, open-label trial of trastuzumab </w:t>
            </w:r>
            <w:proofErr w:type="spellStart"/>
            <w:r w:rsidRPr="00980134">
              <w:t>deruxtecan</w:t>
            </w:r>
            <w:proofErr w:type="spellEnd"/>
            <w:r w:rsidRPr="00980134">
              <w:t xml:space="preserve"> (T-</w:t>
            </w:r>
            <w:proofErr w:type="spellStart"/>
            <w:r w:rsidRPr="00980134">
              <w:t>DXd</w:t>
            </w:r>
            <w:proofErr w:type="spellEnd"/>
            <w:r w:rsidRPr="00980134">
              <w:t>; DS-8201) vs investigator's choice in HER2-low breast cancer (DESTINY-Breast04)</w:t>
            </w:r>
          </w:p>
          <w:p w14:paraId="178B069C" w14:textId="77777777" w:rsidR="00EE5515" w:rsidRPr="00980134" w:rsidRDefault="00EE5515">
            <w:pPr>
              <w:pStyle w:val="TableText0"/>
            </w:pPr>
          </w:p>
        </w:tc>
        <w:tc>
          <w:tcPr>
            <w:tcW w:w="1402" w:type="pct"/>
            <w:tcBorders>
              <w:top w:val="nil"/>
              <w:bottom w:val="nil"/>
            </w:tcBorders>
            <w:vAlign w:val="center"/>
          </w:tcPr>
          <w:p w14:paraId="4B8952EE" w14:textId="77777777" w:rsidR="00EE5515" w:rsidRPr="00980134" w:rsidRDefault="00EE5515">
            <w:pPr>
              <w:pStyle w:val="TableText0"/>
              <w:rPr>
                <w:i/>
              </w:rPr>
            </w:pPr>
            <w:r w:rsidRPr="00980134">
              <w:rPr>
                <w:i/>
              </w:rPr>
              <w:t xml:space="preserve">Swiss Medical Weekly </w:t>
            </w:r>
            <w:r w:rsidRPr="00980134">
              <w:rPr>
                <w:iCs/>
              </w:rPr>
              <w:t>2020; 150(SUPPL 247): 28S-29S.</w:t>
            </w:r>
          </w:p>
        </w:tc>
      </w:tr>
      <w:tr w:rsidR="00EE5515" w:rsidRPr="00980134" w14:paraId="7B970F1D" w14:textId="77777777">
        <w:trPr>
          <w:cantSplit/>
        </w:trPr>
        <w:tc>
          <w:tcPr>
            <w:tcW w:w="795" w:type="pct"/>
            <w:vMerge/>
            <w:tcBorders>
              <w:bottom w:val="nil"/>
            </w:tcBorders>
            <w:vAlign w:val="center"/>
          </w:tcPr>
          <w:p w14:paraId="10663239" w14:textId="77777777" w:rsidR="00EE5515" w:rsidRPr="00980134" w:rsidRDefault="00EE5515">
            <w:pPr>
              <w:pStyle w:val="TableText0"/>
              <w:jc w:val="center"/>
            </w:pPr>
          </w:p>
        </w:tc>
        <w:tc>
          <w:tcPr>
            <w:tcW w:w="2803" w:type="pct"/>
            <w:tcBorders>
              <w:top w:val="nil"/>
              <w:bottom w:val="nil"/>
            </w:tcBorders>
            <w:vAlign w:val="center"/>
          </w:tcPr>
          <w:p w14:paraId="3BA163D6" w14:textId="77777777" w:rsidR="00EE5515" w:rsidRPr="00980134" w:rsidRDefault="00EE5515">
            <w:pPr>
              <w:pStyle w:val="TableText0"/>
            </w:pPr>
            <w:r w:rsidRPr="00980134">
              <w:t xml:space="preserve">Clinical Study Report A Phase 3, </w:t>
            </w:r>
            <w:proofErr w:type="spellStart"/>
            <w:r w:rsidRPr="00980134">
              <w:t>Multicenter</w:t>
            </w:r>
            <w:proofErr w:type="spellEnd"/>
            <w:r w:rsidRPr="00980134">
              <w:t xml:space="preserve">, Randomized, Open-label, Active controlled Trial of Trastuzumab </w:t>
            </w:r>
            <w:proofErr w:type="spellStart"/>
            <w:r w:rsidRPr="00980134">
              <w:t>Deruxtecan</w:t>
            </w:r>
            <w:proofErr w:type="spellEnd"/>
            <w:r w:rsidRPr="00980134">
              <w:t xml:space="preserve"> (T-</w:t>
            </w:r>
            <w:proofErr w:type="spellStart"/>
            <w:r w:rsidRPr="00980134">
              <w:t>DXd</w:t>
            </w:r>
            <w:proofErr w:type="spellEnd"/>
            <w:r w:rsidRPr="00980134">
              <w:t>), an Anti-HER2-antibody Drug Conjugate (ADC), versus Treatment of Physician' s Choice for HER2-low, Unresectable and/or Metastatic Breast Cancer Subjects.</w:t>
            </w:r>
          </w:p>
        </w:tc>
        <w:tc>
          <w:tcPr>
            <w:tcW w:w="1402" w:type="pct"/>
            <w:tcBorders>
              <w:top w:val="nil"/>
              <w:bottom w:val="nil"/>
            </w:tcBorders>
            <w:vAlign w:val="center"/>
          </w:tcPr>
          <w:p w14:paraId="397FEC3F" w14:textId="77777777" w:rsidR="00EE5515" w:rsidRPr="00980134" w:rsidRDefault="00EE5515">
            <w:pPr>
              <w:pStyle w:val="TableText0"/>
              <w:rPr>
                <w:i/>
              </w:rPr>
            </w:pPr>
            <w:r w:rsidRPr="00980134">
              <w:rPr>
                <w:i/>
              </w:rPr>
              <w:t xml:space="preserve">Version 1.0, </w:t>
            </w:r>
            <w:r w:rsidRPr="00980134">
              <w:rPr>
                <w:iCs/>
              </w:rPr>
              <w:t>03 May 2022</w:t>
            </w:r>
          </w:p>
        </w:tc>
      </w:tr>
      <w:tr w:rsidR="00EE5515" w:rsidRPr="00980134" w14:paraId="31838F88" w14:textId="77777777">
        <w:trPr>
          <w:cantSplit/>
          <w:trHeight w:val="1855"/>
        </w:trPr>
        <w:tc>
          <w:tcPr>
            <w:tcW w:w="795" w:type="pct"/>
            <w:tcBorders>
              <w:bottom w:val="single" w:sz="4" w:space="0" w:color="auto"/>
            </w:tcBorders>
            <w:vAlign w:val="center"/>
          </w:tcPr>
          <w:p w14:paraId="6D2BD0C1" w14:textId="68B41CD1" w:rsidR="00EE5515" w:rsidRPr="00980134" w:rsidRDefault="00EE5515">
            <w:pPr>
              <w:pStyle w:val="TableText0"/>
              <w:jc w:val="center"/>
              <w:rPr>
                <w:rFonts w:ascii="Times" w:hAnsi="Times"/>
              </w:rPr>
            </w:pPr>
            <w:r w:rsidRPr="00980134">
              <w:t>ASCENT</w:t>
            </w:r>
          </w:p>
        </w:tc>
        <w:tc>
          <w:tcPr>
            <w:tcW w:w="2803" w:type="pct"/>
            <w:vAlign w:val="center"/>
          </w:tcPr>
          <w:p w14:paraId="44F47AD1" w14:textId="36515199" w:rsidR="00EE5515" w:rsidRPr="00980134" w:rsidRDefault="00EE5515">
            <w:pPr>
              <w:pStyle w:val="TableText0"/>
              <w:rPr>
                <w:rFonts w:ascii="Times" w:hAnsi="Times"/>
              </w:rPr>
            </w:pPr>
            <w:proofErr w:type="spellStart"/>
            <w:r w:rsidRPr="00980134">
              <w:t>Hurvitz</w:t>
            </w:r>
            <w:proofErr w:type="spellEnd"/>
            <w:r w:rsidRPr="00980134">
              <w:t xml:space="preserve"> S.A., </w:t>
            </w:r>
            <w:proofErr w:type="spellStart"/>
            <w:r w:rsidRPr="00980134">
              <w:t>Bardia</w:t>
            </w:r>
            <w:proofErr w:type="spellEnd"/>
            <w:r w:rsidRPr="00980134">
              <w:t xml:space="preserve"> A., Punie K., </w:t>
            </w:r>
            <w:proofErr w:type="spellStart"/>
            <w:r w:rsidRPr="00980134">
              <w:t>Kalinsky</w:t>
            </w:r>
            <w:proofErr w:type="spellEnd"/>
            <w:r w:rsidRPr="00980134">
              <w:t xml:space="preserve"> K., Cortes J., O'Shaughnessy J., Carey L.A., </w:t>
            </w:r>
            <w:proofErr w:type="spellStart"/>
            <w:r w:rsidRPr="00980134">
              <w:t>Rugo</w:t>
            </w:r>
            <w:proofErr w:type="spellEnd"/>
            <w:r w:rsidRPr="00980134">
              <w:t xml:space="preserve"> H.S., Yoon O.K., Pan Y., Delaney R.J., </w:t>
            </w:r>
            <w:proofErr w:type="spellStart"/>
            <w:r w:rsidRPr="00980134">
              <w:t>Hofsess</w:t>
            </w:r>
            <w:proofErr w:type="spellEnd"/>
            <w:r w:rsidRPr="00980134">
              <w:t xml:space="preserve"> S., </w:t>
            </w:r>
            <w:proofErr w:type="spellStart"/>
            <w:r w:rsidRPr="00980134">
              <w:t>Hodgkins</w:t>
            </w:r>
            <w:proofErr w:type="spellEnd"/>
            <w:r w:rsidRPr="00980134">
              <w:t xml:space="preserve"> P., Phan S-C., </w:t>
            </w:r>
            <w:proofErr w:type="spellStart"/>
            <w:r w:rsidRPr="00980134">
              <w:t>Dieras</w:t>
            </w:r>
            <w:proofErr w:type="spellEnd"/>
            <w:r w:rsidRPr="00980134">
              <w:t xml:space="preserve"> V Sacituzumab </w:t>
            </w:r>
            <w:proofErr w:type="spellStart"/>
            <w:r w:rsidRPr="00980134">
              <w:t>govitecan</w:t>
            </w:r>
            <w:proofErr w:type="spellEnd"/>
            <w:r w:rsidRPr="00980134">
              <w:t xml:space="preserve"> (SG) efficacy in patients with metastatic triple-negative breast cancer (</w:t>
            </w:r>
            <w:proofErr w:type="spellStart"/>
            <w:r w:rsidRPr="00980134">
              <w:t>mTNBC</w:t>
            </w:r>
            <w:proofErr w:type="spellEnd"/>
            <w:r w:rsidRPr="00980134">
              <w:t>) by HER2 immunohistochemistry (IHC) status: findings from the phase III ASCENT study</w:t>
            </w:r>
          </w:p>
        </w:tc>
        <w:tc>
          <w:tcPr>
            <w:tcW w:w="1402" w:type="pct"/>
            <w:vAlign w:val="center"/>
          </w:tcPr>
          <w:p w14:paraId="721883C2" w14:textId="579E1F37" w:rsidR="00EE5515" w:rsidRPr="00980134" w:rsidRDefault="00EE5515">
            <w:pPr>
              <w:pStyle w:val="TableText0"/>
            </w:pPr>
            <w:r w:rsidRPr="00980134">
              <w:rPr>
                <w:i/>
                <w:iCs/>
              </w:rPr>
              <w:t>Annals of Oncology</w:t>
            </w:r>
            <w:r w:rsidRPr="00980134">
              <w:t xml:space="preserve"> 2022; 33: S200</w:t>
            </w:r>
            <w:r w:rsidRPr="00980134">
              <w:rPr>
                <w:rFonts w:ascii="Cambria Math" w:hAnsi="Cambria Math" w:cs="Cambria Math"/>
              </w:rPr>
              <w:t>‐</w:t>
            </w:r>
            <w:r w:rsidRPr="00980134">
              <w:t>S201</w:t>
            </w:r>
          </w:p>
        </w:tc>
      </w:tr>
    </w:tbl>
    <w:p w14:paraId="1F26172B" w14:textId="77777777" w:rsidR="00EE5515" w:rsidRPr="00980134" w:rsidRDefault="00EE5515" w:rsidP="00EE5515">
      <w:pPr>
        <w:pStyle w:val="FooterTableFigure"/>
      </w:pPr>
      <w:r w:rsidRPr="00980134">
        <w:t>Source: Table 2-3, pp90-9- and Table 2-6, p98 of the submission.</w:t>
      </w:r>
    </w:p>
    <w:p w14:paraId="1353A065" w14:textId="6B010118" w:rsidR="00EE5515" w:rsidRPr="00980134" w:rsidRDefault="00EE5515" w:rsidP="00EE5515">
      <w:pPr>
        <w:pStyle w:val="FooterTableFigure"/>
      </w:pPr>
      <w:r w:rsidRPr="00980134">
        <w:t>DB-04 = DESTINY-Breast04; HER2 = human epidermal growth factor receptor 2</w:t>
      </w:r>
      <w:r w:rsidR="003C1352" w:rsidRPr="00980134">
        <w:t xml:space="preserve">; SG = </w:t>
      </w:r>
      <w:proofErr w:type="spellStart"/>
      <w:r w:rsidR="003C1352" w:rsidRPr="00980134">
        <w:t>sacituzumab</w:t>
      </w:r>
      <w:proofErr w:type="spellEnd"/>
      <w:r w:rsidR="003C1352" w:rsidRPr="00980134">
        <w:t xml:space="preserve"> </w:t>
      </w:r>
      <w:proofErr w:type="spellStart"/>
      <w:r w:rsidR="003C1352" w:rsidRPr="00980134">
        <w:t>govitecan</w:t>
      </w:r>
      <w:proofErr w:type="spellEnd"/>
      <w:r w:rsidR="003C1352" w:rsidRPr="00980134">
        <w:t>; T-</w:t>
      </w:r>
      <w:proofErr w:type="spellStart"/>
      <w:r w:rsidR="003C1352" w:rsidRPr="00980134">
        <w:t>DXd</w:t>
      </w:r>
      <w:proofErr w:type="spellEnd"/>
      <w:r w:rsidR="003C1352" w:rsidRPr="00980134">
        <w:t xml:space="preserve"> = trastuzumab </w:t>
      </w:r>
      <w:proofErr w:type="spellStart"/>
      <w:r w:rsidR="003C1352" w:rsidRPr="00980134">
        <w:t>deruxtecan</w:t>
      </w:r>
      <w:proofErr w:type="spellEnd"/>
      <w:r w:rsidR="003C1352" w:rsidRPr="00980134">
        <w:t>; TPC = treatment of physician's choice</w:t>
      </w:r>
      <w:r w:rsidRPr="00980134">
        <w:t>.</w:t>
      </w:r>
    </w:p>
    <w:p w14:paraId="335C926A" w14:textId="0936BD86" w:rsidR="003C1352" w:rsidRPr="00980134" w:rsidRDefault="003C1352" w:rsidP="00EE5515">
      <w:pPr>
        <w:pStyle w:val="FooterTableFigure"/>
        <w:rPr>
          <w:sz w:val="20"/>
        </w:rPr>
      </w:pPr>
      <w:r w:rsidRPr="00980134">
        <w:t>Note: The DB-04 trial compared T-</w:t>
      </w:r>
      <w:proofErr w:type="spellStart"/>
      <w:r w:rsidRPr="00980134">
        <w:t>DXd</w:t>
      </w:r>
      <w:proofErr w:type="spellEnd"/>
      <w:r w:rsidRPr="00980134">
        <w:t xml:space="preserve"> with TPC while the ASCENT trial compared SG with TPC.</w:t>
      </w:r>
    </w:p>
    <w:p w14:paraId="0A3CF905" w14:textId="45392255" w:rsidR="00EE5515" w:rsidRPr="00980134" w:rsidRDefault="00EE5515" w:rsidP="00EE5515">
      <w:pPr>
        <w:pStyle w:val="3-BodyText"/>
        <w:rPr>
          <w:color w:val="0066FF"/>
        </w:rPr>
      </w:pPr>
      <w:r w:rsidRPr="00980134">
        <w:t xml:space="preserve">The key features of the </w:t>
      </w:r>
      <w:r w:rsidR="005D6F8A" w:rsidRPr="00980134">
        <w:t>included</w:t>
      </w:r>
      <w:r w:rsidRPr="00980134">
        <w:t xml:space="preserve"> trial</w:t>
      </w:r>
      <w:r w:rsidR="005D6F8A" w:rsidRPr="00980134">
        <w:t>s</w:t>
      </w:r>
      <w:r w:rsidRPr="00980134">
        <w:t xml:space="preserve"> are summarised in </w:t>
      </w:r>
      <w:r w:rsidRPr="00980134">
        <w:fldChar w:fldCharType="begin" w:fldLock="1"/>
      </w:r>
      <w:r w:rsidRPr="00980134">
        <w:instrText xml:space="preserve"> REF _Ref104804098 \h  \* MERGEFORMAT </w:instrText>
      </w:r>
      <w:r w:rsidRPr="00980134">
        <w:fldChar w:fldCharType="separate"/>
      </w:r>
      <w:r w:rsidR="00DF66B3" w:rsidRPr="00DF66B3">
        <w:t>Table 3</w:t>
      </w:r>
      <w:r w:rsidRPr="00980134">
        <w:fldChar w:fldCharType="end"/>
      </w:r>
      <w:r w:rsidRPr="00980134">
        <w:t xml:space="preserve">. </w:t>
      </w:r>
    </w:p>
    <w:p w14:paraId="6029DC60" w14:textId="18D08051" w:rsidR="00EE5515" w:rsidRPr="00980134" w:rsidRDefault="00EE5515" w:rsidP="00EE5515">
      <w:pPr>
        <w:pStyle w:val="Caption"/>
        <w:rPr>
          <w:rStyle w:val="CommentReference"/>
          <w:rFonts w:eastAsiaTheme="majorEastAsia" w:cstheme="majorBidi"/>
          <w:b/>
          <w:szCs w:val="24"/>
        </w:rPr>
      </w:pPr>
      <w:bookmarkStart w:id="34" w:name="_Ref104804098"/>
      <w:r w:rsidRPr="00980134">
        <w:rPr>
          <w:rStyle w:val="CommentReference"/>
          <w:rFonts w:eastAsiaTheme="majorEastAsia" w:cstheme="majorBidi"/>
          <w:b/>
          <w:szCs w:val="24"/>
        </w:rPr>
        <w:lastRenderedPageBreak/>
        <w:t xml:space="preserve">Table </w:t>
      </w:r>
      <w:r w:rsidRPr="00980134">
        <w:rPr>
          <w:rStyle w:val="CommentReference"/>
          <w:rFonts w:eastAsiaTheme="majorEastAsia" w:cstheme="majorBidi"/>
          <w:b/>
          <w:szCs w:val="24"/>
        </w:rPr>
        <w:fldChar w:fldCharType="begin" w:fldLock="1"/>
      </w:r>
      <w:r w:rsidRPr="00980134">
        <w:rPr>
          <w:rStyle w:val="CommentReference"/>
          <w:rFonts w:eastAsiaTheme="majorEastAsia" w:cstheme="majorBidi"/>
          <w:b/>
          <w:szCs w:val="24"/>
        </w:rPr>
        <w:instrText xml:space="preserve"> SEQ Table \* ARABIC </w:instrText>
      </w:r>
      <w:r w:rsidRPr="00980134">
        <w:rPr>
          <w:rStyle w:val="CommentReference"/>
          <w:rFonts w:eastAsiaTheme="majorEastAsia" w:cstheme="majorBidi"/>
          <w:b/>
          <w:szCs w:val="24"/>
        </w:rPr>
        <w:fldChar w:fldCharType="separate"/>
      </w:r>
      <w:r w:rsidR="00DF66B3">
        <w:rPr>
          <w:rStyle w:val="CommentReference"/>
          <w:rFonts w:eastAsiaTheme="majorEastAsia" w:cstheme="majorBidi"/>
          <w:b/>
          <w:noProof/>
          <w:szCs w:val="24"/>
        </w:rPr>
        <w:t>3</w:t>
      </w:r>
      <w:r w:rsidRPr="00980134">
        <w:rPr>
          <w:rStyle w:val="CommentReference"/>
          <w:rFonts w:eastAsiaTheme="majorEastAsia" w:cstheme="majorBidi"/>
          <w:b/>
          <w:szCs w:val="24"/>
        </w:rPr>
        <w:fldChar w:fldCharType="end"/>
      </w:r>
      <w:bookmarkEnd w:id="34"/>
      <w:r w:rsidRPr="00980134">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563"/>
        <w:gridCol w:w="1275"/>
        <w:gridCol w:w="851"/>
        <w:gridCol w:w="2833"/>
        <w:gridCol w:w="997"/>
        <w:gridCol w:w="1221"/>
      </w:tblGrid>
      <w:tr w:rsidR="00EE5515" w:rsidRPr="00980134" w14:paraId="79C569BC" w14:textId="77777777" w:rsidTr="00561A80">
        <w:trPr>
          <w:cantSplit/>
          <w:tblHeader/>
        </w:trPr>
        <w:tc>
          <w:tcPr>
            <w:tcW w:w="708" w:type="pct"/>
            <w:shd w:val="clear" w:color="auto" w:fill="auto"/>
            <w:vAlign w:val="center"/>
          </w:tcPr>
          <w:p w14:paraId="40F84B7B" w14:textId="77777777" w:rsidR="00EE5515" w:rsidRPr="00980134" w:rsidRDefault="00EE5515">
            <w:pPr>
              <w:pStyle w:val="In-tableHeading"/>
              <w:rPr>
                <w:lang w:val="en-AU"/>
              </w:rPr>
            </w:pPr>
            <w:r w:rsidRPr="00980134">
              <w:rPr>
                <w:lang w:val="en-AU"/>
              </w:rPr>
              <w:t>Trial</w:t>
            </w:r>
          </w:p>
        </w:tc>
        <w:tc>
          <w:tcPr>
            <w:tcW w:w="312" w:type="pct"/>
            <w:shd w:val="clear" w:color="auto" w:fill="auto"/>
            <w:vAlign w:val="center"/>
          </w:tcPr>
          <w:p w14:paraId="10748A26" w14:textId="77777777" w:rsidR="00EE5515" w:rsidRPr="00980134" w:rsidRDefault="00EE5515">
            <w:pPr>
              <w:pStyle w:val="In-tableHeading"/>
              <w:jc w:val="center"/>
              <w:rPr>
                <w:lang w:val="en-AU"/>
              </w:rPr>
            </w:pPr>
            <w:r w:rsidRPr="00980134">
              <w:rPr>
                <w:lang w:val="en-AU"/>
              </w:rPr>
              <w:t>N</w:t>
            </w:r>
          </w:p>
        </w:tc>
        <w:tc>
          <w:tcPr>
            <w:tcW w:w="707" w:type="pct"/>
            <w:shd w:val="clear" w:color="auto" w:fill="auto"/>
            <w:vAlign w:val="center"/>
          </w:tcPr>
          <w:p w14:paraId="61E48CD3" w14:textId="77777777" w:rsidR="00EE5515" w:rsidRPr="00980134" w:rsidRDefault="00EE5515">
            <w:pPr>
              <w:pStyle w:val="In-tableHeading"/>
              <w:jc w:val="center"/>
              <w:rPr>
                <w:lang w:val="en-AU"/>
              </w:rPr>
            </w:pPr>
            <w:r w:rsidRPr="00980134">
              <w:rPr>
                <w:lang w:val="en-AU"/>
              </w:rPr>
              <w:t>Design/ duration</w:t>
            </w:r>
          </w:p>
        </w:tc>
        <w:tc>
          <w:tcPr>
            <w:tcW w:w="472" w:type="pct"/>
            <w:shd w:val="clear" w:color="auto" w:fill="auto"/>
            <w:vAlign w:val="center"/>
          </w:tcPr>
          <w:p w14:paraId="17FB5D43" w14:textId="77777777" w:rsidR="00EE5515" w:rsidRPr="00980134" w:rsidRDefault="00EE5515">
            <w:pPr>
              <w:pStyle w:val="In-tableHeading"/>
              <w:jc w:val="center"/>
              <w:rPr>
                <w:lang w:val="en-AU"/>
              </w:rPr>
            </w:pPr>
            <w:r w:rsidRPr="00980134">
              <w:rPr>
                <w:lang w:val="en-AU"/>
              </w:rPr>
              <w:t>Risk of bias</w:t>
            </w:r>
          </w:p>
        </w:tc>
        <w:tc>
          <w:tcPr>
            <w:tcW w:w="1571" w:type="pct"/>
            <w:shd w:val="clear" w:color="auto" w:fill="auto"/>
            <w:vAlign w:val="center"/>
          </w:tcPr>
          <w:p w14:paraId="21358851" w14:textId="77777777" w:rsidR="00EE5515" w:rsidRPr="00980134" w:rsidRDefault="00EE5515">
            <w:pPr>
              <w:pStyle w:val="In-tableHeading"/>
              <w:jc w:val="center"/>
              <w:rPr>
                <w:lang w:val="en-AU"/>
              </w:rPr>
            </w:pPr>
            <w:r w:rsidRPr="00980134">
              <w:rPr>
                <w:lang w:val="en-AU"/>
              </w:rPr>
              <w:t>Patient population</w:t>
            </w:r>
          </w:p>
        </w:tc>
        <w:tc>
          <w:tcPr>
            <w:tcW w:w="553" w:type="pct"/>
            <w:shd w:val="clear" w:color="auto" w:fill="auto"/>
            <w:vAlign w:val="center"/>
          </w:tcPr>
          <w:p w14:paraId="1DBB4F03" w14:textId="77777777" w:rsidR="00EE5515" w:rsidRPr="00980134" w:rsidRDefault="00EE5515">
            <w:pPr>
              <w:pStyle w:val="In-tableHeading"/>
              <w:jc w:val="center"/>
              <w:rPr>
                <w:lang w:val="en-AU"/>
              </w:rPr>
            </w:pPr>
            <w:r w:rsidRPr="00980134">
              <w:rPr>
                <w:lang w:val="en-AU"/>
              </w:rPr>
              <w:t>Outcomes</w:t>
            </w:r>
          </w:p>
        </w:tc>
        <w:tc>
          <w:tcPr>
            <w:tcW w:w="677" w:type="pct"/>
            <w:shd w:val="clear" w:color="auto" w:fill="auto"/>
            <w:vAlign w:val="center"/>
          </w:tcPr>
          <w:p w14:paraId="35D2F9C9" w14:textId="77777777" w:rsidR="00EE5515" w:rsidRPr="00980134" w:rsidRDefault="00EE5515">
            <w:pPr>
              <w:pStyle w:val="In-tableHeading"/>
              <w:jc w:val="center"/>
              <w:rPr>
                <w:lang w:val="en-AU"/>
              </w:rPr>
            </w:pPr>
            <w:r w:rsidRPr="00980134">
              <w:rPr>
                <w:lang w:val="en-AU"/>
              </w:rPr>
              <w:t>Use in modelled evaluation</w:t>
            </w:r>
          </w:p>
        </w:tc>
      </w:tr>
      <w:tr w:rsidR="00EE5515" w:rsidRPr="00980134" w14:paraId="45F67AB2" w14:textId="77777777">
        <w:trPr>
          <w:cantSplit/>
        </w:trPr>
        <w:tc>
          <w:tcPr>
            <w:tcW w:w="5000" w:type="pct"/>
            <w:gridSpan w:val="7"/>
            <w:shd w:val="clear" w:color="auto" w:fill="auto"/>
            <w:vAlign w:val="center"/>
          </w:tcPr>
          <w:p w14:paraId="257649B5" w14:textId="77777777" w:rsidR="00EE5515" w:rsidRPr="00980134" w:rsidRDefault="00EE5515">
            <w:pPr>
              <w:pStyle w:val="In-tableHeading"/>
              <w:rPr>
                <w:lang w:val="en-AU"/>
              </w:rPr>
            </w:pPr>
            <w:r w:rsidRPr="00980134">
              <w:rPr>
                <w:lang w:val="en-AU"/>
              </w:rPr>
              <w:t>T-</w:t>
            </w:r>
            <w:proofErr w:type="spellStart"/>
            <w:r w:rsidRPr="00980134">
              <w:rPr>
                <w:lang w:val="en-AU"/>
              </w:rPr>
              <w:t>DXd</w:t>
            </w:r>
            <w:proofErr w:type="spellEnd"/>
            <w:r w:rsidRPr="00980134">
              <w:rPr>
                <w:lang w:val="en-AU"/>
              </w:rPr>
              <w:t xml:space="preserve"> vs. TPC (FAS)</w:t>
            </w:r>
          </w:p>
        </w:tc>
      </w:tr>
      <w:tr w:rsidR="00EE5515" w:rsidRPr="00980134" w14:paraId="1A1A786D" w14:textId="77777777" w:rsidTr="00561A80">
        <w:trPr>
          <w:cantSplit/>
        </w:trPr>
        <w:tc>
          <w:tcPr>
            <w:tcW w:w="708" w:type="pct"/>
            <w:shd w:val="clear" w:color="auto" w:fill="auto"/>
            <w:vAlign w:val="center"/>
          </w:tcPr>
          <w:p w14:paraId="1BCDE59E" w14:textId="77777777" w:rsidR="00EE5515" w:rsidRPr="00980134" w:rsidRDefault="00EE5515">
            <w:pPr>
              <w:pStyle w:val="TableText0"/>
            </w:pPr>
            <w:r w:rsidRPr="00980134">
              <w:t>DB-04 FAS</w:t>
            </w:r>
          </w:p>
        </w:tc>
        <w:tc>
          <w:tcPr>
            <w:tcW w:w="312" w:type="pct"/>
            <w:shd w:val="clear" w:color="auto" w:fill="auto"/>
            <w:vAlign w:val="center"/>
          </w:tcPr>
          <w:p w14:paraId="44EEA7E7" w14:textId="77777777" w:rsidR="00EE5515" w:rsidRPr="00980134" w:rsidRDefault="00EE5515">
            <w:pPr>
              <w:pStyle w:val="TableText0"/>
              <w:jc w:val="center"/>
            </w:pPr>
            <w:r w:rsidRPr="00980134">
              <w:t>557</w:t>
            </w:r>
          </w:p>
        </w:tc>
        <w:tc>
          <w:tcPr>
            <w:tcW w:w="707" w:type="pct"/>
            <w:shd w:val="clear" w:color="auto" w:fill="auto"/>
            <w:vAlign w:val="center"/>
          </w:tcPr>
          <w:p w14:paraId="12AC2A07" w14:textId="77777777" w:rsidR="00EE5515" w:rsidRPr="00980134" w:rsidRDefault="00EE5515">
            <w:pPr>
              <w:pStyle w:val="TableText0"/>
              <w:jc w:val="center"/>
            </w:pPr>
            <w:r w:rsidRPr="00980134">
              <w:t>R, OL, MC</w:t>
            </w:r>
          </w:p>
          <w:p w14:paraId="71D5119A" w14:textId="77777777" w:rsidR="00EE5515" w:rsidRPr="00980134" w:rsidRDefault="00EE5515">
            <w:pPr>
              <w:pStyle w:val="TableText0"/>
              <w:jc w:val="center"/>
            </w:pPr>
            <w:r w:rsidRPr="00980134">
              <w:t>32 months</w:t>
            </w:r>
          </w:p>
        </w:tc>
        <w:tc>
          <w:tcPr>
            <w:tcW w:w="472" w:type="pct"/>
            <w:shd w:val="clear" w:color="auto" w:fill="auto"/>
            <w:vAlign w:val="center"/>
          </w:tcPr>
          <w:p w14:paraId="16113097" w14:textId="77777777" w:rsidR="00EE5515" w:rsidRPr="00980134" w:rsidRDefault="00EE5515">
            <w:pPr>
              <w:pStyle w:val="TableText0"/>
              <w:jc w:val="center"/>
              <w:rPr>
                <w:iCs/>
              </w:rPr>
            </w:pPr>
            <w:r w:rsidRPr="00980134">
              <w:rPr>
                <w:iCs/>
              </w:rPr>
              <w:t>Low</w:t>
            </w:r>
          </w:p>
        </w:tc>
        <w:tc>
          <w:tcPr>
            <w:tcW w:w="1571" w:type="pct"/>
            <w:shd w:val="clear" w:color="auto" w:fill="auto"/>
            <w:vAlign w:val="center"/>
          </w:tcPr>
          <w:p w14:paraId="2C81DD35" w14:textId="77777777" w:rsidR="00EE5515" w:rsidRPr="00980134" w:rsidRDefault="00EE5515" w:rsidP="00063856">
            <w:pPr>
              <w:pStyle w:val="TableText0"/>
            </w:pPr>
            <w:r w:rsidRPr="00980134">
              <w:t xml:space="preserve">HER2 low </w:t>
            </w:r>
            <w:proofErr w:type="spellStart"/>
            <w:r w:rsidRPr="00980134">
              <w:t>uBC</w:t>
            </w:r>
            <w:proofErr w:type="spellEnd"/>
            <w:r w:rsidRPr="00980134">
              <w:t>/</w:t>
            </w:r>
            <w:proofErr w:type="spellStart"/>
            <w:r w:rsidRPr="00980134">
              <w:t>mBC</w:t>
            </w:r>
            <w:proofErr w:type="spellEnd"/>
            <w:r w:rsidRPr="00980134">
              <w:t xml:space="preserve"> patients who have received a prior chemotherapy in the metastatic setting or developed disease recurrence during or within 6 months of completing adjuvant chemotherapy</w:t>
            </w:r>
          </w:p>
        </w:tc>
        <w:tc>
          <w:tcPr>
            <w:tcW w:w="553" w:type="pct"/>
            <w:shd w:val="clear" w:color="auto" w:fill="auto"/>
            <w:vAlign w:val="center"/>
          </w:tcPr>
          <w:p w14:paraId="0D10179E" w14:textId="77777777" w:rsidR="00EE5515" w:rsidRPr="00980134" w:rsidRDefault="00EE5515">
            <w:pPr>
              <w:pStyle w:val="TableText0"/>
              <w:jc w:val="center"/>
            </w:pPr>
            <w:r w:rsidRPr="00980134">
              <w:t>OS</w:t>
            </w:r>
          </w:p>
          <w:p w14:paraId="3D66C850" w14:textId="77777777" w:rsidR="00EE5515" w:rsidRPr="00980134" w:rsidRDefault="00EE5515">
            <w:pPr>
              <w:pStyle w:val="TableText0"/>
              <w:jc w:val="center"/>
            </w:pPr>
            <w:r w:rsidRPr="00980134">
              <w:t>PFS</w:t>
            </w:r>
          </w:p>
          <w:p w14:paraId="2B1F7C95" w14:textId="77777777" w:rsidR="00EE5515" w:rsidRPr="00980134" w:rsidRDefault="00EE5515">
            <w:pPr>
              <w:pStyle w:val="TableText0"/>
              <w:jc w:val="center"/>
            </w:pPr>
            <w:r w:rsidRPr="00980134">
              <w:t>ORR</w:t>
            </w:r>
          </w:p>
          <w:p w14:paraId="71FB1999" w14:textId="77777777" w:rsidR="00EE5515" w:rsidRPr="00980134" w:rsidRDefault="00EE5515">
            <w:pPr>
              <w:pStyle w:val="TableText0"/>
              <w:jc w:val="center"/>
            </w:pPr>
            <w:r w:rsidRPr="00980134">
              <w:t>DOR</w:t>
            </w:r>
          </w:p>
          <w:p w14:paraId="4911E8A2" w14:textId="77777777" w:rsidR="00EE5515" w:rsidRPr="00980134" w:rsidRDefault="00EE5515">
            <w:pPr>
              <w:pStyle w:val="TableText0"/>
              <w:jc w:val="center"/>
            </w:pPr>
            <w:r w:rsidRPr="00980134">
              <w:t>TTP</w:t>
            </w:r>
          </w:p>
          <w:p w14:paraId="4F1677FA" w14:textId="77777777" w:rsidR="00EE5515" w:rsidRPr="00980134" w:rsidRDefault="00EE5515">
            <w:pPr>
              <w:pStyle w:val="TableText0"/>
              <w:jc w:val="center"/>
            </w:pPr>
            <w:r w:rsidRPr="00980134">
              <w:t>QoL</w:t>
            </w:r>
          </w:p>
          <w:p w14:paraId="2C058597" w14:textId="77777777" w:rsidR="00EE5515" w:rsidRPr="00980134" w:rsidRDefault="00EE5515">
            <w:pPr>
              <w:pStyle w:val="TableText0"/>
              <w:jc w:val="center"/>
            </w:pPr>
            <w:r w:rsidRPr="00980134">
              <w:t>Safety</w:t>
            </w:r>
          </w:p>
        </w:tc>
        <w:tc>
          <w:tcPr>
            <w:tcW w:w="677" w:type="pct"/>
            <w:shd w:val="clear" w:color="auto" w:fill="auto"/>
            <w:vAlign w:val="center"/>
          </w:tcPr>
          <w:p w14:paraId="6AE2CE8A" w14:textId="77777777" w:rsidR="00EE5515" w:rsidRPr="00980134" w:rsidRDefault="00EE5515">
            <w:pPr>
              <w:pStyle w:val="TableText0"/>
              <w:jc w:val="center"/>
            </w:pPr>
            <w:r w:rsidRPr="00980134">
              <w:t>Not used</w:t>
            </w:r>
          </w:p>
        </w:tc>
      </w:tr>
      <w:tr w:rsidR="00EE5515" w:rsidRPr="00980134" w14:paraId="4EE7A5D0" w14:textId="77777777" w:rsidTr="00561A80">
        <w:trPr>
          <w:cantSplit/>
        </w:trPr>
        <w:tc>
          <w:tcPr>
            <w:tcW w:w="708" w:type="pct"/>
            <w:shd w:val="clear" w:color="auto" w:fill="auto"/>
            <w:vAlign w:val="center"/>
          </w:tcPr>
          <w:p w14:paraId="048A9D7B" w14:textId="77777777" w:rsidR="00EE5515" w:rsidRPr="00980134" w:rsidRDefault="00EE5515">
            <w:pPr>
              <w:pStyle w:val="TableText0"/>
            </w:pPr>
            <w:r w:rsidRPr="00980134">
              <w:t>DB-04 HR positive cohort</w:t>
            </w:r>
          </w:p>
        </w:tc>
        <w:tc>
          <w:tcPr>
            <w:tcW w:w="312" w:type="pct"/>
            <w:shd w:val="clear" w:color="auto" w:fill="auto"/>
            <w:vAlign w:val="center"/>
          </w:tcPr>
          <w:p w14:paraId="54C82DC8" w14:textId="77777777" w:rsidR="00EE5515" w:rsidRPr="00980134" w:rsidRDefault="00EE5515">
            <w:pPr>
              <w:pStyle w:val="TableText0"/>
              <w:jc w:val="center"/>
            </w:pPr>
            <w:r w:rsidRPr="00980134">
              <w:t>494</w:t>
            </w:r>
          </w:p>
        </w:tc>
        <w:tc>
          <w:tcPr>
            <w:tcW w:w="707" w:type="pct"/>
            <w:shd w:val="clear" w:color="auto" w:fill="auto"/>
            <w:vAlign w:val="center"/>
          </w:tcPr>
          <w:p w14:paraId="1E91310B" w14:textId="77777777" w:rsidR="00EE5515" w:rsidRPr="00980134" w:rsidRDefault="00EE5515">
            <w:pPr>
              <w:pStyle w:val="TableText0"/>
              <w:jc w:val="center"/>
            </w:pPr>
            <w:r w:rsidRPr="00980134">
              <w:t>R, OL, MC</w:t>
            </w:r>
          </w:p>
          <w:p w14:paraId="43132F3D" w14:textId="77777777" w:rsidR="00EE5515" w:rsidRPr="00980134" w:rsidRDefault="00EE5515">
            <w:pPr>
              <w:pStyle w:val="TableText0"/>
              <w:jc w:val="center"/>
            </w:pPr>
            <w:r w:rsidRPr="00980134">
              <w:t>32 months</w:t>
            </w:r>
          </w:p>
        </w:tc>
        <w:tc>
          <w:tcPr>
            <w:tcW w:w="472" w:type="pct"/>
            <w:shd w:val="clear" w:color="auto" w:fill="auto"/>
            <w:vAlign w:val="center"/>
          </w:tcPr>
          <w:p w14:paraId="5208127F" w14:textId="77777777" w:rsidR="00EE5515" w:rsidRPr="00980134" w:rsidRDefault="00EE5515">
            <w:pPr>
              <w:pStyle w:val="TableText0"/>
              <w:jc w:val="center"/>
              <w:rPr>
                <w:iCs/>
              </w:rPr>
            </w:pPr>
            <w:r w:rsidRPr="00980134">
              <w:rPr>
                <w:iCs/>
              </w:rPr>
              <w:t>Low</w:t>
            </w:r>
          </w:p>
        </w:tc>
        <w:tc>
          <w:tcPr>
            <w:tcW w:w="1571" w:type="pct"/>
            <w:shd w:val="clear" w:color="auto" w:fill="auto"/>
            <w:vAlign w:val="center"/>
          </w:tcPr>
          <w:p w14:paraId="1ABA7C17" w14:textId="77777777" w:rsidR="00EE5515" w:rsidRPr="00980134" w:rsidRDefault="00EE5515" w:rsidP="00063856">
            <w:pPr>
              <w:pStyle w:val="TableText0"/>
            </w:pPr>
            <w:r w:rsidRPr="00980134">
              <w:t xml:space="preserve">HR positive/HER2 low </w:t>
            </w:r>
            <w:proofErr w:type="spellStart"/>
            <w:r w:rsidRPr="00980134">
              <w:t>uBC</w:t>
            </w:r>
            <w:proofErr w:type="spellEnd"/>
            <w:r w:rsidRPr="00980134">
              <w:t>/</w:t>
            </w:r>
            <w:proofErr w:type="spellStart"/>
            <w:r w:rsidRPr="00980134">
              <w:t>mBC</w:t>
            </w:r>
            <w:proofErr w:type="spellEnd"/>
            <w:r w:rsidRPr="00980134">
              <w:t xml:space="preserve"> patients who have received a prior chemotherapy in the metastatic setting or developed disease recurrence during or within 6 months of completing adjuvant chemotherapy</w:t>
            </w:r>
          </w:p>
        </w:tc>
        <w:tc>
          <w:tcPr>
            <w:tcW w:w="553" w:type="pct"/>
            <w:shd w:val="clear" w:color="auto" w:fill="auto"/>
            <w:vAlign w:val="center"/>
          </w:tcPr>
          <w:p w14:paraId="7F372BAF" w14:textId="77777777" w:rsidR="00EE5515" w:rsidRPr="00980134" w:rsidRDefault="00EE5515">
            <w:pPr>
              <w:pStyle w:val="TableText0"/>
              <w:jc w:val="center"/>
            </w:pPr>
            <w:r w:rsidRPr="00980134">
              <w:t>OS</w:t>
            </w:r>
          </w:p>
          <w:p w14:paraId="0293D4A9" w14:textId="77777777" w:rsidR="00EE5515" w:rsidRPr="00980134" w:rsidRDefault="00EE5515">
            <w:pPr>
              <w:pStyle w:val="TableText0"/>
              <w:jc w:val="center"/>
            </w:pPr>
            <w:r w:rsidRPr="00980134">
              <w:t>PFS</w:t>
            </w:r>
          </w:p>
          <w:p w14:paraId="7C520313" w14:textId="77777777" w:rsidR="00EE5515" w:rsidRPr="00980134" w:rsidRDefault="00EE5515">
            <w:pPr>
              <w:pStyle w:val="TableText0"/>
              <w:jc w:val="center"/>
            </w:pPr>
            <w:r w:rsidRPr="00980134">
              <w:t>ORR</w:t>
            </w:r>
          </w:p>
          <w:p w14:paraId="714CEC22" w14:textId="77777777" w:rsidR="00EE5515" w:rsidRPr="00980134" w:rsidRDefault="00EE5515">
            <w:pPr>
              <w:pStyle w:val="TableText0"/>
              <w:jc w:val="center"/>
            </w:pPr>
            <w:r w:rsidRPr="00980134">
              <w:t>DOR</w:t>
            </w:r>
          </w:p>
          <w:p w14:paraId="2F0BCB6A" w14:textId="77777777" w:rsidR="00EE5515" w:rsidRPr="00980134" w:rsidRDefault="00EE5515">
            <w:pPr>
              <w:pStyle w:val="TableText0"/>
              <w:jc w:val="center"/>
            </w:pPr>
            <w:r w:rsidRPr="00980134">
              <w:t>TTP</w:t>
            </w:r>
          </w:p>
          <w:p w14:paraId="72876D1C" w14:textId="77777777" w:rsidR="00EE5515" w:rsidRPr="00980134" w:rsidRDefault="00EE5515">
            <w:pPr>
              <w:pStyle w:val="TableText0"/>
              <w:jc w:val="center"/>
            </w:pPr>
            <w:r w:rsidRPr="00980134">
              <w:t>QoL</w:t>
            </w:r>
          </w:p>
          <w:p w14:paraId="5071AF93" w14:textId="77777777" w:rsidR="00EE5515" w:rsidRPr="00980134" w:rsidRDefault="00EE5515">
            <w:pPr>
              <w:pStyle w:val="TableText0"/>
              <w:jc w:val="center"/>
            </w:pPr>
            <w:r w:rsidRPr="00980134">
              <w:t>Safety</w:t>
            </w:r>
          </w:p>
        </w:tc>
        <w:tc>
          <w:tcPr>
            <w:tcW w:w="677" w:type="pct"/>
            <w:shd w:val="clear" w:color="auto" w:fill="auto"/>
            <w:vAlign w:val="center"/>
          </w:tcPr>
          <w:p w14:paraId="34698387" w14:textId="77777777" w:rsidR="00EE5515" w:rsidRPr="00980134" w:rsidRDefault="00EE5515">
            <w:pPr>
              <w:pStyle w:val="TableText0"/>
              <w:jc w:val="center"/>
            </w:pPr>
            <w:r w:rsidRPr="00980134">
              <w:t>Used in the cost-effectiveness analysis</w:t>
            </w:r>
          </w:p>
        </w:tc>
      </w:tr>
      <w:tr w:rsidR="00870BB3" w:rsidRPr="00980134" w14:paraId="6D6D1AEB" w14:textId="77777777" w:rsidTr="00870BB3">
        <w:trPr>
          <w:cantSplit/>
        </w:trPr>
        <w:tc>
          <w:tcPr>
            <w:tcW w:w="5000" w:type="pct"/>
            <w:gridSpan w:val="7"/>
            <w:shd w:val="clear" w:color="auto" w:fill="auto"/>
            <w:vAlign w:val="center"/>
          </w:tcPr>
          <w:p w14:paraId="6DDDB4C7" w14:textId="7968F74C" w:rsidR="00870BB3" w:rsidRPr="00980134" w:rsidRDefault="00870BB3" w:rsidP="00063856">
            <w:pPr>
              <w:pStyle w:val="TableText0"/>
              <w:rPr>
                <w:b/>
                <w:bCs w:val="0"/>
              </w:rPr>
            </w:pPr>
            <w:r w:rsidRPr="00980134">
              <w:rPr>
                <w:b/>
                <w:bCs w:val="0"/>
              </w:rPr>
              <w:t>T-</w:t>
            </w:r>
            <w:proofErr w:type="spellStart"/>
            <w:r w:rsidRPr="00980134">
              <w:rPr>
                <w:b/>
                <w:bCs w:val="0"/>
              </w:rPr>
              <w:t>DXd</w:t>
            </w:r>
            <w:proofErr w:type="spellEnd"/>
            <w:r w:rsidRPr="00980134">
              <w:rPr>
                <w:b/>
                <w:bCs w:val="0"/>
              </w:rPr>
              <w:t xml:space="preserve"> vs. SG</w:t>
            </w:r>
          </w:p>
        </w:tc>
      </w:tr>
      <w:tr w:rsidR="007A4AA6" w:rsidRPr="00980134" w14:paraId="41802C17" w14:textId="77777777" w:rsidTr="00561A80">
        <w:trPr>
          <w:cantSplit/>
        </w:trPr>
        <w:tc>
          <w:tcPr>
            <w:tcW w:w="708" w:type="pct"/>
            <w:shd w:val="clear" w:color="auto" w:fill="auto"/>
            <w:vAlign w:val="center"/>
          </w:tcPr>
          <w:p w14:paraId="27D0F940" w14:textId="7BB686D8" w:rsidR="007A4AA6" w:rsidRPr="00980134" w:rsidRDefault="007A4AA6" w:rsidP="007A4AA6">
            <w:pPr>
              <w:pStyle w:val="TableText0"/>
            </w:pPr>
            <w:r w:rsidRPr="00980134">
              <w:t>DB-04 HR negative cohort (T-</w:t>
            </w:r>
            <w:proofErr w:type="spellStart"/>
            <w:r w:rsidRPr="00980134">
              <w:t>DXd</w:t>
            </w:r>
            <w:proofErr w:type="spellEnd"/>
            <w:r w:rsidRPr="00980134">
              <w:t xml:space="preserve">) </w:t>
            </w:r>
          </w:p>
        </w:tc>
        <w:tc>
          <w:tcPr>
            <w:tcW w:w="312" w:type="pct"/>
            <w:shd w:val="clear" w:color="auto" w:fill="auto"/>
            <w:vAlign w:val="center"/>
          </w:tcPr>
          <w:p w14:paraId="45FB6B51" w14:textId="3437C961" w:rsidR="007A4AA6" w:rsidRPr="00980134" w:rsidRDefault="007A4AA6" w:rsidP="007A4AA6">
            <w:pPr>
              <w:pStyle w:val="TableText0"/>
              <w:jc w:val="center"/>
            </w:pPr>
            <w:r w:rsidRPr="00980134">
              <w:t>63</w:t>
            </w:r>
          </w:p>
        </w:tc>
        <w:tc>
          <w:tcPr>
            <w:tcW w:w="707" w:type="pct"/>
            <w:shd w:val="clear" w:color="auto" w:fill="auto"/>
            <w:vAlign w:val="center"/>
          </w:tcPr>
          <w:p w14:paraId="5B3569A6" w14:textId="77777777" w:rsidR="007A4AA6" w:rsidRPr="00980134" w:rsidRDefault="007A4AA6" w:rsidP="007A4AA6">
            <w:pPr>
              <w:pStyle w:val="TableText0"/>
              <w:jc w:val="center"/>
            </w:pPr>
            <w:r w:rsidRPr="00980134">
              <w:t>R, OL, MC</w:t>
            </w:r>
          </w:p>
          <w:p w14:paraId="34064E2D" w14:textId="2B22F639" w:rsidR="007A4AA6" w:rsidRPr="00980134" w:rsidRDefault="007A4AA6" w:rsidP="007A4AA6">
            <w:pPr>
              <w:pStyle w:val="TableText0"/>
              <w:jc w:val="center"/>
            </w:pPr>
            <w:r w:rsidRPr="00980134">
              <w:t>32 months</w:t>
            </w:r>
          </w:p>
        </w:tc>
        <w:tc>
          <w:tcPr>
            <w:tcW w:w="472" w:type="pct"/>
            <w:shd w:val="clear" w:color="auto" w:fill="auto"/>
            <w:vAlign w:val="center"/>
          </w:tcPr>
          <w:p w14:paraId="70F1D7EE" w14:textId="774CB847" w:rsidR="007A4AA6" w:rsidRPr="00980134" w:rsidRDefault="007A4AA6" w:rsidP="007A4AA6">
            <w:pPr>
              <w:pStyle w:val="TableText0"/>
              <w:jc w:val="center"/>
            </w:pPr>
            <w:r w:rsidRPr="00980134">
              <w:t>Low</w:t>
            </w:r>
          </w:p>
        </w:tc>
        <w:tc>
          <w:tcPr>
            <w:tcW w:w="1571" w:type="pct"/>
            <w:shd w:val="clear" w:color="auto" w:fill="auto"/>
            <w:vAlign w:val="center"/>
          </w:tcPr>
          <w:p w14:paraId="08F5BF86" w14:textId="5546783F" w:rsidR="007A4AA6" w:rsidRPr="00980134" w:rsidRDefault="007A4AA6" w:rsidP="00063856">
            <w:pPr>
              <w:pStyle w:val="TableText0"/>
            </w:pPr>
            <w:r w:rsidRPr="00980134">
              <w:t xml:space="preserve">HR negative/ HER2 low </w:t>
            </w:r>
            <w:proofErr w:type="spellStart"/>
            <w:r w:rsidRPr="00980134">
              <w:t>uBC</w:t>
            </w:r>
            <w:proofErr w:type="spellEnd"/>
            <w:r w:rsidRPr="00980134">
              <w:t>/</w:t>
            </w:r>
            <w:proofErr w:type="spellStart"/>
            <w:r w:rsidRPr="00980134">
              <w:t>mBC</w:t>
            </w:r>
            <w:proofErr w:type="spellEnd"/>
            <w:r w:rsidRPr="00980134">
              <w:t xml:space="preserve"> patients who have received a prior chemotherapy in the metastatic setting or developed disease recurrence during or within 6 months of completing adjuvant chemotherapy</w:t>
            </w:r>
          </w:p>
        </w:tc>
        <w:tc>
          <w:tcPr>
            <w:tcW w:w="553" w:type="pct"/>
            <w:shd w:val="clear" w:color="auto" w:fill="auto"/>
            <w:vAlign w:val="center"/>
          </w:tcPr>
          <w:p w14:paraId="0B7FFDDA" w14:textId="77777777" w:rsidR="007A4AA6" w:rsidRPr="00980134" w:rsidRDefault="007A4AA6" w:rsidP="007A4AA6">
            <w:pPr>
              <w:pStyle w:val="TableText0"/>
              <w:jc w:val="center"/>
            </w:pPr>
            <w:r w:rsidRPr="00980134">
              <w:t>PFS</w:t>
            </w:r>
          </w:p>
          <w:p w14:paraId="483A5C6D" w14:textId="77777777" w:rsidR="007A4AA6" w:rsidRPr="00980134" w:rsidRDefault="007A4AA6" w:rsidP="007A4AA6">
            <w:pPr>
              <w:pStyle w:val="TableText0"/>
              <w:jc w:val="center"/>
            </w:pPr>
            <w:r w:rsidRPr="00980134">
              <w:t>OS</w:t>
            </w:r>
          </w:p>
          <w:p w14:paraId="01F89F56" w14:textId="77777777" w:rsidR="007A4AA6" w:rsidRPr="00980134" w:rsidRDefault="007A4AA6" w:rsidP="007A4AA6">
            <w:pPr>
              <w:pStyle w:val="TableText0"/>
              <w:jc w:val="center"/>
            </w:pPr>
            <w:r w:rsidRPr="00980134">
              <w:t>ORR</w:t>
            </w:r>
          </w:p>
          <w:p w14:paraId="3189686F" w14:textId="3A0562A3" w:rsidR="007A4AA6" w:rsidRPr="00980134" w:rsidRDefault="007A4AA6" w:rsidP="007A4AA6">
            <w:pPr>
              <w:pStyle w:val="TableText0"/>
              <w:jc w:val="center"/>
            </w:pPr>
            <w:r w:rsidRPr="00980134">
              <w:t>Safety</w:t>
            </w:r>
          </w:p>
        </w:tc>
        <w:tc>
          <w:tcPr>
            <w:tcW w:w="677" w:type="pct"/>
            <w:shd w:val="clear" w:color="auto" w:fill="auto"/>
            <w:vAlign w:val="center"/>
          </w:tcPr>
          <w:p w14:paraId="7F78346D" w14:textId="40A7CD0A" w:rsidR="007A4AA6" w:rsidRPr="00980134" w:rsidRDefault="007A4AA6" w:rsidP="007A4AA6">
            <w:pPr>
              <w:pStyle w:val="TableText0"/>
              <w:jc w:val="center"/>
            </w:pPr>
            <w:r w:rsidRPr="00980134">
              <w:t>Used</w:t>
            </w:r>
          </w:p>
        </w:tc>
      </w:tr>
      <w:tr w:rsidR="007A4AA6" w:rsidRPr="00980134" w14:paraId="6C4CDA2A" w14:textId="77777777" w:rsidTr="00561A80">
        <w:trPr>
          <w:cantSplit/>
        </w:trPr>
        <w:tc>
          <w:tcPr>
            <w:tcW w:w="708" w:type="pct"/>
            <w:shd w:val="clear" w:color="auto" w:fill="auto"/>
            <w:vAlign w:val="center"/>
          </w:tcPr>
          <w:p w14:paraId="0BC8A740" w14:textId="42502A27" w:rsidR="007A4AA6" w:rsidRPr="00980134" w:rsidRDefault="007A4AA6" w:rsidP="007A4AA6">
            <w:pPr>
              <w:pStyle w:val="TableText0"/>
            </w:pPr>
            <w:r w:rsidRPr="00980134">
              <w:t>ASCENT, HER2 low cohort</w:t>
            </w:r>
          </w:p>
          <w:p w14:paraId="1BDE9137" w14:textId="186DFAD4" w:rsidR="007A4AA6" w:rsidRPr="00980134" w:rsidRDefault="007A4AA6" w:rsidP="007A4AA6">
            <w:pPr>
              <w:pStyle w:val="TableText0"/>
            </w:pPr>
            <w:r w:rsidRPr="00980134">
              <w:t>(SG)</w:t>
            </w:r>
          </w:p>
        </w:tc>
        <w:tc>
          <w:tcPr>
            <w:tcW w:w="312" w:type="pct"/>
            <w:shd w:val="clear" w:color="auto" w:fill="auto"/>
            <w:vAlign w:val="center"/>
          </w:tcPr>
          <w:p w14:paraId="4475A294" w14:textId="554ABA2D" w:rsidR="007A4AA6" w:rsidRPr="00980134" w:rsidRDefault="007A4AA6" w:rsidP="007A4AA6">
            <w:pPr>
              <w:pStyle w:val="TableText0"/>
              <w:jc w:val="center"/>
            </w:pPr>
            <w:r w:rsidRPr="00980134">
              <w:t>123</w:t>
            </w:r>
          </w:p>
        </w:tc>
        <w:tc>
          <w:tcPr>
            <w:tcW w:w="707" w:type="pct"/>
            <w:shd w:val="clear" w:color="auto" w:fill="auto"/>
            <w:vAlign w:val="center"/>
          </w:tcPr>
          <w:p w14:paraId="7696A33D" w14:textId="328C7EF8" w:rsidR="007A4AA6" w:rsidRPr="00980134" w:rsidRDefault="007A4AA6" w:rsidP="007A4AA6">
            <w:pPr>
              <w:pStyle w:val="TableText0"/>
              <w:jc w:val="center"/>
            </w:pPr>
            <w:r w:rsidRPr="00980134">
              <w:t>R, OL, MC</w:t>
            </w:r>
          </w:p>
          <w:p w14:paraId="6FEAD90F" w14:textId="52EFD1A6" w:rsidR="007A4AA6" w:rsidRPr="00980134" w:rsidRDefault="007A4AA6" w:rsidP="007A4AA6">
            <w:pPr>
              <w:pStyle w:val="TableText0"/>
              <w:jc w:val="center"/>
            </w:pPr>
            <w:r w:rsidRPr="00980134">
              <w:t>17.7 months</w:t>
            </w:r>
          </w:p>
        </w:tc>
        <w:tc>
          <w:tcPr>
            <w:tcW w:w="472" w:type="pct"/>
            <w:shd w:val="clear" w:color="auto" w:fill="auto"/>
            <w:vAlign w:val="center"/>
          </w:tcPr>
          <w:p w14:paraId="1F9617BA" w14:textId="72903CA2" w:rsidR="007A4AA6" w:rsidRPr="00980134" w:rsidRDefault="007A4AA6" w:rsidP="007A4AA6">
            <w:pPr>
              <w:pStyle w:val="TableText0"/>
              <w:jc w:val="center"/>
            </w:pPr>
            <w:r w:rsidRPr="00980134">
              <w:t>Low</w:t>
            </w:r>
          </w:p>
        </w:tc>
        <w:tc>
          <w:tcPr>
            <w:tcW w:w="1571" w:type="pct"/>
            <w:shd w:val="clear" w:color="auto" w:fill="auto"/>
            <w:vAlign w:val="center"/>
          </w:tcPr>
          <w:p w14:paraId="5C18F709" w14:textId="3FA330B4" w:rsidR="007A4AA6" w:rsidRPr="00980134" w:rsidRDefault="007A4AA6" w:rsidP="00063856">
            <w:pPr>
              <w:pStyle w:val="TableText0"/>
            </w:pPr>
            <w:r w:rsidRPr="00980134">
              <w:t xml:space="preserve">HR negative HER2 low </w:t>
            </w:r>
            <w:proofErr w:type="spellStart"/>
            <w:r w:rsidRPr="00980134">
              <w:t>mBC</w:t>
            </w:r>
            <w:proofErr w:type="spellEnd"/>
            <w:r w:rsidRPr="00980134">
              <w:t xml:space="preserve"> patients previously treated with at least two prior chemotherapies in the locally advanced or metastatic BC setting.</w:t>
            </w:r>
          </w:p>
        </w:tc>
        <w:tc>
          <w:tcPr>
            <w:tcW w:w="553" w:type="pct"/>
            <w:shd w:val="clear" w:color="auto" w:fill="auto"/>
            <w:vAlign w:val="center"/>
          </w:tcPr>
          <w:p w14:paraId="36D5FE03" w14:textId="59788529" w:rsidR="007A4AA6" w:rsidRPr="00980134" w:rsidRDefault="007A4AA6" w:rsidP="007A4AA6">
            <w:pPr>
              <w:pStyle w:val="TableText0"/>
              <w:jc w:val="center"/>
            </w:pPr>
            <w:r w:rsidRPr="00980134">
              <w:t>PFS</w:t>
            </w:r>
          </w:p>
          <w:p w14:paraId="4A7E98D9" w14:textId="374FB413" w:rsidR="007A4AA6" w:rsidRPr="00980134" w:rsidRDefault="007A4AA6" w:rsidP="007A4AA6">
            <w:pPr>
              <w:pStyle w:val="TableText0"/>
              <w:jc w:val="center"/>
            </w:pPr>
            <w:r w:rsidRPr="00980134">
              <w:t>OS</w:t>
            </w:r>
          </w:p>
          <w:p w14:paraId="75BA9BEA" w14:textId="5348E525" w:rsidR="007A4AA6" w:rsidRPr="00980134" w:rsidRDefault="007A4AA6" w:rsidP="007A4AA6">
            <w:pPr>
              <w:pStyle w:val="TableText0"/>
              <w:jc w:val="center"/>
            </w:pPr>
            <w:r w:rsidRPr="00980134">
              <w:t>ORR</w:t>
            </w:r>
          </w:p>
          <w:p w14:paraId="44CA0483" w14:textId="2E8BAE1C" w:rsidR="007A4AA6" w:rsidRPr="00980134" w:rsidRDefault="007A4AA6" w:rsidP="007A4AA6">
            <w:pPr>
              <w:pStyle w:val="TableText0"/>
              <w:jc w:val="center"/>
            </w:pPr>
            <w:r w:rsidRPr="00980134">
              <w:t>Safety</w:t>
            </w:r>
          </w:p>
        </w:tc>
        <w:tc>
          <w:tcPr>
            <w:tcW w:w="677" w:type="pct"/>
            <w:shd w:val="clear" w:color="auto" w:fill="auto"/>
            <w:vAlign w:val="center"/>
          </w:tcPr>
          <w:p w14:paraId="151BF32E" w14:textId="52BF0A02" w:rsidR="007A4AA6" w:rsidRPr="00980134" w:rsidRDefault="007A4AA6" w:rsidP="007A4AA6">
            <w:pPr>
              <w:pStyle w:val="TableText0"/>
              <w:jc w:val="center"/>
            </w:pPr>
            <w:r w:rsidRPr="00980134">
              <w:t>Used</w:t>
            </w:r>
          </w:p>
        </w:tc>
      </w:tr>
    </w:tbl>
    <w:p w14:paraId="6D2836CF" w14:textId="77777777" w:rsidR="00EE5515" w:rsidRPr="00980134" w:rsidRDefault="00EE5515" w:rsidP="00EE5515">
      <w:pPr>
        <w:pStyle w:val="FooterTableFigure"/>
      </w:pPr>
      <w:r w:rsidRPr="00980134">
        <w:t>Source: Table 1-1, p47, Table 2-8, pp102-103, Table 2-15, pp114-115, Table 2-20, pp124-125 of the submission.</w:t>
      </w:r>
    </w:p>
    <w:p w14:paraId="3ACB95D7" w14:textId="2E299FBE" w:rsidR="00EE5515" w:rsidRPr="00980134" w:rsidRDefault="00EE5515" w:rsidP="00EE5515">
      <w:pPr>
        <w:pStyle w:val="FooterTableFigure"/>
        <w:rPr>
          <w:sz w:val="20"/>
        </w:rPr>
      </w:pPr>
      <w:r w:rsidRPr="00980134">
        <w:t xml:space="preserve">DB-04 = DESTINY-Breast04; DOR = duration of response; FAS = full analysis set; HER2 = human epidermal growth factor receptor 2; </w:t>
      </w:r>
      <w:proofErr w:type="spellStart"/>
      <w:r w:rsidRPr="00980134">
        <w:t>mBC</w:t>
      </w:r>
      <w:proofErr w:type="spellEnd"/>
      <w:r w:rsidRPr="00980134">
        <w:t xml:space="preserve"> = metastatic breast cancer; MC = multi-centre; OL = open label; ORR = overall response rate; OS = overall survival; PFS = progression-free survival; QoL = quality of life; R = randomised; </w:t>
      </w:r>
      <w:r w:rsidR="00870BB3" w:rsidRPr="00980134">
        <w:t xml:space="preserve">SG = </w:t>
      </w:r>
      <w:proofErr w:type="spellStart"/>
      <w:r w:rsidR="00870BB3" w:rsidRPr="00980134">
        <w:t>sacituzumab</w:t>
      </w:r>
      <w:proofErr w:type="spellEnd"/>
      <w:r w:rsidR="00870BB3" w:rsidRPr="00980134">
        <w:t xml:space="preserve"> </w:t>
      </w:r>
      <w:proofErr w:type="spellStart"/>
      <w:r w:rsidR="00870BB3" w:rsidRPr="00980134">
        <w:t>govitecan</w:t>
      </w:r>
      <w:proofErr w:type="spellEnd"/>
      <w:r w:rsidR="00870BB3" w:rsidRPr="00980134">
        <w:t xml:space="preserve">; </w:t>
      </w:r>
      <w:r w:rsidRPr="00980134">
        <w:t>T-</w:t>
      </w:r>
      <w:proofErr w:type="spellStart"/>
      <w:r w:rsidRPr="00980134">
        <w:t>DXd</w:t>
      </w:r>
      <w:proofErr w:type="spellEnd"/>
      <w:r w:rsidRPr="00980134">
        <w:t xml:space="preserve"> = trastuzumab </w:t>
      </w:r>
      <w:proofErr w:type="spellStart"/>
      <w:r w:rsidRPr="00980134">
        <w:t>deruxtecan</w:t>
      </w:r>
      <w:proofErr w:type="spellEnd"/>
      <w:r w:rsidRPr="00980134">
        <w:t xml:space="preserve">; TPC = treatment of physician’s choice; TTP = time to progression; </w:t>
      </w:r>
      <w:proofErr w:type="spellStart"/>
      <w:r w:rsidRPr="00980134">
        <w:t>uBC</w:t>
      </w:r>
      <w:proofErr w:type="spellEnd"/>
      <w:r w:rsidRPr="00980134">
        <w:t xml:space="preserve"> = unresectable breast cancer.</w:t>
      </w:r>
    </w:p>
    <w:p w14:paraId="2F402FA6" w14:textId="61F091F7" w:rsidR="00EE5515" w:rsidRPr="00980134" w:rsidRDefault="00EE5515" w:rsidP="00EE5515">
      <w:pPr>
        <w:pStyle w:val="4-SubsectionHeading"/>
      </w:pPr>
      <w:bookmarkStart w:id="35" w:name="_Toc142092387"/>
      <w:bookmarkStart w:id="36" w:name="_Toc142576843"/>
      <w:bookmarkStart w:id="37" w:name="_Toc145452638"/>
      <w:r w:rsidRPr="00980134">
        <w:t>Comparative effectiveness</w:t>
      </w:r>
      <w:bookmarkEnd w:id="35"/>
      <w:bookmarkEnd w:id="36"/>
      <w:bookmarkEnd w:id="37"/>
    </w:p>
    <w:p w14:paraId="4C70C547" w14:textId="5C0B9C9F" w:rsidR="00EE5515" w:rsidRPr="00980134" w:rsidRDefault="00EE5515" w:rsidP="00EE5515">
      <w:pPr>
        <w:rPr>
          <w:bCs/>
          <w:u w:val="single"/>
        </w:rPr>
      </w:pPr>
      <w:r w:rsidRPr="00980134">
        <w:rPr>
          <w:b/>
          <w:bCs/>
          <w:u w:val="single"/>
        </w:rPr>
        <w:t>T-</w:t>
      </w:r>
      <w:proofErr w:type="spellStart"/>
      <w:r w:rsidRPr="00980134">
        <w:rPr>
          <w:b/>
          <w:bCs/>
          <w:u w:val="single"/>
        </w:rPr>
        <w:t>DXd</w:t>
      </w:r>
      <w:proofErr w:type="spellEnd"/>
      <w:r w:rsidRPr="00980134">
        <w:rPr>
          <w:b/>
          <w:bCs/>
          <w:u w:val="single"/>
        </w:rPr>
        <w:t xml:space="preserve"> vs TPC in HR positive or HR negative/HER2 low breast cancer</w:t>
      </w:r>
    </w:p>
    <w:p w14:paraId="1D4D03B2" w14:textId="77777777" w:rsidR="00EE5515" w:rsidRPr="00980134" w:rsidRDefault="00EE5515" w:rsidP="00EE5515">
      <w:pPr>
        <w:pStyle w:val="3-BodyText"/>
      </w:pPr>
      <w:r w:rsidRPr="00980134">
        <w:t xml:space="preserve">Two data cut-offs (DCO) were presented in the submission for DB-04. The primary DCO was 11 January 2022, and at this DCO progression free survival (PFS) by blinded independent central reading (BICR) in the full analysis set (FAS) population had a median pooled follow-up of 15.3 months and overall survival (OS) in the FAS had a median pooled follow-up of 18.4 months. </w:t>
      </w:r>
    </w:p>
    <w:p w14:paraId="2E938168" w14:textId="77777777" w:rsidR="00EE5515" w:rsidRPr="00980134" w:rsidRDefault="00EE5515" w:rsidP="00EE5515">
      <w:pPr>
        <w:pStyle w:val="3-BodyText"/>
      </w:pPr>
      <w:r w:rsidRPr="00980134">
        <w:t>The second, and final, DCO was 1 March 2023. Only PFS by investigator assessment and OS were updated at this DCO. The median duration of follow-up for OS in the FAS was 32 months.</w:t>
      </w:r>
    </w:p>
    <w:p w14:paraId="6BD84008" w14:textId="0B8D3E21" w:rsidR="00EE5515" w:rsidRPr="00980134" w:rsidRDefault="00EE5515" w:rsidP="00EE5515">
      <w:pPr>
        <w:pStyle w:val="3-BodyText"/>
        <w:rPr>
          <w:color w:val="0066FF"/>
        </w:rPr>
      </w:pPr>
      <w:r w:rsidRPr="00980134">
        <w:rPr>
          <w:rFonts w:cs="Calibri"/>
        </w:rPr>
        <w:t xml:space="preserve">In the FAS population, at the 11 January </w:t>
      </w:r>
      <w:r w:rsidR="00574657" w:rsidRPr="00980134">
        <w:rPr>
          <w:rFonts w:cs="Calibri"/>
        </w:rPr>
        <w:t xml:space="preserve">2022 </w:t>
      </w:r>
      <w:r w:rsidRPr="00980134">
        <w:rPr>
          <w:rFonts w:cs="Calibri"/>
        </w:rPr>
        <w:t>DCO, 65.1% of patients in the T</w:t>
      </w:r>
      <w:r w:rsidR="005D6F8A" w:rsidRPr="00980134">
        <w:rPr>
          <w:rFonts w:cs="Calibri"/>
        </w:rPr>
        <w:noBreakHyphen/>
      </w:r>
      <w:proofErr w:type="spellStart"/>
      <w:r w:rsidRPr="00980134">
        <w:rPr>
          <w:rFonts w:cs="Calibri"/>
        </w:rPr>
        <w:t>DXd</w:t>
      </w:r>
      <w:proofErr w:type="spellEnd"/>
      <w:r w:rsidRPr="00980134">
        <w:rPr>
          <w:rFonts w:cs="Calibri"/>
        </w:rPr>
        <w:t xml:space="preserve"> arm and 69.0% of patients in the TPC arm experienced disease progression as per BICR or death. T-</w:t>
      </w:r>
      <w:proofErr w:type="spellStart"/>
      <w:r w:rsidRPr="00980134">
        <w:rPr>
          <w:rFonts w:cs="Calibri"/>
        </w:rPr>
        <w:t>DXd</w:t>
      </w:r>
      <w:proofErr w:type="spellEnd"/>
      <w:r w:rsidRPr="00980134">
        <w:rPr>
          <w:rFonts w:cs="Calibri"/>
        </w:rPr>
        <w:t xml:space="preserve"> was associated with a statistically significant improvement in PFS compared with TPC. Patients in the T-</w:t>
      </w:r>
      <w:proofErr w:type="spellStart"/>
      <w:r w:rsidRPr="00980134">
        <w:rPr>
          <w:rFonts w:cs="Calibri"/>
        </w:rPr>
        <w:t>DXd</w:t>
      </w:r>
      <w:proofErr w:type="spellEnd"/>
      <w:r w:rsidRPr="00980134">
        <w:rPr>
          <w:rFonts w:cs="Calibri"/>
        </w:rPr>
        <w:t xml:space="preserve"> group had a median PFS of 9.9 months and </w:t>
      </w:r>
      <w:r w:rsidRPr="00980134">
        <w:rPr>
          <w:rFonts w:cs="Calibri"/>
        </w:rPr>
        <w:lastRenderedPageBreak/>
        <w:t>those in the TPC group had a median PFS of 5.1 months, with a hazard ratio of 0.50 (95% confidence interval [CI]: 0.40, 0.63) (</w:t>
      </w:r>
      <w:r w:rsidRPr="00980134">
        <w:rPr>
          <w:rFonts w:ascii="Calibri" w:hAnsi="Calibri" w:cs="Calibri"/>
          <w:b/>
          <w:bCs/>
        </w:rPr>
        <w:fldChar w:fldCharType="begin" w:fldLock="1"/>
      </w:r>
      <w:r w:rsidRPr="00980134">
        <w:rPr>
          <w:rFonts w:cs="Calibri"/>
        </w:rPr>
        <w:instrText xml:space="preserve"> REF _Ref142487556 \h </w:instrText>
      </w:r>
      <w:r w:rsidRPr="00980134">
        <w:rPr>
          <w:rFonts w:ascii="Calibri" w:hAnsi="Calibri" w:cs="Calibri"/>
          <w:b/>
          <w:bCs/>
        </w:rPr>
      </w:r>
      <w:r w:rsidRPr="00980134">
        <w:rPr>
          <w:rFonts w:ascii="Calibri" w:hAnsi="Calibri" w:cs="Calibri"/>
          <w:b/>
          <w:bCs/>
        </w:rPr>
        <w:fldChar w:fldCharType="separate"/>
      </w:r>
      <w:r w:rsidR="00DF66B3" w:rsidRPr="00980134">
        <w:t xml:space="preserve">Table </w:t>
      </w:r>
      <w:r w:rsidR="00DF66B3">
        <w:rPr>
          <w:noProof/>
        </w:rPr>
        <w:t>4</w:t>
      </w:r>
      <w:r w:rsidRPr="00980134">
        <w:rPr>
          <w:rFonts w:ascii="Calibri" w:hAnsi="Calibri" w:cs="Calibri"/>
          <w:b/>
          <w:bCs/>
        </w:rPr>
        <w:fldChar w:fldCharType="end"/>
      </w:r>
      <w:r w:rsidRPr="00980134">
        <w:rPr>
          <w:rFonts w:ascii="Calibri" w:hAnsi="Calibri" w:cs="Calibri"/>
        </w:rPr>
        <w:t>)</w:t>
      </w:r>
      <w:r w:rsidRPr="00980134">
        <w:rPr>
          <w:rFonts w:cs="Calibri"/>
        </w:rPr>
        <w:t xml:space="preserve">. The Kaplan-Meier (KM) curve for PFS by BICR in the FAS is shown in </w:t>
      </w:r>
      <w:r w:rsidRPr="00980134">
        <w:rPr>
          <w:rFonts w:cs="Calibri"/>
        </w:rPr>
        <w:fldChar w:fldCharType="begin" w:fldLock="1"/>
      </w:r>
      <w:r w:rsidRPr="00980134">
        <w:rPr>
          <w:rFonts w:cs="Calibri"/>
        </w:rPr>
        <w:instrText xml:space="preserve"> REF _Ref142077266 \h </w:instrText>
      </w:r>
      <w:r w:rsidRPr="00980134">
        <w:rPr>
          <w:rFonts w:cs="Calibri"/>
        </w:rPr>
      </w:r>
      <w:r w:rsidRPr="00980134">
        <w:rPr>
          <w:rFonts w:cs="Calibri"/>
        </w:rPr>
        <w:fldChar w:fldCharType="separate"/>
      </w:r>
      <w:r w:rsidR="00DF66B3" w:rsidRPr="00980134">
        <w:t xml:space="preserve">Figure </w:t>
      </w:r>
      <w:r w:rsidR="00DF66B3">
        <w:rPr>
          <w:noProof/>
        </w:rPr>
        <w:t>1</w:t>
      </w:r>
      <w:r w:rsidRPr="00980134">
        <w:rPr>
          <w:rFonts w:cs="Calibri"/>
        </w:rPr>
        <w:fldChar w:fldCharType="end"/>
      </w:r>
      <w:r w:rsidRPr="00980134">
        <w:rPr>
          <w:rFonts w:cs="Calibri"/>
        </w:rPr>
        <w:t xml:space="preserve">. </w:t>
      </w:r>
      <w:r w:rsidRPr="00980134">
        <w:t xml:space="preserve">Early and sustained separation in the KM curves was observed. The percentage of patients without disease progression </w:t>
      </w:r>
      <w:r w:rsidR="005D6F8A" w:rsidRPr="00980134">
        <w:t xml:space="preserve">was </w:t>
      </w:r>
      <w:r w:rsidRPr="00980134">
        <w:t>higher in the T-</w:t>
      </w:r>
      <w:proofErr w:type="spellStart"/>
      <w:r w:rsidRPr="00980134">
        <w:t>DXd</w:t>
      </w:r>
      <w:proofErr w:type="spellEnd"/>
      <w:r w:rsidRPr="00980134">
        <w:t xml:space="preserve"> arm than in the TPC arm at 6 months (68.1% </w:t>
      </w:r>
      <w:r w:rsidRPr="00980134">
        <w:rPr>
          <w:i/>
          <w:iCs/>
        </w:rPr>
        <w:t>vs</w:t>
      </w:r>
      <w:r w:rsidRPr="00980134">
        <w:t xml:space="preserve">. 43.9%), 12 months (41.9% </w:t>
      </w:r>
      <w:r w:rsidRPr="00980134">
        <w:rPr>
          <w:i/>
          <w:iCs/>
        </w:rPr>
        <w:t>vs</w:t>
      </w:r>
      <w:r w:rsidRPr="00980134">
        <w:t xml:space="preserve">. 21.8%) and at 18 months (29.7% </w:t>
      </w:r>
      <w:r w:rsidRPr="00980134">
        <w:rPr>
          <w:i/>
          <w:iCs/>
        </w:rPr>
        <w:t>vs</w:t>
      </w:r>
      <w:r w:rsidRPr="00980134">
        <w:t>. 10.9%). The PFS KM estimate for TPC remained unchanged beyond 18 months primarily due to the small number of patients remaining at risk of an event.</w:t>
      </w:r>
    </w:p>
    <w:p w14:paraId="621D5729" w14:textId="443D7938" w:rsidR="00EE5515" w:rsidRPr="00980134" w:rsidRDefault="00EE5515" w:rsidP="00EE5515">
      <w:pPr>
        <w:pStyle w:val="3-BodyText"/>
      </w:pPr>
      <w:r w:rsidRPr="00980134">
        <w:t>The results of PFS by BICR in the HR positive cohort were similar to those reported in the FAS population (</w:t>
      </w:r>
      <w:r w:rsidRPr="00980134">
        <w:fldChar w:fldCharType="begin" w:fldLock="1"/>
      </w:r>
      <w:r w:rsidRPr="00980134">
        <w:instrText xml:space="preserve"> REF _Ref142487556 \h </w:instrText>
      </w:r>
      <w:r w:rsidRPr="00980134">
        <w:fldChar w:fldCharType="separate"/>
      </w:r>
      <w:r w:rsidR="00DF66B3" w:rsidRPr="00980134">
        <w:t xml:space="preserve">Table </w:t>
      </w:r>
      <w:r w:rsidR="00DF66B3">
        <w:rPr>
          <w:noProof/>
        </w:rPr>
        <w:t>4</w:t>
      </w:r>
      <w:r w:rsidRPr="00980134">
        <w:fldChar w:fldCharType="end"/>
      </w:r>
      <w:r w:rsidRPr="00980134">
        <w:t xml:space="preserve">). This is expected as most of the </w:t>
      </w:r>
      <w:proofErr w:type="gramStart"/>
      <w:r w:rsidRPr="00980134">
        <w:t>FAS</w:t>
      </w:r>
      <w:proofErr w:type="gramEnd"/>
      <w:r w:rsidRPr="00980134">
        <w:t xml:space="preserve"> population (88.7%) were HR positive patients</w:t>
      </w:r>
      <w:r w:rsidRPr="00980134">
        <w:rPr>
          <w:i/>
          <w:iCs/>
        </w:rPr>
        <w:t>.</w:t>
      </w:r>
      <w:r w:rsidRPr="00980134">
        <w:t xml:space="preserve"> In the HR positive cohort, patients receiving T-</w:t>
      </w:r>
      <w:proofErr w:type="spellStart"/>
      <w:r w:rsidRPr="00980134">
        <w:t>DXd</w:t>
      </w:r>
      <w:proofErr w:type="spellEnd"/>
      <w:r w:rsidRPr="00980134">
        <w:t xml:space="preserve"> had a median PFS of 10.1 months, compared with a median PFS of 5.4 months for TPC. The difference was statistically significant between the two treatment arms (hazard ratio: 0.51; 95% CI: 0.40, 0.64). The KM curves for the HR positive cohort of DB-04 are shown in </w:t>
      </w:r>
      <w:r w:rsidRPr="00980134">
        <w:fldChar w:fldCharType="begin" w:fldLock="1"/>
      </w:r>
      <w:r w:rsidRPr="00980134">
        <w:instrText xml:space="preserve"> REF _Ref142487622 \h </w:instrText>
      </w:r>
      <w:r w:rsidRPr="00980134">
        <w:fldChar w:fldCharType="separate"/>
      </w:r>
      <w:r w:rsidR="00DF66B3" w:rsidRPr="00980134">
        <w:t xml:space="preserve">Figure </w:t>
      </w:r>
      <w:r w:rsidR="00DF66B3">
        <w:rPr>
          <w:noProof/>
        </w:rPr>
        <w:t>2</w:t>
      </w:r>
      <w:r w:rsidRPr="00980134">
        <w:fldChar w:fldCharType="end"/>
      </w:r>
      <w:r w:rsidRPr="00980134">
        <w:t>. Like the FAS, early and sustained separation of the curves was seen and persisted until the number of patients at risk became too small for reliable data.</w:t>
      </w:r>
    </w:p>
    <w:p w14:paraId="1AA59B3C" w14:textId="7CB55CEB" w:rsidR="00EE5515" w:rsidRPr="00980134" w:rsidRDefault="00EE5515" w:rsidP="00EE5515">
      <w:pPr>
        <w:pStyle w:val="3-BodyText"/>
      </w:pPr>
      <w:r w:rsidRPr="00980134">
        <w:t>The HR negative cohort of DB-04 was 63 patients</w:t>
      </w:r>
      <w:r w:rsidR="0068609D" w:rsidRPr="00980134">
        <w:t xml:space="preserve"> (reduced to 58 patients in the</w:t>
      </w:r>
      <w:r w:rsidR="00A038ED" w:rsidRPr="00A038ED">
        <w:rPr>
          <w:rFonts w:ascii="Times New Roman" w:eastAsiaTheme="minorHAnsi" w:hAnsi="Times New Roman" w:cstheme="minorBidi"/>
          <w:snapToGrid/>
          <w:szCs w:val="22"/>
          <w:lang w:eastAsia="en-US"/>
        </w:rPr>
        <w:t xml:space="preserve"> </w:t>
      </w:r>
      <w:r w:rsidR="00A038ED" w:rsidRPr="00A038ED">
        <w:t>Pre-Sub-Committee Response</w:t>
      </w:r>
      <w:r w:rsidR="00A038ED">
        <w:t xml:space="preserve"> (</w:t>
      </w:r>
      <w:r w:rsidR="0068609D" w:rsidRPr="00980134">
        <w:t>PSCR</w:t>
      </w:r>
      <w:r w:rsidR="00A038ED">
        <w:t>)</w:t>
      </w:r>
      <w:r w:rsidR="0068609D" w:rsidRPr="00980134">
        <w:t xml:space="preserve"> – see paragraph </w:t>
      </w:r>
      <w:r w:rsidR="0068609D" w:rsidRPr="00980134">
        <w:fldChar w:fldCharType="begin" w:fldLock="1"/>
      </w:r>
      <w:r w:rsidR="0068609D" w:rsidRPr="00980134">
        <w:instrText xml:space="preserve"> REF _Ref148342091 \r \h  \* MERGEFORMAT </w:instrText>
      </w:r>
      <w:r w:rsidR="0068609D" w:rsidRPr="00980134">
        <w:fldChar w:fldCharType="separate"/>
      </w:r>
      <w:r w:rsidR="00DF66B3">
        <w:t>6.26</w:t>
      </w:r>
      <w:r w:rsidR="0068609D" w:rsidRPr="00980134">
        <w:fldChar w:fldCharType="end"/>
      </w:r>
      <w:r w:rsidR="0068609D" w:rsidRPr="00980134">
        <w:t>)</w:t>
      </w:r>
      <w:r w:rsidRPr="00980134">
        <w:t>, representing 11.3% of the FAS population. In this cohort, patients receiving T-</w:t>
      </w:r>
      <w:proofErr w:type="spellStart"/>
      <w:r w:rsidRPr="00980134">
        <w:t>DXd</w:t>
      </w:r>
      <w:proofErr w:type="spellEnd"/>
      <w:r w:rsidRPr="00980134">
        <w:t xml:space="preserve"> had a median PFS of 6.6 months, compared with a median PFS of 2.9 months for TPC (</w:t>
      </w:r>
      <w:r w:rsidRPr="00980134">
        <w:fldChar w:fldCharType="begin" w:fldLock="1"/>
      </w:r>
      <w:r w:rsidRPr="00980134">
        <w:instrText xml:space="preserve"> REF _Ref142487556 \h </w:instrText>
      </w:r>
      <w:r w:rsidRPr="00980134">
        <w:fldChar w:fldCharType="separate"/>
      </w:r>
      <w:r w:rsidR="00DF66B3" w:rsidRPr="00980134">
        <w:t xml:space="preserve">Table </w:t>
      </w:r>
      <w:r w:rsidR="00DF66B3">
        <w:rPr>
          <w:noProof/>
        </w:rPr>
        <w:t>4</w:t>
      </w:r>
      <w:r w:rsidRPr="00980134">
        <w:fldChar w:fldCharType="end"/>
      </w:r>
      <w:r w:rsidRPr="00980134">
        <w:t>), noting that HR negative patients have a worse prognosis. The difference was statistically significant between the two treatment arms (hazard ratio: 0.45; 95% CI: 0.23, 0.87). The KM curves for the HR negative cohort of the DB-04 trial are</w:t>
      </w:r>
      <w:r w:rsidR="00C05363" w:rsidRPr="00980134">
        <w:t xml:space="preserve"> shown</w:t>
      </w:r>
      <w:r w:rsidRPr="00980134">
        <w:t xml:space="preserve"> in </w:t>
      </w:r>
      <w:r w:rsidRPr="00980134">
        <w:fldChar w:fldCharType="begin" w:fldLock="1"/>
      </w:r>
      <w:r w:rsidRPr="00980134">
        <w:instrText xml:space="preserve"> REF _Ref142487883 \h </w:instrText>
      </w:r>
      <w:r w:rsidRPr="00980134">
        <w:fldChar w:fldCharType="separate"/>
      </w:r>
      <w:r w:rsidR="00DF66B3" w:rsidRPr="00980134">
        <w:t xml:space="preserve">Figure </w:t>
      </w:r>
      <w:r w:rsidR="00DF66B3">
        <w:rPr>
          <w:noProof/>
        </w:rPr>
        <w:t>3</w:t>
      </w:r>
      <w:r w:rsidRPr="00980134">
        <w:fldChar w:fldCharType="end"/>
      </w:r>
      <w:r w:rsidRPr="00980134">
        <w:t>. The small number of patients in the HR negative TPC arm resulted in the number of patients at risk dropping quickly, making the KM results unreliable.</w:t>
      </w:r>
    </w:p>
    <w:p w14:paraId="011E534D" w14:textId="7A0A58CE" w:rsidR="00EE5515" w:rsidRPr="00980134" w:rsidRDefault="00EE5515" w:rsidP="00EE5515">
      <w:pPr>
        <w:pStyle w:val="Caption"/>
      </w:pPr>
      <w:bookmarkStart w:id="38" w:name="_Ref142487556"/>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4</w:t>
      </w:r>
      <w:r w:rsidR="006E03AE">
        <w:rPr>
          <w:noProof/>
        </w:rPr>
        <w:fldChar w:fldCharType="end"/>
      </w:r>
      <w:bookmarkEnd w:id="38"/>
      <w:r w:rsidRPr="00980134">
        <w:t xml:space="preserve">: </w:t>
      </w:r>
      <w:r w:rsidRPr="00980134">
        <w:rPr>
          <w:rStyle w:val="CommentReference"/>
          <w:rFonts w:eastAsiaTheme="majorEastAsia" w:cstheme="majorBidi"/>
          <w:b/>
          <w:szCs w:val="24"/>
        </w:rPr>
        <w:t>Summary of PFS by BICR in DB-04 (DCO 1 January 2022, 15.3 months median follow-up).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47"/>
        <w:gridCol w:w="1571"/>
        <w:gridCol w:w="1540"/>
        <w:gridCol w:w="1812"/>
      </w:tblGrid>
      <w:tr w:rsidR="003819F6" w:rsidRPr="00980134" w14:paraId="6790EDB9" w14:textId="77777777" w:rsidTr="004D444B">
        <w:trPr>
          <w:jc w:val="center"/>
        </w:trPr>
        <w:tc>
          <w:tcPr>
            <w:tcW w:w="1412" w:type="pct"/>
            <w:vAlign w:val="center"/>
          </w:tcPr>
          <w:p w14:paraId="036E6055" w14:textId="77777777" w:rsidR="00EE5515" w:rsidRPr="00980134" w:rsidRDefault="00EE5515">
            <w:pPr>
              <w:pStyle w:val="In-tableHeading"/>
              <w:rPr>
                <w:rFonts w:cstheme="minorHAnsi"/>
                <w:szCs w:val="20"/>
                <w:lang w:val="en-AU"/>
              </w:rPr>
            </w:pPr>
            <w:r w:rsidRPr="00980134">
              <w:rPr>
                <w:rFonts w:cstheme="minorHAnsi"/>
                <w:szCs w:val="20"/>
                <w:lang w:val="en-AU"/>
              </w:rPr>
              <w:t>PFS by BICR FAS</w:t>
            </w:r>
          </w:p>
        </w:tc>
        <w:tc>
          <w:tcPr>
            <w:tcW w:w="858" w:type="pct"/>
            <w:vAlign w:val="center"/>
          </w:tcPr>
          <w:p w14:paraId="3C724890" w14:textId="55C25A3E" w:rsidR="00EE5515" w:rsidRPr="00980134" w:rsidRDefault="00EE5515">
            <w:pPr>
              <w:pStyle w:val="In-tableHeading"/>
              <w:rPr>
                <w:rFonts w:cstheme="minorHAnsi"/>
                <w:szCs w:val="20"/>
                <w:lang w:val="en-AU"/>
              </w:rPr>
            </w:pPr>
            <w:r w:rsidRPr="00980134">
              <w:rPr>
                <w:rFonts w:cstheme="minorHAnsi"/>
                <w:szCs w:val="20"/>
                <w:lang w:val="en-AU"/>
              </w:rPr>
              <w:t>T-</w:t>
            </w:r>
            <w:proofErr w:type="spellStart"/>
            <w:r w:rsidRPr="00980134">
              <w:rPr>
                <w:rFonts w:cstheme="minorHAnsi"/>
                <w:szCs w:val="20"/>
                <w:lang w:val="en-AU"/>
              </w:rPr>
              <w:t>DXd</w:t>
            </w:r>
            <w:proofErr w:type="spellEnd"/>
            <w:r w:rsidRPr="00980134">
              <w:rPr>
                <w:rFonts w:cstheme="minorHAnsi"/>
                <w:szCs w:val="20"/>
                <w:lang w:val="en-AU"/>
              </w:rPr>
              <w:t xml:space="preserve"> (N=</w:t>
            </w:r>
            <w:r w:rsidRPr="00564A09">
              <w:rPr>
                <w:rFonts w:cstheme="minorHAnsi"/>
                <w:szCs w:val="20"/>
                <w:lang w:val="en-AU"/>
              </w:rPr>
              <w:t>373)</w:t>
            </w:r>
          </w:p>
        </w:tc>
        <w:tc>
          <w:tcPr>
            <w:tcW w:w="871" w:type="pct"/>
            <w:vAlign w:val="center"/>
          </w:tcPr>
          <w:p w14:paraId="07569DAE" w14:textId="77777777" w:rsidR="00EE5515" w:rsidRPr="00980134" w:rsidRDefault="00EE5515">
            <w:pPr>
              <w:pStyle w:val="In-tableHeading"/>
              <w:rPr>
                <w:rFonts w:cstheme="minorHAnsi"/>
                <w:szCs w:val="20"/>
                <w:lang w:val="en-AU"/>
              </w:rPr>
            </w:pPr>
            <w:r w:rsidRPr="00980134">
              <w:rPr>
                <w:rFonts w:cstheme="minorHAnsi"/>
                <w:szCs w:val="20"/>
                <w:lang w:val="en-AU"/>
              </w:rPr>
              <w:t>TPC (N=184)</w:t>
            </w:r>
          </w:p>
        </w:tc>
        <w:tc>
          <w:tcPr>
            <w:tcW w:w="854" w:type="pct"/>
            <w:vAlign w:val="center"/>
          </w:tcPr>
          <w:p w14:paraId="20EBDCE0" w14:textId="77777777" w:rsidR="00EE5515" w:rsidRPr="00980134" w:rsidRDefault="00EE5515">
            <w:pPr>
              <w:pStyle w:val="In-tableHeading"/>
              <w:jc w:val="center"/>
              <w:rPr>
                <w:rFonts w:cstheme="minorHAnsi"/>
                <w:szCs w:val="20"/>
                <w:lang w:val="en-AU"/>
              </w:rPr>
            </w:pPr>
            <w:r w:rsidRPr="00980134">
              <w:rPr>
                <w:rFonts w:cstheme="minorHAnsi"/>
                <w:szCs w:val="20"/>
                <w:lang w:val="en-AU"/>
              </w:rPr>
              <w:t>Absolute difference</w:t>
            </w:r>
          </w:p>
        </w:tc>
        <w:tc>
          <w:tcPr>
            <w:tcW w:w="0" w:type="auto"/>
            <w:vAlign w:val="center"/>
          </w:tcPr>
          <w:p w14:paraId="13854DDA" w14:textId="77777777" w:rsidR="00EE5515" w:rsidRPr="00980134" w:rsidRDefault="00EE5515">
            <w:pPr>
              <w:pStyle w:val="In-tableHeading"/>
              <w:jc w:val="center"/>
              <w:rPr>
                <w:rFonts w:cstheme="minorHAnsi"/>
                <w:szCs w:val="20"/>
                <w:lang w:val="en-AU"/>
              </w:rPr>
            </w:pPr>
            <w:r w:rsidRPr="00980134">
              <w:rPr>
                <w:rFonts w:cstheme="minorHAnsi"/>
                <w:szCs w:val="20"/>
                <w:lang w:val="en-AU"/>
              </w:rPr>
              <w:t xml:space="preserve">Hazard ratio </w:t>
            </w:r>
          </w:p>
          <w:p w14:paraId="7C085AD1" w14:textId="77777777" w:rsidR="00EE5515" w:rsidRPr="00980134" w:rsidRDefault="00EE5515">
            <w:pPr>
              <w:pStyle w:val="In-tableHeading"/>
              <w:jc w:val="center"/>
              <w:rPr>
                <w:rFonts w:cstheme="minorHAnsi"/>
                <w:szCs w:val="20"/>
                <w:lang w:val="en-AU"/>
              </w:rPr>
            </w:pPr>
            <w:r w:rsidRPr="00980134">
              <w:rPr>
                <w:rFonts w:cstheme="minorHAnsi"/>
                <w:szCs w:val="20"/>
                <w:lang w:val="en-AU"/>
              </w:rPr>
              <w:t>(95% CI)</w:t>
            </w:r>
          </w:p>
        </w:tc>
      </w:tr>
      <w:tr w:rsidR="003819F6" w:rsidRPr="00980134" w14:paraId="4C3FD15C" w14:textId="77777777" w:rsidTr="004D444B">
        <w:trPr>
          <w:jc w:val="center"/>
        </w:trPr>
        <w:tc>
          <w:tcPr>
            <w:tcW w:w="1412" w:type="pct"/>
            <w:vAlign w:val="center"/>
          </w:tcPr>
          <w:p w14:paraId="3DFCBE54" w14:textId="77777777" w:rsidR="00EE5515" w:rsidRPr="00980134" w:rsidRDefault="00EE5515">
            <w:pPr>
              <w:pStyle w:val="TableText0"/>
              <w:rPr>
                <w:rFonts w:cstheme="minorHAnsi"/>
                <w:szCs w:val="20"/>
              </w:rPr>
            </w:pPr>
            <w:r w:rsidRPr="00980134">
              <w:rPr>
                <w:rFonts w:cstheme="minorHAnsi"/>
                <w:szCs w:val="20"/>
              </w:rPr>
              <w:t>Patients with event (%)</w:t>
            </w:r>
          </w:p>
        </w:tc>
        <w:tc>
          <w:tcPr>
            <w:tcW w:w="858" w:type="pct"/>
            <w:vAlign w:val="center"/>
          </w:tcPr>
          <w:p w14:paraId="241E7A7A" w14:textId="3773B253" w:rsidR="00EE5515" w:rsidRPr="00564A09" w:rsidRDefault="00EE5515">
            <w:pPr>
              <w:pStyle w:val="TableText0"/>
              <w:jc w:val="center"/>
              <w:rPr>
                <w:rFonts w:cstheme="minorHAnsi"/>
                <w:szCs w:val="20"/>
              </w:rPr>
            </w:pPr>
            <w:r w:rsidRPr="00564A09">
              <w:rPr>
                <w:rFonts w:cstheme="minorHAnsi"/>
                <w:szCs w:val="20"/>
              </w:rPr>
              <w:t>234 (65.1)</w:t>
            </w:r>
          </w:p>
        </w:tc>
        <w:tc>
          <w:tcPr>
            <w:tcW w:w="871" w:type="pct"/>
            <w:vAlign w:val="center"/>
          </w:tcPr>
          <w:p w14:paraId="404D6B9E" w14:textId="77777777" w:rsidR="00EE5515" w:rsidRPr="00564A09" w:rsidRDefault="00EE5515">
            <w:pPr>
              <w:pStyle w:val="TableText0"/>
              <w:jc w:val="center"/>
              <w:rPr>
                <w:rFonts w:cstheme="minorHAnsi"/>
                <w:szCs w:val="20"/>
              </w:rPr>
            </w:pPr>
            <w:r w:rsidRPr="00564A09">
              <w:rPr>
                <w:rFonts w:cstheme="minorHAnsi"/>
                <w:szCs w:val="20"/>
              </w:rPr>
              <w:t>127 (69.0)</w:t>
            </w:r>
          </w:p>
        </w:tc>
        <w:tc>
          <w:tcPr>
            <w:tcW w:w="854" w:type="pct"/>
            <w:vAlign w:val="center"/>
          </w:tcPr>
          <w:p w14:paraId="7526694E"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5DA2DE87" w14:textId="77777777" w:rsidR="00EE5515" w:rsidRPr="00980134" w:rsidRDefault="00EE5515">
            <w:pPr>
              <w:pStyle w:val="TableText0"/>
              <w:jc w:val="center"/>
              <w:rPr>
                <w:rFonts w:cstheme="minorHAnsi"/>
                <w:szCs w:val="20"/>
              </w:rPr>
            </w:pPr>
            <w:r w:rsidRPr="00980134">
              <w:rPr>
                <w:rFonts w:cstheme="minorHAnsi"/>
                <w:szCs w:val="20"/>
              </w:rPr>
              <w:t>-</w:t>
            </w:r>
          </w:p>
        </w:tc>
      </w:tr>
      <w:tr w:rsidR="003819F6" w:rsidRPr="00980134" w14:paraId="519F16A7" w14:textId="77777777" w:rsidTr="004D444B">
        <w:trPr>
          <w:jc w:val="center"/>
        </w:trPr>
        <w:tc>
          <w:tcPr>
            <w:tcW w:w="1412" w:type="pct"/>
            <w:vAlign w:val="center"/>
          </w:tcPr>
          <w:p w14:paraId="474F9AFA" w14:textId="77777777" w:rsidR="00EE5515" w:rsidRPr="00980134" w:rsidRDefault="00EE5515">
            <w:pPr>
              <w:pStyle w:val="TableText0"/>
              <w:rPr>
                <w:rFonts w:cstheme="minorHAnsi"/>
                <w:szCs w:val="20"/>
              </w:rPr>
            </w:pPr>
            <w:r w:rsidRPr="00980134">
              <w:rPr>
                <w:rFonts w:cstheme="minorHAnsi"/>
                <w:szCs w:val="20"/>
              </w:rPr>
              <w:t>Disease progression (%)</w:t>
            </w:r>
          </w:p>
        </w:tc>
        <w:tc>
          <w:tcPr>
            <w:tcW w:w="858" w:type="pct"/>
            <w:vAlign w:val="center"/>
          </w:tcPr>
          <w:p w14:paraId="53F93984" w14:textId="6C74577A" w:rsidR="00EE5515" w:rsidRPr="00564A09" w:rsidRDefault="00EE5515">
            <w:pPr>
              <w:pStyle w:val="TableText0"/>
              <w:jc w:val="center"/>
              <w:rPr>
                <w:rFonts w:cstheme="minorHAnsi"/>
                <w:szCs w:val="20"/>
              </w:rPr>
            </w:pPr>
            <w:r w:rsidRPr="00564A09">
              <w:rPr>
                <w:rFonts w:cstheme="minorHAnsi"/>
                <w:szCs w:val="20"/>
              </w:rPr>
              <w:t>208 (55.8)</w:t>
            </w:r>
          </w:p>
        </w:tc>
        <w:tc>
          <w:tcPr>
            <w:tcW w:w="871" w:type="pct"/>
            <w:vAlign w:val="center"/>
          </w:tcPr>
          <w:p w14:paraId="1B206ED9" w14:textId="77777777" w:rsidR="00EE5515" w:rsidRPr="00564A09" w:rsidRDefault="00EE5515">
            <w:pPr>
              <w:pStyle w:val="TableText0"/>
              <w:jc w:val="center"/>
              <w:rPr>
                <w:rFonts w:cstheme="minorHAnsi"/>
                <w:szCs w:val="20"/>
              </w:rPr>
            </w:pPr>
            <w:r w:rsidRPr="00564A09">
              <w:rPr>
                <w:rFonts w:cstheme="minorHAnsi"/>
                <w:szCs w:val="20"/>
              </w:rPr>
              <w:t>117 (63.6)</w:t>
            </w:r>
          </w:p>
        </w:tc>
        <w:tc>
          <w:tcPr>
            <w:tcW w:w="854" w:type="pct"/>
            <w:vAlign w:val="center"/>
          </w:tcPr>
          <w:p w14:paraId="464931E7"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010C582B" w14:textId="77777777" w:rsidR="00EE5515" w:rsidRPr="00980134" w:rsidRDefault="00EE5515">
            <w:pPr>
              <w:pStyle w:val="TableText0"/>
              <w:jc w:val="center"/>
              <w:rPr>
                <w:rFonts w:cstheme="minorHAnsi"/>
                <w:szCs w:val="20"/>
              </w:rPr>
            </w:pPr>
            <w:r w:rsidRPr="00980134">
              <w:rPr>
                <w:rFonts w:cstheme="minorHAnsi"/>
                <w:szCs w:val="20"/>
              </w:rPr>
              <w:t>-</w:t>
            </w:r>
          </w:p>
        </w:tc>
      </w:tr>
      <w:tr w:rsidR="003819F6" w:rsidRPr="00980134" w14:paraId="132659F0" w14:textId="77777777" w:rsidTr="004D444B">
        <w:trPr>
          <w:jc w:val="center"/>
        </w:trPr>
        <w:tc>
          <w:tcPr>
            <w:tcW w:w="1412" w:type="pct"/>
            <w:vAlign w:val="center"/>
          </w:tcPr>
          <w:p w14:paraId="5F34E4E0" w14:textId="77777777" w:rsidR="00EE5515" w:rsidRPr="00980134" w:rsidRDefault="00EE5515">
            <w:pPr>
              <w:pStyle w:val="TableText0"/>
              <w:rPr>
                <w:rFonts w:cstheme="minorHAnsi"/>
                <w:szCs w:val="20"/>
              </w:rPr>
            </w:pPr>
            <w:r w:rsidRPr="00980134">
              <w:rPr>
                <w:rFonts w:cstheme="minorHAnsi"/>
                <w:szCs w:val="20"/>
              </w:rPr>
              <w:t>Death (%)</w:t>
            </w:r>
          </w:p>
        </w:tc>
        <w:tc>
          <w:tcPr>
            <w:tcW w:w="858" w:type="pct"/>
            <w:vAlign w:val="center"/>
          </w:tcPr>
          <w:p w14:paraId="0B3D5360" w14:textId="0B23C713" w:rsidR="00EE5515" w:rsidRPr="00564A09" w:rsidRDefault="00EE5515">
            <w:pPr>
              <w:pStyle w:val="TableText0"/>
              <w:jc w:val="center"/>
              <w:rPr>
                <w:rFonts w:cstheme="minorHAnsi"/>
                <w:szCs w:val="20"/>
              </w:rPr>
            </w:pPr>
            <w:r w:rsidRPr="00564A09">
              <w:rPr>
                <w:rFonts w:cstheme="minorHAnsi"/>
                <w:szCs w:val="20"/>
              </w:rPr>
              <w:t>35 (9.4)</w:t>
            </w:r>
          </w:p>
        </w:tc>
        <w:tc>
          <w:tcPr>
            <w:tcW w:w="871" w:type="pct"/>
            <w:vAlign w:val="center"/>
          </w:tcPr>
          <w:p w14:paraId="4AB42FDD" w14:textId="77777777" w:rsidR="00EE5515" w:rsidRPr="00564A09" w:rsidRDefault="00EE5515">
            <w:pPr>
              <w:pStyle w:val="TableText0"/>
              <w:jc w:val="center"/>
              <w:rPr>
                <w:rFonts w:cstheme="minorHAnsi"/>
                <w:szCs w:val="20"/>
              </w:rPr>
            </w:pPr>
            <w:r w:rsidRPr="00564A09">
              <w:rPr>
                <w:rFonts w:cstheme="minorHAnsi"/>
                <w:szCs w:val="20"/>
              </w:rPr>
              <w:t>10 (5.4)</w:t>
            </w:r>
          </w:p>
        </w:tc>
        <w:tc>
          <w:tcPr>
            <w:tcW w:w="854" w:type="pct"/>
            <w:vAlign w:val="center"/>
          </w:tcPr>
          <w:p w14:paraId="7D9D0EA4"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0D47B639" w14:textId="77777777" w:rsidR="00EE5515" w:rsidRPr="00980134" w:rsidRDefault="00EE5515">
            <w:pPr>
              <w:pStyle w:val="TableText0"/>
              <w:jc w:val="center"/>
              <w:rPr>
                <w:rFonts w:cstheme="minorHAnsi"/>
                <w:szCs w:val="20"/>
              </w:rPr>
            </w:pPr>
            <w:r w:rsidRPr="00980134">
              <w:rPr>
                <w:rFonts w:cstheme="minorHAnsi"/>
                <w:szCs w:val="20"/>
              </w:rPr>
              <w:t>-</w:t>
            </w:r>
          </w:p>
        </w:tc>
      </w:tr>
      <w:tr w:rsidR="003819F6" w:rsidRPr="00980134" w14:paraId="7E0467ED" w14:textId="77777777" w:rsidTr="004D444B">
        <w:trPr>
          <w:jc w:val="center"/>
        </w:trPr>
        <w:tc>
          <w:tcPr>
            <w:tcW w:w="1412" w:type="pct"/>
            <w:vAlign w:val="center"/>
          </w:tcPr>
          <w:p w14:paraId="41550CA0" w14:textId="77777777" w:rsidR="00EE5515" w:rsidRPr="00980134" w:rsidRDefault="00EE5515">
            <w:pPr>
              <w:pStyle w:val="TableText0"/>
              <w:rPr>
                <w:rFonts w:cstheme="minorHAnsi"/>
                <w:szCs w:val="20"/>
              </w:rPr>
            </w:pPr>
            <w:r w:rsidRPr="00980134">
              <w:rPr>
                <w:rFonts w:cstheme="minorHAnsi"/>
                <w:szCs w:val="20"/>
              </w:rPr>
              <w:t>Median PFS months (95% CI)</w:t>
            </w:r>
          </w:p>
        </w:tc>
        <w:tc>
          <w:tcPr>
            <w:tcW w:w="858" w:type="pct"/>
            <w:vAlign w:val="center"/>
          </w:tcPr>
          <w:p w14:paraId="76D2380E" w14:textId="5F29E5D1"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9.9 </w:t>
            </w:r>
            <w:r w:rsidRPr="00564A09">
              <w:rPr>
                <w:rFonts w:ascii="Arial Narrow" w:hAnsi="Arial Narrow" w:cstheme="minorHAnsi"/>
                <w:sz w:val="20"/>
                <w:szCs w:val="20"/>
                <w:lang w:bidi="en-US"/>
              </w:rPr>
              <w:t>(9.0, 11.3)</w:t>
            </w:r>
          </w:p>
        </w:tc>
        <w:tc>
          <w:tcPr>
            <w:tcW w:w="871" w:type="pct"/>
            <w:vAlign w:val="center"/>
          </w:tcPr>
          <w:p w14:paraId="79BD5A6F"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5.1 </w:t>
            </w:r>
            <w:r w:rsidRPr="00564A09">
              <w:rPr>
                <w:rFonts w:ascii="Arial Narrow" w:hAnsi="Arial Narrow" w:cstheme="minorHAnsi"/>
                <w:sz w:val="20"/>
                <w:szCs w:val="20"/>
                <w:lang w:bidi="en-US"/>
              </w:rPr>
              <w:t>(4.2, 6.8)</w:t>
            </w:r>
          </w:p>
        </w:tc>
        <w:tc>
          <w:tcPr>
            <w:tcW w:w="854" w:type="pct"/>
            <w:vAlign w:val="center"/>
          </w:tcPr>
          <w:p w14:paraId="70433D25" w14:textId="7736E75A" w:rsidR="00EE5515" w:rsidRPr="00564A09" w:rsidRDefault="00EE5515">
            <w:pPr>
              <w:pStyle w:val="TableText0"/>
              <w:jc w:val="center"/>
              <w:rPr>
                <w:rFonts w:cstheme="minorHAnsi"/>
                <w:szCs w:val="20"/>
              </w:rPr>
            </w:pPr>
            <w:r w:rsidRPr="00564A09">
              <w:rPr>
                <w:rFonts w:cstheme="minorHAnsi"/>
                <w:szCs w:val="20"/>
              </w:rPr>
              <w:t>4.8</w:t>
            </w:r>
          </w:p>
        </w:tc>
        <w:tc>
          <w:tcPr>
            <w:tcW w:w="0" w:type="auto"/>
            <w:vAlign w:val="center"/>
          </w:tcPr>
          <w:p w14:paraId="5E8DB923" w14:textId="5ED9A8EB" w:rsidR="00EE5515" w:rsidRPr="00980134" w:rsidRDefault="00EE5515">
            <w:pPr>
              <w:pStyle w:val="TableText0"/>
              <w:jc w:val="center"/>
              <w:rPr>
                <w:rFonts w:cstheme="minorHAnsi"/>
                <w:b/>
                <w:bCs w:val="0"/>
                <w:szCs w:val="20"/>
              </w:rPr>
            </w:pPr>
            <w:r w:rsidRPr="00564A09">
              <w:rPr>
                <w:rFonts w:cstheme="minorHAnsi"/>
                <w:b/>
                <w:bCs w:val="0"/>
                <w:szCs w:val="20"/>
                <w:lang w:bidi="en-US"/>
              </w:rPr>
              <w:t>0.50</w:t>
            </w:r>
            <w:r w:rsidRPr="00980134">
              <w:rPr>
                <w:rFonts w:cstheme="minorHAnsi"/>
                <w:b/>
                <w:bCs w:val="0"/>
                <w:szCs w:val="20"/>
                <w:lang w:bidi="en-US"/>
              </w:rPr>
              <w:t xml:space="preserve"> (0.40, 0.63)</w:t>
            </w:r>
          </w:p>
        </w:tc>
      </w:tr>
      <w:tr w:rsidR="00EE5515" w:rsidRPr="00980134" w14:paraId="383AE108" w14:textId="77777777" w:rsidTr="004D444B">
        <w:trPr>
          <w:jc w:val="center"/>
        </w:trPr>
        <w:tc>
          <w:tcPr>
            <w:tcW w:w="0" w:type="auto"/>
            <w:gridSpan w:val="5"/>
            <w:vAlign w:val="center"/>
          </w:tcPr>
          <w:p w14:paraId="0A13E4BD" w14:textId="77777777" w:rsidR="00EE5515" w:rsidRPr="00564A09" w:rsidRDefault="00EE5515">
            <w:pPr>
              <w:pStyle w:val="TableText0"/>
              <w:rPr>
                <w:rFonts w:cstheme="minorHAnsi"/>
                <w:szCs w:val="20"/>
                <w:lang w:bidi="en-US"/>
              </w:rPr>
            </w:pPr>
            <w:r w:rsidRPr="00564A09">
              <w:rPr>
                <w:rFonts w:cstheme="minorHAnsi"/>
                <w:szCs w:val="20"/>
              </w:rPr>
              <w:t>Proportion of patients alive and progression-free over time</w:t>
            </w:r>
          </w:p>
        </w:tc>
      </w:tr>
      <w:tr w:rsidR="003819F6" w:rsidRPr="00980134" w14:paraId="6E72D3DF" w14:textId="77777777" w:rsidTr="004D444B">
        <w:trPr>
          <w:jc w:val="center"/>
        </w:trPr>
        <w:tc>
          <w:tcPr>
            <w:tcW w:w="1412" w:type="pct"/>
            <w:vAlign w:val="center"/>
          </w:tcPr>
          <w:p w14:paraId="45D7B67D" w14:textId="77777777" w:rsidR="00EE5515" w:rsidRPr="00980134" w:rsidRDefault="00EE5515">
            <w:pPr>
              <w:pStyle w:val="TableText0"/>
              <w:rPr>
                <w:rFonts w:cstheme="minorHAnsi"/>
                <w:szCs w:val="20"/>
              </w:rPr>
            </w:pPr>
            <w:r w:rsidRPr="00980134">
              <w:rPr>
                <w:rFonts w:cstheme="minorHAnsi"/>
                <w:szCs w:val="20"/>
              </w:rPr>
              <w:t>At 6 months (95% CI)</w:t>
            </w:r>
          </w:p>
        </w:tc>
        <w:tc>
          <w:tcPr>
            <w:tcW w:w="858" w:type="pct"/>
            <w:vAlign w:val="center"/>
          </w:tcPr>
          <w:p w14:paraId="7F80B74B" w14:textId="29A20C33"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68.1 (63.0, 72.6)</w:t>
            </w:r>
          </w:p>
        </w:tc>
        <w:tc>
          <w:tcPr>
            <w:tcW w:w="871" w:type="pct"/>
            <w:vAlign w:val="center"/>
          </w:tcPr>
          <w:p w14:paraId="0804A8F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43.9 (35.9, 51.6)</w:t>
            </w:r>
          </w:p>
        </w:tc>
        <w:tc>
          <w:tcPr>
            <w:tcW w:w="854" w:type="pct"/>
            <w:vAlign w:val="center"/>
          </w:tcPr>
          <w:p w14:paraId="35D1E038" w14:textId="361C5472" w:rsidR="00EE5515" w:rsidRPr="00564A09" w:rsidRDefault="00EE5515">
            <w:pPr>
              <w:pStyle w:val="TableText0"/>
              <w:jc w:val="center"/>
              <w:rPr>
                <w:rFonts w:cstheme="minorHAnsi"/>
                <w:szCs w:val="20"/>
              </w:rPr>
            </w:pPr>
            <w:r w:rsidRPr="00564A09">
              <w:rPr>
                <w:rFonts w:cstheme="minorHAnsi"/>
                <w:szCs w:val="20"/>
              </w:rPr>
              <w:t>24.2</w:t>
            </w:r>
          </w:p>
        </w:tc>
        <w:tc>
          <w:tcPr>
            <w:tcW w:w="0" w:type="auto"/>
            <w:vAlign w:val="center"/>
          </w:tcPr>
          <w:p w14:paraId="4F93A6CD"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4567566B" w14:textId="77777777" w:rsidTr="004D444B">
        <w:trPr>
          <w:jc w:val="center"/>
        </w:trPr>
        <w:tc>
          <w:tcPr>
            <w:tcW w:w="1412" w:type="pct"/>
            <w:vAlign w:val="center"/>
          </w:tcPr>
          <w:p w14:paraId="46370434" w14:textId="77777777" w:rsidR="00EE5515" w:rsidRPr="00980134" w:rsidRDefault="00EE5515">
            <w:pPr>
              <w:pStyle w:val="TableText0"/>
              <w:rPr>
                <w:rFonts w:cstheme="minorHAnsi"/>
                <w:szCs w:val="20"/>
              </w:rPr>
            </w:pPr>
            <w:r w:rsidRPr="00980134">
              <w:rPr>
                <w:rFonts w:cstheme="minorHAnsi"/>
                <w:szCs w:val="20"/>
              </w:rPr>
              <w:t>At 12 months (95% CI)</w:t>
            </w:r>
          </w:p>
        </w:tc>
        <w:tc>
          <w:tcPr>
            <w:tcW w:w="858" w:type="pct"/>
            <w:vAlign w:val="center"/>
          </w:tcPr>
          <w:p w14:paraId="47A911D6" w14:textId="3FA6645E"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41.9 (36.6, 47.2)</w:t>
            </w:r>
          </w:p>
        </w:tc>
        <w:tc>
          <w:tcPr>
            <w:tcW w:w="871" w:type="pct"/>
            <w:vAlign w:val="center"/>
          </w:tcPr>
          <w:p w14:paraId="3C1E1B8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21.8 (15.3, 29.2)</w:t>
            </w:r>
          </w:p>
        </w:tc>
        <w:tc>
          <w:tcPr>
            <w:tcW w:w="854" w:type="pct"/>
            <w:vAlign w:val="center"/>
          </w:tcPr>
          <w:p w14:paraId="6A11F8C1" w14:textId="21ADA1A2" w:rsidR="00EE5515" w:rsidRPr="00564A09" w:rsidRDefault="00EE5515">
            <w:pPr>
              <w:pStyle w:val="TableText0"/>
              <w:jc w:val="center"/>
              <w:rPr>
                <w:rFonts w:cstheme="minorHAnsi"/>
                <w:szCs w:val="20"/>
              </w:rPr>
            </w:pPr>
            <w:r w:rsidRPr="00564A09">
              <w:rPr>
                <w:rFonts w:cstheme="minorHAnsi"/>
                <w:szCs w:val="20"/>
              </w:rPr>
              <w:t>20.1</w:t>
            </w:r>
          </w:p>
        </w:tc>
        <w:tc>
          <w:tcPr>
            <w:tcW w:w="0" w:type="auto"/>
            <w:vAlign w:val="center"/>
          </w:tcPr>
          <w:p w14:paraId="4E80FC99"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090BF3F9" w14:textId="77777777" w:rsidTr="004D444B">
        <w:trPr>
          <w:jc w:val="center"/>
        </w:trPr>
        <w:tc>
          <w:tcPr>
            <w:tcW w:w="1412" w:type="pct"/>
            <w:vAlign w:val="center"/>
          </w:tcPr>
          <w:p w14:paraId="286B22BC" w14:textId="77777777" w:rsidR="00EE5515" w:rsidRPr="00980134" w:rsidRDefault="00EE5515">
            <w:pPr>
              <w:pStyle w:val="TableText0"/>
              <w:rPr>
                <w:rFonts w:cstheme="minorHAnsi"/>
                <w:szCs w:val="20"/>
              </w:rPr>
            </w:pPr>
            <w:r w:rsidRPr="00980134">
              <w:rPr>
                <w:rFonts w:cstheme="minorHAnsi"/>
                <w:szCs w:val="20"/>
              </w:rPr>
              <w:t>At 18 months (95% CI)</w:t>
            </w:r>
          </w:p>
        </w:tc>
        <w:tc>
          <w:tcPr>
            <w:tcW w:w="858" w:type="pct"/>
            <w:vAlign w:val="center"/>
          </w:tcPr>
          <w:p w14:paraId="3120544C" w14:textId="62D3DCB9"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29.7 (24.4, 35.2)</w:t>
            </w:r>
          </w:p>
        </w:tc>
        <w:tc>
          <w:tcPr>
            <w:tcW w:w="871" w:type="pct"/>
            <w:vAlign w:val="center"/>
          </w:tcPr>
          <w:p w14:paraId="404EC4D2"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10.9 (5.7, 18.1)</w:t>
            </w:r>
          </w:p>
        </w:tc>
        <w:tc>
          <w:tcPr>
            <w:tcW w:w="854" w:type="pct"/>
            <w:vAlign w:val="center"/>
          </w:tcPr>
          <w:p w14:paraId="28E184A2" w14:textId="5D1E3B27" w:rsidR="00EE5515" w:rsidRPr="00564A09" w:rsidRDefault="00EE5515">
            <w:pPr>
              <w:pStyle w:val="TableText0"/>
              <w:jc w:val="center"/>
              <w:rPr>
                <w:rFonts w:cstheme="minorHAnsi"/>
                <w:szCs w:val="20"/>
              </w:rPr>
            </w:pPr>
            <w:r w:rsidRPr="00564A09">
              <w:rPr>
                <w:rFonts w:cstheme="minorHAnsi"/>
                <w:szCs w:val="20"/>
              </w:rPr>
              <w:t>18.8</w:t>
            </w:r>
          </w:p>
        </w:tc>
        <w:tc>
          <w:tcPr>
            <w:tcW w:w="0" w:type="auto"/>
            <w:vAlign w:val="center"/>
          </w:tcPr>
          <w:p w14:paraId="6EA9F43E"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6EA94620" w14:textId="77777777" w:rsidTr="004D444B">
        <w:trPr>
          <w:jc w:val="center"/>
        </w:trPr>
        <w:tc>
          <w:tcPr>
            <w:tcW w:w="1412" w:type="pct"/>
            <w:vAlign w:val="center"/>
          </w:tcPr>
          <w:p w14:paraId="2A9B5E44" w14:textId="77777777" w:rsidR="00EE5515" w:rsidRPr="00980134" w:rsidRDefault="00EE5515">
            <w:pPr>
              <w:pStyle w:val="TableText0"/>
              <w:rPr>
                <w:rFonts w:cstheme="minorHAnsi"/>
                <w:szCs w:val="20"/>
              </w:rPr>
            </w:pPr>
            <w:r w:rsidRPr="00980134">
              <w:rPr>
                <w:rFonts w:cstheme="minorHAnsi"/>
                <w:szCs w:val="20"/>
              </w:rPr>
              <w:t>At 24 months (95% CI)</w:t>
            </w:r>
          </w:p>
        </w:tc>
        <w:tc>
          <w:tcPr>
            <w:tcW w:w="858" w:type="pct"/>
            <w:vAlign w:val="center"/>
          </w:tcPr>
          <w:p w14:paraId="257C2322" w14:textId="293009AE"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18.1 (11.9, 25.4)</w:t>
            </w:r>
          </w:p>
        </w:tc>
        <w:tc>
          <w:tcPr>
            <w:tcW w:w="871" w:type="pct"/>
            <w:vAlign w:val="center"/>
          </w:tcPr>
          <w:p w14:paraId="265C8D52"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8.2 (3.2, 16.3)</w:t>
            </w:r>
          </w:p>
        </w:tc>
        <w:tc>
          <w:tcPr>
            <w:tcW w:w="854" w:type="pct"/>
            <w:vAlign w:val="center"/>
          </w:tcPr>
          <w:p w14:paraId="47A63E95" w14:textId="75FA3F48" w:rsidR="00EE5515" w:rsidRPr="00564A09" w:rsidRDefault="00EE5515">
            <w:pPr>
              <w:pStyle w:val="TableText0"/>
              <w:jc w:val="center"/>
              <w:rPr>
                <w:rFonts w:cstheme="minorHAnsi"/>
                <w:szCs w:val="20"/>
              </w:rPr>
            </w:pPr>
            <w:r w:rsidRPr="00564A09">
              <w:rPr>
                <w:rFonts w:cstheme="minorHAnsi"/>
                <w:szCs w:val="20"/>
              </w:rPr>
              <w:t>9.9</w:t>
            </w:r>
          </w:p>
        </w:tc>
        <w:tc>
          <w:tcPr>
            <w:tcW w:w="0" w:type="auto"/>
            <w:vAlign w:val="center"/>
          </w:tcPr>
          <w:p w14:paraId="4FBBB205"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61BFF6EC" w14:textId="77777777" w:rsidTr="004D444B">
        <w:trPr>
          <w:jc w:val="center"/>
        </w:trPr>
        <w:tc>
          <w:tcPr>
            <w:tcW w:w="1412" w:type="pct"/>
            <w:vAlign w:val="center"/>
          </w:tcPr>
          <w:p w14:paraId="6EF4316F" w14:textId="77777777" w:rsidR="00EE5515" w:rsidRPr="00980134" w:rsidRDefault="00EE5515">
            <w:pPr>
              <w:pStyle w:val="In-tableHeading"/>
              <w:rPr>
                <w:rFonts w:cstheme="minorHAnsi"/>
                <w:szCs w:val="20"/>
                <w:lang w:val="en-AU"/>
              </w:rPr>
            </w:pPr>
            <w:r w:rsidRPr="00980134">
              <w:rPr>
                <w:rFonts w:cstheme="minorHAnsi"/>
                <w:szCs w:val="20"/>
                <w:lang w:val="en-AU"/>
              </w:rPr>
              <w:t>PFS by BICR HR positive cohort</w:t>
            </w:r>
          </w:p>
        </w:tc>
        <w:tc>
          <w:tcPr>
            <w:tcW w:w="858" w:type="pct"/>
            <w:vAlign w:val="center"/>
          </w:tcPr>
          <w:p w14:paraId="29195A40" w14:textId="77777777" w:rsidR="00EE5515" w:rsidRPr="00564A09" w:rsidRDefault="00EE5515">
            <w:pPr>
              <w:pStyle w:val="In-tableHeading"/>
              <w:rPr>
                <w:rFonts w:cstheme="minorHAnsi"/>
                <w:szCs w:val="20"/>
                <w:lang w:val="en-AU"/>
              </w:rPr>
            </w:pPr>
            <w:r w:rsidRPr="00564A09">
              <w:rPr>
                <w:rFonts w:cstheme="minorHAnsi"/>
                <w:szCs w:val="20"/>
                <w:lang w:val="en-AU"/>
              </w:rPr>
              <w:t>T-</w:t>
            </w:r>
            <w:proofErr w:type="spellStart"/>
            <w:r w:rsidRPr="00564A09">
              <w:rPr>
                <w:rFonts w:cstheme="minorHAnsi"/>
                <w:szCs w:val="20"/>
                <w:lang w:val="en-AU"/>
              </w:rPr>
              <w:t>DXd</w:t>
            </w:r>
            <w:proofErr w:type="spellEnd"/>
            <w:r w:rsidRPr="00564A09">
              <w:rPr>
                <w:rFonts w:cstheme="minorHAnsi"/>
                <w:szCs w:val="20"/>
                <w:lang w:val="en-AU"/>
              </w:rPr>
              <w:t xml:space="preserve"> (N=331)</w:t>
            </w:r>
          </w:p>
        </w:tc>
        <w:tc>
          <w:tcPr>
            <w:tcW w:w="871" w:type="pct"/>
            <w:vAlign w:val="center"/>
          </w:tcPr>
          <w:p w14:paraId="4CA80485" w14:textId="77777777" w:rsidR="00EE5515" w:rsidRPr="00564A09" w:rsidRDefault="00EE5515">
            <w:pPr>
              <w:pStyle w:val="In-tableHeading"/>
              <w:rPr>
                <w:rFonts w:cstheme="minorHAnsi"/>
                <w:szCs w:val="20"/>
                <w:lang w:val="en-AU"/>
              </w:rPr>
            </w:pPr>
            <w:r w:rsidRPr="00564A09">
              <w:rPr>
                <w:rFonts w:cstheme="minorHAnsi"/>
                <w:szCs w:val="20"/>
                <w:lang w:val="en-AU"/>
              </w:rPr>
              <w:t>TPC (N=163)</w:t>
            </w:r>
          </w:p>
        </w:tc>
        <w:tc>
          <w:tcPr>
            <w:tcW w:w="854" w:type="pct"/>
            <w:vAlign w:val="center"/>
          </w:tcPr>
          <w:p w14:paraId="64C22FCA" w14:textId="77777777" w:rsidR="00EE5515" w:rsidRPr="00564A09" w:rsidRDefault="00EE5515">
            <w:pPr>
              <w:pStyle w:val="In-tableHeading"/>
              <w:jc w:val="center"/>
              <w:rPr>
                <w:rFonts w:cstheme="minorHAnsi"/>
                <w:szCs w:val="20"/>
                <w:lang w:val="en-AU"/>
              </w:rPr>
            </w:pPr>
            <w:r w:rsidRPr="00564A09">
              <w:rPr>
                <w:rFonts w:cstheme="minorHAnsi"/>
                <w:szCs w:val="20"/>
                <w:lang w:val="en-AU"/>
              </w:rPr>
              <w:t>Absolute difference</w:t>
            </w:r>
          </w:p>
        </w:tc>
        <w:tc>
          <w:tcPr>
            <w:tcW w:w="0" w:type="auto"/>
            <w:vAlign w:val="center"/>
          </w:tcPr>
          <w:p w14:paraId="08B0518C" w14:textId="77777777" w:rsidR="00EE5515" w:rsidRPr="00980134" w:rsidRDefault="00EE5515">
            <w:pPr>
              <w:pStyle w:val="In-tableHeading"/>
              <w:jc w:val="center"/>
              <w:rPr>
                <w:rFonts w:cstheme="minorHAnsi"/>
                <w:szCs w:val="20"/>
                <w:lang w:val="en-AU"/>
              </w:rPr>
            </w:pPr>
            <w:r w:rsidRPr="00980134">
              <w:rPr>
                <w:rFonts w:cstheme="minorHAnsi"/>
                <w:szCs w:val="20"/>
                <w:lang w:val="en-AU"/>
              </w:rPr>
              <w:t xml:space="preserve">Hazard ratio </w:t>
            </w:r>
          </w:p>
          <w:p w14:paraId="6F351051" w14:textId="77777777" w:rsidR="00EE5515" w:rsidRPr="00980134" w:rsidRDefault="00EE5515">
            <w:pPr>
              <w:pStyle w:val="In-tableHeading"/>
              <w:jc w:val="center"/>
              <w:rPr>
                <w:rFonts w:cstheme="minorHAnsi"/>
                <w:szCs w:val="20"/>
                <w:lang w:val="en-AU"/>
              </w:rPr>
            </w:pPr>
            <w:r w:rsidRPr="00980134">
              <w:rPr>
                <w:rFonts w:cstheme="minorHAnsi"/>
                <w:szCs w:val="20"/>
                <w:lang w:val="en-AU"/>
              </w:rPr>
              <w:t>(95% CI)</w:t>
            </w:r>
          </w:p>
        </w:tc>
      </w:tr>
      <w:tr w:rsidR="003819F6" w:rsidRPr="00980134" w14:paraId="7C20ECAB" w14:textId="77777777" w:rsidTr="004D444B">
        <w:trPr>
          <w:jc w:val="center"/>
        </w:trPr>
        <w:tc>
          <w:tcPr>
            <w:tcW w:w="1412" w:type="pct"/>
            <w:vAlign w:val="center"/>
          </w:tcPr>
          <w:p w14:paraId="1C70B38C" w14:textId="77777777" w:rsidR="00EE5515" w:rsidRPr="00980134" w:rsidRDefault="00EE5515">
            <w:pPr>
              <w:pStyle w:val="TableText0"/>
              <w:rPr>
                <w:rFonts w:cstheme="minorHAnsi"/>
                <w:szCs w:val="20"/>
              </w:rPr>
            </w:pPr>
            <w:r w:rsidRPr="00980134">
              <w:rPr>
                <w:rFonts w:cstheme="minorHAnsi"/>
                <w:szCs w:val="20"/>
              </w:rPr>
              <w:t>Patients with event (%)</w:t>
            </w:r>
          </w:p>
        </w:tc>
        <w:tc>
          <w:tcPr>
            <w:tcW w:w="858" w:type="pct"/>
            <w:vAlign w:val="center"/>
          </w:tcPr>
          <w:p w14:paraId="2AA4C658" w14:textId="43D3ED5C" w:rsidR="00EE5515" w:rsidRPr="00564A09" w:rsidRDefault="00EE5515">
            <w:pPr>
              <w:pStyle w:val="TableText0"/>
              <w:jc w:val="center"/>
              <w:rPr>
                <w:rFonts w:cstheme="minorHAnsi"/>
                <w:szCs w:val="20"/>
              </w:rPr>
            </w:pPr>
            <w:r w:rsidRPr="00564A09">
              <w:rPr>
                <w:rFonts w:cstheme="minorHAnsi"/>
                <w:szCs w:val="20"/>
              </w:rPr>
              <w:t>211 (63.7)</w:t>
            </w:r>
          </w:p>
        </w:tc>
        <w:tc>
          <w:tcPr>
            <w:tcW w:w="871" w:type="pct"/>
            <w:vAlign w:val="center"/>
          </w:tcPr>
          <w:p w14:paraId="0E59F88F" w14:textId="77777777" w:rsidR="00EE5515" w:rsidRPr="00564A09" w:rsidRDefault="00EE5515">
            <w:pPr>
              <w:pStyle w:val="TableText0"/>
              <w:jc w:val="center"/>
              <w:rPr>
                <w:rFonts w:cstheme="minorHAnsi"/>
                <w:szCs w:val="20"/>
              </w:rPr>
            </w:pPr>
            <w:r w:rsidRPr="00564A09">
              <w:rPr>
                <w:rFonts w:cstheme="minorHAnsi"/>
                <w:szCs w:val="20"/>
              </w:rPr>
              <w:t>110 (67.5)</w:t>
            </w:r>
          </w:p>
        </w:tc>
        <w:tc>
          <w:tcPr>
            <w:tcW w:w="854" w:type="pct"/>
            <w:vAlign w:val="center"/>
          </w:tcPr>
          <w:p w14:paraId="2CA15094"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439D144F" w14:textId="77777777" w:rsidR="00EE5515" w:rsidRPr="00980134" w:rsidRDefault="00EE5515">
            <w:pPr>
              <w:pStyle w:val="TableText0"/>
              <w:jc w:val="center"/>
              <w:rPr>
                <w:rFonts w:cstheme="minorHAnsi"/>
                <w:szCs w:val="20"/>
              </w:rPr>
            </w:pPr>
            <w:r w:rsidRPr="00980134">
              <w:rPr>
                <w:rFonts w:cstheme="minorHAnsi"/>
                <w:szCs w:val="20"/>
              </w:rPr>
              <w:t>-</w:t>
            </w:r>
          </w:p>
        </w:tc>
      </w:tr>
      <w:tr w:rsidR="003819F6" w:rsidRPr="00980134" w14:paraId="208B10E0" w14:textId="77777777" w:rsidTr="004D444B">
        <w:trPr>
          <w:jc w:val="center"/>
        </w:trPr>
        <w:tc>
          <w:tcPr>
            <w:tcW w:w="1412" w:type="pct"/>
            <w:vAlign w:val="center"/>
          </w:tcPr>
          <w:p w14:paraId="16245163" w14:textId="77777777" w:rsidR="00EE5515" w:rsidRPr="00980134" w:rsidRDefault="00EE5515">
            <w:pPr>
              <w:pStyle w:val="TableText0"/>
              <w:rPr>
                <w:rFonts w:cstheme="minorHAnsi"/>
                <w:szCs w:val="20"/>
              </w:rPr>
            </w:pPr>
            <w:r w:rsidRPr="00980134">
              <w:rPr>
                <w:rFonts w:cstheme="minorHAnsi"/>
                <w:szCs w:val="20"/>
              </w:rPr>
              <w:t>Disease progression (%)</w:t>
            </w:r>
          </w:p>
        </w:tc>
        <w:tc>
          <w:tcPr>
            <w:tcW w:w="858" w:type="pct"/>
            <w:vAlign w:val="center"/>
          </w:tcPr>
          <w:p w14:paraId="0A5300C9" w14:textId="7311DF79"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180 (54.4)</w:t>
            </w:r>
          </w:p>
        </w:tc>
        <w:tc>
          <w:tcPr>
            <w:tcW w:w="871" w:type="pct"/>
            <w:vAlign w:val="center"/>
          </w:tcPr>
          <w:p w14:paraId="2D51CCE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101 (62.0)</w:t>
            </w:r>
          </w:p>
        </w:tc>
        <w:tc>
          <w:tcPr>
            <w:tcW w:w="854" w:type="pct"/>
            <w:vAlign w:val="center"/>
          </w:tcPr>
          <w:p w14:paraId="362D8D82"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0C9A8FCB" w14:textId="77777777" w:rsidR="00EE5515" w:rsidRPr="00980134" w:rsidRDefault="00EE5515">
            <w:pPr>
              <w:pStyle w:val="TableText0"/>
              <w:jc w:val="center"/>
              <w:rPr>
                <w:rFonts w:cstheme="minorHAnsi"/>
                <w:b/>
                <w:bCs w:val="0"/>
                <w:szCs w:val="20"/>
              </w:rPr>
            </w:pPr>
            <w:r w:rsidRPr="00980134">
              <w:rPr>
                <w:rFonts w:cstheme="minorHAnsi"/>
                <w:szCs w:val="20"/>
              </w:rPr>
              <w:t>-</w:t>
            </w:r>
          </w:p>
        </w:tc>
      </w:tr>
      <w:tr w:rsidR="003819F6" w:rsidRPr="00980134" w14:paraId="145D9D09" w14:textId="77777777" w:rsidTr="004D444B">
        <w:trPr>
          <w:jc w:val="center"/>
        </w:trPr>
        <w:tc>
          <w:tcPr>
            <w:tcW w:w="1412" w:type="pct"/>
            <w:vAlign w:val="center"/>
          </w:tcPr>
          <w:p w14:paraId="121328B6" w14:textId="77777777" w:rsidR="00EE5515" w:rsidRPr="00980134" w:rsidRDefault="00EE5515">
            <w:pPr>
              <w:pStyle w:val="TableText0"/>
              <w:rPr>
                <w:rFonts w:cstheme="minorHAnsi"/>
                <w:szCs w:val="20"/>
              </w:rPr>
            </w:pPr>
            <w:r w:rsidRPr="00980134">
              <w:rPr>
                <w:rFonts w:cstheme="minorHAnsi"/>
                <w:szCs w:val="20"/>
              </w:rPr>
              <w:t>Death (%)</w:t>
            </w:r>
          </w:p>
        </w:tc>
        <w:tc>
          <w:tcPr>
            <w:tcW w:w="858" w:type="pct"/>
            <w:vAlign w:val="center"/>
          </w:tcPr>
          <w:p w14:paraId="040D7E9A" w14:textId="7F83EE5D"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31 (9.4)</w:t>
            </w:r>
          </w:p>
        </w:tc>
        <w:tc>
          <w:tcPr>
            <w:tcW w:w="871" w:type="pct"/>
            <w:vAlign w:val="center"/>
          </w:tcPr>
          <w:p w14:paraId="14BE7B1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9 (5.5)</w:t>
            </w:r>
          </w:p>
        </w:tc>
        <w:tc>
          <w:tcPr>
            <w:tcW w:w="854" w:type="pct"/>
            <w:vAlign w:val="center"/>
          </w:tcPr>
          <w:p w14:paraId="6A83F997"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640AFB75" w14:textId="77777777" w:rsidR="00EE5515" w:rsidRPr="00980134" w:rsidRDefault="00EE5515">
            <w:pPr>
              <w:pStyle w:val="TableText0"/>
              <w:jc w:val="center"/>
              <w:rPr>
                <w:rFonts w:cstheme="minorHAnsi"/>
                <w:b/>
                <w:bCs w:val="0"/>
                <w:szCs w:val="20"/>
              </w:rPr>
            </w:pPr>
            <w:r w:rsidRPr="00980134">
              <w:rPr>
                <w:rFonts w:cstheme="minorHAnsi"/>
                <w:szCs w:val="20"/>
              </w:rPr>
              <w:t>-</w:t>
            </w:r>
          </w:p>
        </w:tc>
      </w:tr>
      <w:tr w:rsidR="003819F6" w:rsidRPr="00980134" w14:paraId="526AD1EF" w14:textId="77777777" w:rsidTr="004D444B">
        <w:trPr>
          <w:jc w:val="center"/>
        </w:trPr>
        <w:tc>
          <w:tcPr>
            <w:tcW w:w="1412" w:type="pct"/>
            <w:vAlign w:val="center"/>
          </w:tcPr>
          <w:p w14:paraId="665E1A77" w14:textId="77777777" w:rsidR="00EE5515" w:rsidRPr="00980134" w:rsidRDefault="00EE5515">
            <w:pPr>
              <w:pStyle w:val="TableText0"/>
              <w:rPr>
                <w:rFonts w:cstheme="minorHAnsi"/>
                <w:szCs w:val="20"/>
              </w:rPr>
            </w:pPr>
            <w:r w:rsidRPr="00980134">
              <w:rPr>
                <w:rFonts w:cstheme="minorHAnsi"/>
                <w:szCs w:val="20"/>
              </w:rPr>
              <w:t>Median PFS months (95% CI)</w:t>
            </w:r>
          </w:p>
        </w:tc>
        <w:tc>
          <w:tcPr>
            <w:tcW w:w="858" w:type="pct"/>
            <w:vAlign w:val="center"/>
          </w:tcPr>
          <w:p w14:paraId="432A29E9" w14:textId="095A1CE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10.1 </w:t>
            </w:r>
            <w:r w:rsidRPr="00564A09">
              <w:rPr>
                <w:rFonts w:ascii="Arial Narrow" w:hAnsi="Arial Narrow" w:cstheme="minorHAnsi"/>
                <w:sz w:val="20"/>
                <w:szCs w:val="20"/>
                <w:lang w:bidi="en-US"/>
              </w:rPr>
              <w:t>(9.5, 11.5)</w:t>
            </w:r>
          </w:p>
        </w:tc>
        <w:tc>
          <w:tcPr>
            <w:tcW w:w="871" w:type="pct"/>
            <w:vAlign w:val="center"/>
          </w:tcPr>
          <w:p w14:paraId="4396B1F3"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5.4 </w:t>
            </w:r>
            <w:r w:rsidRPr="00564A09">
              <w:rPr>
                <w:rFonts w:ascii="Arial Narrow" w:hAnsi="Arial Narrow" w:cstheme="minorHAnsi"/>
                <w:sz w:val="20"/>
                <w:szCs w:val="20"/>
                <w:lang w:bidi="en-US"/>
              </w:rPr>
              <w:t>(4.4, 7.1)</w:t>
            </w:r>
          </w:p>
        </w:tc>
        <w:tc>
          <w:tcPr>
            <w:tcW w:w="854" w:type="pct"/>
            <w:vAlign w:val="center"/>
          </w:tcPr>
          <w:p w14:paraId="07359D1C" w14:textId="4F3AEF47" w:rsidR="00EE5515" w:rsidRPr="00564A09" w:rsidRDefault="00EE5515">
            <w:pPr>
              <w:pStyle w:val="TableText0"/>
              <w:jc w:val="center"/>
              <w:rPr>
                <w:rFonts w:cstheme="minorHAnsi"/>
                <w:szCs w:val="20"/>
              </w:rPr>
            </w:pPr>
            <w:r w:rsidRPr="00564A09">
              <w:rPr>
                <w:rFonts w:cstheme="minorHAnsi"/>
                <w:szCs w:val="20"/>
              </w:rPr>
              <w:t>4.7</w:t>
            </w:r>
          </w:p>
        </w:tc>
        <w:tc>
          <w:tcPr>
            <w:tcW w:w="0" w:type="auto"/>
            <w:vAlign w:val="center"/>
          </w:tcPr>
          <w:p w14:paraId="2ED8E8E1" w14:textId="05030426" w:rsidR="00EE5515" w:rsidRPr="00980134" w:rsidRDefault="00EE5515">
            <w:pPr>
              <w:pStyle w:val="TableText0"/>
              <w:jc w:val="center"/>
              <w:rPr>
                <w:rFonts w:cstheme="minorHAnsi"/>
                <w:b/>
                <w:bCs w:val="0"/>
                <w:szCs w:val="20"/>
              </w:rPr>
            </w:pPr>
            <w:r w:rsidRPr="00564A09">
              <w:rPr>
                <w:rFonts w:cstheme="minorHAnsi"/>
                <w:b/>
                <w:bCs w:val="0"/>
                <w:szCs w:val="20"/>
                <w:lang w:bidi="en-US"/>
              </w:rPr>
              <w:t>0.51</w:t>
            </w:r>
            <w:r w:rsidRPr="00980134">
              <w:rPr>
                <w:rFonts w:cstheme="minorHAnsi"/>
                <w:b/>
                <w:bCs w:val="0"/>
                <w:szCs w:val="20"/>
                <w:lang w:bidi="en-US"/>
              </w:rPr>
              <w:t xml:space="preserve"> (0.40, 0.64)</w:t>
            </w:r>
          </w:p>
        </w:tc>
      </w:tr>
      <w:tr w:rsidR="00EE5515" w:rsidRPr="00980134" w14:paraId="37B9753B" w14:textId="77777777" w:rsidTr="004D444B">
        <w:trPr>
          <w:jc w:val="center"/>
        </w:trPr>
        <w:tc>
          <w:tcPr>
            <w:tcW w:w="0" w:type="auto"/>
            <w:gridSpan w:val="5"/>
            <w:vAlign w:val="center"/>
          </w:tcPr>
          <w:p w14:paraId="6704A1A0" w14:textId="77777777" w:rsidR="00EE5515" w:rsidRPr="00564A09" w:rsidRDefault="00EE5515">
            <w:pPr>
              <w:pStyle w:val="TableText0"/>
              <w:rPr>
                <w:rFonts w:cstheme="minorHAnsi"/>
                <w:szCs w:val="20"/>
                <w:vertAlign w:val="superscript"/>
                <w:lang w:bidi="en-US"/>
              </w:rPr>
            </w:pPr>
            <w:r w:rsidRPr="00564A09">
              <w:rPr>
                <w:rFonts w:cstheme="minorHAnsi"/>
                <w:szCs w:val="20"/>
              </w:rPr>
              <w:t>Proportion of patients alive and progression-free over time</w:t>
            </w:r>
          </w:p>
        </w:tc>
      </w:tr>
      <w:tr w:rsidR="003819F6" w:rsidRPr="00980134" w14:paraId="4642EB46" w14:textId="77777777" w:rsidTr="004D444B">
        <w:trPr>
          <w:jc w:val="center"/>
        </w:trPr>
        <w:tc>
          <w:tcPr>
            <w:tcW w:w="1412" w:type="pct"/>
            <w:vAlign w:val="center"/>
          </w:tcPr>
          <w:p w14:paraId="60D326CF" w14:textId="77777777" w:rsidR="00EE5515" w:rsidRPr="00980134" w:rsidRDefault="00EE5515">
            <w:pPr>
              <w:pStyle w:val="TableText0"/>
              <w:rPr>
                <w:rFonts w:cstheme="minorHAnsi"/>
                <w:szCs w:val="20"/>
              </w:rPr>
            </w:pPr>
            <w:r w:rsidRPr="00980134">
              <w:rPr>
                <w:rFonts w:cstheme="minorHAnsi"/>
                <w:szCs w:val="20"/>
              </w:rPr>
              <w:t>At 6 months (95% CI)</w:t>
            </w:r>
          </w:p>
        </w:tc>
        <w:tc>
          <w:tcPr>
            <w:tcW w:w="858" w:type="pct"/>
            <w:vAlign w:val="center"/>
          </w:tcPr>
          <w:p w14:paraId="1F84ACE4" w14:textId="42798BFA"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70.2 (64.8, 74.9)</w:t>
            </w:r>
          </w:p>
        </w:tc>
        <w:tc>
          <w:tcPr>
            <w:tcW w:w="871" w:type="pct"/>
            <w:vAlign w:val="center"/>
          </w:tcPr>
          <w:p w14:paraId="3FE96A90"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47.1 (38.5, 55.3)</w:t>
            </w:r>
          </w:p>
        </w:tc>
        <w:tc>
          <w:tcPr>
            <w:tcW w:w="854" w:type="pct"/>
            <w:vAlign w:val="center"/>
          </w:tcPr>
          <w:p w14:paraId="78A9F7F1" w14:textId="5366DBFC" w:rsidR="00EE5515" w:rsidRPr="00564A09" w:rsidRDefault="00EE5515">
            <w:pPr>
              <w:pStyle w:val="TableText0"/>
              <w:jc w:val="center"/>
              <w:rPr>
                <w:rFonts w:cstheme="minorHAnsi"/>
                <w:szCs w:val="20"/>
              </w:rPr>
            </w:pPr>
            <w:r w:rsidRPr="00564A09">
              <w:rPr>
                <w:rFonts w:cstheme="minorHAnsi"/>
                <w:szCs w:val="20"/>
              </w:rPr>
              <w:t>23.1</w:t>
            </w:r>
          </w:p>
        </w:tc>
        <w:tc>
          <w:tcPr>
            <w:tcW w:w="0" w:type="auto"/>
            <w:vAlign w:val="center"/>
          </w:tcPr>
          <w:p w14:paraId="2B99CC64"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4604702E" w14:textId="77777777" w:rsidTr="004D444B">
        <w:trPr>
          <w:jc w:val="center"/>
        </w:trPr>
        <w:tc>
          <w:tcPr>
            <w:tcW w:w="1412" w:type="pct"/>
            <w:vAlign w:val="center"/>
          </w:tcPr>
          <w:p w14:paraId="1048B932" w14:textId="77777777" w:rsidR="00EE5515" w:rsidRPr="00980134" w:rsidRDefault="00EE5515">
            <w:pPr>
              <w:pStyle w:val="TableText0"/>
              <w:rPr>
                <w:rFonts w:cstheme="minorHAnsi"/>
                <w:szCs w:val="20"/>
              </w:rPr>
            </w:pPr>
            <w:r w:rsidRPr="00980134">
              <w:rPr>
                <w:rFonts w:cstheme="minorHAnsi"/>
                <w:szCs w:val="20"/>
              </w:rPr>
              <w:t>At 12 months (95% CI)</w:t>
            </w:r>
          </w:p>
        </w:tc>
        <w:tc>
          <w:tcPr>
            <w:tcW w:w="858" w:type="pct"/>
            <w:vAlign w:val="center"/>
          </w:tcPr>
          <w:p w14:paraId="50F561B2" w14:textId="17152FAA"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43.2 (37.4, 48.7)</w:t>
            </w:r>
          </w:p>
        </w:tc>
        <w:tc>
          <w:tcPr>
            <w:tcW w:w="871" w:type="pct"/>
            <w:vAlign w:val="center"/>
          </w:tcPr>
          <w:p w14:paraId="70B1BBC8"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22.9 (15.8, 30.9)</w:t>
            </w:r>
          </w:p>
        </w:tc>
        <w:tc>
          <w:tcPr>
            <w:tcW w:w="854" w:type="pct"/>
            <w:vAlign w:val="center"/>
          </w:tcPr>
          <w:p w14:paraId="6D7DEADA" w14:textId="39341F41" w:rsidR="00EE5515" w:rsidRPr="00564A09" w:rsidRDefault="00EE5515">
            <w:pPr>
              <w:pStyle w:val="TableText0"/>
              <w:jc w:val="center"/>
              <w:rPr>
                <w:rFonts w:cstheme="minorHAnsi"/>
                <w:szCs w:val="20"/>
              </w:rPr>
            </w:pPr>
            <w:r w:rsidRPr="00564A09">
              <w:rPr>
                <w:rFonts w:cstheme="minorHAnsi"/>
                <w:szCs w:val="20"/>
              </w:rPr>
              <w:t>20.3</w:t>
            </w:r>
          </w:p>
        </w:tc>
        <w:tc>
          <w:tcPr>
            <w:tcW w:w="0" w:type="auto"/>
            <w:vAlign w:val="center"/>
          </w:tcPr>
          <w:p w14:paraId="12A7AF80"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5A026AB8" w14:textId="77777777" w:rsidTr="004D444B">
        <w:trPr>
          <w:jc w:val="center"/>
        </w:trPr>
        <w:tc>
          <w:tcPr>
            <w:tcW w:w="1412" w:type="pct"/>
            <w:vAlign w:val="center"/>
          </w:tcPr>
          <w:p w14:paraId="335074C5" w14:textId="77777777" w:rsidR="00EE5515" w:rsidRPr="00980134" w:rsidRDefault="00EE5515">
            <w:pPr>
              <w:pStyle w:val="TableText0"/>
              <w:rPr>
                <w:rFonts w:cstheme="minorHAnsi"/>
                <w:szCs w:val="20"/>
              </w:rPr>
            </w:pPr>
            <w:r w:rsidRPr="00980134">
              <w:rPr>
                <w:rFonts w:cstheme="minorHAnsi"/>
                <w:szCs w:val="20"/>
              </w:rPr>
              <w:t>At 18 months (95% CI)</w:t>
            </w:r>
          </w:p>
        </w:tc>
        <w:tc>
          <w:tcPr>
            <w:tcW w:w="858" w:type="pct"/>
            <w:vAlign w:val="center"/>
          </w:tcPr>
          <w:p w14:paraId="309C7E29" w14:textId="76FFAF14"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30.7 (24.9, 36.6)</w:t>
            </w:r>
          </w:p>
        </w:tc>
        <w:tc>
          <w:tcPr>
            <w:tcW w:w="871" w:type="pct"/>
            <w:vAlign w:val="center"/>
          </w:tcPr>
          <w:p w14:paraId="7EA0C78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11.3 (5.6, 19.3)</w:t>
            </w:r>
          </w:p>
        </w:tc>
        <w:tc>
          <w:tcPr>
            <w:tcW w:w="854" w:type="pct"/>
            <w:vAlign w:val="center"/>
          </w:tcPr>
          <w:p w14:paraId="79128D2E" w14:textId="2E8052F3" w:rsidR="00EE5515" w:rsidRPr="00564A09" w:rsidRDefault="00EE5515">
            <w:pPr>
              <w:pStyle w:val="TableText0"/>
              <w:jc w:val="center"/>
              <w:rPr>
                <w:rFonts w:cstheme="minorHAnsi"/>
                <w:szCs w:val="20"/>
              </w:rPr>
            </w:pPr>
            <w:r w:rsidRPr="00564A09">
              <w:rPr>
                <w:rFonts w:cstheme="minorHAnsi"/>
                <w:szCs w:val="20"/>
              </w:rPr>
              <w:t>19.4</w:t>
            </w:r>
          </w:p>
        </w:tc>
        <w:tc>
          <w:tcPr>
            <w:tcW w:w="0" w:type="auto"/>
            <w:vAlign w:val="center"/>
          </w:tcPr>
          <w:p w14:paraId="57BF1E83"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496B1638" w14:textId="77777777" w:rsidTr="004D444B">
        <w:trPr>
          <w:jc w:val="center"/>
        </w:trPr>
        <w:tc>
          <w:tcPr>
            <w:tcW w:w="1412" w:type="pct"/>
            <w:vAlign w:val="center"/>
          </w:tcPr>
          <w:p w14:paraId="29C4FA99" w14:textId="77777777" w:rsidR="00EE5515" w:rsidRPr="00980134" w:rsidRDefault="00EE5515">
            <w:pPr>
              <w:pStyle w:val="TableText0"/>
              <w:rPr>
                <w:rFonts w:cstheme="minorHAnsi"/>
                <w:szCs w:val="20"/>
              </w:rPr>
            </w:pPr>
            <w:r w:rsidRPr="00980134">
              <w:rPr>
                <w:rFonts w:cstheme="minorHAnsi"/>
                <w:szCs w:val="20"/>
              </w:rPr>
              <w:t>At 24 months (95% CI)</w:t>
            </w:r>
          </w:p>
        </w:tc>
        <w:tc>
          <w:tcPr>
            <w:tcW w:w="858" w:type="pct"/>
            <w:vAlign w:val="center"/>
          </w:tcPr>
          <w:p w14:paraId="04CE8CB0" w14:textId="11D04D62"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20.7 (14.0, 28.3)</w:t>
            </w:r>
          </w:p>
        </w:tc>
        <w:tc>
          <w:tcPr>
            <w:tcW w:w="871" w:type="pct"/>
            <w:vAlign w:val="center"/>
          </w:tcPr>
          <w:p w14:paraId="02F7EBE5"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7.5 (2.2, 17.4)</w:t>
            </w:r>
          </w:p>
        </w:tc>
        <w:tc>
          <w:tcPr>
            <w:tcW w:w="854" w:type="pct"/>
            <w:vAlign w:val="center"/>
          </w:tcPr>
          <w:p w14:paraId="7C216D41" w14:textId="2DF09A91" w:rsidR="00EE5515" w:rsidRPr="00564A09" w:rsidRDefault="00EE5515">
            <w:pPr>
              <w:pStyle w:val="TableText0"/>
              <w:jc w:val="center"/>
              <w:rPr>
                <w:rFonts w:cstheme="minorHAnsi"/>
                <w:szCs w:val="20"/>
              </w:rPr>
            </w:pPr>
            <w:r w:rsidRPr="00564A09">
              <w:rPr>
                <w:rFonts w:cstheme="minorHAnsi"/>
                <w:szCs w:val="20"/>
              </w:rPr>
              <w:t>13.2</w:t>
            </w:r>
          </w:p>
        </w:tc>
        <w:tc>
          <w:tcPr>
            <w:tcW w:w="0" w:type="auto"/>
            <w:vAlign w:val="center"/>
          </w:tcPr>
          <w:p w14:paraId="2969583E"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75F4D056" w14:textId="77777777" w:rsidTr="004D444B">
        <w:trPr>
          <w:jc w:val="center"/>
        </w:trPr>
        <w:tc>
          <w:tcPr>
            <w:tcW w:w="1412" w:type="pct"/>
            <w:vAlign w:val="center"/>
          </w:tcPr>
          <w:p w14:paraId="2C403810" w14:textId="77777777" w:rsidR="00EE5515" w:rsidRPr="00980134" w:rsidRDefault="00EE5515">
            <w:pPr>
              <w:pStyle w:val="TableText0"/>
              <w:rPr>
                <w:rFonts w:cstheme="minorHAnsi"/>
                <w:b/>
                <w:bCs w:val="0"/>
                <w:szCs w:val="20"/>
              </w:rPr>
            </w:pPr>
            <w:r w:rsidRPr="00980134">
              <w:rPr>
                <w:rFonts w:cstheme="minorHAnsi"/>
                <w:b/>
                <w:bCs w:val="0"/>
                <w:szCs w:val="20"/>
              </w:rPr>
              <w:t>PFS by BICR HR negative cohort</w:t>
            </w:r>
          </w:p>
        </w:tc>
        <w:tc>
          <w:tcPr>
            <w:tcW w:w="858" w:type="pct"/>
            <w:vAlign w:val="center"/>
          </w:tcPr>
          <w:p w14:paraId="36B38FDC" w14:textId="77777777" w:rsidR="00EE5515" w:rsidRPr="00564A09" w:rsidRDefault="00EE5515">
            <w:pPr>
              <w:pStyle w:val="TableText0"/>
              <w:rPr>
                <w:rFonts w:cstheme="minorHAnsi"/>
                <w:b/>
                <w:bCs w:val="0"/>
                <w:szCs w:val="20"/>
              </w:rPr>
            </w:pPr>
            <w:r w:rsidRPr="00564A09">
              <w:rPr>
                <w:rFonts w:cstheme="minorHAnsi"/>
                <w:b/>
                <w:bCs w:val="0"/>
                <w:szCs w:val="20"/>
              </w:rPr>
              <w:t>T-</w:t>
            </w:r>
            <w:proofErr w:type="spellStart"/>
            <w:r w:rsidRPr="00564A09">
              <w:rPr>
                <w:rFonts w:cstheme="minorHAnsi"/>
                <w:b/>
                <w:bCs w:val="0"/>
                <w:szCs w:val="20"/>
              </w:rPr>
              <w:t>DXd</w:t>
            </w:r>
            <w:proofErr w:type="spellEnd"/>
            <w:r w:rsidRPr="00564A09">
              <w:rPr>
                <w:rFonts w:cstheme="minorHAnsi"/>
                <w:b/>
                <w:bCs w:val="0"/>
                <w:szCs w:val="20"/>
              </w:rPr>
              <w:t xml:space="preserve"> (N=42)</w:t>
            </w:r>
          </w:p>
        </w:tc>
        <w:tc>
          <w:tcPr>
            <w:tcW w:w="871" w:type="pct"/>
            <w:vAlign w:val="center"/>
          </w:tcPr>
          <w:p w14:paraId="21A2C0CB" w14:textId="77777777" w:rsidR="00EE5515" w:rsidRPr="00564A09" w:rsidRDefault="00EE5515">
            <w:pPr>
              <w:pStyle w:val="TableText0"/>
              <w:rPr>
                <w:rFonts w:cstheme="minorHAnsi"/>
                <w:b/>
                <w:bCs w:val="0"/>
                <w:szCs w:val="20"/>
              </w:rPr>
            </w:pPr>
            <w:r w:rsidRPr="00564A09">
              <w:rPr>
                <w:rFonts w:cstheme="minorHAnsi"/>
                <w:b/>
                <w:bCs w:val="0"/>
                <w:szCs w:val="20"/>
              </w:rPr>
              <w:t>TPC (N=21)</w:t>
            </w:r>
          </w:p>
        </w:tc>
        <w:tc>
          <w:tcPr>
            <w:tcW w:w="854" w:type="pct"/>
            <w:vAlign w:val="center"/>
          </w:tcPr>
          <w:p w14:paraId="7BCAE55D" w14:textId="77777777" w:rsidR="00EE5515" w:rsidRPr="00564A09" w:rsidRDefault="00EE5515">
            <w:pPr>
              <w:pStyle w:val="TableText0"/>
              <w:jc w:val="center"/>
              <w:rPr>
                <w:rFonts w:cstheme="minorHAnsi"/>
                <w:b/>
                <w:bCs w:val="0"/>
                <w:szCs w:val="20"/>
              </w:rPr>
            </w:pPr>
            <w:r w:rsidRPr="00564A09">
              <w:rPr>
                <w:rFonts w:cstheme="minorHAnsi"/>
                <w:b/>
                <w:bCs w:val="0"/>
                <w:szCs w:val="20"/>
              </w:rPr>
              <w:t>Absolute difference</w:t>
            </w:r>
          </w:p>
        </w:tc>
        <w:tc>
          <w:tcPr>
            <w:tcW w:w="0" w:type="auto"/>
            <w:vAlign w:val="center"/>
          </w:tcPr>
          <w:p w14:paraId="31CE14C6" w14:textId="77777777" w:rsidR="00EE5515" w:rsidRPr="00980134" w:rsidRDefault="00EE5515">
            <w:pPr>
              <w:pStyle w:val="TableText0"/>
              <w:jc w:val="center"/>
              <w:rPr>
                <w:rFonts w:cstheme="minorHAnsi"/>
                <w:b/>
                <w:bCs w:val="0"/>
                <w:szCs w:val="20"/>
              </w:rPr>
            </w:pPr>
            <w:r w:rsidRPr="00980134">
              <w:rPr>
                <w:rFonts w:cstheme="minorHAnsi"/>
                <w:b/>
                <w:bCs w:val="0"/>
                <w:szCs w:val="20"/>
              </w:rPr>
              <w:t xml:space="preserve">Hazard ratio </w:t>
            </w:r>
          </w:p>
          <w:p w14:paraId="49FFD0A9" w14:textId="77777777" w:rsidR="00EE5515" w:rsidRPr="00980134" w:rsidRDefault="00EE5515">
            <w:pPr>
              <w:pStyle w:val="TableText0"/>
              <w:jc w:val="center"/>
              <w:rPr>
                <w:rFonts w:cstheme="minorHAnsi"/>
                <w:b/>
                <w:bCs w:val="0"/>
                <w:szCs w:val="20"/>
                <w:lang w:bidi="en-US"/>
              </w:rPr>
            </w:pPr>
            <w:r w:rsidRPr="00980134">
              <w:rPr>
                <w:rFonts w:cstheme="minorHAnsi"/>
                <w:b/>
                <w:bCs w:val="0"/>
                <w:szCs w:val="20"/>
              </w:rPr>
              <w:t>(95% CI)</w:t>
            </w:r>
          </w:p>
        </w:tc>
      </w:tr>
      <w:tr w:rsidR="003819F6" w:rsidRPr="00980134" w14:paraId="4AF281DC" w14:textId="77777777" w:rsidTr="004D444B">
        <w:trPr>
          <w:jc w:val="center"/>
        </w:trPr>
        <w:tc>
          <w:tcPr>
            <w:tcW w:w="1412" w:type="pct"/>
            <w:vAlign w:val="center"/>
          </w:tcPr>
          <w:p w14:paraId="4BE9777D" w14:textId="77777777" w:rsidR="00EE5515" w:rsidRPr="00980134" w:rsidRDefault="00EE5515">
            <w:pPr>
              <w:pStyle w:val="TableText0"/>
              <w:rPr>
                <w:rFonts w:cstheme="minorHAnsi"/>
                <w:szCs w:val="20"/>
              </w:rPr>
            </w:pPr>
            <w:r w:rsidRPr="00980134">
              <w:rPr>
                <w:rFonts w:cstheme="minorHAnsi"/>
                <w:szCs w:val="20"/>
              </w:rPr>
              <w:t>Patients with event (%)</w:t>
            </w:r>
          </w:p>
        </w:tc>
        <w:tc>
          <w:tcPr>
            <w:tcW w:w="858" w:type="pct"/>
            <w:vAlign w:val="center"/>
          </w:tcPr>
          <w:p w14:paraId="5699E72D" w14:textId="3F284545"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32 (76.2)</w:t>
            </w:r>
          </w:p>
        </w:tc>
        <w:tc>
          <w:tcPr>
            <w:tcW w:w="871" w:type="pct"/>
            <w:vAlign w:val="center"/>
          </w:tcPr>
          <w:p w14:paraId="69469159"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17 (81.0)</w:t>
            </w:r>
          </w:p>
        </w:tc>
        <w:tc>
          <w:tcPr>
            <w:tcW w:w="854" w:type="pct"/>
            <w:vAlign w:val="center"/>
          </w:tcPr>
          <w:p w14:paraId="5342E1AA"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47D82AE6" w14:textId="77777777" w:rsidR="00EE5515" w:rsidRPr="00980134" w:rsidRDefault="00EE5515">
            <w:pPr>
              <w:pStyle w:val="TableText0"/>
              <w:jc w:val="center"/>
              <w:rPr>
                <w:rFonts w:cstheme="minorHAnsi"/>
                <w:szCs w:val="20"/>
                <w:lang w:bidi="en-US"/>
              </w:rPr>
            </w:pPr>
            <w:r w:rsidRPr="00980134">
              <w:rPr>
                <w:rFonts w:cstheme="minorHAnsi"/>
                <w:szCs w:val="20"/>
              </w:rPr>
              <w:t>-</w:t>
            </w:r>
          </w:p>
        </w:tc>
      </w:tr>
      <w:tr w:rsidR="003819F6" w:rsidRPr="00980134" w14:paraId="23C6D8F8" w14:textId="77777777" w:rsidTr="004D444B">
        <w:trPr>
          <w:jc w:val="center"/>
        </w:trPr>
        <w:tc>
          <w:tcPr>
            <w:tcW w:w="1412" w:type="pct"/>
            <w:vAlign w:val="center"/>
          </w:tcPr>
          <w:p w14:paraId="546CB9A0" w14:textId="77777777" w:rsidR="00EE5515" w:rsidRPr="00980134" w:rsidRDefault="00EE5515">
            <w:pPr>
              <w:pStyle w:val="TableText0"/>
              <w:rPr>
                <w:rFonts w:cstheme="minorHAnsi"/>
                <w:szCs w:val="20"/>
              </w:rPr>
            </w:pPr>
            <w:r w:rsidRPr="00980134">
              <w:rPr>
                <w:rFonts w:cstheme="minorHAnsi"/>
                <w:szCs w:val="20"/>
              </w:rPr>
              <w:t>Disease progression (%)</w:t>
            </w:r>
          </w:p>
        </w:tc>
        <w:tc>
          <w:tcPr>
            <w:tcW w:w="858" w:type="pct"/>
            <w:vAlign w:val="center"/>
          </w:tcPr>
          <w:p w14:paraId="6A1A0DC2" w14:textId="0AB0E572"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28 (66.7)</w:t>
            </w:r>
          </w:p>
        </w:tc>
        <w:tc>
          <w:tcPr>
            <w:tcW w:w="871" w:type="pct"/>
            <w:vAlign w:val="center"/>
          </w:tcPr>
          <w:p w14:paraId="048EB52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16 (76.2)</w:t>
            </w:r>
          </w:p>
        </w:tc>
        <w:tc>
          <w:tcPr>
            <w:tcW w:w="854" w:type="pct"/>
            <w:vAlign w:val="center"/>
          </w:tcPr>
          <w:p w14:paraId="71C76ACF"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0A596D68" w14:textId="77777777" w:rsidR="00EE5515" w:rsidRPr="00980134" w:rsidRDefault="00EE5515">
            <w:pPr>
              <w:pStyle w:val="TableText0"/>
              <w:jc w:val="center"/>
              <w:rPr>
                <w:rFonts w:cstheme="minorHAnsi"/>
                <w:szCs w:val="20"/>
                <w:lang w:bidi="en-US"/>
              </w:rPr>
            </w:pPr>
            <w:r w:rsidRPr="00980134">
              <w:rPr>
                <w:rFonts w:cstheme="minorHAnsi"/>
                <w:szCs w:val="20"/>
              </w:rPr>
              <w:t>-</w:t>
            </w:r>
          </w:p>
        </w:tc>
      </w:tr>
      <w:tr w:rsidR="003819F6" w:rsidRPr="00980134" w14:paraId="4851AD8A" w14:textId="77777777" w:rsidTr="004D444B">
        <w:trPr>
          <w:jc w:val="center"/>
        </w:trPr>
        <w:tc>
          <w:tcPr>
            <w:tcW w:w="1412" w:type="pct"/>
            <w:vAlign w:val="center"/>
          </w:tcPr>
          <w:p w14:paraId="1E7E5FB0" w14:textId="77777777" w:rsidR="00EE5515" w:rsidRPr="00980134" w:rsidRDefault="00EE5515">
            <w:pPr>
              <w:pStyle w:val="TableText0"/>
              <w:rPr>
                <w:rFonts w:cstheme="minorHAnsi"/>
                <w:szCs w:val="20"/>
              </w:rPr>
            </w:pPr>
            <w:r w:rsidRPr="00980134">
              <w:rPr>
                <w:rFonts w:cstheme="minorHAnsi"/>
                <w:szCs w:val="20"/>
              </w:rPr>
              <w:t>Death (%)</w:t>
            </w:r>
          </w:p>
        </w:tc>
        <w:tc>
          <w:tcPr>
            <w:tcW w:w="858" w:type="pct"/>
            <w:vAlign w:val="center"/>
          </w:tcPr>
          <w:p w14:paraId="7129A240" w14:textId="3BB379D5"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4 (9.5)</w:t>
            </w:r>
          </w:p>
        </w:tc>
        <w:tc>
          <w:tcPr>
            <w:tcW w:w="871" w:type="pct"/>
            <w:vAlign w:val="center"/>
          </w:tcPr>
          <w:p w14:paraId="65425DBF"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cstheme="minorHAnsi"/>
                <w:sz w:val="20"/>
                <w:szCs w:val="20"/>
              </w:rPr>
              <w:t>1 (4.8)</w:t>
            </w:r>
          </w:p>
        </w:tc>
        <w:tc>
          <w:tcPr>
            <w:tcW w:w="854" w:type="pct"/>
            <w:vAlign w:val="center"/>
          </w:tcPr>
          <w:p w14:paraId="3E1342D3"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03F77BB6" w14:textId="77777777" w:rsidR="00EE5515" w:rsidRPr="00980134" w:rsidRDefault="00EE5515">
            <w:pPr>
              <w:pStyle w:val="TableText0"/>
              <w:jc w:val="center"/>
              <w:rPr>
                <w:rFonts w:cstheme="minorHAnsi"/>
                <w:szCs w:val="20"/>
                <w:lang w:bidi="en-US"/>
              </w:rPr>
            </w:pPr>
            <w:r w:rsidRPr="00980134">
              <w:rPr>
                <w:rFonts w:cstheme="minorHAnsi"/>
                <w:szCs w:val="20"/>
              </w:rPr>
              <w:t>-</w:t>
            </w:r>
          </w:p>
        </w:tc>
      </w:tr>
      <w:tr w:rsidR="003819F6" w:rsidRPr="00980134" w14:paraId="2656574F" w14:textId="77777777" w:rsidTr="004D444B">
        <w:trPr>
          <w:jc w:val="center"/>
        </w:trPr>
        <w:tc>
          <w:tcPr>
            <w:tcW w:w="1412" w:type="pct"/>
            <w:vAlign w:val="center"/>
          </w:tcPr>
          <w:p w14:paraId="007B585C" w14:textId="77777777" w:rsidR="00EE5515" w:rsidRPr="00980134" w:rsidRDefault="00EE5515">
            <w:pPr>
              <w:pStyle w:val="TableText0"/>
              <w:rPr>
                <w:rFonts w:cstheme="minorHAnsi"/>
                <w:szCs w:val="20"/>
              </w:rPr>
            </w:pPr>
            <w:r w:rsidRPr="00980134">
              <w:rPr>
                <w:rFonts w:cstheme="minorHAnsi"/>
                <w:szCs w:val="20"/>
              </w:rPr>
              <w:t>Median PFS months (95% CI)</w:t>
            </w:r>
          </w:p>
        </w:tc>
        <w:tc>
          <w:tcPr>
            <w:tcW w:w="858" w:type="pct"/>
            <w:vAlign w:val="center"/>
          </w:tcPr>
          <w:p w14:paraId="16F97101" w14:textId="48BB9229"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6.6 </w:t>
            </w:r>
            <w:r w:rsidRPr="00564A09">
              <w:rPr>
                <w:rFonts w:ascii="Arial Narrow" w:hAnsi="Arial Narrow" w:cstheme="minorHAnsi"/>
                <w:sz w:val="20"/>
                <w:szCs w:val="20"/>
                <w:lang w:bidi="en-US"/>
              </w:rPr>
              <w:t>(4.1, 11.7)</w:t>
            </w:r>
          </w:p>
        </w:tc>
        <w:tc>
          <w:tcPr>
            <w:tcW w:w="871" w:type="pct"/>
            <w:vAlign w:val="center"/>
          </w:tcPr>
          <w:p w14:paraId="7A70F3F3"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2.9 </w:t>
            </w:r>
            <w:r w:rsidRPr="00564A09">
              <w:rPr>
                <w:rFonts w:ascii="Arial Narrow" w:hAnsi="Arial Narrow" w:cstheme="minorHAnsi"/>
                <w:sz w:val="20"/>
                <w:szCs w:val="20"/>
                <w:lang w:bidi="en-US"/>
              </w:rPr>
              <w:t>(1.4, 4.0)</w:t>
            </w:r>
          </w:p>
        </w:tc>
        <w:tc>
          <w:tcPr>
            <w:tcW w:w="854" w:type="pct"/>
            <w:vAlign w:val="center"/>
          </w:tcPr>
          <w:p w14:paraId="5A4BACA5" w14:textId="4000D734" w:rsidR="00EE5515" w:rsidRPr="00564A09" w:rsidRDefault="00EE5515">
            <w:pPr>
              <w:pStyle w:val="TableText0"/>
              <w:jc w:val="center"/>
              <w:rPr>
                <w:rFonts w:cstheme="minorHAnsi"/>
                <w:szCs w:val="20"/>
              </w:rPr>
            </w:pPr>
            <w:r w:rsidRPr="00564A09">
              <w:rPr>
                <w:rFonts w:cstheme="minorHAnsi"/>
                <w:szCs w:val="20"/>
              </w:rPr>
              <w:t>3.7</w:t>
            </w:r>
          </w:p>
        </w:tc>
        <w:tc>
          <w:tcPr>
            <w:tcW w:w="0" w:type="auto"/>
            <w:vAlign w:val="center"/>
          </w:tcPr>
          <w:p w14:paraId="242B25D0" w14:textId="52B45E34" w:rsidR="00EE5515" w:rsidRPr="00980134" w:rsidRDefault="00EE5515">
            <w:pPr>
              <w:pStyle w:val="TableText0"/>
              <w:jc w:val="center"/>
              <w:rPr>
                <w:rFonts w:cstheme="minorHAnsi"/>
                <w:szCs w:val="20"/>
                <w:lang w:bidi="en-US"/>
              </w:rPr>
            </w:pPr>
            <w:r w:rsidRPr="00564A09">
              <w:rPr>
                <w:rFonts w:cstheme="minorHAnsi"/>
                <w:b/>
                <w:bCs w:val="0"/>
                <w:szCs w:val="20"/>
                <w:lang w:bidi="en-US"/>
              </w:rPr>
              <w:t>0.45 (0.23, 0.87</w:t>
            </w:r>
            <w:r w:rsidRPr="00980134">
              <w:rPr>
                <w:rFonts w:cstheme="minorHAnsi"/>
                <w:b/>
                <w:bCs w:val="0"/>
                <w:szCs w:val="20"/>
                <w:lang w:bidi="en-US"/>
              </w:rPr>
              <w:t>)</w:t>
            </w:r>
          </w:p>
        </w:tc>
      </w:tr>
      <w:tr w:rsidR="00EE5515" w:rsidRPr="00980134" w14:paraId="5AD4E61E" w14:textId="77777777" w:rsidTr="004D444B">
        <w:trPr>
          <w:jc w:val="center"/>
        </w:trPr>
        <w:tc>
          <w:tcPr>
            <w:tcW w:w="0" w:type="auto"/>
            <w:gridSpan w:val="5"/>
            <w:vAlign w:val="center"/>
          </w:tcPr>
          <w:p w14:paraId="596034C2" w14:textId="77777777" w:rsidR="00EE5515" w:rsidRPr="00564A09" w:rsidRDefault="00EE5515">
            <w:pPr>
              <w:pStyle w:val="TableText0"/>
              <w:rPr>
                <w:rFonts w:cstheme="minorHAnsi"/>
                <w:szCs w:val="20"/>
                <w:lang w:bidi="en-US"/>
              </w:rPr>
            </w:pPr>
            <w:r w:rsidRPr="00564A09">
              <w:rPr>
                <w:rFonts w:cstheme="minorHAnsi"/>
                <w:szCs w:val="20"/>
              </w:rPr>
              <w:t>Proportion of patients alive and progression-free over time</w:t>
            </w:r>
          </w:p>
        </w:tc>
      </w:tr>
      <w:tr w:rsidR="003819F6" w:rsidRPr="00980134" w14:paraId="22889D1B" w14:textId="77777777" w:rsidTr="004D444B">
        <w:trPr>
          <w:jc w:val="center"/>
        </w:trPr>
        <w:tc>
          <w:tcPr>
            <w:tcW w:w="1412" w:type="pct"/>
            <w:vAlign w:val="center"/>
          </w:tcPr>
          <w:p w14:paraId="348CFF77" w14:textId="77777777" w:rsidR="00EE5515" w:rsidRPr="00980134" w:rsidRDefault="00EE5515">
            <w:pPr>
              <w:pStyle w:val="TableText0"/>
              <w:rPr>
                <w:rFonts w:cstheme="minorHAnsi"/>
                <w:szCs w:val="20"/>
              </w:rPr>
            </w:pPr>
            <w:r w:rsidRPr="00980134">
              <w:rPr>
                <w:rFonts w:cstheme="minorHAnsi"/>
                <w:szCs w:val="20"/>
              </w:rPr>
              <w:t>At 6 months (95% CI)</w:t>
            </w:r>
          </w:p>
        </w:tc>
        <w:tc>
          <w:tcPr>
            <w:tcW w:w="858" w:type="pct"/>
            <w:vAlign w:val="center"/>
          </w:tcPr>
          <w:p w14:paraId="203147A8" w14:textId="5C813BE5"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51.8 (35.7, 65.7)</w:t>
            </w:r>
          </w:p>
        </w:tc>
        <w:tc>
          <w:tcPr>
            <w:tcW w:w="871" w:type="pct"/>
            <w:vAlign w:val="center"/>
          </w:tcPr>
          <w:p w14:paraId="1D96C031"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21.1 (6.0, 42.2)</w:t>
            </w:r>
          </w:p>
        </w:tc>
        <w:tc>
          <w:tcPr>
            <w:tcW w:w="854" w:type="pct"/>
            <w:vAlign w:val="center"/>
          </w:tcPr>
          <w:p w14:paraId="3B57C834" w14:textId="4CC59F30" w:rsidR="00EE5515" w:rsidRPr="00564A09" w:rsidRDefault="00EE5515">
            <w:pPr>
              <w:pStyle w:val="TableText0"/>
              <w:jc w:val="center"/>
              <w:rPr>
                <w:rFonts w:cstheme="minorHAnsi"/>
                <w:szCs w:val="20"/>
              </w:rPr>
            </w:pPr>
            <w:r w:rsidRPr="00564A09">
              <w:rPr>
                <w:rFonts w:cstheme="minorHAnsi"/>
                <w:szCs w:val="20"/>
              </w:rPr>
              <w:t>30.7</w:t>
            </w:r>
          </w:p>
        </w:tc>
        <w:tc>
          <w:tcPr>
            <w:tcW w:w="0" w:type="auto"/>
            <w:vAlign w:val="center"/>
          </w:tcPr>
          <w:p w14:paraId="31A859C5"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382C56C6" w14:textId="77777777" w:rsidTr="004D444B">
        <w:trPr>
          <w:jc w:val="center"/>
        </w:trPr>
        <w:tc>
          <w:tcPr>
            <w:tcW w:w="1412" w:type="pct"/>
            <w:vAlign w:val="center"/>
          </w:tcPr>
          <w:p w14:paraId="6DFFD3AC" w14:textId="77777777" w:rsidR="00EE5515" w:rsidRPr="00980134" w:rsidRDefault="00EE5515">
            <w:pPr>
              <w:pStyle w:val="TableText0"/>
              <w:rPr>
                <w:rFonts w:cstheme="minorHAnsi"/>
                <w:szCs w:val="20"/>
              </w:rPr>
            </w:pPr>
            <w:r w:rsidRPr="00980134">
              <w:rPr>
                <w:rFonts w:cstheme="minorHAnsi"/>
                <w:szCs w:val="20"/>
              </w:rPr>
              <w:t>At 12 months (95% CI)</w:t>
            </w:r>
          </w:p>
        </w:tc>
        <w:tc>
          <w:tcPr>
            <w:tcW w:w="858" w:type="pct"/>
            <w:vAlign w:val="center"/>
          </w:tcPr>
          <w:p w14:paraId="0A68568A" w14:textId="0E700A5A"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32.7 (18.6, 47.5)</w:t>
            </w:r>
          </w:p>
        </w:tc>
        <w:tc>
          <w:tcPr>
            <w:tcW w:w="871" w:type="pct"/>
            <w:vAlign w:val="center"/>
          </w:tcPr>
          <w:p w14:paraId="5FCC92B8"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14.1 (2.6, 34.8)</w:t>
            </w:r>
          </w:p>
        </w:tc>
        <w:tc>
          <w:tcPr>
            <w:tcW w:w="854" w:type="pct"/>
            <w:vAlign w:val="center"/>
          </w:tcPr>
          <w:p w14:paraId="46258B96" w14:textId="00159B78" w:rsidR="00EE5515" w:rsidRPr="00564A09" w:rsidRDefault="00EE5515">
            <w:pPr>
              <w:pStyle w:val="TableText0"/>
              <w:jc w:val="center"/>
              <w:rPr>
                <w:rFonts w:cstheme="minorHAnsi"/>
                <w:szCs w:val="20"/>
              </w:rPr>
            </w:pPr>
            <w:r w:rsidRPr="00564A09">
              <w:rPr>
                <w:rFonts w:cstheme="minorHAnsi"/>
                <w:szCs w:val="20"/>
              </w:rPr>
              <w:t>18.6</w:t>
            </w:r>
          </w:p>
        </w:tc>
        <w:tc>
          <w:tcPr>
            <w:tcW w:w="0" w:type="auto"/>
            <w:vAlign w:val="center"/>
          </w:tcPr>
          <w:p w14:paraId="2968E52A"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28D38214" w14:textId="77777777" w:rsidTr="004D444B">
        <w:trPr>
          <w:jc w:val="center"/>
        </w:trPr>
        <w:tc>
          <w:tcPr>
            <w:tcW w:w="1412" w:type="pct"/>
            <w:vAlign w:val="center"/>
          </w:tcPr>
          <w:p w14:paraId="1809AD98" w14:textId="77777777" w:rsidR="00EE5515" w:rsidRPr="00980134" w:rsidRDefault="00EE5515">
            <w:pPr>
              <w:pStyle w:val="TableText0"/>
              <w:rPr>
                <w:rFonts w:cstheme="minorHAnsi"/>
                <w:szCs w:val="20"/>
              </w:rPr>
            </w:pPr>
            <w:r w:rsidRPr="00980134">
              <w:rPr>
                <w:rFonts w:cstheme="minorHAnsi"/>
                <w:szCs w:val="20"/>
              </w:rPr>
              <w:t>At 18 months (95% CI)</w:t>
            </w:r>
          </w:p>
        </w:tc>
        <w:tc>
          <w:tcPr>
            <w:tcW w:w="858" w:type="pct"/>
            <w:vAlign w:val="center"/>
          </w:tcPr>
          <w:p w14:paraId="46555485" w14:textId="5B80A31A"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22.9 (10.7, 37.8)</w:t>
            </w:r>
          </w:p>
        </w:tc>
        <w:tc>
          <w:tcPr>
            <w:tcW w:w="871" w:type="pct"/>
            <w:vAlign w:val="center"/>
          </w:tcPr>
          <w:p w14:paraId="529843EA"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7.0 (0.5, 26.6)</w:t>
            </w:r>
          </w:p>
        </w:tc>
        <w:tc>
          <w:tcPr>
            <w:tcW w:w="854" w:type="pct"/>
            <w:vAlign w:val="center"/>
          </w:tcPr>
          <w:p w14:paraId="36723A6E" w14:textId="76B3ABE8" w:rsidR="00EE5515" w:rsidRPr="00564A09" w:rsidRDefault="00EE5515">
            <w:pPr>
              <w:pStyle w:val="TableText0"/>
              <w:jc w:val="center"/>
              <w:rPr>
                <w:rFonts w:cstheme="minorHAnsi"/>
                <w:szCs w:val="20"/>
              </w:rPr>
            </w:pPr>
            <w:r w:rsidRPr="00564A09">
              <w:rPr>
                <w:rFonts w:cstheme="minorHAnsi"/>
                <w:szCs w:val="20"/>
              </w:rPr>
              <w:t>15.9</w:t>
            </w:r>
          </w:p>
        </w:tc>
        <w:tc>
          <w:tcPr>
            <w:tcW w:w="0" w:type="auto"/>
            <w:vAlign w:val="center"/>
          </w:tcPr>
          <w:p w14:paraId="5738604E"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r w:rsidR="003819F6" w:rsidRPr="00980134" w14:paraId="413FD1CE" w14:textId="77777777" w:rsidTr="004D444B">
        <w:trPr>
          <w:jc w:val="center"/>
        </w:trPr>
        <w:tc>
          <w:tcPr>
            <w:tcW w:w="1412" w:type="pct"/>
            <w:vAlign w:val="center"/>
          </w:tcPr>
          <w:p w14:paraId="553208C3" w14:textId="77777777" w:rsidR="00EE5515" w:rsidRPr="00980134" w:rsidRDefault="00EE5515">
            <w:pPr>
              <w:pStyle w:val="TableText0"/>
              <w:rPr>
                <w:rFonts w:cstheme="minorHAnsi"/>
                <w:szCs w:val="20"/>
              </w:rPr>
            </w:pPr>
            <w:r w:rsidRPr="00980134">
              <w:rPr>
                <w:rFonts w:cstheme="minorHAnsi"/>
                <w:szCs w:val="20"/>
              </w:rPr>
              <w:t>At 24 months (95% CI)</w:t>
            </w:r>
          </w:p>
        </w:tc>
        <w:tc>
          <w:tcPr>
            <w:tcW w:w="858" w:type="pct"/>
            <w:vAlign w:val="center"/>
          </w:tcPr>
          <w:p w14:paraId="7B871653" w14:textId="5B42902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7.6 (0.7, 26.7)</w:t>
            </w:r>
          </w:p>
        </w:tc>
        <w:tc>
          <w:tcPr>
            <w:tcW w:w="871" w:type="pct"/>
            <w:vAlign w:val="center"/>
          </w:tcPr>
          <w:p w14:paraId="0870672A"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bCs/>
                <w:sz w:val="20"/>
                <w:szCs w:val="20"/>
              </w:rPr>
              <w:t>NE (NE, NE)</w:t>
            </w:r>
          </w:p>
        </w:tc>
        <w:tc>
          <w:tcPr>
            <w:tcW w:w="854" w:type="pct"/>
            <w:vAlign w:val="center"/>
          </w:tcPr>
          <w:p w14:paraId="5B327738"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3A148BB1" w14:textId="77777777" w:rsidR="00EE5515" w:rsidRPr="00980134" w:rsidRDefault="00EE5515">
            <w:pPr>
              <w:pStyle w:val="TableText0"/>
              <w:jc w:val="center"/>
              <w:rPr>
                <w:rFonts w:cstheme="minorHAnsi"/>
                <w:szCs w:val="20"/>
                <w:lang w:bidi="en-US"/>
              </w:rPr>
            </w:pPr>
            <w:r w:rsidRPr="00980134">
              <w:rPr>
                <w:rFonts w:cstheme="minorHAnsi"/>
                <w:szCs w:val="20"/>
                <w:lang w:bidi="en-US"/>
              </w:rPr>
              <w:t>-</w:t>
            </w:r>
          </w:p>
        </w:tc>
      </w:tr>
    </w:tbl>
    <w:p w14:paraId="486090C5" w14:textId="77777777" w:rsidR="00EE5515" w:rsidRPr="00980134" w:rsidRDefault="00EE5515" w:rsidP="00EE5515">
      <w:pPr>
        <w:rPr>
          <w:rFonts w:ascii="Arial Narrow" w:hAnsi="Arial Narrow"/>
          <w:snapToGrid w:val="0"/>
          <w:sz w:val="18"/>
          <w:szCs w:val="22"/>
        </w:rPr>
      </w:pPr>
      <w:r w:rsidRPr="00980134">
        <w:rPr>
          <w:rFonts w:ascii="Arial Narrow" w:hAnsi="Arial Narrow"/>
          <w:snapToGrid w:val="0"/>
          <w:sz w:val="18"/>
          <w:szCs w:val="22"/>
        </w:rPr>
        <w:t>Source: Table 14.2.1.1.2, pp264-265, Table 14.2.1.1.1, pp262-263, and Table 14.2.1.1.3, pp266-267 of the DB-04 CSR tables and figures, Attachment 2.8 of the submission.</w:t>
      </w:r>
    </w:p>
    <w:p w14:paraId="3B9EB39A" w14:textId="77777777" w:rsidR="00EE5515" w:rsidRPr="00980134" w:rsidRDefault="00EE5515" w:rsidP="00EE5515">
      <w:pPr>
        <w:rPr>
          <w:rFonts w:ascii="Arial Narrow" w:hAnsi="Arial Narrow"/>
          <w:snapToGrid w:val="0"/>
          <w:sz w:val="18"/>
          <w:szCs w:val="22"/>
        </w:rPr>
      </w:pPr>
      <w:r w:rsidRPr="00980134">
        <w:rPr>
          <w:rFonts w:ascii="Arial Narrow" w:hAnsi="Arial Narrow"/>
          <w:snapToGrid w:val="0"/>
          <w:sz w:val="18"/>
          <w:szCs w:val="22"/>
        </w:rPr>
        <w:t>BICR = blinded independent central review; CI = confidence interval; DB-04 = DESTINY-Breast04; DCO = data cut-off; FAS = full analysis set; N = total participants in group; NE = not estimable; OS = overall survival; PFS = progression-free survival; T-</w:t>
      </w:r>
      <w:proofErr w:type="spellStart"/>
      <w:r w:rsidRPr="00980134">
        <w:rPr>
          <w:rFonts w:ascii="Arial Narrow" w:hAnsi="Arial Narrow"/>
          <w:snapToGrid w:val="0"/>
          <w:sz w:val="18"/>
          <w:szCs w:val="22"/>
        </w:rPr>
        <w:t>DXd</w:t>
      </w:r>
      <w:proofErr w:type="spellEnd"/>
      <w:r w:rsidRPr="00980134">
        <w:rPr>
          <w:rFonts w:ascii="Arial Narrow" w:hAnsi="Arial Narrow"/>
          <w:snapToGrid w:val="0"/>
          <w:sz w:val="18"/>
          <w:szCs w:val="22"/>
        </w:rPr>
        <w:t xml:space="preserve"> = trastuzumab </w:t>
      </w:r>
      <w:proofErr w:type="spellStart"/>
      <w:r w:rsidRPr="00980134">
        <w:rPr>
          <w:rFonts w:ascii="Arial Narrow" w:hAnsi="Arial Narrow"/>
          <w:snapToGrid w:val="0"/>
          <w:sz w:val="18"/>
          <w:szCs w:val="22"/>
        </w:rPr>
        <w:t>deruxtecan</w:t>
      </w:r>
      <w:proofErr w:type="spellEnd"/>
      <w:r w:rsidRPr="00980134">
        <w:rPr>
          <w:rFonts w:ascii="Arial Narrow" w:hAnsi="Arial Narrow"/>
          <w:snapToGrid w:val="0"/>
          <w:sz w:val="18"/>
          <w:szCs w:val="22"/>
        </w:rPr>
        <w:t>; TPC = treatment of physician’s choice.</w:t>
      </w:r>
    </w:p>
    <w:p w14:paraId="3055C9E5" w14:textId="06066992" w:rsidR="008D7531" w:rsidRPr="00980134" w:rsidRDefault="00EE5515" w:rsidP="00EE5515">
      <w:pPr>
        <w:rPr>
          <w:rFonts w:ascii="Arial Narrow" w:hAnsi="Arial Narrow"/>
          <w:snapToGrid w:val="0"/>
          <w:sz w:val="18"/>
          <w:szCs w:val="22"/>
        </w:rPr>
      </w:pPr>
      <w:r w:rsidRPr="00980134">
        <w:rPr>
          <w:rFonts w:ascii="Arial Narrow" w:hAnsi="Arial Narrow"/>
          <w:snapToGrid w:val="0"/>
          <w:sz w:val="18"/>
          <w:szCs w:val="22"/>
        </w:rPr>
        <w:t>Bold = statistically significant.</w:t>
      </w:r>
    </w:p>
    <w:p w14:paraId="24B973FD" w14:textId="27D2F82A" w:rsidR="00EE5515" w:rsidRPr="00980134" w:rsidRDefault="00EE5515" w:rsidP="00EE5515">
      <w:pPr>
        <w:pStyle w:val="Caption"/>
        <w:jc w:val="left"/>
      </w:pPr>
      <w:bookmarkStart w:id="39" w:name="_Ref142077266"/>
      <w:r w:rsidRPr="00980134">
        <w:lastRenderedPageBreak/>
        <w:t xml:space="preserve">Figure </w:t>
      </w:r>
      <w:r w:rsidR="006E03AE">
        <w:fldChar w:fldCharType="begin" w:fldLock="1"/>
      </w:r>
      <w:r w:rsidR="006E03AE">
        <w:instrText xml:space="preserve"> SEQ F</w:instrText>
      </w:r>
      <w:r w:rsidR="006E03AE">
        <w:instrText xml:space="preserve">igure \* ARABIC </w:instrText>
      </w:r>
      <w:r w:rsidR="006E03AE">
        <w:fldChar w:fldCharType="separate"/>
      </w:r>
      <w:r w:rsidR="00DF66B3">
        <w:rPr>
          <w:noProof/>
        </w:rPr>
        <w:t>1</w:t>
      </w:r>
      <w:r w:rsidR="006E03AE">
        <w:rPr>
          <w:noProof/>
        </w:rPr>
        <w:fldChar w:fldCharType="end"/>
      </w:r>
      <w:bookmarkEnd w:id="39"/>
      <w:r w:rsidRPr="00980134">
        <w:t>: KM plot of PFS by BICR in the FAS of DB-04 (DCO 11 January 2022)</w:t>
      </w:r>
      <w:r w:rsidRPr="00980134">
        <w:rPr>
          <w:noProof/>
        </w:rPr>
        <w:drawing>
          <wp:inline distT="0" distB="0" distL="0" distR="0" wp14:anchorId="004A2E06" wp14:editId="38D45A85">
            <wp:extent cx="5732145" cy="3734435"/>
            <wp:effectExtent l="0" t="0" r="1905" b="0"/>
            <wp:docPr id="584616589" name="Picture 584616589"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patien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734435"/>
                    </a:xfrm>
                    <a:prstGeom prst="rect">
                      <a:avLst/>
                    </a:prstGeom>
                    <a:noFill/>
                    <a:ln>
                      <a:noFill/>
                    </a:ln>
                  </pic:spPr>
                </pic:pic>
              </a:graphicData>
            </a:graphic>
          </wp:inline>
        </w:drawing>
      </w:r>
    </w:p>
    <w:p w14:paraId="79A37744" w14:textId="77777777"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Source: Figure 14.2.1.1.2, p2248 of the DB-04 CSR tables and figures, Attachment 2.8 of the submission.</w:t>
      </w:r>
    </w:p>
    <w:p w14:paraId="5A68B233" w14:textId="4D6DB209" w:rsidR="00EE5515" w:rsidRPr="00980134" w:rsidRDefault="00EE5515" w:rsidP="006369FB">
      <w:r w:rsidRPr="00980134">
        <w:rPr>
          <w:rFonts w:ascii="Arial Narrow" w:hAnsi="Arial Narrow" w:cs="Calibri"/>
          <w:snapToGrid w:val="0"/>
          <w:sz w:val="18"/>
          <w:szCs w:val="18"/>
        </w:rPr>
        <w:t>BICR = blinded independent central review; CI = confidence interval; DB-04 = DESTINY-Breast04; DCO = data cut-off; FAS = full analysis set; HR = hazard ratio; KM = Kaplan-Meier; PFS = progression-free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TPC treatment of physician’s choice</w:t>
      </w:r>
    </w:p>
    <w:p w14:paraId="7D893C5E" w14:textId="1C2E4C8D" w:rsidR="00EE5515" w:rsidRPr="00980134" w:rsidRDefault="00EE5515" w:rsidP="00EE5515">
      <w:pPr>
        <w:pStyle w:val="Caption"/>
      </w:pPr>
      <w:bookmarkStart w:id="40" w:name="_Ref142487622"/>
      <w:r w:rsidRPr="00980134">
        <w:lastRenderedPageBreak/>
        <w:t xml:space="preserve">Figure </w:t>
      </w:r>
      <w:r w:rsidR="006E03AE">
        <w:fldChar w:fldCharType="begin" w:fldLock="1"/>
      </w:r>
      <w:r w:rsidR="006E03AE">
        <w:instrText xml:space="preserve"> SEQ Figure \* A</w:instrText>
      </w:r>
      <w:r w:rsidR="006E03AE">
        <w:instrText xml:space="preserve">RABIC </w:instrText>
      </w:r>
      <w:r w:rsidR="006E03AE">
        <w:fldChar w:fldCharType="separate"/>
      </w:r>
      <w:r w:rsidR="00DF66B3">
        <w:rPr>
          <w:noProof/>
        </w:rPr>
        <w:t>2</w:t>
      </w:r>
      <w:r w:rsidR="006E03AE">
        <w:rPr>
          <w:noProof/>
        </w:rPr>
        <w:fldChar w:fldCharType="end"/>
      </w:r>
      <w:bookmarkEnd w:id="40"/>
      <w:r w:rsidRPr="00980134">
        <w:t>: KM plot of PFS by BICR in the hormone receptor positive cohort of DB-04 (DCO 11 January 2022)</w:t>
      </w:r>
    </w:p>
    <w:p w14:paraId="14DDED4B" w14:textId="77777777" w:rsidR="00EE5515" w:rsidRPr="00980134" w:rsidRDefault="00EE5515" w:rsidP="006369FB">
      <w:pPr>
        <w:pStyle w:val="3-BodyText"/>
        <w:numPr>
          <w:ilvl w:val="0"/>
          <w:numId w:val="0"/>
        </w:numPr>
        <w:spacing w:after="0"/>
        <w:ind w:left="720" w:hanging="720"/>
      </w:pPr>
      <w:r w:rsidRPr="00980134">
        <w:rPr>
          <w:noProof/>
        </w:rPr>
        <w:drawing>
          <wp:inline distT="0" distB="0" distL="0" distR="0" wp14:anchorId="45A17EF4" wp14:editId="55871BB7">
            <wp:extent cx="5732145" cy="3604260"/>
            <wp:effectExtent l="0" t="0" r="1905" b="0"/>
            <wp:docPr id="155426978" name="Picture 155426978"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graph of a number of patients&#10;&#10;Description automatically generated"/>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39000"/>
                              </a14:imgEffect>
                            </a14:imgLayer>
                          </a14:imgProps>
                        </a:ext>
                        <a:ext uri="{28A0092B-C50C-407E-A947-70E740481C1C}">
                          <a14:useLocalDpi xmlns:a14="http://schemas.microsoft.com/office/drawing/2010/main" val="0"/>
                        </a:ext>
                      </a:extLst>
                    </a:blip>
                    <a:srcRect l="-453" t="1050" r="1403" b="2745"/>
                    <a:stretch/>
                  </pic:blipFill>
                  <pic:spPr bwMode="auto">
                    <a:xfrm>
                      <a:off x="0" y="0"/>
                      <a:ext cx="5732145" cy="3604260"/>
                    </a:xfrm>
                    <a:prstGeom prst="rect">
                      <a:avLst/>
                    </a:prstGeom>
                    <a:noFill/>
                    <a:ln>
                      <a:noFill/>
                    </a:ln>
                    <a:extLst>
                      <a:ext uri="{53640926-AAD7-44D8-BBD7-CCE9431645EC}">
                        <a14:shadowObscured xmlns:a14="http://schemas.microsoft.com/office/drawing/2010/main"/>
                      </a:ext>
                    </a:extLst>
                  </pic:spPr>
                </pic:pic>
              </a:graphicData>
            </a:graphic>
          </wp:inline>
        </w:drawing>
      </w:r>
    </w:p>
    <w:p w14:paraId="20E51590" w14:textId="77777777" w:rsidR="00EE5515" w:rsidRPr="00980134" w:rsidRDefault="00EE5515" w:rsidP="00EE5515">
      <w:pPr>
        <w:rPr>
          <w:rFonts w:ascii="Arial Narrow" w:hAnsi="Arial Narrow" w:cs="Calibri"/>
          <w:snapToGrid w:val="0"/>
          <w:sz w:val="18"/>
          <w:szCs w:val="18"/>
        </w:rPr>
      </w:pPr>
      <w:bookmarkStart w:id="41" w:name="_Ref142077338"/>
      <w:r w:rsidRPr="00980134">
        <w:rPr>
          <w:rFonts w:ascii="Arial Narrow" w:hAnsi="Arial Narrow" w:cs="Calibri"/>
          <w:snapToGrid w:val="0"/>
          <w:sz w:val="18"/>
          <w:szCs w:val="18"/>
        </w:rPr>
        <w:t>Source: Figure 2-7, p143 of the submission.</w:t>
      </w:r>
    </w:p>
    <w:p w14:paraId="2F531EDB" w14:textId="0453F251" w:rsidR="00EE5515" w:rsidRPr="00980134" w:rsidRDefault="00EE5515" w:rsidP="006369FB">
      <w:pPr>
        <w:spacing w:after="120"/>
        <w:rPr>
          <w:rFonts w:ascii="Arial Narrow" w:hAnsi="Arial Narrow" w:cs="Calibri"/>
          <w:snapToGrid w:val="0"/>
          <w:sz w:val="18"/>
          <w:szCs w:val="18"/>
        </w:rPr>
      </w:pPr>
      <w:r w:rsidRPr="00980134">
        <w:rPr>
          <w:rFonts w:ascii="Arial Narrow" w:hAnsi="Arial Narrow" w:cs="Calibri"/>
          <w:snapToGrid w:val="0"/>
          <w:sz w:val="18"/>
          <w:szCs w:val="18"/>
        </w:rPr>
        <w:t>BICR = blinded independent central review; CI = confidence interval; DB-04 = DESTINY-Breast04; DCO = data cut-off; HR = hazard ratio; KM = Kaplan-Meier; PFS = progression-free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TPC treatment of physician’s choice.</w:t>
      </w:r>
    </w:p>
    <w:p w14:paraId="22D37441" w14:textId="10E59EEC" w:rsidR="00EE5515" w:rsidRPr="00980134" w:rsidRDefault="00EE5515" w:rsidP="00EE5515">
      <w:pPr>
        <w:pStyle w:val="Caption"/>
      </w:pPr>
      <w:bookmarkStart w:id="42" w:name="_Ref142487883"/>
      <w:r w:rsidRPr="00980134">
        <w:t xml:space="preserve">Figure </w:t>
      </w:r>
      <w:r w:rsidR="006E03AE">
        <w:fldChar w:fldCharType="begin" w:fldLock="1"/>
      </w:r>
      <w:r w:rsidR="006E03AE">
        <w:instrText xml:space="preserve"> SEQ Figure \* ARABIC </w:instrText>
      </w:r>
      <w:r w:rsidR="006E03AE">
        <w:fldChar w:fldCharType="separate"/>
      </w:r>
      <w:r w:rsidR="00DF66B3">
        <w:rPr>
          <w:noProof/>
        </w:rPr>
        <w:t>3</w:t>
      </w:r>
      <w:r w:rsidR="006E03AE">
        <w:rPr>
          <w:noProof/>
        </w:rPr>
        <w:fldChar w:fldCharType="end"/>
      </w:r>
      <w:bookmarkEnd w:id="42"/>
      <w:r w:rsidRPr="00980134">
        <w:t>: KM plot of PFS by BICR in the hormone receptor negative cohort of DB-04 (DCO 11 January 2022)</w:t>
      </w:r>
    </w:p>
    <w:p w14:paraId="251F9A09" w14:textId="77777777" w:rsidR="00EE5515" w:rsidRPr="00980134" w:rsidRDefault="00EE5515" w:rsidP="00EE5515">
      <w:pPr>
        <w:rPr>
          <w:rFonts w:ascii="Arial Narrow" w:hAnsi="Arial Narrow" w:cs="Calibri"/>
          <w:snapToGrid w:val="0"/>
          <w:sz w:val="18"/>
          <w:szCs w:val="18"/>
        </w:rPr>
      </w:pPr>
      <w:r w:rsidRPr="00980134">
        <w:rPr>
          <w:noProof/>
        </w:rPr>
        <w:drawing>
          <wp:inline distT="0" distB="0" distL="0" distR="0" wp14:anchorId="38675E74" wp14:editId="709F565D">
            <wp:extent cx="5732145" cy="3615055"/>
            <wp:effectExtent l="0" t="0" r="1905" b="4445"/>
            <wp:docPr id="598512612" name="Picture 598512612" descr="A graph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patient's life cyc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615055"/>
                    </a:xfrm>
                    <a:prstGeom prst="rect">
                      <a:avLst/>
                    </a:prstGeom>
                    <a:noFill/>
                    <a:ln>
                      <a:noFill/>
                    </a:ln>
                  </pic:spPr>
                </pic:pic>
              </a:graphicData>
            </a:graphic>
          </wp:inline>
        </w:drawing>
      </w:r>
      <w:r w:rsidRPr="00980134">
        <w:rPr>
          <w:rFonts w:ascii="Arial Narrow" w:hAnsi="Arial Narrow" w:cs="Calibri"/>
          <w:snapToGrid w:val="0"/>
          <w:sz w:val="18"/>
          <w:szCs w:val="18"/>
        </w:rPr>
        <w:t xml:space="preserve"> </w:t>
      </w:r>
    </w:p>
    <w:p w14:paraId="48651C7E" w14:textId="77777777"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Source: 14.2.1.1.3, p2249 of the DB-04 CSR tables and figures, Attachment 2.8 of the submission.</w:t>
      </w:r>
    </w:p>
    <w:p w14:paraId="0BE6CA6F" w14:textId="2383C83F" w:rsidR="00EE5515" w:rsidRPr="00980134" w:rsidRDefault="00EE5515" w:rsidP="00796049">
      <w:pPr>
        <w:spacing w:after="120"/>
        <w:rPr>
          <w:rFonts w:ascii="Arial Narrow" w:hAnsi="Arial Narrow" w:cs="Calibri"/>
          <w:snapToGrid w:val="0"/>
          <w:sz w:val="18"/>
          <w:szCs w:val="18"/>
        </w:rPr>
      </w:pPr>
      <w:r w:rsidRPr="00980134">
        <w:rPr>
          <w:rFonts w:ascii="Arial Narrow" w:hAnsi="Arial Narrow" w:cs="Calibri"/>
          <w:snapToGrid w:val="0"/>
          <w:sz w:val="18"/>
          <w:szCs w:val="18"/>
        </w:rPr>
        <w:lastRenderedPageBreak/>
        <w:t>BICR = blinded independent central review; CI = confidence interval; DB-04 = DESTINY-Breast04; DCO = data cut-off; HR = hazard ratio; KM = Kaplan-Meier; PFS = progression-free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xml:space="preserve">; TPC treatment of physician’s choice. </w:t>
      </w:r>
    </w:p>
    <w:p w14:paraId="2FF0CDD5" w14:textId="078D7248" w:rsidR="00EE5515" w:rsidRPr="00980134" w:rsidRDefault="00EE5515" w:rsidP="00EE5515">
      <w:pPr>
        <w:pStyle w:val="Caption"/>
      </w:pPr>
      <w:bookmarkStart w:id="43" w:name="_Ref142488317"/>
      <w:r w:rsidRPr="00980134">
        <w:t xml:space="preserve">Table </w:t>
      </w:r>
      <w:r w:rsidR="006E03AE">
        <w:fldChar w:fldCharType="begin" w:fldLock="1"/>
      </w:r>
      <w:r w:rsidR="006E03AE">
        <w:instrText xml:space="preserve"> SEQ Table \* ARABIC </w:instrText>
      </w:r>
      <w:r w:rsidR="006E03AE">
        <w:fldChar w:fldCharType="separate"/>
      </w:r>
      <w:r w:rsidR="00DF66B3">
        <w:rPr>
          <w:noProof/>
        </w:rPr>
        <w:t>5</w:t>
      </w:r>
      <w:r w:rsidR="006E03AE">
        <w:rPr>
          <w:noProof/>
        </w:rPr>
        <w:fldChar w:fldCharType="end"/>
      </w:r>
      <w:bookmarkEnd w:id="43"/>
      <w:r w:rsidRPr="00980134">
        <w:t>: Summary of OS in the DB-04 trial (DCO 1 March 2023, 32 months median follow-up)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482"/>
        <w:gridCol w:w="1623"/>
        <w:gridCol w:w="1834"/>
        <w:gridCol w:w="1659"/>
      </w:tblGrid>
      <w:tr w:rsidR="004D444B" w:rsidRPr="00980134" w14:paraId="7F8E0C74" w14:textId="77777777" w:rsidTr="004D444B">
        <w:trPr>
          <w:jc w:val="center"/>
        </w:trPr>
        <w:tc>
          <w:tcPr>
            <w:tcW w:w="1341" w:type="pct"/>
            <w:vAlign w:val="center"/>
          </w:tcPr>
          <w:p w14:paraId="44151F1F" w14:textId="77777777" w:rsidR="00EE5515" w:rsidRPr="00980134" w:rsidRDefault="00EE5515">
            <w:pPr>
              <w:pStyle w:val="In-tableHeading"/>
              <w:rPr>
                <w:rFonts w:cstheme="minorHAnsi"/>
                <w:szCs w:val="20"/>
                <w:lang w:val="en-AU"/>
              </w:rPr>
            </w:pPr>
            <w:r w:rsidRPr="00980134">
              <w:rPr>
                <w:rFonts w:cstheme="minorHAnsi"/>
                <w:szCs w:val="20"/>
                <w:lang w:val="en-AU"/>
              </w:rPr>
              <w:t>OS, FAS</w:t>
            </w:r>
          </w:p>
        </w:tc>
        <w:tc>
          <w:tcPr>
            <w:tcW w:w="822" w:type="pct"/>
            <w:vAlign w:val="center"/>
          </w:tcPr>
          <w:p w14:paraId="7957D1AF" w14:textId="20F97162" w:rsidR="00EE5515" w:rsidRPr="00564A09" w:rsidRDefault="00EE5515">
            <w:pPr>
              <w:pStyle w:val="In-tableHeading"/>
              <w:rPr>
                <w:rFonts w:cstheme="minorHAnsi"/>
                <w:szCs w:val="20"/>
                <w:lang w:val="en-AU"/>
              </w:rPr>
            </w:pPr>
            <w:r w:rsidRPr="00564A09">
              <w:rPr>
                <w:rFonts w:cstheme="minorHAnsi"/>
                <w:szCs w:val="20"/>
                <w:lang w:val="en-AU"/>
              </w:rPr>
              <w:t>T-</w:t>
            </w:r>
            <w:proofErr w:type="spellStart"/>
            <w:r w:rsidRPr="00564A09">
              <w:rPr>
                <w:rFonts w:cstheme="minorHAnsi"/>
                <w:szCs w:val="20"/>
                <w:lang w:val="en-AU"/>
              </w:rPr>
              <w:t>DXd</w:t>
            </w:r>
            <w:proofErr w:type="spellEnd"/>
            <w:r w:rsidRPr="00564A09">
              <w:rPr>
                <w:rFonts w:cstheme="minorHAnsi"/>
                <w:szCs w:val="20"/>
                <w:lang w:val="en-AU"/>
              </w:rPr>
              <w:t xml:space="preserve"> (N=373)</w:t>
            </w:r>
          </w:p>
        </w:tc>
        <w:tc>
          <w:tcPr>
            <w:tcW w:w="900" w:type="pct"/>
            <w:vAlign w:val="center"/>
          </w:tcPr>
          <w:p w14:paraId="39141638" w14:textId="77777777" w:rsidR="00EE5515" w:rsidRPr="00564A09" w:rsidRDefault="00EE5515">
            <w:pPr>
              <w:pStyle w:val="In-tableHeading"/>
              <w:rPr>
                <w:rFonts w:cstheme="minorHAnsi"/>
                <w:szCs w:val="20"/>
                <w:lang w:val="en-AU"/>
              </w:rPr>
            </w:pPr>
            <w:r w:rsidRPr="00564A09">
              <w:rPr>
                <w:rFonts w:cstheme="minorHAnsi"/>
                <w:szCs w:val="20"/>
                <w:lang w:val="en-AU"/>
              </w:rPr>
              <w:t>TPC (N=184)</w:t>
            </w:r>
          </w:p>
        </w:tc>
        <w:tc>
          <w:tcPr>
            <w:tcW w:w="1017" w:type="pct"/>
            <w:vAlign w:val="center"/>
          </w:tcPr>
          <w:p w14:paraId="52A52EB2" w14:textId="77777777" w:rsidR="00EE5515" w:rsidRPr="00564A09" w:rsidRDefault="00EE5515" w:rsidP="004D7B9A">
            <w:pPr>
              <w:pStyle w:val="In-tableHeading"/>
              <w:jc w:val="center"/>
              <w:rPr>
                <w:rFonts w:cstheme="minorHAnsi"/>
                <w:szCs w:val="20"/>
                <w:lang w:val="en-AU"/>
              </w:rPr>
            </w:pPr>
            <w:r w:rsidRPr="00564A09">
              <w:rPr>
                <w:rFonts w:cstheme="minorHAnsi"/>
                <w:szCs w:val="20"/>
                <w:lang w:val="en-AU"/>
              </w:rPr>
              <w:t>Absolute difference</w:t>
            </w:r>
          </w:p>
        </w:tc>
        <w:tc>
          <w:tcPr>
            <w:tcW w:w="0" w:type="auto"/>
            <w:vAlign w:val="center"/>
          </w:tcPr>
          <w:p w14:paraId="4B16A3C5" w14:textId="77777777" w:rsidR="004D7B9A" w:rsidRPr="00564A09" w:rsidRDefault="00EE5515" w:rsidP="004D7B9A">
            <w:pPr>
              <w:pStyle w:val="In-tableHeading"/>
              <w:jc w:val="center"/>
              <w:rPr>
                <w:rFonts w:cstheme="minorHAnsi"/>
                <w:szCs w:val="20"/>
                <w:lang w:val="en-AU"/>
              </w:rPr>
            </w:pPr>
            <w:r w:rsidRPr="00564A09">
              <w:rPr>
                <w:rFonts w:cstheme="minorHAnsi"/>
                <w:szCs w:val="20"/>
                <w:lang w:val="en-AU"/>
              </w:rPr>
              <w:t xml:space="preserve">Hazard ratio </w:t>
            </w:r>
          </w:p>
          <w:p w14:paraId="25FD4007" w14:textId="313B4D71" w:rsidR="00EE5515" w:rsidRPr="00564A09" w:rsidRDefault="00EE5515" w:rsidP="004D7B9A">
            <w:pPr>
              <w:pStyle w:val="In-tableHeading"/>
              <w:jc w:val="center"/>
              <w:rPr>
                <w:rFonts w:cstheme="minorHAnsi"/>
                <w:szCs w:val="20"/>
                <w:lang w:val="en-AU"/>
              </w:rPr>
            </w:pPr>
            <w:r w:rsidRPr="00564A09">
              <w:rPr>
                <w:rFonts w:cstheme="minorHAnsi"/>
                <w:szCs w:val="20"/>
                <w:lang w:val="en-AU"/>
              </w:rPr>
              <w:t>(95% CI)</w:t>
            </w:r>
          </w:p>
        </w:tc>
      </w:tr>
      <w:tr w:rsidR="004D444B" w:rsidRPr="00980134" w14:paraId="2B4F8628" w14:textId="77777777" w:rsidTr="004D444B">
        <w:trPr>
          <w:jc w:val="center"/>
        </w:trPr>
        <w:tc>
          <w:tcPr>
            <w:tcW w:w="1341" w:type="pct"/>
            <w:vAlign w:val="center"/>
          </w:tcPr>
          <w:p w14:paraId="0780BC06" w14:textId="77777777" w:rsidR="00EE5515" w:rsidRPr="00980134" w:rsidRDefault="00EE5515">
            <w:pPr>
              <w:pStyle w:val="TableText0"/>
              <w:rPr>
                <w:rFonts w:cstheme="minorHAnsi"/>
                <w:szCs w:val="20"/>
              </w:rPr>
            </w:pPr>
            <w:r w:rsidRPr="00980134">
              <w:rPr>
                <w:rFonts w:cstheme="minorHAnsi"/>
                <w:szCs w:val="20"/>
              </w:rPr>
              <w:t>Patients with event (%)</w:t>
            </w:r>
          </w:p>
        </w:tc>
        <w:tc>
          <w:tcPr>
            <w:tcW w:w="822" w:type="pct"/>
            <w:vAlign w:val="center"/>
          </w:tcPr>
          <w:p w14:paraId="70B9EBA6" w14:textId="15CCC025" w:rsidR="00EE5515" w:rsidRPr="00564A09" w:rsidRDefault="00EE5515">
            <w:pPr>
              <w:pStyle w:val="TableText0"/>
              <w:jc w:val="center"/>
              <w:rPr>
                <w:rFonts w:cstheme="minorHAnsi"/>
                <w:szCs w:val="20"/>
              </w:rPr>
            </w:pPr>
            <w:r w:rsidRPr="00564A09">
              <w:rPr>
                <w:rFonts w:cstheme="minorHAnsi"/>
                <w:szCs w:val="20"/>
              </w:rPr>
              <w:t>242 (64.9)</w:t>
            </w:r>
          </w:p>
        </w:tc>
        <w:tc>
          <w:tcPr>
            <w:tcW w:w="900" w:type="pct"/>
            <w:vAlign w:val="center"/>
          </w:tcPr>
          <w:p w14:paraId="2792255C" w14:textId="77777777" w:rsidR="00EE5515" w:rsidRPr="00564A09" w:rsidRDefault="00EE5515">
            <w:pPr>
              <w:pStyle w:val="TableText0"/>
              <w:jc w:val="center"/>
              <w:rPr>
                <w:rFonts w:cstheme="minorHAnsi"/>
                <w:szCs w:val="20"/>
              </w:rPr>
            </w:pPr>
            <w:r w:rsidRPr="00564A09">
              <w:rPr>
                <w:rFonts w:cstheme="minorHAnsi"/>
                <w:szCs w:val="20"/>
              </w:rPr>
              <w:t>128 (69.6)</w:t>
            </w:r>
          </w:p>
        </w:tc>
        <w:tc>
          <w:tcPr>
            <w:tcW w:w="1017" w:type="pct"/>
            <w:vAlign w:val="center"/>
          </w:tcPr>
          <w:p w14:paraId="2CAFFD2F"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7690C7D7" w14:textId="77777777" w:rsidR="00EE5515" w:rsidRPr="00564A09" w:rsidRDefault="00EE5515">
            <w:pPr>
              <w:pStyle w:val="TableText0"/>
              <w:jc w:val="center"/>
              <w:rPr>
                <w:rFonts w:cstheme="minorHAnsi"/>
                <w:szCs w:val="20"/>
              </w:rPr>
            </w:pPr>
            <w:r w:rsidRPr="00564A09">
              <w:rPr>
                <w:rFonts w:cstheme="minorHAnsi"/>
                <w:szCs w:val="20"/>
              </w:rPr>
              <w:t>-</w:t>
            </w:r>
          </w:p>
        </w:tc>
      </w:tr>
      <w:tr w:rsidR="004D444B" w:rsidRPr="00980134" w14:paraId="29133DC7" w14:textId="77777777" w:rsidTr="004D444B">
        <w:trPr>
          <w:jc w:val="center"/>
        </w:trPr>
        <w:tc>
          <w:tcPr>
            <w:tcW w:w="1341" w:type="pct"/>
            <w:vAlign w:val="center"/>
          </w:tcPr>
          <w:p w14:paraId="24DA7A89" w14:textId="2916CB89" w:rsidR="00EE5515" w:rsidRPr="00980134" w:rsidRDefault="00EE5515">
            <w:pPr>
              <w:pStyle w:val="TableText0"/>
              <w:rPr>
                <w:rFonts w:cstheme="minorHAnsi"/>
                <w:szCs w:val="20"/>
              </w:rPr>
            </w:pPr>
            <w:r w:rsidRPr="00980134">
              <w:rPr>
                <w:rFonts w:cstheme="minorHAnsi"/>
                <w:szCs w:val="20"/>
              </w:rPr>
              <w:t>Median</w:t>
            </w:r>
            <w:r w:rsidR="00870BB3" w:rsidRPr="00980134">
              <w:rPr>
                <w:rFonts w:cstheme="minorHAnsi"/>
                <w:szCs w:val="20"/>
              </w:rPr>
              <w:t xml:space="preserve"> OS,</w:t>
            </w:r>
            <w:r w:rsidRPr="00980134">
              <w:rPr>
                <w:rFonts w:cstheme="minorHAnsi"/>
                <w:szCs w:val="20"/>
              </w:rPr>
              <w:t xml:space="preserve"> </w:t>
            </w:r>
            <w:r w:rsidR="00870BB3" w:rsidRPr="00980134">
              <w:rPr>
                <w:rFonts w:cstheme="minorHAnsi"/>
                <w:szCs w:val="20"/>
              </w:rPr>
              <w:t>months (</w:t>
            </w:r>
            <w:r w:rsidRPr="00980134">
              <w:rPr>
                <w:rFonts w:cstheme="minorHAnsi"/>
                <w:szCs w:val="20"/>
              </w:rPr>
              <w:t>95% CI)</w:t>
            </w:r>
          </w:p>
        </w:tc>
        <w:tc>
          <w:tcPr>
            <w:tcW w:w="822" w:type="pct"/>
            <w:vAlign w:val="center"/>
          </w:tcPr>
          <w:p w14:paraId="6C9B909D" w14:textId="6528A551" w:rsidR="00EE5515" w:rsidRPr="00564A09" w:rsidRDefault="00EE5515">
            <w:pPr>
              <w:pStyle w:val="TableText0"/>
              <w:jc w:val="center"/>
              <w:rPr>
                <w:rFonts w:cstheme="minorHAnsi"/>
                <w:szCs w:val="20"/>
              </w:rPr>
            </w:pPr>
            <w:r w:rsidRPr="00564A09">
              <w:rPr>
                <w:rFonts w:cstheme="minorHAnsi"/>
                <w:szCs w:val="20"/>
                <w:lang w:bidi="en-US"/>
              </w:rPr>
              <w:t>22.9 (21.5, 24.5)</w:t>
            </w:r>
          </w:p>
        </w:tc>
        <w:tc>
          <w:tcPr>
            <w:tcW w:w="900" w:type="pct"/>
            <w:vAlign w:val="center"/>
          </w:tcPr>
          <w:p w14:paraId="2707D5BE" w14:textId="77777777" w:rsidR="00EE5515" w:rsidRPr="00564A09" w:rsidRDefault="00EE5515">
            <w:pPr>
              <w:pStyle w:val="TableText0"/>
              <w:jc w:val="center"/>
              <w:rPr>
                <w:rFonts w:cstheme="minorHAnsi"/>
                <w:szCs w:val="20"/>
              </w:rPr>
            </w:pPr>
            <w:r w:rsidRPr="00564A09">
              <w:rPr>
                <w:rFonts w:cstheme="minorHAnsi"/>
                <w:szCs w:val="20"/>
                <w:lang w:bidi="en-US"/>
              </w:rPr>
              <w:t>16.8 (14.1, 19.5)</w:t>
            </w:r>
          </w:p>
        </w:tc>
        <w:tc>
          <w:tcPr>
            <w:tcW w:w="1017" w:type="pct"/>
            <w:vAlign w:val="center"/>
          </w:tcPr>
          <w:p w14:paraId="729F937E" w14:textId="7A40E704" w:rsidR="00EE5515" w:rsidRPr="00564A09" w:rsidRDefault="00EE5515">
            <w:pPr>
              <w:pStyle w:val="TableText0"/>
              <w:jc w:val="center"/>
              <w:rPr>
                <w:rFonts w:cstheme="minorHAnsi"/>
                <w:szCs w:val="20"/>
              </w:rPr>
            </w:pPr>
            <w:r w:rsidRPr="00564A09">
              <w:rPr>
                <w:rFonts w:cstheme="minorHAnsi"/>
                <w:szCs w:val="20"/>
              </w:rPr>
              <w:t>6.1</w:t>
            </w:r>
          </w:p>
        </w:tc>
        <w:tc>
          <w:tcPr>
            <w:tcW w:w="0" w:type="auto"/>
            <w:vAlign w:val="center"/>
          </w:tcPr>
          <w:p w14:paraId="6EEA2ED3" w14:textId="6AF3F6AC" w:rsidR="00EE5515" w:rsidRPr="00564A09" w:rsidRDefault="00EE5515">
            <w:pPr>
              <w:pStyle w:val="TableText0"/>
              <w:jc w:val="center"/>
              <w:rPr>
                <w:rFonts w:cstheme="minorHAnsi"/>
                <w:szCs w:val="20"/>
              </w:rPr>
            </w:pPr>
            <w:r w:rsidRPr="00564A09">
              <w:rPr>
                <w:rFonts w:cstheme="minorHAnsi"/>
                <w:b/>
                <w:bCs w:val="0"/>
                <w:szCs w:val="20"/>
                <w:lang w:bidi="en-US"/>
              </w:rPr>
              <w:t>0.69 (0.55, 0.86)</w:t>
            </w:r>
          </w:p>
        </w:tc>
      </w:tr>
      <w:tr w:rsidR="00EE5515" w:rsidRPr="00980134" w14:paraId="4558555F" w14:textId="77777777" w:rsidTr="004D444B">
        <w:trPr>
          <w:jc w:val="center"/>
        </w:trPr>
        <w:tc>
          <w:tcPr>
            <w:tcW w:w="0" w:type="auto"/>
            <w:gridSpan w:val="5"/>
            <w:vAlign w:val="center"/>
          </w:tcPr>
          <w:p w14:paraId="6235CF23" w14:textId="77777777" w:rsidR="00EE5515" w:rsidRPr="00564A09" w:rsidRDefault="00EE5515">
            <w:pPr>
              <w:pStyle w:val="TableText0"/>
              <w:rPr>
                <w:rFonts w:cstheme="minorHAnsi"/>
                <w:szCs w:val="20"/>
                <w:lang w:bidi="en-US"/>
              </w:rPr>
            </w:pPr>
            <w:r w:rsidRPr="00564A09">
              <w:rPr>
                <w:rFonts w:cstheme="minorHAnsi"/>
                <w:szCs w:val="20"/>
                <w:lang w:bidi="en-US"/>
              </w:rPr>
              <w:t>Proportion of patients alive over time</w:t>
            </w:r>
          </w:p>
        </w:tc>
      </w:tr>
      <w:tr w:rsidR="004D444B" w:rsidRPr="00980134" w14:paraId="133A1D5A" w14:textId="77777777" w:rsidTr="004D444B">
        <w:trPr>
          <w:jc w:val="center"/>
        </w:trPr>
        <w:tc>
          <w:tcPr>
            <w:tcW w:w="1341" w:type="pct"/>
            <w:vAlign w:val="center"/>
          </w:tcPr>
          <w:p w14:paraId="68CFE750" w14:textId="77777777" w:rsidR="00EE5515" w:rsidRPr="00980134" w:rsidRDefault="00EE5515">
            <w:pPr>
              <w:pStyle w:val="TableText0"/>
              <w:rPr>
                <w:rFonts w:cstheme="minorHAnsi"/>
                <w:szCs w:val="20"/>
              </w:rPr>
            </w:pPr>
            <w:r w:rsidRPr="00980134">
              <w:rPr>
                <w:rFonts w:cstheme="minorHAnsi"/>
                <w:szCs w:val="20"/>
              </w:rPr>
              <w:t>At 12 months (95% CI)</w:t>
            </w:r>
          </w:p>
        </w:tc>
        <w:tc>
          <w:tcPr>
            <w:tcW w:w="822" w:type="pct"/>
            <w:vAlign w:val="center"/>
          </w:tcPr>
          <w:p w14:paraId="0AE9E50C" w14:textId="635B002C"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78.5 (74.0, 82.4)</w:t>
            </w:r>
          </w:p>
        </w:tc>
        <w:tc>
          <w:tcPr>
            <w:tcW w:w="900" w:type="pct"/>
            <w:vAlign w:val="center"/>
          </w:tcPr>
          <w:p w14:paraId="4A04AFF0"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66.3 (58.5, 73.0)</w:t>
            </w:r>
          </w:p>
        </w:tc>
        <w:tc>
          <w:tcPr>
            <w:tcW w:w="1017" w:type="pct"/>
            <w:vAlign w:val="center"/>
          </w:tcPr>
          <w:p w14:paraId="30DE54F8" w14:textId="26EB7406" w:rsidR="00EE5515" w:rsidRPr="00564A09" w:rsidRDefault="00EE5515">
            <w:pPr>
              <w:pStyle w:val="TableText0"/>
              <w:jc w:val="center"/>
              <w:rPr>
                <w:rFonts w:cstheme="minorHAnsi"/>
                <w:szCs w:val="20"/>
              </w:rPr>
            </w:pPr>
            <w:r w:rsidRPr="00564A09">
              <w:rPr>
                <w:rFonts w:cstheme="minorHAnsi"/>
                <w:szCs w:val="20"/>
              </w:rPr>
              <w:t>12.2</w:t>
            </w:r>
          </w:p>
        </w:tc>
        <w:tc>
          <w:tcPr>
            <w:tcW w:w="0" w:type="auto"/>
            <w:vAlign w:val="center"/>
          </w:tcPr>
          <w:p w14:paraId="5C6E6C35"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3B12915B" w14:textId="77777777" w:rsidTr="004D444B">
        <w:trPr>
          <w:jc w:val="center"/>
        </w:trPr>
        <w:tc>
          <w:tcPr>
            <w:tcW w:w="1341" w:type="pct"/>
            <w:vAlign w:val="center"/>
          </w:tcPr>
          <w:p w14:paraId="3784AEFB" w14:textId="77777777" w:rsidR="00EE5515" w:rsidRPr="00980134" w:rsidRDefault="00EE5515">
            <w:pPr>
              <w:pStyle w:val="TableText0"/>
              <w:rPr>
                <w:rFonts w:cstheme="minorHAnsi"/>
                <w:szCs w:val="20"/>
              </w:rPr>
            </w:pPr>
            <w:r w:rsidRPr="00980134">
              <w:rPr>
                <w:rFonts w:cstheme="minorHAnsi"/>
                <w:szCs w:val="20"/>
              </w:rPr>
              <w:t>At 18 months (95% CI)</w:t>
            </w:r>
          </w:p>
        </w:tc>
        <w:tc>
          <w:tcPr>
            <w:tcW w:w="822" w:type="pct"/>
            <w:vAlign w:val="center"/>
          </w:tcPr>
          <w:p w14:paraId="7839B03E" w14:textId="069AB023"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63.0 (57.8, 67.8)</w:t>
            </w:r>
          </w:p>
        </w:tc>
        <w:tc>
          <w:tcPr>
            <w:tcW w:w="900" w:type="pct"/>
            <w:vAlign w:val="center"/>
          </w:tcPr>
          <w:p w14:paraId="582B2B4A"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46.7 (38.8, 54.2)</w:t>
            </w:r>
          </w:p>
        </w:tc>
        <w:tc>
          <w:tcPr>
            <w:tcW w:w="1017" w:type="pct"/>
            <w:vAlign w:val="center"/>
          </w:tcPr>
          <w:p w14:paraId="0B289DF6" w14:textId="31CECF7D" w:rsidR="00EE5515" w:rsidRPr="00564A09" w:rsidRDefault="00EE5515">
            <w:pPr>
              <w:pStyle w:val="TableText0"/>
              <w:jc w:val="center"/>
              <w:rPr>
                <w:rFonts w:cstheme="minorHAnsi"/>
                <w:szCs w:val="20"/>
              </w:rPr>
            </w:pPr>
            <w:r w:rsidRPr="00564A09">
              <w:rPr>
                <w:rFonts w:cstheme="minorHAnsi"/>
                <w:szCs w:val="20"/>
              </w:rPr>
              <w:t>16.3</w:t>
            </w:r>
          </w:p>
        </w:tc>
        <w:tc>
          <w:tcPr>
            <w:tcW w:w="0" w:type="auto"/>
            <w:vAlign w:val="center"/>
          </w:tcPr>
          <w:p w14:paraId="3040A54F"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1F14CD5D" w14:textId="77777777" w:rsidTr="004D444B">
        <w:trPr>
          <w:jc w:val="center"/>
        </w:trPr>
        <w:tc>
          <w:tcPr>
            <w:tcW w:w="1341" w:type="pct"/>
            <w:vAlign w:val="center"/>
          </w:tcPr>
          <w:p w14:paraId="525F18BD" w14:textId="77777777" w:rsidR="00EE5515" w:rsidRPr="00980134" w:rsidRDefault="00EE5515">
            <w:pPr>
              <w:pStyle w:val="TableText0"/>
              <w:rPr>
                <w:rFonts w:cstheme="minorHAnsi"/>
                <w:szCs w:val="20"/>
              </w:rPr>
            </w:pPr>
            <w:r w:rsidRPr="00980134">
              <w:rPr>
                <w:rFonts w:cstheme="minorHAnsi"/>
                <w:szCs w:val="20"/>
              </w:rPr>
              <w:t>At 24 months (95% CI)</w:t>
            </w:r>
          </w:p>
        </w:tc>
        <w:tc>
          <w:tcPr>
            <w:tcW w:w="822" w:type="pct"/>
            <w:vAlign w:val="center"/>
          </w:tcPr>
          <w:p w14:paraId="2544EBD8" w14:textId="4E17416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47.3 (41.9, 52.4)</w:t>
            </w:r>
          </w:p>
        </w:tc>
        <w:tc>
          <w:tcPr>
            <w:tcW w:w="900" w:type="pct"/>
            <w:vAlign w:val="center"/>
          </w:tcPr>
          <w:p w14:paraId="6018877F"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32.0 (24.8, 39.3)</w:t>
            </w:r>
          </w:p>
        </w:tc>
        <w:tc>
          <w:tcPr>
            <w:tcW w:w="1017" w:type="pct"/>
            <w:vAlign w:val="center"/>
          </w:tcPr>
          <w:p w14:paraId="2812FEA9" w14:textId="65FAC8EC" w:rsidR="00EE5515" w:rsidRPr="00564A09" w:rsidRDefault="00EE5515">
            <w:pPr>
              <w:pStyle w:val="TableText0"/>
              <w:jc w:val="center"/>
              <w:rPr>
                <w:rFonts w:cstheme="minorHAnsi"/>
                <w:szCs w:val="20"/>
              </w:rPr>
            </w:pPr>
            <w:r w:rsidRPr="00564A09">
              <w:rPr>
                <w:rFonts w:cstheme="minorHAnsi"/>
                <w:szCs w:val="20"/>
              </w:rPr>
              <w:t>15.3</w:t>
            </w:r>
          </w:p>
        </w:tc>
        <w:tc>
          <w:tcPr>
            <w:tcW w:w="0" w:type="auto"/>
            <w:vAlign w:val="center"/>
          </w:tcPr>
          <w:p w14:paraId="7BC065F8"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00D8D8D9" w14:textId="77777777" w:rsidTr="004D444B">
        <w:trPr>
          <w:jc w:val="center"/>
        </w:trPr>
        <w:tc>
          <w:tcPr>
            <w:tcW w:w="1341" w:type="pct"/>
            <w:vAlign w:val="center"/>
          </w:tcPr>
          <w:p w14:paraId="7C171C68" w14:textId="77777777" w:rsidR="00EE5515" w:rsidRPr="00980134" w:rsidRDefault="00EE5515">
            <w:pPr>
              <w:pStyle w:val="TableText0"/>
              <w:rPr>
                <w:rFonts w:cstheme="minorHAnsi"/>
                <w:szCs w:val="20"/>
              </w:rPr>
            </w:pPr>
            <w:r w:rsidRPr="00980134">
              <w:rPr>
                <w:rFonts w:cstheme="minorHAnsi"/>
                <w:szCs w:val="20"/>
              </w:rPr>
              <w:t>At 36 months (95% CI)</w:t>
            </w:r>
          </w:p>
        </w:tc>
        <w:tc>
          <w:tcPr>
            <w:tcW w:w="822" w:type="pct"/>
            <w:vAlign w:val="center"/>
          </w:tcPr>
          <w:p w14:paraId="1DA9C7C1" w14:textId="6D34F0BF"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26.2 (20.8, 31.9)</w:t>
            </w:r>
          </w:p>
        </w:tc>
        <w:tc>
          <w:tcPr>
            <w:tcW w:w="900" w:type="pct"/>
            <w:vAlign w:val="center"/>
          </w:tcPr>
          <w:p w14:paraId="15610843"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sz w:val="20"/>
                <w:szCs w:val="20"/>
                <w:lang w:bidi="en-US"/>
              </w:rPr>
              <w:t>16.3 (10.3, 23.6)</w:t>
            </w:r>
          </w:p>
        </w:tc>
        <w:tc>
          <w:tcPr>
            <w:tcW w:w="1017" w:type="pct"/>
            <w:vAlign w:val="center"/>
          </w:tcPr>
          <w:p w14:paraId="4686C150" w14:textId="60FAEFC2" w:rsidR="00EE5515" w:rsidRPr="00564A09" w:rsidRDefault="00EE5515">
            <w:pPr>
              <w:pStyle w:val="TableText0"/>
              <w:jc w:val="center"/>
              <w:rPr>
                <w:rFonts w:cstheme="minorHAnsi"/>
                <w:szCs w:val="20"/>
              </w:rPr>
            </w:pPr>
            <w:r w:rsidRPr="00564A09">
              <w:rPr>
                <w:rFonts w:cstheme="minorHAnsi"/>
                <w:szCs w:val="20"/>
              </w:rPr>
              <w:t>9.9</w:t>
            </w:r>
          </w:p>
        </w:tc>
        <w:tc>
          <w:tcPr>
            <w:tcW w:w="0" w:type="auto"/>
            <w:vAlign w:val="center"/>
          </w:tcPr>
          <w:p w14:paraId="3AB30523"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00B9EBCC" w14:textId="77777777" w:rsidTr="004D444B">
        <w:trPr>
          <w:jc w:val="center"/>
        </w:trPr>
        <w:tc>
          <w:tcPr>
            <w:tcW w:w="1341" w:type="pct"/>
            <w:vAlign w:val="center"/>
          </w:tcPr>
          <w:p w14:paraId="1A03BB1A" w14:textId="77777777" w:rsidR="00EE5515" w:rsidRPr="00980134" w:rsidRDefault="00EE5515">
            <w:pPr>
              <w:pStyle w:val="TableText0"/>
              <w:rPr>
                <w:rFonts w:cstheme="minorHAnsi"/>
                <w:szCs w:val="20"/>
              </w:rPr>
            </w:pPr>
            <w:r w:rsidRPr="00980134">
              <w:rPr>
                <w:rFonts w:cstheme="minorHAnsi"/>
                <w:szCs w:val="20"/>
              </w:rPr>
              <w:t>At 42 months (95% CI)</w:t>
            </w:r>
          </w:p>
        </w:tc>
        <w:tc>
          <w:tcPr>
            <w:tcW w:w="822" w:type="pct"/>
            <w:vAlign w:val="center"/>
          </w:tcPr>
          <w:p w14:paraId="1C2D85C0" w14:textId="061BF98A" w:rsidR="00EE5515" w:rsidRPr="00564A09" w:rsidRDefault="00EE5515">
            <w:pPr>
              <w:spacing w:line="276" w:lineRule="auto"/>
              <w:jc w:val="center"/>
              <w:rPr>
                <w:rFonts w:ascii="Arial Narrow" w:eastAsiaTheme="majorEastAsia" w:hAnsi="Arial Narrow" w:cstheme="minorHAnsi"/>
                <w:bCs/>
                <w:sz w:val="20"/>
                <w:szCs w:val="20"/>
              </w:rPr>
            </w:pPr>
            <w:r w:rsidRPr="00564A09">
              <w:rPr>
                <w:rFonts w:ascii="Arial Narrow" w:eastAsiaTheme="majorEastAsia" w:hAnsi="Arial Narrow"/>
                <w:sz w:val="20"/>
                <w:szCs w:val="20"/>
                <w:lang w:bidi="en-US"/>
              </w:rPr>
              <w:t>21.7, (15.2, 28.9)</w:t>
            </w:r>
          </w:p>
        </w:tc>
        <w:tc>
          <w:tcPr>
            <w:tcW w:w="900" w:type="pct"/>
            <w:vAlign w:val="center"/>
          </w:tcPr>
          <w:p w14:paraId="1970E9A9" w14:textId="77777777" w:rsidR="00EE5515" w:rsidRPr="00564A09" w:rsidRDefault="00EE5515">
            <w:pPr>
              <w:spacing w:line="276" w:lineRule="auto"/>
              <w:jc w:val="center"/>
              <w:rPr>
                <w:rFonts w:ascii="Arial Narrow" w:eastAsiaTheme="majorEastAsia" w:hAnsi="Arial Narrow" w:cstheme="minorHAnsi"/>
                <w:bCs/>
                <w:sz w:val="20"/>
                <w:szCs w:val="20"/>
              </w:rPr>
            </w:pPr>
            <w:r w:rsidRPr="00564A09">
              <w:rPr>
                <w:rFonts w:ascii="Arial Narrow" w:eastAsiaTheme="majorEastAsia" w:hAnsi="Arial Narrow"/>
                <w:sz w:val="20"/>
                <w:szCs w:val="20"/>
                <w:lang w:bidi="en-US"/>
              </w:rPr>
              <w:t>NE (NE, NE)</w:t>
            </w:r>
          </w:p>
        </w:tc>
        <w:tc>
          <w:tcPr>
            <w:tcW w:w="1017" w:type="pct"/>
            <w:vAlign w:val="center"/>
          </w:tcPr>
          <w:p w14:paraId="1BC0BE7E"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4C58AB8C"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35F08268" w14:textId="77777777" w:rsidTr="004D444B">
        <w:trPr>
          <w:jc w:val="center"/>
        </w:trPr>
        <w:tc>
          <w:tcPr>
            <w:tcW w:w="1341" w:type="pct"/>
            <w:vAlign w:val="center"/>
          </w:tcPr>
          <w:p w14:paraId="7797A94D" w14:textId="77777777" w:rsidR="00EE5515" w:rsidRPr="00980134" w:rsidRDefault="00EE5515">
            <w:pPr>
              <w:pStyle w:val="In-tableHeading"/>
              <w:rPr>
                <w:rFonts w:cstheme="minorHAnsi"/>
                <w:szCs w:val="20"/>
                <w:lang w:val="en-AU"/>
              </w:rPr>
            </w:pPr>
            <w:r w:rsidRPr="00980134">
              <w:rPr>
                <w:rFonts w:cstheme="minorHAnsi"/>
                <w:szCs w:val="20"/>
                <w:lang w:val="en-AU"/>
              </w:rPr>
              <w:t>OS, HR positive cohort</w:t>
            </w:r>
          </w:p>
        </w:tc>
        <w:tc>
          <w:tcPr>
            <w:tcW w:w="822" w:type="pct"/>
            <w:vAlign w:val="center"/>
          </w:tcPr>
          <w:p w14:paraId="1046F805" w14:textId="77777777" w:rsidR="00EE5515" w:rsidRPr="00564A09" w:rsidRDefault="00EE5515">
            <w:pPr>
              <w:pStyle w:val="In-tableHeading"/>
              <w:rPr>
                <w:rFonts w:cstheme="minorHAnsi"/>
                <w:szCs w:val="20"/>
                <w:lang w:val="en-AU"/>
              </w:rPr>
            </w:pPr>
            <w:r w:rsidRPr="00564A09">
              <w:rPr>
                <w:rFonts w:cstheme="minorHAnsi"/>
                <w:szCs w:val="20"/>
                <w:lang w:val="en-AU"/>
              </w:rPr>
              <w:t>T-</w:t>
            </w:r>
            <w:proofErr w:type="spellStart"/>
            <w:r w:rsidRPr="00564A09">
              <w:rPr>
                <w:rFonts w:cstheme="minorHAnsi"/>
                <w:szCs w:val="20"/>
                <w:lang w:val="en-AU"/>
              </w:rPr>
              <w:t>DXd</w:t>
            </w:r>
            <w:proofErr w:type="spellEnd"/>
            <w:r w:rsidRPr="00564A09">
              <w:rPr>
                <w:rFonts w:cstheme="minorHAnsi"/>
                <w:szCs w:val="20"/>
                <w:lang w:val="en-AU"/>
              </w:rPr>
              <w:t xml:space="preserve"> (N=331)</w:t>
            </w:r>
          </w:p>
        </w:tc>
        <w:tc>
          <w:tcPr>
            <w:tcW w:w="900" w:type="pct"/>
            <w:vAlign w:val="center"/>
          </w:tcPr>
          <w:p w14:paraId="0DA59F60" w14:textId="77777777" w:rsidR="00EE5515" w:rsidRPr="00564A09" w:rsidRDefault="00EE5515">
            <w:pPr>
              <w:pStyle w:val="In-tableHeading"/>
              <w:rPr>
                <w:rFonts w:cstheme="minorHAnsi"/>
                <w:szCs w:val="20"/>
                <w:lang w:val="en-AU"/>
              </w:rPr>
            </w:pPr>
            <w:r w:rsidRPr="00564A09">
              <w:rPr>
                <w:rFonts w:cstheme="minorHAnsi"/>
                <w:szCs w:val="20"/>
                <w:lang w:val="en-AU"/>
              </w:rPr>
              <w:t>TPC (N=163)</w:t>
            </w:r>
          </w:p>
        </w:tc>
        <w:tc>
          <w:tcPr>
            <w:tcW w:w="1017" w:type="pct"/>
            <w:vAlign w:val="center"/>
          </w:tcPr>
          <w:p w14:paraId="25DFEB43" w14:textId="77777777" w:rsidR="00EE5515" w:rsidRPr="00564A09" w:rsidRDefault="00EE5515" w:rsidP="004D7B9A">
            <w:pPr>
              <w:pStyle w:val="In-tableHeading"/>
              <w:jc w:val="center"/>
              <w:rPr>
                <w:rFonts w:cstheme="minorHAnsi"/>
                <w:szCs w:val="20"/>
                <w:lang w:val="en-AU"/>
              </w:rPr>
            </w:pPr>
            <w:r w:rsidRPr="00564A09">
              <w:rPr>
                <w:rFonts w:cstheme="minorHAnsi"/>
                <w:szCs w:val="20"/>
                <w:lang w:val="en-AU"/>
              </w:rPr>
              <w:t>Absolute difference</w:t>
            </w:r>
          </w:p>
        </w:tc>
        <w:tc>
          <w:tcPr>
            <w:tcW w:w="0" w:type="auto"/>
            <w:vAlign w:val="center"/>
          </w:tcPr>
          <w:p w14:paraId="2F9416ED" w14:textId="77777777" w:rsidR="004D7B9A" w:rsidRPr="00564A09" w:rsidRDefault="00EE5515" w:rsidP="004D7B9A">
            <w:pPr>
              <w:pStyle w:val="In-tableHeading"/>
              <w:jc w:val="center"/>
              <w:rPr>
                <w:rFonts w:cstheme="minorHAnsi"/>
                <w:szCs w:val="20"/>
                <w:lang w:val="en-AU"/>
              </w:rPr>
            </w:pPr>
            <w:r w:rsidRPr="00564A09">
              <w:rPr>
                <w:rFonts w:cstheme="minorHAnsi"/>
                <w:szCs w:val="20"/>
                <w:lang w:val="en-AU"/>
              </w:rPr>
              <w:t xml:space="preserve">Hazard ratio </w:t>
            </w:r>
          </w:p>
          <w:p w14:paraId="1A512476" w14:textId="7867577C" w:rsidR="00EE5515" w:rsidRPr="00564A09" w:rsidRDefault="00EE5515" w:rsidP="004D7B9A">
            <w:pPr>
              <w:pStyle w:val="In-tableHeading"/>
              <w:jc w:val="center"/>
              <w:rPr>
                <w:rFonts w:cstheme="minorHAnsi"/>
                <w:szCs w:val="20"/>
                <w:lang w:val="en-AU"/>
              </w:rPr>
            </w:pPr>
            <w:r w:rsidRPr="00564A09">
              <w:rPr>
                <w:rFonts w:cstheme="minorHAnsi"/>
                <w:szCs w:val="20"/>
                <w:lang w:val="en-AU"/>
              </w:rPr>
              <w:t>(95% CI)</w:t>
            </w:r>
          </w:p>
        </w:tc>
      </w:tr>
      <w:tr w:rsidR="004D444B" w:rsidRPr="00980134" w14:paraId="543AEFB5" w14:textId="77777777" w:rsidTr="004D444B">
        <w:trPr>
          <w:jc w:val="center"/>
        </w:trPr>
        <w:tc>
          <w:tcPr>
            <w:tcW w:w="1341" w:type="pct"/>
            <w:vAlign w:val="center"/>
          </w:tcPr>
          <w:p w14:paraId="66C7AAD1" w14:textId="77777777" w:rsidR="00EE5515" w:rsidRPr="00980134" w:rsidRDefault="00EE5515">
            <w:pPr>
              <w:pStyle w:val="TableText0"/>
              <w:rPr>
                <w:rFonts w:cstheme="minorHAnsi"/>
                <w:szCs w:val="20"/>
              </w:rPr>
            </w:pPr>
            <w:r w:rsidRPr="00980134">
              <w:rPr>
                <w:rFonts w:cstheme="minorHAnsi"/>
                <w:szCs w:val="20"/>
              </w:rPr>
              <w:t>Patients with event (%)</w:t>
            </w:r>
          </w:p>
        </w:tc>
        <w:tc>
          <w:tcPr>
            <w:tcW w:w="822" w:type="pct"/>
            <w:vAlign w:val="center"/>
          </w:tcPr>
          <w:p w14:paraId="14F1085E" w14:textId="2C4B1D45" w:rsidR="00EE5515" w:rsidRPr="00564A09" w:rsidRDefault="00EE5515">
            <w:pPr>
              <w:pStyle w:val="TableText0"/>
              <w:jc w:val="center"/>
              <w:rPr>
                <w:rFonts w:cstheme="minorHAnsi"/>
                <w:szCs w:val="20"/>
              </w:rPr>
            </w:pPr>
            <w:r w:rsidRPr="00564A09">
              <w:rPr>
                <w:rFonts w:cstheme="minorHAnsi"/>
                <w:szCs w:val="20"/>
              </w:rPr>
              <w:t>211 (63.7)</w:t>
            </w:r>
          </w:p>
        </w:tc>
        <w:tc>
          <w:tcPr>
            <w:tcW w:w="900" w:type="pct"/>
            <w:vAlign w:val="center"/>
          </w:tcPr>
          <w:p w14:paraId="7DDABBF6" w14:textId="77777777" w:rsidR="00EE5515" w:rsidRPr="00564A09" w:rsidRDefault="00EE5515">
            <w:pPr>
              <w:pStyle w:val="TableText0"/>
              <w:jc w:val="center"/>
              <w:rPr>
                <w:rFonts w:cstheme="minorHAnsi"/>
                <w:szCs w:val="20"/>
              </w:rPr>
            </w:pPr>
            <w:r w:rsidRPr="00564A09">
              <w:rPr>
                <w:rFonts w:cstheme="minorHAnsi"/>
                <w:szCs w:val="20"/>
              </w:rPr>
              <w:t>110 (67.5)</w:t>
            </w:r>
          </w:p>
        </w:tc>
        <w:tc>
          <w:tcPr>
            <w:tcW w:w="1017" w:type="pct"/>
            <w:vAlign w:val="center"/>
          </w:tcPr>
          <w:p w14:paraId="4B69C6F3"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34023869" w14:textId="77777777" w:rsidR="00EE5515" w:rsidRPr="00564A09" w:rsidRDefault="00EE5515">
            <w:pPr>
              <w:pStyle w:val="TableText0"/>
              <w:jc w:val="center"/>
              <w:rPr>
                <w:rFonts w:cstheme="minorHAnsi"/>
                <w:szCs w:val="20"/>
              </w:rPr>
            </w:pPr>
            <w:r w:rsidRPr="00564A09">
              <w:rPr>
                <w:rFonts w:cstheme="minorHAnsi"/>
                <w:szCs w:val="20"/>
              </w:rPr>
              <w:t>-</w:t>
            </w:r>
          </w:p>
        </w:tc>
      </w:tr>
      <w:tr w:rsidR="004D444B" w:rsidRPr="00980134" w14:paraId="49BA4968" w14:textId="77777777" w:rsidTr="004D444B">
        <w:trPr>
          <w:jc w:val="center"/>
        </w:trPr>
        <w:tc>
          <w:tcPr>
            <w:tcW w:w="1341" w:type="pct"/>
            <w:vAlign w:val="center"/>
          </w:tcPr>
          <w:p w14:paraId="740ACB3E" w14:textId="6196909C" w:rsidR="00EE5515" w:rsidRPr="00980134" w:rsidRDefault="00870BB3">
            <w:pPr>
              <w:pStyle w:val="TableText0"/>
              <w:rPr>
                <w:rFonts w:cstheme="minorHAnsi"/>
                <w:szCs w:val="20"/>
              </w:rPr>
            </w:pPr>
            <w:r w:rsidRPr="00980134">
              <w:rPr>
                <w:rFonts w:cstheme="minorHAnsi"/>
                <w:szCs w:val="20"/>
              </w:rPr>
              <w:t xml:space="preserve">Median </w:t>
            </w:r>
            <w:r w:rsidR="00EE5515" w:rsidRPr="00980134">
              <w:rPr>
                <w:rFonts w:cstheme="minorHAnsi"/>
                <w:szCs w:val="20"/>
              </w:rPr>
              <w:t>OS</w:t>
            </w:r>
            <w:r w:rsidRPr="00980134">
              <w:rPr>
                <w:rFonts w:cstheme="minorHAnsi"/>
                <w:szCs w:val="20"/>
              </w:rPr>
              <w:t>, months</w:t>
            </w:r>
            <w:r w:rsidR="00EE5515" w:rsidRPr="00980134">
              <w:rPr>
                <w:rFonts w:cstheme="minorHAnsi"/>
                <w:szCs w:val="20"/>
              </w:rPr>
              <w:t xml:space="preserve"> (95% CI)</w:t>
            </w:r>
          </w:p>
        </w:tc>
        <w:tc>
          <w:tcPr>
            <w:tcW w:w="822" w:type="pct"/>
            <w:vAlign w:val="center"/>
          </w:tcPr>
          <w:p w14:paraId="5D23F738" w14:textId="40FF57E3"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23.9 </w:t>
            </w:r>
            <w:r w:rsidRPr="00564A09">
              <w:rPr>
                <w:rFonts w:ascii="Arial Narrow" w:hAnsi="Arial Narrow" w:cstheme="minorHAnsi"/>
                <w:sz w:val="20"/>
                <w:szCs w:val="20"/>
                <w:lang w:bidi="en-US"/>
              </w:rPr>
              <w:t>(21.7, 25.2)</w:t>
            </w:r>
          </w:p>
        </w:tc>
        <w:tc>
          <w:tcPr>
            <w:tcW w:w="900" w:type="pct"/>
            <w:vAlign w:val="center"/>
          </w:tcPr>
          <w:p w14:paraId="47CFF62F"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eastAsiaTheme="majorEastAsia" w:hAnsi="Arial Narrow" w:cstheme="minorHAnsi"/>
                <w:sz w:val="20"/>
                <w:szCs w:val="20"/>
                <w:lang w:bidi="en-US"/>
              </w:rPr>
              <w:t xml:space="preserve">17.6 </w:t>
            </w:r>
            <w:r w:rsidRPr="00564A09">
              <w:rPr>
                <w:rFonts w:ascii="Arial Narrow" w:hAnsi="Arial Narrow" w:cstheme="minorHAnsi"/>
                <w:sz w:val="20"/>
                <w:szCs w:val="20"/>
                <w:lang w:bidi="en-US"/>
              </w:rPr>
              <w:t>(15.1, 20.2)</w:t>
            </w:r>
          </w:p>
        </w:tc>
        <w:tc>
          <w:tcPr>
            <w:tcW w:w="1017" w:type="pct"/>
            <w:vAlign w:val="center"/>
          </w:tcPr>
          <w:p w14:paraId="102456EC" w14:textId="5627AB8C" w:rsidR="00EE5515" w:rsidRPr="00564A09" w:rsidRDefault="00EE5515">
            <w:pPr>
              <w:pStyle w:val="TableText0"/>
              <w:jc w:val="center"/>
              <w:rPr>
                <w:rFonts w:cstheme="minorHAnsi"/>
                <w:szCs w:val="20"/>
              </w:rPr>
            </w:pPr>
            <w:r w:rsidRPr="00564A09">
              <w:rPr>
                <w:rFonts w:cstheme="minorHAnsi"/>
                <w:szCs w:val="20"/>
              </w:rPr>
              <w:t>6.3</w:t>
            </w:r>
          </w:p>
        </w:tc>
        <w:tc>
          <w:tcPr>
            <w:tcW w:w="0" w:type="auto"/>
            <w:vAlign w:val="center"/>
          </w:tcPr>
          <w:p w14:paraId="5D275A26" w14:textId="0DC0B776" w:rsidR="00EE5515" w:rsidRPr="00564A09" w:rsidRDefault="00EE5515">
            <w:pPr>
              <w:pStyle w:val="TableText0"/>
              <w:jc w:val="center"/>
              <w:rPr>
                <w:rFonts w:cstheme="minorHAnsi"/>
                <w:b/>
                <w:bCs w:val="0"/>
                <w:szCs w:val="20"/>
              </w:rPr>
            </w:pPr>
            <w:r w:rsidRPr="00564A09">
              <w:rPr>
                <w:rFonts w:cstheme="minorHAnsi"/>
                <w:b/>
                <w:bCs w:val="0"/>
                <w:szCs w:val="20"/>
                <w:lang w:bidi="en-US"/>
              </w:rPr>
              <w:t>0.69 (0.55, 0.87)</w:t>
            </w:r>
          </w:p>
        </w:tc>
      </w:tr>
      <w:tr w:rsidR="00EE5515" w:rsidRPr="00980134" w14:paraId="10DBB543" w14:textId="77777777" w:rsidTr="004D444B">
        <w:trPr>
          <w:jc w:val="center"/>
        </w:trPr>
        <w:tc>
          <w:tcPr>
            <w:tcW w:w="0" w:type="auto"/>
            <w:gridSpan w:val="5"/>
            <w:vAlign w:val="center"/>
          </w:tcPr>
          <w:p w14:paraId="0A9F0050" w14:textId="2D242A1B" w:rsidR="00EE5515" w:rsidRPr="00564A09" w:rsidRDefault="00EE5515">
            <w:pPr>
              <w:pStyle w:val="TableText0"/>
              <w:rPr>
                <w:rFonts w:cstheme="minorHAnsi"/>
                <w:szCs w:val="20"/>
                <w:vertAlign w:val="superscript"/>
                <w:lang w:bidi="en-US"/>
              </w:rPr>
            </w:pPr>
            <w:r w:rsidRPr="00564A09">
              <w:rPr>
                <w:rFonts w:cstheme="minorHAnsi"/>
                <w:szCs w:val="20"/>
              </w:rPr>
              <w:t>Proportion of patients alive over time</w:t>
            </w:r>
            <w:r w:rsidR="00063856" w:rsidRPr="00564A09">
              <w:rPr>
                <w:rFonts w:cstheme="minorHAnsi"/>
                <w:szCs w:val="20"/>
              </w:rPr>
              <w:t>*</w:t>
            </w:r>
          </w:p>
        </w:tc>
      </w:tr>
      <w:tr w:rsidR="004D444B" w:rsidRPr="00980134" w14:paraId="4A84AF74" w14:textId="77777777" w:rsidTr="004D444B">
        <w:trPr>
          <w:jc w:val="center"/>
        </w:trPr>
        <w:tc>
          <w:tcPr>
            <w:tcW w:w="1341" w:type="pct"/>
            <w:vAlign w:val="center"/>
          </w:tcPr>
          <w:p w14:paraId="57C587A8" w14:textId="77777777" w:rsidR="00EE5515" w:rsidRPr="00980134" w:rsidRDefault="00EE5515">
            <w:pPr>
              <w:pStyle w:val="TableText0"/>
              <w:rPr>
                <w:rFonts w:cstheme="minorHAnsi"/>
                <w:szCs w:val="20"/>
              </w:rPr>
            </w:pPr>
            <w:r w:rsidRPr="00980134">
              <w:rPr>
                <w:rFonts w:cstheme="minorHAnsi"/>
                <w:szCs w:val="20"/>
              </w:rPr>
              <w:t>At 12 months (95% CI)</w:t>
            </w:r>
          </w:p>
        </w:tc>
        <w:tc>
          <w:tcPr>
            <w:tcW w:w="822" w:type="pct"/>
            <w:vAlign w:val="center"/>
          </w:tcPr>
          <w:p w14:paraId="4FF21A56" w14:textId="633CC8DA"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87.4 (75.6, 84.3)</w:t>
            </w:r>
          </w:p>
        </w:tc>
        <w:tc>
          <w:tcPr>
            <w:tcW w:w="900" w:type="pct"/>
            <w:vAlign w:val="center"/>
          </w:tcPr>
          <w:p w14:paraId="15E93B13"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69.3 (61.1, 76.2)</w:t>
            </w:r>
          </w:p>
        </w:tc>
        <w:tc>
          <w:tcPr>
            <w:tcW w:w="1017" w:type="pct"/>
            <w:vAlign w:val="center"/>
          </w:tcPr>
          <w:p w14:paraId="2F8BF59C" w14:textId="4AECFB6A" w:rsidR="00EE5515" w:rsidRPr="00564A09" w:rsidRDefault="00EE5515">
            <w:pPr>
              <w:pStyle w:val="TableText0"/>
              <w:jc w:val="center"/>
              <w:rPr>
                <w:rFonts w:cstheme="minorHAnsi"/>
                <w:szCs w:val="20"/>
              </w:rPr>
            </w:pPr>
            <w:r w:rsidRPr="00564A09">
              <w:rPr>
                <w:rFonts w:cstheme="minorHAnsi"/>
                <w:szCs w:val="20"/>
              </w:rPr>
              <w:t>18.1</w:t>
            </w:r>
          </w:p>
        </w:tc>
        <w:tc>
          <w:tcPr>
            <w:tcW w:w="0" w:type="auto"/>
            <w:vAlign w:val="center"/>
          </w:tcPr>
          <w:p w14:paraId="275A33DF"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05E9E864" w14:textId="77777777" w:rsidTr="004D444B">
        <w:trPr>
          <w:jc w:val="center"/>
        </w:trPr>
        <w:tc>
          <w:tcPr>
            <w:tcW w:w="1341" w:type="pct"/>
            <w:vAlign w:val="center"/>
          </w:tcPr>
          <w:p w14:paraId="27F23B1E" w14:textId="77777777" w:rsidR="00EE5515" w:rsidRPr="00980134" w:rsidRDefault="00EE5515">
            <w:pPr>
              <w:pStyle w:val="TableText0"/>
              <w:rPr>
                <w:rFonts w:cstheme="minorHAnsi"/>
                <w:szCs w:val="20"/>
              </w:rPr>
            </w:pPr>
            <w:r w:rsidRPr="00980134">
              <w:rPr>
                <w:rFonts w:cstheme="minorHAnsi"/>
                <w:szCs w:val="20"/>
              </w:rPr>
              <w:t>At 36 months (95% CI)</w:t>
            </w:r>
          </w:p>
        </w:tc>
        <w:tc>
          <w:tcPr>
            <w:tcW w:w="822" w:type="pct"/>
            <w:vAlign w:val="center"/>
          </w:tcPr>
          <w:p w14:paraId="12D2BCA7" w14:textId="43624E24"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26.5 (20.7, 32.7)</w:t>
            </w:r>
          </w:p>
        </w:tc>
        <w:tc>
          <w:tcPr>
            <w:tcW w:w="900" w:type="pct"/>
            <w:vAlign w:val="center"/>
          </w:tcPr>
          <w:p w14:paraId="399C0279"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16.9 (10.2, 25.0)</w:t>
            </w:r>
          </w:p>
        </w:tc>
        <w:tc>
          <w:tcPr>
            <w:tcW w:w="1017" w:type="pct"/>
            <w:vAlign w:val="center"/>
          </w:tcPr>
          <w:p w14:paraId="3117B174" w14:textId="49ACA628" w:rsidR="00EE5515" w:rsidRPr="00564A09" w:rsidRDefault="00EE5515">
            <w:pPr>
              <w:pStyle w:val="TableText0"/>
              <w:jc w:val="center"/>
              <w:rPr>
                <w:rFonts w:cstheme="minorHAnsi"/>
                <w:szCs w:val="20"/>
              </w:rPr>
            </w:pPr>
            <w:r w:rsidRPr="00564A09">
              <w:rPr>
                <w:rFonts w:cstheme="minorHAnsi"/>
                <w:szCs w:val="20"/>
              </w:rPr>
              <w:t>9.6</w:t>
            </w:r>
          </w:p>
        </w:tc>
        <w:tc>
          <w:tcPr>
            <w:tcW w:w="0" w:type="auto"/>
            <w:vAlign w:val="center"/>
          </w:tcPr>
          <w:p w14:paraId="74FF6C47" w14:textId="77777777" w:rsidR="00EE5515" w:rsidRPr="00564A09" w:rsidRDefault="00EE5515">
            <w:pPr>
              <w:pStyle w:val="TableText0"/>
              <w:jc w:val="center"/>
              <w:rPr>
                <w:rFonts w:cstheme="minorHAnsi"/>
                <w:szCs w:val="20"/>
                <w:lang w:bidi="en-US"/>
              </w:rPr>
            </w:pPr>
            <w:r w:rsidRPr="00564A09">
              <w:rPr>
                <w:rFonts w:cstheme="minorHAnsi"/>
                <w:szCs w:val="20"/>
                <w:lang w:bidi="en-US"/>
              </w:rPr>
              <w:t>-</w:t>
            </w:r>
          </w:p>
        </w:tc>
      </w:tr>
      <w:tr w:rsidR="004D444B" w:rsidRPr="00980134" w14:paraId="6F7D76A6" w14:textId="77777777" w:rsidTr="004D444B">
        <w:trPr>
          <w:jc w:val="center"/>
        </w:trPr>
        <w:tc>
          <w:tcPr>
            <w:tcW w:w="1341" w:type="pct"/>
            <w:vAlign w:val="center"/>
          </w:tcPr>
          <w:p w14:paraId="7984FCE5" w14:textId="77777777" w:rsidR="00EE5515" w:rsidRPr="00980134" w:rsidRDefault="00EE5515">
            <w:pPr>
              <w:pStyle w:val="TableText0"/>
              <w:rPr>
                <w:rFonts w:cstheme="minorHAnsi"/>
                <w:szCs w:val="20"/>
              </w:rPr>
            </w:pPr>
            <w:r w:rsidRPr="00980134">
              <w:rPr>
                <w:rFonts w:cstheme="minorHAnsi"/>
                <w:szCs w:val="20"/>
              </w:rPr>
              <w:t>At 42 months (95% CI)</w:t>
            </w:r>
          </w:p>
        </w:tc>
        <w:tc>
          <w:tcPr>
            <w:tcW w:w="822" w:type="pct"/>
            <w:vAlign w:val="center"/>
          </w:tcPr>
          <w:p w14:paraId="7DE6E2B6" w14:textId="55847920"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21.0 (12.7, 30.7)</w:t>
            </w:r>
          </w:p>
        </w:tc>
        <w:tc>
          <w:tcPr>
            <w:tcW w:w="900" w:type="pct"/>
            <w:vAlign w:val="center"/>
          </w:tcPr>
          <w:p w14:paraId="1D945455" w14:textId="77777777" w:rsidR="00EE5515" w:rsidRPr="00564A09" w:rsidRDefault="00EE5515">
            <w:pPr>
              <w:spacing w:line="276" w:lineRule="auto"/>
              <w:jc w:val="center"/>
              <w:rPr>
                <w:rFonts w:ascii="Arial Narrow" w:eastAsiaTheme="majorEastAsia" w:hAnsi="Arial Narrow" w:cstheme="minorHAnsi"/>
                <w:sz w:val="20"/>
                <w:szCs w:val="20"/>
                <w:lang w:bidi="en-US"/>
              </w:rPr>
            </w:pPr>
            <w:r w:rsidRPr="00564A09">
              <w:rPr>
                <w:rFonts w:ascii="Arial Narrow" w:hAnsi="Arial Narrow"/>
                <w:sz w:val="20"/>
                <w:szCs w:val="20"/>
              </w:rPr>
              <w:t>NE (NE, NE)</w:t>
            </w:r>
          </w:p>
        </w:tc>
        <w:tc>
          <w:tcPr>
            <w:tcW w:w="1017" w:type="pct"/>
            <w:vAlign w:val="center"/>
          </w:tcPr>
          <w:p w14:paraId="5E74103A" w14:textId="77777777" w:rsidR="00EE5515" w:rsidRPr="00564A09" w:rsidRDefault="00EE5515">
            <w:pPr>
              <w:pStyle w:val="TableText0"/>
              <w:jc w:val="center"/>
              <w:rPr>
                <w:rFonts w:cstheme="minorHAnsi"/>
                <w:szCs w:val="20"/>
              </w:rPr>
            </w:pPr>
            <w:r w:rsidRPr="00564A09">
              <w:rPr>
                <w:rFonts w:cstheme="minorHAnsi"/>
                <w:szCs w:val="20"/>
              </w:rPr>
              <w:t>-</w:t>
            </w:r>
          </w:p>
        </w:tc>
        <w:tc>
          <w:tcPr>
            <w:tcW w:w="0" w:type="auto"/>
            <w:vAlign w:val="center"/>
          </w:tcPr>
          <w:p w14:paraId="259F68A0" w14:textId="77777777" w:rsidR="00EE5515" w:rsidRPr="00564A09" w:rsidRDefault="00EE5515">
            <w:pPr>
              <w:pStyle w:val="TableText0"/>
              <w:jc w:val="center"/>
              <w:rPr>
                <w:rFonts w:cstheme="minorHAnsi"/>
                <w:szCs w:val="20"/>
                <w:lang w:bidi="en-US"/>
              </w:rPr>
            </w:pPr>
          </w:p>
        </w:tc>
      </w:tr>
      <w:tr w:rsidR="004D444B" w:rsidRPr="00980134" w14:paraId="0AC52673" w14:textId="77777777" w:rsidTr="004D444B">
        <w:trPr>
          <w:jc w:val="center"/>
        </w:trPr>
        <w:tc>
          <w:tcPr>
            <w:tcW w:w="1341" w:type="pct"/>
            <w:vAlign w:val="center"/>
          </w:tcPr>
          <w:p w14:paraId="3B3DA4CF" w14:textId="5F702A91" w:rsidR="00EE5515" w:rsidRPr="00980134" w:rsidRDefault="00EE5515">
            <w:pPr>
              <w:pStyle w:val="TableText0"/>
              <w:rPr>
                <w:rFonts w:cstheme="minorHAnsi"/>
                <w:b/>
                <w:bCs w:val="0"/>
                <w:szCs w:val="20"/>
                <w:lang w:bidi="en-US"/>
              </w:rPr>
            </w:pPr>
            <w:r w:rsidRPr="00980134">
              <w:rPr>
                <w:rFonts w:cstheme="minorHAnsi"/>
                <w:b/>
                <w:bCs w:val="0"/>
                <w:szCs w:val="20"/>
                <w:lang w:bidi="en-US"/>
              </w:rPr>
              <w:t>OS, HR negative cohort*</w:t>
            </w:r>
            <w:r w:rsidR="00063856" w:rsidRPr="00980134">
              <w:rPr>
                <w:rFonts w:cstheme="minorHAnsi"/>
                <w:b/>
                <w:bCs w:val="0"/>
                <w:szCs w:val="20"/>
                <w:lang w:bidi="en-US"/>
              </w:rPr>
              <w:t>*</w:t>
            </w:r>
          </w:p>
        </w:tc>
        <w:tc>
          <w:tcPr>
            <w:tcW w:w="822" w:type="pct"/>
            <w:vAlign w:val="center"/>
          </w:tcPr>
          <w:p w14:paraId="46E85F42" w14:textId="77777777" w:rsidR="00EE5515" w:rsidRPr="00564A09" w:rsidRDefault="00EE5515">
            <w:pPr>
              <w:pStyle w:val="TableText0"/>
              <w:rPr>
                <w:rFonts w:cstheme="minorHAnsi"/>
                <w:b/>
                <w:bCs w:val="0"/>
                <w:szCs w:val="20"/>
                <w:lang w:bidi="en-US"/>
              </w:rPr>
            </w:pPr>
            <w:r w:rsidRPr="00564A09">
              <w:rPr>
                <w:rFonts w:cstheme="minorHAnsi"/>
                <w:b/>
                <w:bCs w:val="0"/>
                <w:szCs w:val="20"/>
              </w:rPr>
              <w:t>T-</w:t>
            </w:r>
            <w:proofErr w:type="spellStart"/>
            <w:r w:rsidRPr="00564A09">
              <w:rPr>
                <w:rFonts w:cstheme="minorHAnsi"/>
                <w:b/>
                <w:bCs w:val="0"/>
                <w:szCs w:val="20"/>
              </w:rPr>
              <w:t>DXd</w:t>
            </w:r>
            <w:proofErr w:type="spellEnd"/>
            <w:r w:rsidRPr="00564A09">
              <w:rPr>
                <w:rFonts w:cstheme="minorHAnsi"/>
                <w:b/>
                <w:bCs w:val="0"/>
                <w:szCs w:val="20"/>
              </w:rPr>
              <w:t xml:space="preserve"> (N=42)</w:t>
            </w:r>
          </w:p>
        </w:tc>
        <w:tc>
          <w:tcPr>
            <w:tcW w:w="900" w:type="pct"/>
            <w:vAlign w:val="center"/>
          </w:tcPr>
          <w:p w14:paraId="5B9B3A72" w14:textId="77777777" w:rsidR="00EE5515" w:rsidRPr="00564A09" w:rsidRDefault="00EE5515">
            <w:pPr>
              <w:pStyle w:val="TableText0"/>
              <w:rPr>
                <w:rFonts w:cstheme="minorHAnsi"/>
                <w:b/>
                <w:bCs w:val="0"/>
                <w:szCs w:val="20"/>
                <w:lang w:bidi="en-US"/>
              </w:rPr>
            </w:pPr>
            <w:r w:rsidRPr="00564A09">
              <w:rPr>
                <w:rFonts w:cstheme="minorHAnsi"/>
                <w:b/>
                <w:bCs w:val="0"/>
                <w:szCs w:val="20"/>
              </w:rPr>
              <w:t>TPC (N=21)</w:t>
            </w:r>
          </w:p>
        </w:tc>
        <w:tc>
          <w:tcPr>
            <w:tcW w:w="1017" w:type="pct"/>
            <w:vAlign w:val="center"/>
          </w:tcPr>
          <w:p w14:paraId="6D1E0E97" w14:textId="77777777" w:rsidR="00EE5515" w:rsidRPr="00564A09" w:rsidRDefault="00EE5515" w:rsidP="004D7B9A">
            <w:pPr>
              <w:pStyle w:val="TableText0"/>
              <w:jc w:val="center"/>
              <w:rPr>
                <w:rFonts w:cstheme="minorHAnsi"/>
                <w:b/>
                <w:bCs w:val="0"/>
                <w:szCs w:val="20"/>
                <w:lang w:bidi="en-US"/>
              </w:rPr>
            </w:pPr>
            <w:r w:rsidRPr="00564A09">
              <w:rPr>
                <w:rFonts w:cstheme="minorHAnsi"/>
                <w:b/>
                <w:bCs w:val="0"/>
                <w:szCs w:val="20"/>
              </w:rPr>
              <w:t>Absolute difference</w:t>
            </w:r>
          </w:p>
        </w:tc>
        <w:tc>
          <w:tcPr>
            <w:tcW w:w="0" w:type="auto"/>
            <w:vAlign w:val="center"/>
          </w:tcPr>
          <w:p w14:paraId="0B3A51B7" w14:textId="77777777" w:rsidR="004D7B9A" w:rsidRPr="00564A09" w:rsidRDefault="00EE5515" w:rsidP="004D7B9A">
            <w:pPr>
              <w:pStyle w:val="TableText0"/>
              <w:jc w:val="center"/>
              <w:rPr>
                <w:rFonts w:cstheme="minorHAnsi"/>
                <w:b/>
                <w:bCs w:val="0"/>
                <w:szCs w:val="20"/>
              </w:rPr>
            </w:pPr>
            <w:r w:rsidRPr="00564A09">
              <w:rPr>
                <w:rFonts w:cstheme="minorHAnsi"/>
                <w:b/>
                <w:bCs w:val="0"/>
                <w:szCs w:val="20"/>
              </w:rPr>
              <w:t xml:space="preserve">Hazard ratio </w:t>
            </w:r>
          </w:p>
          <w:p w14:paraId="35229544" w14:textId="6003C21A" w:rsidR="00EE5515" w:rsidRPr="00564A09" w:rsidRDefault="00EE5515" w:rsidP="004D7B9A">
            <w:pPr>
              <w:pStyle w:val="TableText0"/>
              <w:jc w:val="center"/>
              <w:rPr>
                <w:rFonts w:cstheme="minorHAnsi"/>
                <w:b/>
                <w:bCs w:val="0"/>
                <w:szCs w:val="20"/>
                <w:lang w:bidi="en-US"/>
              </w:rPr>
            </w:pPr>
            <w:r w:rsidRPr="00564A09">
              <w:rPr>
                <w:rFonts w:cstheme="minorHAnsi"/>
                <w:b/>
                <w:bCs w:val="0"/>
                <w:szCs w:val="20"/>
              </w:rPr>
              <w:t>(95% CI)</w:t>
            </w:r>
          </w:p>
        </w:tc>
      </w:tr>
      <w:tr w:rsidR="004D444B" w:rsidRPr="00980134" w14:paraId="1E292E52" w14:textId="77777777" w:rsidTr="004D444B">
        <w:trPr>
          <w:jc w:val="center"/>
        </w:trPr>
        <w:tc>
          <w:tcPr>
            <w:tcW w:w="1341" w:type="pct"/>
            <w:vAlign w:val="center"/>
          </w:tcPr>
          <w:p w14:paraId="4860CDF6" w14:textId="77777777" w:rsidR="00EE5515" w:rsidRPr="00980134" w:rsidRDefault="00EE5515">
            <w:pPr>
              <w:pStyle w:val="TableText0"/>
              <w:rPr>
                <w:rFonts w:cstheme="minorHAnsi"/>
                <w:szCs w:val="20"/>
              </w:rPr>
            </w:pPr>
            <w:r w:rsidRPr="00980134">
              <w:rPr>
                <w:rFonts w:cstheme="minorHAnsi"/>
                <w:szCs w:val="20"/>
              </w:rPr>
              <w:t>Patients with event (%)</w:t>
            </w:r>
          </w:p>
        </w:tc>
        <w:tc>
          <w:tcPr>
            <w:tcW w:w="822" w:type="pct"/>
            <w:vAlign w:val="center"/>
          </w:tcPr>
          <w:p w14:paraId="44CA3B72" w14:textId="646AFB4E" w:rsidR="00EE5515" w:rsidRPr="00564A09" w:rsidRDefault="00EE5515">
            <w:pPr>
              <w:spacing w:line="276" w:lineRule="auto"/>
              <w:jc w:val="center"/>
              <w:rPr>
                <w:rFonts w:ascii="Arial Narrow" w:hAnsi="Arial Narrow"/>
                <w:sz w:val="20"/>
                <w:szCs w:val="20"/>
              </w:rPr>
            </w:pPr>
            <w:r w:rsidRPr="00564A09">
              <w:rPr>
                <w:rFonts w:ascii="Arial Narrow" w:hAnsi="Arial Narrow" w:cstheme="minorHAnsi"/>
                <w:sz w:val="20"/>
                <w:szCs w:val="20"/>
              </w:rPr>
              <w:t>31 (73.8)</w:t>
            </w:r>
          </w:p>
        </w:tc>
        <w:tc>
          <w:tcPr>
            <w:tcW w:w="900" w:type="pct"/>
            <w:vAlign w:val="center"/>
          </w:tcPr>
          <w:p w14:paraId="1D575F88" w14:textId="77777777" w:rsidR="00EE5515" w:rsidRPr="00564A09" w:rsidRDefault="00EE5515">
            <w:pPr>
              <w:spacing w:line="276" w:lineRule="auto"/>
              <w:jc w:val="center"/>
              <w:rPr>
                <w:rFonts w:ascii="Arial Narrow" w:hAnsi="Arial Narrow"/>
                <w:sz w:val="20"/>
                <w:szCs w:val="20"/>
              </w:rPr>
            </w:pPr>
            <w:r w:rsidRPr="00564A09">
              <w:rPr>
                <w:rFonts w:ascii="Arial Narrow" w:hAnsi="Arial Narrow" w:cstheme="minorHAnsi"/>
                <w:sz w:val="20"/>
                <w:szCs w:val="20"/>
              </w:rPr>
              <w:t>18 (85.7)</w:t>
            </w:r>
          </w:p>
        </w:tc>
        <w:tc>
          <w:tcPr>
            <w:tcW w:w="1017" w:type="pct"/>
            <w:vAlign w:val="center"/>
          </w:tcPr>
          <w:p w14:paraId="3BF89316" w14:textId="77777777" w:rsidR="00EE5515" w:rsidRPr="00564A09" w:rsidRDefault="00EE5515">
            <w:pPr>
              <w:pStyle w:val="TableText0"/>
              <w:jc w:val="center"/>
              <w:rPr>
                <w:rFonts w:cstheme="minorHAnsi"/>
                <w:szCs w:val="20"/>
              </w:rPr>
            </w:pPr>
            <w:r w:rsidRPr="00564A09">
              <w:rPr>
                <w:rFonts w:cstheme="minorHAnsi"/>
                <w:szCs w:val="20"/>
              </w:rPr>
              <w:t xml:space="preserve">- </w:t>
            </w:r>
          </w:p>
        </w:tc>
        <w:tc>
          <w:tcPr>
            <w:tcW w:w="0" w:type="auto"/>
            <w:vAlign w:val="center"/>
          </w:tcPr>
          <w:p w14:paraId="4A2F930D" w14:textId="77777777" w:rsidR="00EE5515" w:rsidRPr="00564A09" w:rsidRDefault="00EE5515">
            <w:pPr>
              <w:pStyle w:val="TableText0"/>
              <w:jc w:val="center"/>
              <w:rPr>
                <w:rFonts w:cstheme="minorHAnsi"/>
                <w:szCs w:val="20"/>
                <w:lang w:bidi="en-US"/>
              </w:rPr>
            </w:pPr>
            <w:r w:rsidRPr="00564A09">
              <w:rPr>
                <w:rFonts w:cstheme="minorHAnsi"/>
                <w:szCs w:val="20"/>
              </w:rPr>
              <w:t>-</w:t>
            </w:r>
          </w:p>
        </w:tc>
      </w:tr>
      <w:tr w:rsidR="004D444B" w:rsidRPr="00980134" w14:paraId="79E4665D" w14:textId="77777777" w:rsidTr="004D444B">
        <w:trPr>
          <w:jc w:val="center"/>
        </w:trPr>
        <w:tc>
          <w:tcPr>
            <w:tcW w:w="1341" w:type="pct"/>
            <w:vAlign w:val="center"/>
          </w:tcPr>
          <w:p w14:paraId="2CE2B60A" w14:textId="71AD951F" w:rsidR="00EE5515" w:rsidRPr="00980134" w:rsidRDefault="00870BB3">
            <w:pPr>
              <w:pStyle w:val="TableText0"/>
              <w:rPr>
                <w:rFonts w:cstheme="minorHAnsi"/>
                <w:szCs w:val="20"/>
              </w:rPr>
            </w:pPr>
            <w:r w:rsidRPr="00980134">
              <w:rPr>
                <w:rFonts w:cstheme="minorHAnsi"/>
                <w:szCs w:val="20"/>
              </w:rPr>
              <w:t xml:space="preserve">Median </w:t>
            </w:r>
            <w:r w:rsidR="00EE5515" w:rsidRPr="00980134">
              <w:rPr>
                <w:rFonts w:cstheme="minorHAnsi"/>
                <w:szCs w:val="20"/>
              </w:rPr>
              <w:t>OS</w:t>
            </w:r>
            <w:r w:rsidRPr="00980134">
              <w:rPr>
                <w:rFonts w:cstheme="minorHAnsi"/>
                <w:szCs w:val="20"/>
              </w:rPr>
              <w:t>, months</w:t>
            </w:r>
            <w:r w:rsidR="00EE5515" w:rsidRPr="00980134">
              <w:rPr>
                <w:rFonts w:cstheme="minorHAnsi"/>
                <w:szCs w:val="20"/>
              </w:rPr>
              <w:t xml:space="preserve"> (95% CI)</w:t>
            </w:r>
          </w:p>
        </w:tc>
        <w:tc>
          <w:tcPr>
            <w:tcW w:w="822" w:type="pct"/>
            <w:vAlign w:val="center"/>
          </w:tcPr>
          <w:p w14:paraId="106E6498" w14:textId="7737BD5E" w:rsidR="00EE5515" w:rsidRPr="00564A09" w:rsidRDefault="00EE5515">
            <w:pPr>
              <w:spacing w:line="276" w:lineRule="auto"/>
              <w:jc w:val="center"/>
              <w:rPr>
                <w:rFonts w:ascii="Arial Narrow" w:hAnsi="Arial Narrow"/>
                <w:sz w:val="20"/>
                <w:szCs w:val="20"/>
              </w:rPr>
            </w:pPr>
            <w:r w:rsidRPr="00564A09">
              <w:rPr>
                <w:rFonts w:ascii="Arial Narrow" w:eastAsiaTheme="majorEastAsia" w:hAnsi="Arial Narrow" w:cstheme="minorHAnsi"/>
                <w:sz w:val="20"/>
                <w:szCs w:val="20"/>
                <w:lang w:bidi="en-US"/>
              </w:rPr>
              <w:t xml:space="preserve">16.6 </w:t>
            </w:r>
            <w:r w:rsidRPr="00564A09">
              <w:rPr>
                <w:rFonts w:ascii="Arial Narrow" w:hAnsi="Arial Narrow" w:cstheme="minorHAnsi"/>
                <w:sz w:val="20"/>
                <w:szCs w:val="20"/>
                <w:lang w:bidi="en-US"/>
              </w:rPr>
              <w:t>(11.3, 22.7)</w:t>
            </w:r>
          </w:p>
        </w:tc>
        <w:tc>
          <w:tcPr>
            <w:tcW w:w="900" w:type="pct"/>
            <w:vAlign w:val="center"/>
          </w:tcPr>
          <w:p w14:paraId="7615CF37" w14:textId="77777777" w:rsidR="00EE5515" w:rsidRPr="00564A09" w:rsidRDefault="00EE5515">
            <w:pPr>
              <w:spacing w:line="276" w:lineRule="auto"/>
              <w:jc w:val="center"/>
              <w:rPr>
                <w:rFonts w:ascii="Arial Narrow" w:hAnsi="Arial Narrow"/>
                <w:sz w:val="20"/>
                <w:szCs w:val="20"/>
              </w:rPr>
            </w:pPr>
            <w:r w:rsidRPr="00564A09">
              <w:rPr>
                <w:rFonts w:ascii="Arial Narrow" w:eastAsiaTheme="majorEastAsia" w:hAnsi="Arial Narrow" w:cstheme="minorHAnsi"/>
                <w:sz w:val="20"/>
                <w:szCs w:val="20"/>
                <w:lang w:bidi="en-US"/>
              </w:rPr>
              <w:t xml:space="preserve">10.3 </w:t>
            </w:r>
            <w:r w:rsidRPr="00564A09">
              <w:rPr>
                <w:rFonts w:ascii="Arial Narrow" w:hAnsi="Arial Narrow" w:cstheme="minorHAnsi"/>
                <w:sz w:val="20"/>
                <w:szCs w:val="20"/>
                <w:lang w:bidi="en-US"/>
              </w:rPr>
              <w:t>(6.1, 15.2)</w:t>
            </w:r>
          </w:p>
        </w:tc>
        <w:tc>
          <w:tcPr>
            <w:tcW w:w="1017" w:type="pct"/>
            <w:vAlign w:val="center"/>
          </w:tcPr>
          <w:p w14:paraId="3DBB736E" w14:textId="14D2425E" w:rsidR="00EE5515" w:rsidRPr="00564A09" w:rsidRDefault="00EE5515">
            <w:pPr>
              <w:pStyle w:val="TableText0"/>
              <w:jc w:val="center"/>
              <w:rPr>
                <w:rFonts w:cstheme="minorHAnsi"/>
                <w:szCs w:val="20"/>
              </w:rPr>
            </w:pPr>
            <w:r w:rsidRPr="00564A09">
              <w:rPr>
                <w:rFonts w:cstheme="minorHAnsi"/>
                <w:szCs w:val="20"/>
              </w:rPr>
              <w:t>6.3</w:t>
            </w:r>
          </w:p>
        </w:tc>
        <w:tc>
          <w:tcPr>
            <w:tcW w:w="0" w:type="auto"/>
            <w:vAlign w:val="center"/>
          </w:tcPr>
          <w:p w14:paraId="5B4825F1" w14:textId="402C5B4C" w:rsidR="00EE5515" w:rsidRPr="00564A09" w:rsidRDefault="00EE5515">
            <w:pPr>
              <w:pStyle w:val="TableText0"/>
              <w:jc w:val="center"/>
              <w:rPr>
                <w:rFonts w:cstheme="minorHAnsi"/>
                <w:szCs w:val="20"/>
                <w:lang w:bidi="en-US"/>
              </w:rPr>
            </w:pPr>
            <w:r w:rsidRPr="00564A09">
              <w:rPr>
                <w:rFonts w:cstheme="minorHAnsi"/>
                <w:szCs w:val="20"/>
                <w:lang w:bidi="en-US"/>
              </w:rPr>
              <w:t>0.66 (0.36, 1.23)</w:t>
            </w:r>
          </w:p>
        </w:tc>
      </w:tr>
    </w:tbl>
    <w:p w14:paraId="4A37F97E" w14:textId="77777777"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Figure 2-11, pp150-151, and Table 2-43, pp174-175 of the submission.</w:t>
      </w:r>
    </w:p>
    <w:p w14:paraId="606B2C6A" w14:textId="77777777"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CI = confidence interval; DB-04 = DESTINY-Breast04; DCO = data cut-off; FAS = full analysis set; HR = hormone receptor; OS = overall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xml:space="preserve">; TPC = treatment of physician’s choice. </w:t>
      </w:r>
    </w:p>
    <w:p w14:paraId="7A02E87C" w14:textId="69181BDC" w:rsidR="00063856" w:rsidRPr="00980134" w:rsidRDefault="00063856" w:rsidP="00EE5515">
      <w:pPr>
        <w:rPr>
          <w:rFonts w:ascii="Arial Narrow" w:hAnsi="Arial Narrow" w:cs="Calibri"/>
          <w:snapToGrid w:val="0"/>
          <w:sz w:val="18"/>
          <w:szCs w:val="18"/>
        </w:rPr>
      </w:pPr>
      <w:r w:rsidRPr="00980134">
        <w:rPr>
          <w:rFonts w:ascii="Arial Narrow" w:hAnsi="Arial Narrow" w:cs="Calibri"/>
          <w:snapToGrid w:val="0"/>
          <w:sz w:val="18"/>
          <w:szCs w:val="18"/>
        </w:rPr>
        <w:t xml:space="preserve">*The proportion of the HR positive cohort alive at 18 months and 24 months does not appear to be correct in the submission and is not presented here. </w:t>
      </w:r>
    </w:p>
    <w:p w14:paraId="27391DD1" w14:textId="5A0C4553" w:rsidR="004D444B" w:rsidRPr="00980134" w:rsidRDefault="00EE5515" w:rsidP="00796049">
      <w:pPr>
        <w:spacing w:after="120"/>
        <w:rPr>
          <w:rFonts w:ascii="Arial Narrow" w:hAnsi="Arial Narrow" w:cs="Calibri"/>
          <w:snapToGrid w:val="0"/>
          <w:sz w:val="18"/>
          <w:szCs w:val="18"/>
        </w:rPr>
      </w:pPr>
      <w:r w:rsidRPr="00980134">
        <w:rPr>
          <w:rFonts w:ascii="Arial Narrow" w:hAnsi="Arial Narrow" w:cs="Calibri"/>
          <w:snapToGrid w:val="0"/>
          <w:sz w:val="18"/>
          <w:szCs w:val="18"/>
        </w:rPr>
        <w:t>*</w:t>
      </w:r>
      <w:r w:rsidR="00063856" w:rsidRPr="00980134">
        <w:rPr>
          <w:rFonts w:ascii="Arial Narrow" w:hAnsi="Arial Narrow" w:cs="Calibri"/>
          <w:snapToGrid w:val="0"/>
          <w:sz w:val="18"/>
          <w:szCs w:val="18"/>
        </w:rPr>
        <w:t>*</w:t>
      </w:r>
      <w:r w:rsidRPr="00980134">
        <w:rPr>
          <w:rFonts w:ascii="Arial Narrow" w:hAnsi="Arial Narrow" w:cs="Calibri"/>
          <w:snapToGrid w:val="0"/>
          <w:sz w:val="18"/>
          <w:szCs w:val="18"/>
        </w:rPr>
        <w:t xml:space="preserve"> the ‘proportion of patients alive over time’ for the HR negative cohort was not provided for the 1 March DCO.</w:t>
      </w:r>
    </w:p>
    <w:p w14:paraId="2AF54B50" w14:textId="11A5E2EB" w:rsidR="00EE5515" w:rsidRPr="00980134" w:rsidRDefault="00EE5515" w:rsidP="00EE5515">
      <w:pPr>
        <w:pStyle w:val="3-BodyText"/>
      </w:pPr>
      <w:r w:rsidRPr="00980134">
        <w:t>At a median follow of up of 32 months across both arms, 64.9% of patients in the T</w:t>
      </w:r>
      <w:r w:rsidR="005D6F8A" w:rsidRPr="00980134">
        <w:noBreakHyphen/>
      </w:r>
      <w:proofErr w:type="spellStart"/>
      <w:r w:rsidRPr="00980134">
        <w:t>DXd</w:t>
      </w:r>
      <w:proofErr w:type="spellEnd"/>
      <w:r w:rsidRPr="00980134">
        <w:t xml:space="preserve"> arm </w:t>
      </w:r>
      <w:r w:rsidR="00C45CEA" w:rsidRPr="00980134">
        <w:t xml:space="preserve">had </w:t>
      </w:r>
      <w:r w:rsidRPr="00980134">
        <w:t xml:space="preserve">died compared with 69.6% in the TPC arm in the FAS. </w:t>
      </w:r>
      <w:r w:rsidR="00C45CEA" w:rsidRPr="00980134">
        <w:t xml:space="preserve">Patients treated with </w:t>
      </w:r>
      <w:r w:rsidRPr="00980134">
        <w:t>T-</w:t>
      </w:r>
      <w:proofErr w:type="spellStart"/>
      <w:r w:rsidRPr="00980134">
        <w:t>DXd</w:t>
      </w:r>
      <w:proofErr w:type="spellEnd"/>
      <w:r w:rsidRPr="00980134">
        <w:t xml:space="preserve"> </w:t>
      </w:r>
      <w:r w:rsidR="00C45CEA" w:rsidRPr="00980134">
        <w:t xml:space="preserve">had a </w:t>
      </w:r>
      <w:r w:rsidRPr="00980134">
        <w:t>median OS of 22.9 months compared with the median OS of 16.8</w:t>
      </w:r>
      <w:r w:rsidR="00796049">
        <w:t> </w:t>
      </w:r>
      <w:r w:rsidRPr="00980134">
        <w:t xml:space="preserve">months for TPC, with a </w:t>
      </w:r>
      <w:r w:rsidR="00C45CEA" w:rsidRPr="00980134">
        <w:t>statistically significant h</w:t>
      </w:r>
      <w:r w:rsidRPr="00980134">
        <w:t>azard ratio of 0.69 (95% CI: 0.55, 0.86) (</w:t>
      </w:r>
      <w:r w:rsidRPr="00980134">
        <w:fldChar w:fldCharType="begin" w:fldLock="1"/>
      </w:r>
      <w:r w:rsidRPr="00980134">
        <w:instrText xml:space="preserve"> REF _Ref142488317 \h  \* MERGEFORMAT </w:instrText>
      </w:r>
      <w:r w:rsidRPr="00980134">
        <w:fldChar w:fldCharType="separate"/>
      </w:r>
      <w:r w:rsidR="00DF66B3" w:rsidRPr="00980134">
        <w:t xml:space="preserve">Table </w:t>
      </w:r>
      <w:r w:rsidR="00DF66B3">
        <w:t>5</w:t>
      </w:r>
      <w:r w:rsidRPr="00980134">
        <w:fldChar w:fldCharType="end"/>
      </w:r>
      <w:r w:rsidRPr="00980134">
        <w:t>). A separation of the KM curves was observed from Month 6 and was sustained until 36 months. Thereafter, the number of patients at risk was low and the KM estimates for OS became unreliable (</w:t>
      </w:r>
      <w:r w:rsidRPr="00980134">
        <w:fldChar w:fldCharType="begin" w:fldLock="1"/>
      </w:r>
      <w:r w:rsidRPr="00980134">
        <w:instrText xml:space="preserve"> REF _Ref142488348 \h  \* MERGEFORMAT </w:instrText>
      </w:r>
      <w:r w:rsidRPr="00980134">
        <w:fldChar w:fldCharType="separate"/>
      </w:r>
      <w:r w:rsidR="00DF66B3" w:rsidRPr="00980134">
        <w:t xml:space="preserve">Figure </w:t>
      </w:r>
      <w:r w:rsidR="00DF66B3">
        <w:t>4</w:t>
      </w:r>
      <w:r w:rsidRPr="00980134">
        <w:fldChar w:fldCharType="end"/>
      </w:r>
      <w:r w:rsidRPr="00980134">
        <w:t>).</w:t>
      </w:r>
    </w:p>
    <w:p w14:paraId="1F570D36" w14:textId="2837F978" w:rsidR="00EE5515" w:rsidRPr="00980134" w:rsidRDefault="00EE5515" w:rsidP="00EE5515">
      <w:pPr>
        <w:pStyle w:val="3-BodyText"/>
      </w:pPr>
      <w:r w:rsidRPr="00980134">
        <w:t>The results of OS in the HR positive cohort are similar to the FAS with 63.7% of patients in the T-</w:t>
      </w:r>
      <w:proofErr w:type="spellStart"/>
      <w:r w:rsidRPr="00980134">
        <w:t>DXd</w:t>
      </w:r>
      <w:proofErr w:type="spellEnd"/>
      <w:r w:rsidRPr="00980134">
        <w:t xml:space="preserve"> arm having died compared with 67.5% of patients in the TPC arm. The median OS in the T-</w:t>
      </w:r>
      <w:proofErr w:type="spellStart"/>
      <w:r w:rsidRPr="00980134">
        <w:t>DXd</w:t>
      </w:r>
      <w:proofErr w:type="spellEnd"/>
      <w:r w:rsidRPr="00980134">
        <w:t xml:space="preserve"> arm was 23.9 months compared to 17.6 months in the TPC arm. The KM curves for the HR positive cohort are displayed in </w:t>
      </w:r>
      <w:r w:rsidRPr="00980134">
        <w:fldChar w:fldCharType="begin" w:fldLock="1"/>
      </w:r>
      <w:r w:rsidRPr="00980134">
        <w:instrText xml:space="preserve"> REF _Ref142491684 \h </w:instrText>
      </w:r>
      <w:r w:rsidRPr="00980134">
        <w:fldChar w:fldCharType="separate"/>
      </w:r>
      <w:r w:rsidR="00DF66B3" w:rsidRPr="00980134">
        <w:t xml:space="preserve">Figure </w:t>
      </w:r>
      <w:r w:rsidR="00DF66B3">
        <w:rPr>
          <w:noProof/>
        </w:rPr>
        <w:t>5</w:t>
      </w:r>
      <w:r w:rsidRPr="00980134">
        <w:fldChar w:fldCharType="end"/>
      </w:r>
      <w:r w:rsidRPr="00980134">
        <w:t>. Like the FAS, a separation of the KM curves was observed at 6 months and persisted until 36 months at which point the number of patients at risk became too low for the KM estimates to be reliable.</w:t>
      </w:r>
    </w:p>
    <w:p w14:paraId="69A29F97" w14:textId="3789D774" w:rsidR="00EE5515" w:rsidRPr="00980134" w:rsidRDefault="00574657" w:rsidP="00EE5515">
      <w:pPr>
        <w:pStyle w:val="3-BodyText"/>
      </w:pPr>
      <w:r w:rsidRPr="00980134">
        <w:t xml:space="preserve">At a median follow up </w:t>
      </w:r>
      <w:r w:rsidR="00F46E0A" w:rsidRPr="00980134">
        <w:t>of</w:t>
      </w:r>
      <w:r w:rsidRPr="00980134">
        <w:t xml:space="preserve"> 32 months, t</w:t>
      </w:r>
      <w:r w:rsidR="00EE5515" w:rsidRPr="00980134">
        <w:t>he proportion of patients who had died in the HR negative cohort was 73.8% in the T-</w:t>
      </w:r>
      <w:proofErr w:type="spellStart"/>
      <w:r w:rsidR="00EE5515" w:rsidRPr="00980134">
        <w:t>DXd</w:t>
      </w:r>
      <w:proofErr w:type="spellEnd"/>
      <w:r w:rsidR="00EE5515" w:rsidRPr="00980134">
        <w:t xml:space="preserve"> arm and 85.7% in the TPC arm, which is </w:t>
      </w:r>
      <w:r w:rsidR="00EE5515" w:rsidRPr="00980134">
        <w:lastRenderedPageBreak/>
        <w:t xml:space="preserve">higher than in the FAS and HR positive cohort. The KM curves for the HR negative cohort is shown in </w:t>
      </w:r>
      <w:r w:rsidR="00EE5515" w:rsidRPr="00980134">
        <w:fldChar w:fldCharType="begin" w:fldLock="1"/>
      </w:r>
      <w:r w:rsidR="00EE5515" w:rsidRPr="00980134">
        <w:instrText xml:space="preserve"> REF _Ref142491808 \h </w:instrText>
      </w:r>
      <w:r w:rsidR="00EE5515" w:rsidRPr="00980134">
        <w:fldChar w:fldCharType="separate"/>
      </w:r>
      <w:r w:rsidR="00DF66B3" w:rsidRPr="00980134">
        <w:t xml:space="preserve">Figure </w:t>
      </w:r>
      <w:r w:rsidR="00DF66B3">
        <w:rPr>
          <w:noProof/>
        </w:rPr>
        <w:t>6</w:t>
      </w:r>
      <w:r w:rsidR="00EE5515" w:rsidRPr="00980134">
        <w:fldChar w:fldCharType="end"/>
      </w:r>
      <w:r w:rsidR="00EE5515" w:rsidRPr="00980134">
        <w:t>. The small number of patients in the HR negative cohort makes the results and the KM curves unreliable.</w:t>
      </w:r>
    </w:p>
    <w:p w14:paraId="5ECDC997" w14:textId="0FAAC541" w:rsidR="00EE5515" w:rsidRPr="00980134" w:rsidRDefault="00EE5515" w:rsidP="00EE5515">
      <w:pPr>
        <w:pStyle w:val="Caption"/>
      </w:pPr>
      <w:bookmarkStart w:id="44" w:name="_Ref142488348"/>
      <w:r w:rsidRPr="00980134">
        <w:t xml:space="preserve">Figure </w:t>
      </w:r>
      <w:r w:rsidR="006E03AE">
        <w:fldChar w:fldCharType="begin" w:fldLock="1"/>
      </w:r>
      <w:r w:rsidR="006E03AE">
        <w:instrText xml:space="preserve"> SEQ Figure \* ARABIC </w:instrText>
      </w:r>
      <w:r w:rsidR="006E03AE">
        <w:fldChar w:fldCharType="separate"/>
      </w:r>
      <w:r w:rsidR="00DF66B3">
        <w:rPr>
          <w:noProof/>
        </w:rPr>
        <w:t>4</w:t>
      </w:r>
      <w:r w:rsidR="006E03AE">
        <w:rPr>
          <w:noProof/>
        </w:rPr>
        <w:fldChar w:fldCharType="end"/>
      </w:r>
      <w:bookmarkEnd w:id="41"/>
      <w:bookmarkEnd w:id="44"/>
      <w:r w:rsidRPr="00980134">
        <w:t>: OS for the FAS population in the DB-04 trial (1 March 2023 DCO)</w:t>
      </w:r>
    </w:p>
    <w:p w14:paraId="17BB8A7D" w14:textId="77777777" w:rsidR="00EE5515" w:rsidRPr="00980134" w:rsidRDefault="00EE5515" w:rsidP="00796049">
      <w:pPr>
        <w:pStyle w:val="3-BodyText"/>
        <w:numPr>
          <w:ilvl w:val="0"/>
          <w:numId w:val="0"/>
        </w:numPr>
        <w:spacing w:after="0"/>
        <w:ind w:left="720" w:hanging="720"/>
      </w:pPr>
      <w:r w:rsidRPr="00980134">
        <w:rPr>
          <w:rFonts w:ascii="Arial Narrow" w:hAnsi="Arial Narrow"/>
          <w:noProof/>
          <w:sz w:val="18"/>
          <w:szCs w:val="20"/>
        </w:rPr>
        <w:drawing>
          <wp:inline distT="0" distB="0" distL="0" distR="0" wp14:anchorId="2BC11FE7" wp14:editId="2AF1ACF9">
            <wp:extent cx="5732145" cy="3314700"/>
            <wp:effectExtent l="0" t="0" r="1905" b="0"/>
            <wp:docPr id="841933330" name="Picture 841933330"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33330" name="Picture 841933330" descr="A graph of a number of peopl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3314700"/>
                    </a:xfrm>
                    <a:prstGeom prst="rect">
                      <a:avLst/>
                    </a:prstGeom>
                    <a:noFill/>
                  </pic:spPr>
                </pic:pic>
              </a:graphicData>
            </a:graphic>
          </wp:inline>
        </w:drawing>
      </w:r>
    </w:p>
    <w:p w14:paraId="10BC8EB7" w14:textId="77777777"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Source: Figure 2-11, pp150-151 of the submission.</w:t>
      </w:r>
    </w:p>
    <w:p w14:paraId="3E398752" w14:textId="4B8BD5C2" w:rsidR="00EE5515" w:rsidRPr="00980134" w:rsidRDefault="00EE5515" w:rsidP="00310636">
      <w:pPr>
        <w:spacing w:after="120"/>
      </w:pPr>
      <w:r w:rsidRPr="00980134">
        <w:rPr>
          <w:rFonts w:ascii="Arial Narrow" w:hAnsi="Arial Narrow" w:cs="Calibri"/>
          <w:snapToGrid w:val="0"/>
          <w:sz w:val="18"/>
          <w:szCs w:val="18"/>
        </w:rPr>
        <w:t>CI = confidence interval; DCO = data cut-off; FAS = full analysis set; N = number of patients; NE = not estimable; OS = overall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TPC = treatment of physician’s choice.</w:t>
      </w:r>
    </w:p>
    <w:p w14:paraId="400936DF" w14:textId="4533625D" w:rsidR="00EE5515" w:rsidRPr="00980134" w:rsidRDefault="00EE5515" w:rsidP="00EE5515">
      <w:pPr>
        <w:pStyle w:val="Caption"/>
      </w:pPr>
      <w:bookmarkStart w:id="45" w:name="_Ref142491684"/>
      <w:r w:rsidRPr="00980134">
        <w:t xml:space="preserve">Figure </w:t>
      </w:r>
      <w:r w:rsidR="006E03AE">
        <w:fldChar w:fldCharType="begin" w:fldLock="1"/>
      </w:r>
      <w:r w:rsidR="006E03AE">
        <w:instrText xml:space="preserve"> SEQ Figure \* ARABIC </w:instrText>
      </w:r>
      <w:r w:rsidR="006E03AE">
        <w:fldChar w:fldCharType="separate"/>
      </w:r>
      <w:r w:rsidR="00DF66B3">
        <w:rPr>
          <w:noProof/>
        </w:rPr>
        <w:t>5</w:t>
      </w:r>
      <w:r w:rsidR="006E03AE">
        <w:rPr>
          <w:noProof/>
        </w:rPr>
        <w:fldChar w:fldCharType="end"/>
      </w:r>
      <w:bookmarkEnd w:id="45"/>
      <w:r w:rsidRPr="00980134">
        <w:t>: KM plot of OS in the hormone receptor positive cohort in the DB-04 trial (DCO 1 March 2023)</w:t>
      </w:r>
    </w:p>
    <w:p w14:paraId="3C8AD9EF" w14:textId="77777777" w:rsidR="00EE5515" w:rsidRPr="00980134" w:rsidRDefault="00EE5515" w:rsidP="00310636">
      <w:pPr>
        <w:pStyle w:val="3-BodyText"/>
        <w:keepNext/>
        <w:numPr>
          <w:ilvl w:val="0"/>
          <w:numId w:val="0"/>
        </w:numPr>
        <w:spacing w:after="0"/>
        <w:ind w:left="720" w:hanging="720"/>
      </w:pPr>
      <w:r w:rsidRPr="00980134">
        <w:rPr>
          <w:rFonts w:ascii="Arial Narrow" w:hAnsi="Arial Narrow"/>
          <w:b/>
          <w:iCs/>
          <w:noProof/>
          <w:color w:val="000000" w:themeColor="text1"/>
          <w:sz w:val="18"/>
          <w:szCs w:val="18"/>
        </w:rPr>
        <w:drawing>
          <wp:inline distT="0" distB="0" distL="0" distR="0" wp14:anchorId="14858DF3" wp14:editId="62A34D4F">
            <wp:extent cx="5732145" cy="3002915"/>
            <wp:effectExtent l="0" t="0" r="1905" b="6985"/>
            <wp:docPr id="1073804772" name="Picture 1073804772"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of a number of patient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3002915"/>
                    </a:xfrm>
                    <a:prstGeom prst="rect">
                      <a:avLst/>
                    </a:prstGeom>
                    <a:noFill/>
                  </pic:spPr>
                </pic:pic>
              </a:graphicData>
            </a:graphic>
          </wp:inline>
        </w:drawing>
      </w:r>
    </w:p>
    <w:p w14:paraId="35D78642" w14:textId="77777777" w:rsidR="00EE5515" w:rsidRPr="00980134" w:rsidRDefault="00EE5515" w:rsidP="00EE5515">
      <w:pPr>
        <w:keepNext/>
        <w:rPr>
          <w:rFonts w:ascii="Arial Narrow" w:hAnsi="Arial Narrow" w:cs="Calibri"/>
          <w:snapToGrid w:val="0"/>
          <w:sz w:val="18"/>
          <w:szCs w:val="18"/>
        </w:rPr>
      </w:pPr>
      <w:r w:rsidRPr="00980134">
        <w:rPr>
          <w:rFonts w:ascii="Arial Narrow" w:hAnsi="Arial Narrow" w:cs="Calibri"/>
          <w:snapToGrid w:val="0"/>
          <w:sz w:val="18"/>
          <w:szCs w:val="18"/>
        </w:rPr>
        <w:t>Source: Figure 2-10, p150 of the submission.</w:t>
      </w:r>
    </w:p>
    <w:p w14:paraId="2F52B1BB" w14:textId="4E945DF3" w:rsidR="00EE5515" w:rsidRPr="00980134" w:rsidRDefault="00EE5515" w:rsidP="00310636">
      <w:pPr>
        <w:spacing w:after="120"/>
      </w:pPr>
      <w:r w:rsidRPr="00980134">
        <w:rPr>
          <w:rFonts w:ascii="Arial Narrow" w:hAnsi="Arial Narrow" w:cs="Calibri"/>
          <w:snapToGrid w:val="0"/>
          <w:sz w:val="18"/>
          <w:szCs w:val="18"/>
        </w:rPr>
        <w:t>CI = confidence interval; DB-04 = DESTINY-Breast04; DCO = data cut-off; HR= hazard ratio; KM = Kaplan-Meier; OS = overall survival; T-</w:t>
      </w:r>
      <w:proofErr w:type="spellStart"/>
      <w:r w:rsidRPr="00980134">
        <w:rPr>
          <w:rFonts w:ascii="Arial Narrow" w:hAnsi="Arial Narrow" w:cs="Calibri"/>
          <w:snapToGrid w:val="0"/>
          <w:sz w:val="18"/>
          <w:szCs w:val="18"/>
        </w:rPr>
        <w:t>DXd</w:t>
      </w:r>
      <w:proofErr w:type="spellEnd"/>
      <w:r w:rsidRPr="00980134">
        <w:rPr>
          <w:rFonts w:ascii="Arial Narrow" w:hAnsi="Arial Narrow" w:cs="Calibri"/>
          <w:snapToGrid w:val="0"/>
          <w:sz w:val="18"/>
          <w:szCs w:val="18"/>
        </w:rPr>
        <w:t xml:space="preserve"> = trastuzumab </w:t>
      </w:r>
      <w:proofErr w:type="spellStart"/>
      <w:r w:rsidRPr="00980134">
        <w:rPr>
          <w:rFonts w:ascii="Arial Narrow" w:hAnsi="Arial Narrow" w:cs="Calibri"/>
          <w:snapToGrid w:val="0"/>
          <w:sz w:val="18"/>
          <w:szCs w:val="18"/>
        </w:rPr>
        <w:t>deruxtecan</w:t>
      </w:r>
      <w:proofErr w:type="spellEnd"/>
      <w:r w:rsidRPr="00980134">
        <w:rPr>
          <w:rFonts w:ascii="Arial Narrow" w:hAnsi="Arial Narrow" w:cs="Calibri"/>
          <w:snapToGrid w:val="0"/>
          <w:sz w:val="18"/>
          <w:szCs w:val="18"/>
        </w:rPr>
        <w:t xml:space="preserve">; TPC = treatment of physician’s choice </w:t>
      </w:r>
    </w:p>
    <w:p w14:paraId="12791BC4" w14:textId="6BB224AC" w:rsidR="00EE5515" w:rsidRPr="00980134" w:rsidRDefault="00EE5515" w:rsidP="00EE5515">
      <w:pPr>
        <w:pStyle w:val="Caption"/>
      </w:pPr>
      <w:bookmarkStart w:id="46" w:name="_Ref142491808"/>
      <w:r w:rsidRPr="00980134">
        <w:lastRenderedPageBreak/>
        <w:t xml:space="preserve">Figure </w:t>
      </w:r>
      <w:r w:rsidR="006E03AE">
        <w:fldChar w:fldCharType="begin" w:fldLock="1"/>
      </w:r>
      <w:r w:rsidR="006E03AE">
        <w:instrText xml:space="preserve"> SEQ Figure \* ARABIC </w:instrText>
      </w:r>
      <w:r w:rsidR="006E03AE">
        <w:fldChar w:fldCharType="separate"/>
      </w:r>
      <w:r w:rsidR="00DF66B3">
        <w:rPr>
          <w:noProof/>
        </w:rPr>
        <w:t>6</w:t>
      </w:r>
      <w:r w:rsidR="006E03AE">
        <w:rPr>
          <w:noProof/>
        </w:rPr>
        <w:fldChar w:fldCharType="end"/>
      </w:r>
      <w:bookmarkEnd w:id="46"/>
      <w:r w:rsidRPr="00980134">
        <w:t>: KM plot of OS in the hormone receptor negative cohort in the DB-04 trial (DCO 1 March 2023)</w:t>
      </w:r>
    </w:p>
    <w:p w14:paraId="4B2AF6F5" w14:textId="77777777" w:rsidR="00EE5515" w:rsidRPr="00980134" w:rsidRDefault="00EE5515" w:rsidP="00270C78">
      <w:pPr>
        <w:pStyle w:val="3-BodyText"/>
        <w:numPr>
          <w:ilvl w:val="0"/>
          <w:numId w:val="0"/>
        </w:numPr>
        <w:spacing w:after="0"/>
        <w:ind w:left="720" w:hanging="720"/>
      </w:pPr>
      <w:r w:rsidRPr="00980134">
        <w:rPr>
          <w:rFonts w:ascii="Arial Narrow" w:hAnsi="Arial Narrow"/>
          <w:noProof/>
          <w:sz w:val="18"/>
          <w:szCs w:val="20"/>
        </w:rPr>
        <w:drawing>
          <wp:inline distT="0" distB="0" distL="0" distR="0" wp14:anchorId="2DD9CC15" wp14:editId="17770930">
            <wp:extent cx="5732145" cy="3297555"/>
            <wp:effectExtent l="0" t="0" r="1905" b="0"/>
            <wp:docPr id="1387304899" name="Picture 1387304899"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aph of a number of patien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3297555"/>
                    </a:xfrm>
                    <a:prstGeom prst="rect">
                      <a:avLst/>
                    </a:prstGeom>
                    <a:noFill/>
                  </pic:spPr>
                </pic:pic>
              </a:graphicData>
            </a:graphic>
          </wp:inline>
        </w:drawing>
      </w:r>
    </w:p>
    <w:p w14:paraId="4A50FD27" w14:textId="6C1B2631" w:rsidR="00EE5515" w:rsidRPr="00980134" w:rsidRDefault="00EE5515" w:rsidP="00EE5515">
      <w:pPr>
        <w:rPr>
          <w:rFonts w:ascii="Arial Narrow" w:hAnsi="Arial Narrow" w:cs="Calibri"/>
          <w:snapToGrid w:val="0"/>
          <w:sz w:val="18"/>
          <w:szCs w:val="18"/>
        </w:rPr>
      </w:pPr>
      <w:r w:rsidRPr="00980134">
        <w:rPr>
          <w:rFonts w:ascii="Arial Narrow" w:hAnsi="Arial Narrow" w:cs="Calibri"/>
          <w:snapToGrid w:val="0"/>
          <w:sz w:val="18"/>
          <w:szCs w:val="18"/>
        </w:rPr>
        <w:t>Source: Figure 2-20, p17</w:t>
      </w:r>
      <w:r w:rsidR="00D007EB" w:rsidRPr="00980134">
        <w:rPr>
          <w:rFonts w:ascii="Arial Narrow" w:hAnsi="Arial Narrow" w:cs="Calibri"/>
          <w:snapToGrid w:val="0"/>
          <w:sz w:val="18"/>
          <w:szCs w:val="18"/>
        </w:rPr>
        <w:t>1</w:t>
      </w:r>
      <w:r w:rsidRPr="00980134">
        <w:rPr>
          <w:rFonts w:ascii="Arial Narrow" w:hAnsi="Arial Narrow" w:cs="Calibri"/>
          <w:snapToGrid w:val="0"/>
          <w:sz w:val="18"/>
          <w:szCs w:val="18"/>
        </w:rPr>
        <w:t xml:space="preserve"> of the submission</w:t>
      </w:r>
    </w:p>
    <w:p w14:paraId="200CAD71" w14:textId="77777777" w:rsidR="00EE5515" w:rsidRPr="00980134" w:rsidRDefault="00EE5515" w:rsidP="00270C78">
      <w:pPr>
        <w:widowControl w:val="0"/>
        <w:snapToGrid w:val="0"/>
        <w:spacing w:after="120" w:line="269" w:lineRule="auto"/>
        <w:contextualSpacing/>
        <w:rPr>
          <w:rFonts w:ascii="Arial Narrow" w:hAnsi="Arial Narrow"/>
          <w:sz w:val="18"/>
          <w:szCs w:val="20"/>
        </w:rPr>
      </w:pPr>
      <w:r w:rsidRPr="00980134">
        <w:rPr>
          <w:rFonts w:ascii="Arial Narrow" w:hAnsi="Arial Narrow"/>
          <w:sz w:val="18"/>
          <w:szCs w:val="20"/>
        </w:rPr>
        <w:t>CI = confidence interval; DB-04 = DESTINY-Breast04; DCO = data cut-off; HR= hazard ratio; KM = Kaplan-Meier; OS = overall survival; T-</w:t>
      </w:r>
      <w:proofErr w:type="spellStart"/>
      <w:r w:rsidRPr="00980134">
        <w:rPr>
          <w:rFonts w:ascii="Arial Narrow" w:hAnsi="Arial Narrow"/>
          <w:sz w:val="18"/>
          <w:szCs w:val="20"/>
        </w:rPr>
        <w:t>DXd</w:t>
      </w:r>
      <w:proofErr w:type="spellEnd"/>
      <w:r w:rsidRPr="00980134">
        <w:rPr>
          <w:rFonts w:ascii="Arial Narrow" w:hAnsi="Arial Narrow"/>
          <w:sz w:val="18"/>
          <w:szCs w:val="20"/>
        </w:rPr>
        <w:t xml:space="preserve"> = trastuzumab </w:t>
      </w:r>
      <w:proofErr w:type="spellStart"/>
      <w:r w:rsidRPr="00980134">
        <w:rPr>
          <w:rFonts w:ascii="Arial Narrow" w:hAnsi="Arial Narrow"/>
          <w:sz w:val="18"/>
          <w:szCs w:val="20"/>
        </w:rPr>
        <w:t>deruxtecan</w:t>
      </w:r>
      <w:proofErr w:type="spellEnd"/>
      <w:r w:rsidRPr="00980134">
        <w:rPr>
          <w:rFonts w:ascii="Arial Narrow" w:hAnsi="Arial Narrow"/>
          <w:sz w:val="18"/>
          <w:szCs w:val="20"/>
        </w:rPr>
        <w:t xml:space="preserve">; TPC = treatment of physician’s choice </w:t>
      </w:r>
    </w:p>
    <w:p w14:paraId="02883F04" w14:textId="4FA71976" w:rsidR="007A744D" w:rsidRPr="00980134" w:rsidRDefault="007A744D" w:rsidP="00EE5515">
      <w:pPr>
        <w:pStyle w:val="ListParagraph"/>
        <w:numPr>
          <w:ilvl w:val="1"/>
          <w:numId w:val="1"/>
        </w:numPr>
        <w:spacing w:after="160"/>
        <w:ind w:left="709" w:hanging="709"/>
      </w:pPr>
      <w:r w:rsidRPr="00980134">
        <w:t>The PSCR stated the sponsor had been informed that a difference in the HR status of five subjects recorded in the interactive web/voice response system (IXRS) versus electronic data capture (EDC) was identified where these five subjects had been mis-stratified to the HR</w:t>
      </w:r>
      <w:r w:rsidR="00694697" w:rsidRPr="00980134">
        <w:t xml:space="preserve"> negative</w:t>
      </w:r>
      <w:r w:rsidRPr="00980134">
        <w:t>/HER2</w:t>
      </w:r>
      <w:r w:rsidR="00694697" w:rsidRPr="00980134">
        <w:t xml:space="preserve"> </w:t>
      </w:r>
      <w:r w:rsidRPr="00980134">
        <w:t>low cohort when they were HR</w:t>
      </w:r>
      <w:r w:rsidR="00694697" w:rsidRPr="00980134">
        <w:t xml:space="preserve"> positive</w:t>
      </w:r>
      <w:r w:rsidRPr="00980134">
        <w:t>/HER2</w:t>
      </w:r>
      <w:r w:rsidR="00694697" w:rsidRPr="00980134">
        <w:t xml:space="preserve"> low</w:t>
      </w:r>
      <w:r w:rsidRPr="00980134">
        <w:t>. The PSCR noted this reduced the size of this subgroup from 63 (IXRS) to 58 (EDC). The PSCR noted reanalysis using EDC patient numbers resulted in a median PFS of 8.5</w:t>
      </w:r>
      <w:r w:rsidR="00270C78">
        <w:t> </w:t>
      </w:r>
      <w:r w:rsidRPr="00980134">
        <w:t>months for T-</w:t>
      </w:r>
      <w:proofErr w:type="spellStart"/>
      <w:r w:rsidRPr="00980134">
        <w:t>DXd</w:t>
      </w:r>
      <w:proofErr w:type="spellEnd"/>
      <w:r w:rsidRPr="00980134">
        <w:t xml:space="preserve"> vs. 2.9 months for TPC [HR 0.46 (95%CI: 0.24, 0.89)] and median OS of 18.2 months for T-</w:t>
      </w:r>
      <w:proofErr w:type="spellStart"/>
      <w:r w:rsidRPr="00980134">
        <w:t>DXd</w:t>
      </w:r>
      <w:proofErr w:type="spellEnd"/>
      <w:r w:rsidRPr="00980134">
        <w:t xml:space="preserve"> vs. 8.3 months for TPC [HR 0.48 (95%CI: 0.24, 0.95)]. The PSCR stated these results are consistent with the results presented in the Product Information. </w:t>
      </w:r>
    </w:p>
    <w:p w14:paraId="76527C8B" w14:textId="4075CEB8" w:rsidR="00EE5515" w:rsidRPr="00980134" w:rsidRDefault="00EE5515" w:rsidP="00EE5515">
      <w:pPr>
        <w:pStyle w:val="ListParagraph"/>
        <w:numPr>
          <w:ilvl w:val="1"/>
          <w:numId w:val="1"/>
        </w:numPr>
        <w:spacing w:after="160"/>
        <w:ind w:left="709" w:hanging="709"/>
      </w:pPr>
      <w:r w:rsidRPr="00980134">
        <w:t>The confirmed objective response rate (ORR) based on BICR was 52.3% (95% CI: 47.1, 57.4) in the T-</w:t>
      </w:r>
      <w:proofErr w:type="spellStart"/>
      <w:r w:rsidRPr="00980134">
        <w:t>DXd</w:t>
      </w:r>
      <w:proofErr w:type="spellEnd"/>
      <w:r w:rsidRPr="00980134">
        <w:t xml:space="preserve"> arm and 16.3% (95% CI: 11.3, 22.5) in the TPC arm. In the two treatment arms, most of the confirmed objective response involved a partial response, with only a few patients having a complete response (13 [3.5%] for T-</w:t>
      </w:r>
      <w:proofErr w:type="spellStart"/>
      <w:r w:rsidRPr="00980134">
        <w:t>DXd</w:t>
      </w:r>
      <w:proofErr w:type="spellEnd"/>
      <w:r w:rsidRPr="00980134">
        <w:t xml:space="preserve"> and 2 [1.1%] for TPC). </w:t>
      </w:r>
    </w:p>
    <w:p w14:paraId="5580E485" w14:textId="76C626FA" w:rsidR="00EE5515" w:rsidRPr="00980134" w:rsidRDefault="00EE5515" w:rsidP="00EE5515">
      <w:pPr>
        <w:pStyle w:val="ListParagraph"/>
        <w:numPr>
          <w:ilvl w:val="1"/>
          <w:numId w:val="1"/>
        </w:numPr>
        <w:spacing w:after="160"/>
        <w:ind w:left="709" w:hanging="709"/>
      </w:pPr>
      <w:r w:rsidRPr="00980134">
        <w:t>The duration of response (</w:t>
      </w:r>
      <w:proofErr w:type="spellStart"/>
      <w:r w:rsidRPr="00980134">
        <w:t>DoR</w:t>
      </w:r>
      <w:proofErr w:type="spellEnd"/>
      <w:r w:rsidRPr="00980134">
        <w:t>) for confirmed responses based on BICR was longer in the T-</w:t>
      </w:r>
      <w:proofErr w:type="spellStart"/>
      <w:r w:rsidRPr="00980134">
        <w:t>DXd</w:t>
      </w:r>
      <w:proofErr w:type="spellEnd"/>
      <w:r w:rsidRPr="00980134">
        <w:t xml:space="preserve"> arm than in the TPC arm (median: 10.7 months [95% CI: 8.5, 13.7] </w:t>
      </w:r>
      <w:r w:rsidRPr="00980134">
        <w:rPr>
          <w:i/>
          <w:iCs/>
        </w:rPr>
        <w:t>vs.</w:t>
      </w:r>
      <w:r w:rsidRPr="00980134">
        <w:t xml:space="preserve"> 6.8</w:t>
      </w:r>
      <w:r w:rsidR="00270C78">
        <w:t> </w:t>
      </w:r>
      <w:r w:rsidRPr="00980134">
        <w:t xml:space="preserve">months [95% CI: 6.0, 9.9]). </w:t>
      </w:r>
    </w:p>
    <w:p w14:paraId="4CCB9E41" w14:textId="77777777" w:rsidR="00EE5515" w:rsidRPr="00980134" w:rsidRDefault="00EE5515" w:rsidP="00EE5515">
      <w:pPr>
        <w:pStyle w:val="ListParagraph"/>
        <w:numPr>
          <w:ilvl w:val="1"/>
          <w:numId w:val="1"/>
        </w:numPr>
        <w:spacing w:after="160"/>
        <w:ind w:left="709" w:hanging="709"/>
      </w:pPr>
      <w:proofErr w:type="spellStart"/>
      <w:r w:rsidRPr="00980134">
        <w:t>HRQoL</w:t>
      </w:r>
      <w:proofErr w:type="spellEnd"/>
      <w:r w:rsidRPr="00980134">
        <w:t xml:space="preserve"> outcomes were assessed using three patient-reported outcome (PRO) questionnaires: the Quality of Life of Cancer Patients questionnaire (QLQ-C30), Quality </w:t>
      </w:r>
      <w:r w:rsidRPr="00980134">
        <w:lastRenderedPageBreak/>
        <w:t xml:space="preserve">of Life Breast Cancer Questionnaire (QLQ-BR45) and </w:t>
      </w:r>
      <w:proofErr w:type="spellStart"/>
      <w:r w:rsidRPr="00980134">
        <w:t>EuroQol</w:t>
      </w:r>
      <w:proofErr w:type="spellEnd"/>
      <w:r w:rsidRPr="00980134">
        <w:t xml:space="preserve"> 5-dimension 5-level (of severity) assessment (EQ-5D-5L). All </w:t>
      </w:r>
      <w:proofErr w:type="spellStart"/>
      <w:r w:rsidRPr="00980134">
        <w:t>HRQoL</w:t>
      </w:r>
      <w:proofErr w:type="spellEnd"/>
      <w:r w:rsidRPr="00980134">
        <w:t xml:space="preserve"> assessments were conducted during the treatment period, at the end of treatment (EOT), and during the 40-day and long-term/survival follow-up visits. In DB-04, </w:t>
      </w:r>
      <w:proofErr w:type="spellStart"/>
      <w:r w:rsidRPr="00980134">
        <w:t>HRQoL</w:t>
      </w:r>
      <w:proofErr w:type="spellEnd"/>
      <w:r w:rsidRPr="00980134">
        <w:t xml:space="preserve"> data were only assessed in the HR positive cohort, it was not explained why this was the case. Given the open-label design of the trial, there is the potential for bias in assessment of </w:t>
      </w:r>
      <w:proofErr w:type="spellStart"/>
      <w:r w:rsidRPr="00980134">
        <w:t>PROs.</w:t>
      </w:r>
      <w:proofErr w:type="spellEnd"/>
    </w:p>
    <w:p w14:paraId="326B0304" w14:textId="5DE5D246" w:rsidR="00C8254C" w:rsidRPr="00980134" w:rsidRDefault="00EE5515" w:rsidP="00EE5515">
      <w:pPr>
        <w:pStyle w:val="ListParagraph"/>
        <w:numPr>
          <w:ilvl w:val="1"/>
          <w:numId w:val="1"/>
        </w:numPr>
        <w:spacing w:after="160"/>
        <w:ind w:left="709" w:hanging="709"/>
      </w:pPr>
      <w:bookmarkStart w:id="47" w:name="_Hlk142909964"/>
      <w:r w:rsidRPr="00980134">
        <w:t xml:space="preserve">Across the three questionnaires, the </w:t>
      </w:r>
      <w:proofErr w:type="spellStart"/>
      <w:r w:rsidRPr="00980134">
        <w:t>HRQoL</w:t>
      </w:r>
      <w:proofErr w:type="spellEnd"/>
      <w:r w:rsidRPr="00980134">
        <w:t xml:space="preserve"> data </w:t>
      </w:r>
      <w:r w:rsidR="00DC668A" w:rsidRPr="00980134">
        <w:t>showed a delay in time to definitive deterioration (TTDD) for patients receiving T-</w:t>
      </w:r>
      <w:proofErr w:type="spellStart"/>
      <w:r w:rsidR="00DC668A" w:rsidRPr="00980134">
        <w:t>DXd</w:t>
      </w:r>
      <w:proofErr w:type="spellEnd"/>
      <w:r w:rsidR="00DC668A" w:rsidRPr="00980134">
        <w:t xml:space="preserve"> when compared to patients receiving TPC. In the QLQ-C30</w:t>
      </w:r>
      <w:r w:rsidR="00671849" w:rsidRPr="00980134">
        <w:t xml:space="preserve"> patients had</w:t>
      </w:r>
      <w:r w:rsidR="00DC668A" w:rsidRPr="00980134">
        <w:t xml:space="preserve"> a noticeable delay in TTDD by at least 10</w:t>
      </w:r>
      <w:r w:rsidR="00270C78">
        <w:t> </w:t>
      </w:r>
      <w:r w:rsidR="00DC668A" w:rsidRPr="00980134">
        <w:t>points in the T-</w:t>
      </w:r>
      <w:proofErr w:type="spellStart"/>
      <w:r w:rsidR="00DC668A" w:rsidRPr="00980134">
        <w:t>DXd</w:t>
      </w:r>
      <w:proofErr w:type="spellEnd"/>
      <w:r w:rsidR="00DC668A" w:rsidRPr="00980134">
        <w:t xml:space="preserve"> arm compared to TPC in the global health scale (7.6 months </w:t>
      </w:r>
      <w:r w:rsidR="00DC668A" w:rsidRPr="00980134">
        <w:rPr>
          <w:i/>
          <w:iCs/>
        </w:rPr>
        <w:t>vs.</w:t>
      </w:r>
      <w:r w:rsidR="00DC668A" w:rsidRPr="00980134">
        <w:t xml:space="preserve"> 5.1</w:t>
      </w:r>
      <w:r w:rsidR="00270C78">
        <w:t> </w:t>
      </w:r>
      <w:r w:rsidR="00DC668A" w:rsidRPr="00980134">
        <w:t xml:space="preserve">months, hazard ratio: 0.71, 95% CI: 0.56, 0.92), pain scale (9.7 months </w:t>
      </w:r>
      <w:r w:rsidR="00DC668A" w:rsidRPr="00980134">
        <w:rPr>
          <w:i/>
          <w:iCs/>
        </w:rPr>
        <w:t>vs.</w:t>
      </w:r>
      <w:r w:rsidR="00DC668A" w:rsidRPr="00980134">
        <w:t xml:space="preserve"> 4.4</w:t>
      </w:r>
      <w:r w:rsidR="00270C78">
        <w:t> </w:t>
      </w:r>
      <w:r w:rsidR="00DC668A" w:rsidRPr="00980134">
        <w:t xml:space="preserve">months hazard ratio: 0.51, 95% CI: 0.39, 0.65), physical functioning (9.2 months </w:t>
      </w:r>
      <w:r w:rsidR="00DC668A" w:rsidRPr="00980134">
        <w:rPr>
          <w:i/>
          <w:iCs/>
        </w:rPr>
        <w:t>vs.</w:t>
      </w:r>
      <w:r w:rsidR="00DC668A" w:rsidRPr="00980134">
        <w:t xml:space="preserve"> 4.9</w:t>
      </w:r>
      <w:r w:rsidR="00270C78">
        <w:t> </w:t>
      </w:r>
      <w:r w:rsidR="00DC668A" w:rsidRPr="00980134">
        <w:t>months, hazard ratio: 0.54, 95% CI: 0.42, 0.70), emotional functioning (11.3</w:t>
      </w:r>
      <w:r w:rsidR="00270C78">
        <w:t> </w:t>
      </w:r>
      <w:r w:rsidR="00DC668A" w:rsidRPr="00980134">
        <w:t xml:space="preserve">months </w:t>
      </w:r>
      <w:r w:rsidR="00DC668A" w:rsidRPr="00980134">
        <w:rPr>
          <w:i/>
          <w:iCs/>
        </w:rPr>
        <w:t xml:space="preserve">vs. </w:t>
      </w:r>
      <w:r w:rsidR="00DC668A" w:rsidRPr="00980134">
        <w:t xml:space="preserve">6.3 months, hazard ratio: 0.64, 95% CI: 0.48, 0.85) and social functioning (7.7 months </w:t>
      </w:r>
      <w:r w:rsidR="00DC668A" w:rsidRPr="00980134">
        <w:rPr>
          <w:i/>
          <w:iCs/>
        </w:rPr>
        <w:t>vs.</w:t>
      </w:r>
      <w:r w:rsidR="00DC668A" w:rsidRPr="00980134">
        <w:t xml:space="preserve"> 4.4 months, hazard ratio: 0.67</w:t>
      </w:r>
      <w:r w:rsidR="00C8254C" w:rsidRPr="00980134">
        <w:t>, 95% CI: 0.53, 0.86).</w:t>
      </w:r>
    </w:p>
    <w:p w14:paraId="3A82F895" w14:textId="6FA1D270" w:rsidR="00EE5515" w:rsidRPr="00980134" w:rsidRDefault="00C8254C" w:rsidP="00EE5515">
      <w:pPr>
        <w:pStyle w:val="ListParagraph"/>
        <w:numPr>
          <w:ilvl w:val="1"/>
          <w:numId w:val="1"/>
        </w:numPr>
        <w:spacing w:after="160"/>
        <w:ind w:left="709" w:hanging="709"/>
      </w:pPr>
      <w:r w:rsidRPr="00980134">
        <w:t xml:space="preserve">In the QLQ-BR23 questionnaire, patients </w:t>
      </w:r>
      <w:r w:rsidR="00671849" w:rsidRPr="00980134">
        <w:t>experienced</w:t>
      </w:r>
      <w:r w:rsidRPr="00980134">
        <w:t xml:space="preserve"> a notable delay in TTDD by at least 10 points in the arm symptoms subscale (9.8 months </w:t>
      </w:r>
      <w:r w:rsidRPr="00980134">
        <w:rPr>
          <w:i/>
          <w:iCs/>
        </w:rPr>
        <w:t>vs.</w:t>
      </w:r>
      <w:r w:rsidRPr="00980134">
        <w:t xml:space="preserve"> 5.4 months, hazard ratio: 0.67, 95% CI: 0.50, 0.88). And in theEQ-5D-5L patients </w:t>
      </w:r>
      <w:r w:rsidR="00671849" w:rsidRPr="00980134">
        <w:t>had</w:t>
      </w:r>
      <w:r w:rsidRPr="00980134">
        <w:t xml:space="preserve"> a noticeable delay in TTDD in the visual analogue scale (8.8 months </w:t>
      </w:r>
      <w:r w:rsidRPr="00980134">
        <w:rPr>
          <w:i/>
          <w:iCs/>
        </w:rPr>
        <w:t>vs.</w:t>
      </w:r>
      <w:r w:rsidRPr="00980134">
        <w:t xml:space="preserve"> 4.7 months, hazard ratio: 0.70, 95% CI: 0.54, 0.91).</w:t>
      </w:r>
      <w:r w:rsidR="00DC668A" w:rsidRPr="00980134">
        <w:t xml:space="preserve"> </w:t>
      </w:r>
    </w:p>
    <w:bookmarkEnd w:id="47"/>
    <w:p w14:paraId="59774E0F" w14:textId="54C0BCFE" w:rsidR="00EE5515" w:rsidRPr="00980134" w:rsidRDefault="00EE5515" w:rsidP="00270C78">
      <w:pPr>
        <w:spacing w:after="120"/>
      </w:pPr>
      <w:r w:rsidRPr="00980134">
        <w:rPr>
          <w:b/>
          <w:bCs/>
        </w:rPr>
        <w:t>T-</w:t>
      </w:r>
      <w:proofErr w:type="spellStart"/>
      <w:r w:rsidRPr="00980134">
        <w:rPr>
          <w:b/>
          <w:bCs/>
        </w:rPr>
        <w:t>DXd</w:t>
      </w:r>
      <w:proofErr w:type="spellEnd"/>
      <w:r w:rsidRPr="00980134">
        <w:rPr>
          <w:b/>
          <w:bCs/>
        </w:rPr>
        <w:t xml:space="preserve"> vs SG in HR negative/HER2 low breast cancer</w:t>
      </w:r>
    </w:p>
    <w:p w14:paraId="52F72806" w14:textId="77777777" w:rsidR="005D71BA" w:rsidRPr="00980134" w:rsidRDefault="00EE5515" w:rsidP="00EE5515">
      <w:pPr>
        <w:pStyle w:val="3-BodyText"/>
      </w:pPr>
      <w:bookmarkStart w:id="48" w:name="_Ref148342091"/>
      <w:r w:rsidRPr="00980134">
        <w:t>In addition to the results of T-</w:t>
      </w:r>
      <w:proofErr w:type="spellStart"/>
      <w:r w:rsidRPr="00980134">
        <w:t>DXd</w:t>
      </w:r>
      <w:proofErr w:type="spellEnd"/>
      <w:r w:rsidRPr="00980134">
        <w:t xml:space="preserve"> </w:t>
      </w:r>
      <w:r w:rsidRPr="00980134">
        <w:rPr>
          <w:i/>
          <w:iCs/>
        </w:rPr>
        <w:t xml:space="preserve">vs. </w:t>
      </w:r>
      <w:r w:rsidRPr="00980134">
        <w:t>TPC from the DB-04 trial, the submission presented a descriptive indirect single arm comparison of T-</w:t>
      </w:r>
      <w:proofErr w:type="spellStart"/>
      <w:r w:rsidRPr="00980134">
        <w:t>DXd</w:t>
      </w:r>
      <w:proofErr w:type="spellEnd"/>
      <w:r w:rsidRPr="00980134">
        <w:t xml:space="preserve"> </w:t>
      </w:r>
      <w:r w:rsidRPr="00980134">
        <w:rPr>
          <w:i/>
          <w:iCs/>
        </w:rPr>
        <w:t>vs.</w:t>
      </w:r>
      <w:r w:rsidRPr="00980134">
        <w:t xml:space="preserve"> SG. This comparison used the HR negative cohort of the DB-04 trial and the HER2 low cohort of the ASCENT trial. </w:t>
      </w:r>
      <w:r w:rsidR="00E936E7" w:rsidRPr="00980134">
        <w:t>The data for the HER2 low cohort of the ASCENT trial w</w:t>
      </w:r>
      <w:r w:rsidR="00BA04E9" w:rsidRPr="00980134">
        <w:t>ere</w:t>
      </w:r>
      <w:r w:rsidR="00E936E7" w:rsidRPr="00980134">
        <w:t xml:space="preserve"> derived from a </w:t>
      </w:r>
      <w:r w:rsidR="00E936E7" w:rsidRPr="00980134">
        <w:rPr>
          <w:i/>
          <w:iCs/>
        </w:rPr>
        <w:t xml:space="preserve">post hoc </w:t>
      </w:r>
      <w:r w:rsidR="00E936E7" w:rsidRPr="00980134">
        <w:t>analysis of patients with recorded HER2 scores of IHC 1+ or IHC2+/ISH</w:t>
      </w:r>
      <w:r w:rsidR="00BA04E9" w:rsidRPr="00980134">
        <w:noBreakHyphen/>
      </w:r>
      <w:r w:rsidR="00E936E7" w:rsidRPr="00980134">
        <w:t>.</w:t>
      </w:r>
      <w:r w:rsidR="007A744D" w:rsidRPr="00980134">
        <w:t xml:space="preserve"> </w:t>
      </w:r>
    </w:p>
    <w:p w14:paraId="50FA71AF" w14:textId="5F4468E9" w:rsidR="00EE5515" w:rsidRPr="00980134" w:rsidRDefault="005D71BA" w:rsidP="005D71BA">
      <w:pPr>
        <w:pStyle w:val="3-BodyText"/>
      </w:pPr>
      <w:r w:rsidRPr="00980134">
        <w:t>Although the median PFS by BICR and the median OS appeared comparable between the two cohorts, the PBAC noted the ESC considered this comparison was unreliable due to the small numbers of patients, differences in the composition of TPC in each trial, missing baseline characteristics (such as age at diagnosis and the location of metastases), differences in median duration of follow-up, and differences in the number of prior lines of chemotherapy. Additionally, t</w:t>
      </w:r>
      <w:r w:rsidR="007A744D" w:rsidRPr="00980134">
        <w:t xml:space="preserve">he PBAC </w:t>
      </w:r>
      <w:r w:rsidR="00694697" w:rsidRPr="00980134">
        <w:t xml:space="preserve">considered the comparison was not </w:t>
      </w:r>
      <w:r w:rsidR="007A744D" w:rsidRPr="00980134">
        <w:t>relevant as SG was not the main comparator in the HR negative population</w:t>
      </w:r>
      <w:r w:rsidR="00DA6F80" w:rsidRPr="00980134">
        <w:t xml:space="preserve"> (see paragraph </w:t>
      </w:r>
      <w:r w:rsidR="00DA6F80" w:rsidRPr="00980134">
        <w:fldChar w:fldCharType="begin" w:fldLock="1"/>
      </w:r>
      <w:r w:rsidR="00DA6F80" w:rsidRPr="00980134">
        <w:instrText xml:space="preserve"> REF _Ref152252491 \r \h </w:instrText>
      </w:r>
      <w:r w:rsidR="00DA6F80" w:rsidRPr="00980134">
        <w:fldChar w:fldCharType="separate"/>
      </w:r>
      <w:r w:rsidR="00DF66B3">
        <w:t>5.2</w:t>
      </w:r>
      <w:r w:rsidR="00DA6F80" w:rsidRPr="00980134">
        <w:fldChar w:fldCharType="end"/>
      </w:r>
      <w:r w:rsidR="00874955" w:rsidRPr="00980134">
        <w:t>)</w:t>
      </w:r>
      <w:r w:rsidR="007A744D" w:rsidRPr="00980134">
        <w:t xml:space="preserve">. </w:t>
      </w:r>
      <w:bookmarkEnd w:id="48"/>
    </w:p>
    <w:p w14:paraId="074EA32B" w14:textId="77777777" w:rsidR="00EE5515" w:rsidRPr="00980134" w:rsidRDefault="00EE5515" w:rsidP="00EE5515">
      <w:pPr>
        <w:pStyle w:val="4-SubsectionHeading"/>
      </w:pPr>
      <w:bookmarkStart w:id="49" w:name="_Toc22897642"/>
      <w:bookmarkStart w:id="50" w:name="_Toc142576844"/>
      <w:bookmarkStart w:id="51" w:name="_Toc145452639"/>
      <w:r w:rsidRPr="00980134">
        <w:t>Comparative harms</w:t>
      </w:r>
      <w:bookmarkEnd w:id="49"/>
      <w:bookmarkEnd w:id="50"/>
      <w:bookmarkEnd w:id="51"/>
    </w:p>
    <w:p w14:paraId="6ED66144" w14:textId="60125B24" w:rsidR="00EE5515" w:rsidRPr="00980134" w:rsidRDefault="00EE5515" w:rsidP="00EE5515">
      <w:pPr>
        <w:pStyle w:val="3-BodyText"/>
        <w:ind w:left="709" w:hanging="709"/>
      </w:pPr>
      <w:bookmarkStart w:id="52" w:name="_Hlk104801403"/>
      <w:r w:rsidRPr="00980134">
        <w:t>A summary of the safety results in the DB-04 safety analysis set (SAS)</w:t>
      </w:r>
      <w:r w:rsidRPr="00980134">
        <w:rPr>
          <w:rStyle w:val="FootnoteReference"/>
        </w:rPr>
        <w:footnoteReference w:id="14"/>
      </w:r>
      <w:r w:rsidRPr="00980134">
        <w:t xml:space="preserve"> is presented in </w:t>
      </w:r>
      <w:r w:rsidRPr="00980134">
        <w:fldChar w:fldCharType="begin" w:fldLock="1"/>
      </w:r>
      <w:r w:rsidRPr="00980134">
        <w:instrText xml:space="preserve"> REF _Ref142079960 \h </w:instrText>
      </w:r>
      <w:r w:rsidRPr="00980134">
        <w:fldChar w:fldCharType="separate"/>
      </w:r>
      <w:r w:rsidR="00DF66B3" w:rsidRPr="00980134">
        <w:t xml:space="preserve">Table </w:t>
      </w:r>
      <w:r w:rsidR="00DF66B3">
        <w:rPr>
          <w:noProof/>
        </w:rPr>
        <w:t>6</w:t>
      </w:r>
      <w:r w:rsidRPr="00980134">
        <w:fldChar w:fldCharType="end"/>
      </w:r>
      <w:r w:rsidRPr="00980134">
        <w:t xml:space="preserve">. Adverse events (AEs) of special interest, namely interstitial lung disease (ILD) and left ventricular dysfunction (LVD), are included. Both AEs of special interest have </w:t>
      </w:r>
      <w:r w:rsidRPr="00980134">
        <w:lastRenderedPageBreak/>
        <w:t>previously been documented with the use of T-</w:t>
      </w:r>
      <w:proofErr w:type="spellStart"/>
      <w:r w:rsidRPr="00980134">
        <w:t>DXd</w:t>
      </w:r>
      <w:proofErr w:type="spellEnd"/>
      <w:r w:rsidRPr="00980134">
        <w:t xml:space="preserve"> and are mentioned in the product information</w:t>
      </w:r>
      <w:r w:rsidR="005C17D8" w:rsidRPr="00980134">
        <w:t xml:space="preserve"> (PI)</w:t>
      </w:r>
      <w:r w:rsidRPr="00980134">
        <w:t>.</w:t>
      </w:r>
      <w:bookmarkEnd w:id="52"/>
    </w:p>
    <w:p w14:paraId="315E53D5" w14:textId="46D8FD6A" w:rsidR="00EE5515" w:rsidRPr="00980134" w:rsidRDefault="00EE5515" w:rsidP="00EE5515">
      <w:pPr>
        <w:pStyle w:val="Caption"/>
        <w:rPr>
          <w:rStyle w:val="CommentReference"/>
          <w:b/>
          <w:szCs w:val="18"/>
        </w:rPr>
      </w:pPr>
      <w:bookmarkStart w:id="53" w:name="_Ref142079960"/>
      <w:r w:rsidRPr="00980134">
        <w:t xml:space="preserve">Table </w:t>
      </w:r>
      <w:r w:rsidR="006E03AE">
        <w:fldChar w:fldCharType="begin" w:fldLock="1"/>
      </w:r>
      <w:r w:rsidR="006E03AE">
        <w:instrText xml:space="preserve"> SEQ Table \* ARABIC </w:instrText>
      </w:r>
      <w:r w:rsidR="006E03AE">
        <w:fldChar w:fldCharType="separate"/>
      </w:r>
      <w:r w:rsidR="00DF66B3">
        <w:rPr>
          <w:noProof/>
        </w:rPr>
        <w:t>6</w:t>
      </w:r>
      <w:r w:rsidR="006E03AE">
        <w:rPr>
          <w:noProof/>
        </w:rPr>
        <w:fldChar w:fldCharType="end"/>
      </w:r>
      <w:bookmarkEnd w:id="53"/>
      <w:r w:rsidRPr="00980134">
        <w:t xml:space="preserve">: Summary of adverse events in the DB-04 </w:t>
      </w:r>
      <w:proofErr w:type="spellStart"/>
      <w:r w:rsidRPr="00980134">
        <w:t>SAS</w:t>
      </w:r>
      <w:r w:rsidRPr="00980134">
        <w:rPr>
          <w:vertAlign w:val="superscript"/>
        </w:rPr>
        <w:t>a</w:t>
      </w:r>
      <w:proofErr w:type="spellEnd"/>
      <w:r w:rsidRPr="00980134">
        <w:t xml:space="preserve"> population (DCO 1 March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72"/>
        <w:gridCol w:w="1276"/>
        <w:gridCol w:w="1276"/>
        <w:gridCol w:w="1701"/>
        <w:gridCol w:w="1792"/>
      </w:tblGrid>
      <w:tr w:rsidR="00EE5515" w:rsidRPr="00980134" w14:paraId="175A9AD2" w14:textId="77777777" w:rsidTr="00372260">
        <w:tc>
          <w:tcPr>
            <w:tcW w:w="2972" w:type="dxa"/>
            <w:shd w:val="clear" w:color="auto" w:fill="auto"/>
            <w:vAlign w:val="center"/>
          </w:tcPr>
          <w:p w14:paraId="0AC2DC09" w14:textId="77777777" w:rsidR="00EE5515" w:rsidRPr="00980134" w:rsidRDefault="00EE5515">
            <w:pPr>
              <w:keepNext/>
              <w:rPr>
                <w:rFonts w:ascii="Arial Narrow" w:hAnsi="Arial Narrow" w:cstheme="minorHAnsi"/>
                <w:b/>
                <w:sz w:val="20"/>
                <w:szCs w:val="20"/>
              </w:rPr>
            </w:pPr>
          </w:p>
        </w:tc>
        <w:tc>
          <w:tcPr>
            <w:tcW w:w="1276" w:type="dxa"/>
            <w:shd w:val="clear" w:color="auto" w:fill="auto"/>
            <w:vAlign w:val="center"/>
          </w:tcPr>
          <w:p w14:paraId="70800DF3" w14:textId="363A1B28" w:rsidR="00EE5515" w:rsidRPr="00980134" w:rsidRDefault="00EE5515">
            <w:pPr>
              <w:keepNext/>
              <w:jc w:val="center"/>
              <w:rPr>
                <w:rFonts w:ascii="Arial Narrow" w:hAnsi="Arial Narrow" w:cstheme="minorHAnsi"/>
                <w:b/>
                <w:sz w:val="20"/>
                <w:szCs w:val="20"/>
              </w:rPr>
            </w:pPr>
            <w:r w:rsidRPr="00980134">
              <w:rPr>
                <w:rFonts w:ascii="Arial Narrow" w:hAnsi="Arial Narrow" w:cstheme="minorHAnsi"/>
                <w:b/>
                <w:sz w:val="20"/>
                <w:szCs w:val="20"/>
              </w:rPr>
              <w:t>T-</w:t>
            </w:r>
            <w:proofErr w:type="spellStart"/>
            <w:r w:rsidRPr="00980134">
              <w:rPr>
                <w:rFonts w:ascii="Arial Narrow" w:hAnsi="Arial Narrow" w:cstheme="minorHAnsi"/>
                <w:b/>
                <w:sz w:val="20"/>
                <w:szCs w:val="20"/>
              </w:rPr>
              <w:t>DXd</w:t>
            </w:r>
            <w:proofErr w:type="spellEnd"/>
            <w:r w:rsidRPr="00980134">
              <w:rPr>
                <w:rFonts w:ascii="Arial Narrow" w:hAnsi="Arial Narrow" w:cstheme="minorHAnsi"/>
                <w:b/>
                <w:sz w:val="20"/>
                <w:szCs w:val="20"/>
              </w:rPr>
              <w:t xml:space="preserve"> </w:t>
            </w:r>
          </w:p>
        </w:tc>
        <w:tc>
          <w:tcPr>
            <w:tcW w:w="1276" w:type="dxa"/>
            <w:shd w:val="clear" w:color="auto" w:fill="auto"/>
            <w:vAlign w:val="center"/>
          </w:tcPr>
          <w:p w14:paraId="7BA40475" w14:textId="1AB3E464" w:rsidR="00EE5515" w:rsidRPr="00980134" w:rsidRDefault="00EE5515">
            <w:pPr>
              <w:keepNext/>
              <w:tabs>
                <w:tab w:val="left" w:pos="514"/>
              </w:tabs>
              <w:jc w:val="center"/>
              <w:rPr>
                <w:rFonts w:ascii="Arial Narrow" w:hAnsi="Arial Narrow" w:cstheme="minorHAnsi"/>
                <w:b/>
                <w:sz w:val="20"/>
                <w:szCs w:val="20"/>
              </w:rPr>
            </w:pPr>
            <w:r w:rsidRPr="00980134">
              <w:rPr>
                <w:rFonts w:ascii="Arial Narrow" w:hAnsi="Arial Narrow" w:cstheme="minorHAnsi"/>
                <w:b/>
                <w:sz w:val="20"/>
                <w:szCs w:val="20"/>
              </w:rPr>
              <w:t xml:space="preserve">TPC </w:t>
            </w:r>
          </w:p>
        </w:tc>
        <w:tc>
          <w:tcPr>
            <w:tcW w:w="1701" w:type="dxa"/>
            <w:vAlign w:val="center"/>
          </w:tcPr>
          <w:p w14:paraId="5E4BECF8" w14:textId="77777777" w:rsidR="00EE5515" w:rsidRPr="00980134" w:rsidRDefault="00EE5515">
            <w:pPr>
              <w:keepNext/>
              <w:tabs>
                <w:tab w:val="left" w:pos="514"/>
              </w:tabs>
              <w:jc w:val="center"/>
              <w:rPr>
                <w:rFonts w:ascii="Arial Narrow" w:hAnsi="Arial Narrow" w:cstheme="minorHAnsi"/>
                <w:b/>
                <w:sz w:val="20"/>
                <w:szCs w:val="20"/>
              </w:rPr>
            </w:pPr>
            <w:r w:rsidRPr="00980134">
              <w:rPr>
                <w:rFonts w:ascii="Arial Narrow" w:hAnsi="Arial Narrow" w:cstheme="minorHAnsi"/>
                <w:b/>
                <w:sz w:val="20"/>
                <w:szCs w:val="20"/>
              </w:rPr>
              <w:t>RD (95% CI)*</w:t>
            </w:r>
          </w:p>
        </w:tc>
        <w:tc>
          <w:tcPr>
            <w:tcW w:w="1792" w:type="dxa"/>
            <w:vAlign w:val="center"/>
          </w:tcPr>
          <w:p w14:paraId="21CED8A9" w14:textId="77777777" w:rsidR="00EE5515" w:rsidRPr="00980134" w:rsidRDefault="00EE5515">
            <w:pPr>
              <w:keepNext/>
              <w:tabs>
                <w:tab w:val="left" w:pos="514"/>
              </w:tabs>
              <w:jc w:val="center"/>
              <w:rPr>
                <w:rFonts w:ascii="Arial Narrow" w:hAnsi="Arial Narrow" w:cstheme="minorHAnsi"/>
                <w:b/>
                <w:sz w:val="20"/>
                <w:szCs w:val="20"/>
              </w:rPr>
            </w:pPr>
            <w:r w:rsidRPr="00980134">
              <w:rPr>
                <w:rFonts w:ascii="Arial Narrow" w:hAnsi="Arial Narrow" w:cstheme="minorHAnsi"/>
                <w:b/>
                <w:sz w:val="20"/>
                <w:szCs w:val="20"/>
              </w:rPr>
              <w:t>RR (95% CI)*</w:t>
            </w:r>
          </w:p>
        </w:tc>
      </w:tr>
      <w:tr w:rsidR="00EE5515" w:rsidRPr="00980134" w14:paraId="0328F34E" w14:textId="77777777" w:rsidTr="00372260">
        <w:tc>
          <w:tcPr>
            <w:tcW w:w="2972" w:type="dxa"/>
            <w:vAlign w:val="center"/>
          </w:tcPr>
          <w:p w14:paraId="09F23273" w14:textId="77777777" w:rsidR="00EE5515" w:rsidRPr="00980134" w:rsidRDefault="00EE5515">
            <w:pPr>
              <w:keepNext/>
              <w:rPr>
                <w:rFonts w:ascii="Arial Narrow" w:hAnsi="Arial Narrow" w:cstheme="minorHAnsi"/>
                <w:sz w:val="20"/>
                <w:szCs w:val="20"/>
                <w:lang w:eastAsia="en-GB"/>
              </w:rPr>
            </w:pPr>
            <w:r w:rsidRPr="00980134">
              <w:rPr>
                <w:rFonts w:ascii="Arial Narrow" w:hAnsi="Arial Narrow" w:cstheme="minorHAnsi"/>
                <w:sz w:val="20"/>
                <w:szCs w:val="20"/>
                <w:lang w:eastAsia="en-GB"/>
              </w:rPr>
              <w:t>TEAEs (%)</w:t>
            </w:r>
          </w:p>
        </w:tc>
        <w:tc>
          <w:tcPr>
            <w:tcW w:w="1276" w:type="dxa"/>
            <w:vAlign w:val="center"/>
          </w:tcPr>
          <w:p w14:paraId="2B86162F" w14:textId="02924A22" w:rsidR="00EE5515" w:rsidRPr="00564A09" w:rsidRDefault="00EE5515">
            <w:pPr>
              <w:keepNext/>
              <w:jc w:val="center"/>
              <w:rPr>
                <w:rFonts w:ascii="Arial Narrow" w:hAnsi="Arial Narrow" w:cstheme="minorHAnsi"/>
                <w:sz w:val="20"/>
                <w:szCs w:val="20"/>
                <w:lang w:eastAsia="en-GB"/>
              </w:rPr>
            </w:pPr>
            <w:r w:rsidRPr="00564A09">
              <w:rPr>
                <w:rFonts w:ascii="Arial Narrow" w:hAnsi="Arial Narrow" w:cstheme="minorHAnsi"/>
                <w:sz w:val="20"/>
                <w:szCs w:val="20"/>
                <w:lang w:eastAsia="en-GB"/>
              </w:rPr>
              <w:t>369</w:t>
            </w:r>
            <w:r w:rsidR="007C7175" w:rsidRPr="00564A09">
              <w:rPr>
                <w:rFonts w:ascii="Arial Narrow" w:hAnsi="Arial Narrow" w:cstheme="minorHAnsi"/>
                <w:sz w:val="20"/>
                <w:szCs w:val="20"/>
                <w:lang w:eastAsia="en-GB"/>
              </w:rPr>
              <w:t>/371</w:t>
            </w:r>
            <w:r w:rsidRPr="00564A09">
              <w:rPr>
                <w:rFonts w:ascii="Arial Narrow" w:hAnsi="Arial Narrow" w:cstheme="minorHAnsi"/>
                <w:b/>
                <w:bCs/>
                <w:sz w:val="20"/>
                <w:szCs w:val="20"/>
                <w:vertAlign w:val="superscript"/>
                <w:lang w:eastAsia="en-GB"/>
              </w:rPr>
              <w:t xml:space="preserve"> </w:t>
            </w:r>
            <w:r w:rsidRPr="00564A09">
              <w:rPr>
                <w:rFonts w:ascii="Arial Narrow" w:hAnsi="Arial Narrow" w:cstheme="minorHAnsi"/>
                <w:sz w:val="20"/>
                <w:szCs w:val="20"/>
                <w:lang w:eastAsia="en-GB"/>
              </w:rPr>
              <w:t>(99.5)</w:t>
            </w:r>
          </w:p>
        </w:tc>
        <w:tc>
          <w:tcPr>
            <w:tcW w:w="1276" w:type="dxa"/>
            <w:vAlign w:val="center"/>
          </w:tcPr>
          <w:p w14:paraId="520DC996" w14:textId="6EAC3D0A"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sz w:val="20"/>
                <w:szCs w:val="20"/>
                <w:lang w:eastAsia="en-GB"/>
              </w:rPr>
              <w:t>169</w:t>
            </w:r>
            <w:r w:rsidR="007C7175" w:rsidRPr="00980134">
              <w:rPr>
                <w:rFonts w:ascii="Arial Narrow" w:hAnsi="Arial Narrow" w:cstheme="minorHAnsi"/>
                <w:sz w:val="20"/>
                <w:szCs w:val="20"/>
                <w:lang w:eastAsia="en-GB"/>
              </w:rPr>
              <w:t>/172</w:t>
            </w:r>
            <w:r w:rsidRPr="00980134">
              <w:rPr>
                <w:rFonts w:ascii="Arial Narrow" w:hAnsi="Arial Narrow" w:cstheme="minorHAnsi"/>
                <w:sz w:val="20"/>
                <w:szCs w:val="20"/>
                <w:lang w:eastAsia="en-GB"/>
              </w:rPr>
              <w:t xml:space="preserve"> (98.3)</w:t>
            </w:r>
          </w:p>
        </w:tc>
        <w:tc>
          <w:tcPr>
            <w:tcW w:w="1701" w:type="dxa"/>
            <w:vAlign w:val="center"/>
          </w:tcPr>
          <w:p w14:paraId="48E0A98E" w14:textId="416BF1A8" w:rsidR="00EE5515" w:rsidRPr="00980134" w:rsidRDefault="00EE5515" w:rsidP="000A4CE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sz w:val="20"/>
                <w:szCs w:val="20"/>
              </w:rPr>
              <w:t>0.01 (-0.01, 0.03)</w:t>
            </w:r>
          </w:p>
        </w:tc>
        <w:tc>
          <w:tcPr>
            <w:tcW w:w="1792" w:type="dxa"/>
            <w:vAlign w:val="center"/>
          </w:tcPr>
          <w:p w14:paraId="35DD3AE3" w14:textId="45B3FBAA" w:rsidR="00EE5515" w:rsidRPr="00980134" w:rsidRDefault="00EE5515" w:rsidP="000A4CE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sz w:val="20"/>
                <w:szCs w:val="20"/>
              </w:rPr>
              <w:t>1.01 (0.99, 1.03)</w:t>
            </w:r>
          </w:p>
        </w:tc>
      </w:tr>
      <w:tr w:rsidR="00EE5515" w:rsidRPr="00980134" w14:paraId="13CFD9BF" w14:textId="77777777" w:rsidTr="00372260">
        <w:tc>
          <w:tcPr>
            <w:tcW w:w="2972" w:type="dxa"/>
            <w:vAlign w:val="center"/>
          </w:tcPr>
          <w:p w14:paraId="550AACD5" w14:textId="77777777" w:rsidR="00EE5515" w:rsidRPr="00980134" w:rsidRDefault="00EE5515">
            <w:pPr>
              <w:keepNext/>
              <w:rPr>
                <w:rFonts w:ascii="Arial Narrow" w:hAnsi="Arial Narrow" w:cstheme="minorHAnsi"/>
                <w:sz w:val="20"/>
                <w:szCs w:val="20"/>
                <w:lang w:eastAsia="en-GB"/>
              </w:rPr>
            </w:pPr>
            <w:r w:rsidRPr="00980134">
              <w:rPr>
                <w:rFonts w:ascii="Arial Narrow" w:hAnsi="Arial Narrow" w:cstheme="minorHAnsi"/>
                <w:sz w:val="20"/>
                <w:szCs w:val="20"/>
                <w:lang w:eastAsia="en-GB"/>
              </w:rPr>
              <w:t>TEAEs of CTCAE grade ≥3 (%)</w:t>
            </w:r>
          </w:p>
        </w:tc>
        <w:tc>
          <w:tcPr>
            <w:tcW w:w="1276" w:type="dxa"/>
            <w:vAlign w:val="center"/>
          </w:tcPr>
          <w:p w14:paraId="15955BBF" w14:textId="28A05D85" w:rsidR="00EE5515" w:rsidRPr="00564A09" w:rsidRDefault="00EE5515">
            <w:pPr>
              <w:keepNext/>
              <w:jc w:val="center"/>
              <w:rPr>
                <w:rFonts w:ascii="Arial Narrow" w:hAnsi="Arial Narrow" w:cstheme="minorHAnsi"/>
                <w:sz w:val="20"/>
                <w:szCs w:val="20"/>
                <w:lang w:eastAsia="en-GB"/>
              </w:rPr>
            </w:pPr>
            <w:r w:rsidRPr="00564A09">
              <w:rPr>
                <w:rFonts w:ascii="Arial Narrow" w:eastAsiaTheme="majorEastAsia" w:hAnsi="Arial Narrow"/>
                <w:sz w:val="20"/>
                <w:szCs w:val="20"/>
                <w:lang w:bidi="en-US"/>
              </w:rPr>
              <w:t>202</w:t>
            </w:r>
            <w:r w:rsidR="007C7175" w:rsidRPr="00564A09">
              <w:rPr>
                <w:rFonts w:ascii="Arial Narrow" w:hAnsi="Arial Narrow" w:cstheme="minorHAnsi"/>
                <w:sz w:val="20"/>
                <w:szCs w:val="20"/>
                <w:lang w:eastAsia="en-GB"/>
              </w:rPr>
              <w:t>/371</w:t>
            </w:r>
            <w:r w:rsidRPr="00564A09">
              <w:rPr>
                <w:rFonts w:ascii="Arial Narrow" w:eastAsiaTheme="majorEastAsia" w:hAnsi="Arial Narrow"/>
                <w:sz w:val="20"/>
                <w:szCs w:val="20"/>
                <w:lang w:bidi="en-US"/>
              </w:rPr>
              <w:t xml:space="preserve"> (54.4)</w:t>
            </w:r>
          </w:p>
        </w:tc>
        <w:tc>
          <w:tcPr>
            <w:tcW w:w="1276" w:type="dxa"/>
            <w:vAlign w:val="center"/>
          </w:tcPr>
          <w:p w14:paraId="1DED7C3D" w14:textId="775E2BC1"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eastAsiaTheme="majorEastAsia" w:hAnsi="Arial Narrow"/>
                <w:sz w:val="20"/>
                <w:szCs w:val="20"/>
                <w:lang w:bidi="en-US"/>
              </w:rPr>
              <w:t>116</w:t>
            </w:r>
            <w:r w:rsidR="007C7175" w:rsidRPr="00980134">
              <w:rPr>
                <w:rFonts w:ascii="Arial Narrow" w:hAnsi="Arial Narrow" w:cstheme="minorHAnsi"/>
                <w:sz w:val="20"/>
                <w:szCs w:val="20"/>
                <w:lang w:eastAsia="en-GB"/>
              </w:rPr>
              <w:t>/172</w:t>
            </w:r>
            <w:r w:rsidRPr="00980134">
              <w:rPr>
                <w:rFonts w:ascii="Arial Narrow" w:eastAsiaTheme="majorEastAsia" w:hAnsi="Arial Narrow"/>
                <w:sz w:val="20"/>
                <w:szCs w:val="20"/>
                <w:lang w:bidi="en-US"/>
              </w:rPr>
              <w:t xml:space="preserve"> (67.4)</w:t>
            </w:r>
          </w:p>
        </w:tc>
        <w:tc>
          <w:tcPr>
            <w:tcW w:w="1701" w:type="dxa"/>
            <w:vAlign w:val="center"/>
          </w:tcPr>
          <w:p w14:paraId="0C2B25E9" w14:textId="652280D6"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-0.13 (-0.22, -0.04)</w:t>
            </w:r>
          </w:p>
        </w:tc>
        <w:tc>
          <w:tcPr>
            <w:tcW w:w="1792" w:type="dxa"/>
            <w:vAlign w:val="center"/>
          </w:tcPr>
          <w:p w14:paraId="10C94103" w14:textId="24CA86CB"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0.81 (0.70, 0.93)</w:t>
            </w:r>
          </w:p>
        </w:tc>
      </w:tr>
      <w:tr w:rsidR="00EE5515" w:rsidRPr="00980134" w14:paraId="6889CEC5" w14:textId="77777777" w:rsidTr="00372260">
        <w:tc>
          <w:tcPr>
            <w:tcW w:w="2972" w:type="dxa"/>
            <w:vAlign w:val="center"/>
          </w:tcPr>
          <w:p w14:paraId="27E13D12" w14:textId="77777777" w:rsidR="00EE5515" w:rsidRPr="00980134" w:rsidRDefault="00EE5515">
            <w:pPr>
              <w:keepNext/>
              <w:rPr>
                <w:rFonts w:ascii="Arial Narrow" w:hAnsi="Arial Narrow" w:cstheme="minorHAnsi"/>
                <w:sz w:val="20"/>
                <w:szCs w:val="20"/>
                <w:lang w:eastAsia="en-GB"/>
              </w:rPr>
            </w:pPr>
            <w:r w:rsidRPr="00980134">
              <w:rPr>
                <w:rFonts w:ascii="Arial Narrow" w:hAnsi="Arial Narrow" w:cstheme="minorHAnsi"/>
                <w:sz w:val="20"/>
                <w:szCs w:val="20"/>
                <w:lang w:eastAsia="en-GB"/>
              </w:rPr>
              <w:t>Serious TEAEs (%)</w:t>
            </w:r>
          </w:p>
        </w:tc>
        <w:tc>
          <w:tcPr>
            <w:tcW w:w="1276" w:type="dxa"/>
            <w:vAlign w:val="center"/>
          </w:tcPr>
          <w:p w14:paraId="06F0965D" w14:textId="2B3074FC" w:rsidR="00EE5515" w:rsidRPr="00564A09" w:rsidRDefault="00EE5515">
            <w:pPr>
              <w:keepNext/>
              <w:jc w:val="center"/>
              <w:rPr>
                <w:rFonts w:ascii="Arial Narrow" w:hAnsi="Arial Narrow" w:cstheme="minorHAnsi"/>
                <w:sz w:val="20"/>
                <w:szCs w:val="20"/>
                <w:lang w:eastAsia="en-GB"/>
              </w:rPr>
            </w:pPr>
            <w:r w:rsidRPr="00564A09">
              <w:rPr>
                <w:rFonts w:ascii="Arial Narrow" w:eastAsiaTheme="majorEastAsia" w:hAnsi="Arial Narrow"/>
                <w:sz w:val="20"/>
                <w:szCs w:val="20"/>
                <w:lang w:bidi="en-US"/>
              </w:rPr>
              <w:t>108</w:t>
            </w:r>
            <w:r w:rsidR="007C7175" w:rsidRPr="00564A09">
              <w:rPr>
                <w:rFonts w:ascii="Arial Narrow" w:hAnsi="Arial Narrow" w:cstheme="minorHAnsi"/>
                <w:sz w:val="20"/>
                <w:szCs w:val="20"/>
                <w:lang w:eastAsia="en-GB"/>
              </w:rPr>
              <w:t>/371</w:t>
            </w:r>
            <w:r w:rsidRPr="00564A09">
              <w:rPr>
                <w:rFonts w:ascii="Arial Narrow" w:eastAsiaTheme="majorEastAsia" w:hAnsi="Arial Narrow"/>
                <w:sz w:val="20"/>
                <w:szCs w:val="20"/>
                <w:lang w:bidi="en-US"/>
              </w:rPr>
              <w:t xml:space="preserve"> (29.1)</w:t>
            </w:r>
          </w:p>
        </w:tc>
        <w:tc>
          <w:tcPr>
            <w:tcW w:w="1276" w:type="dxa"/>
            <w:vAlign w:val="center"/>
          </w:tcPr>
          <w:p w14:paraId="56C51173" w14:textId="18B7E9B7"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eastAsiaTheme="majorEastAsia" w:hAnsi="Arial Narrow"/>
                <w:sz w:val="20"/>
                <w:szCs w:val="20"/>
                <w:lang w:bidi="en-US"/>
              </w:rPr>
              <w:t>44</w:t>
            </w:r>
            <w:r w:rsidR="007C7175" w:rsidRPr="00980134">
              <w:rPr>
                <w:rFonts w:ascii="Arial Narrow" w:hAnsi="Arial Narrow" w:cstheme="minorHAnsi"/>
                <w:sz w:val="20"/>
                <w:szCs w:val="20"/>
                <w:lang w:eastAsia="en-GB"/>
              </w:rPr>
              <w:t>/172</w:t>
            </w:r>
            <w:r w:rsidRPr="00980134">
              <w:rPr>
                <w:rFonts w:ascii="Arial Narrow" w:eastAsiaTheme="majorEastAsia" w:hAnsi="Arial Narrow"/>
                <w:sz w:val="20"/>
                <w:szCs w:val="20"/>
                <w:lang w:bidi="en-US"/>
              </w:rPr>
              <w:t xml:space="preserve"> (25.6)</w:t>
            </w:r>
          </w:p>
        </w:tc>
        <w:tc>
          <w:tcPr>
            <w:tcW w:w="1701" w:type="dxa"/>
            <w:vAlign w:val="center"/>
          </w:tcPr>
          <w:p w14:paraId="3C1DDA8D" w14:textId="77B58487"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sz w:val="20"/>
                <w:szCs w:val="20"/>
                <w:lang w:eastAsia="en-GB"/>
              </w:rPr>
              <w:t>0.04 (-0.04, 0.12)</w:t>
            </w:r>
          </w:p>
        </w:tc>
        <w:tc>
          <w:tcPr>
            <w:tcW w:w="1792" w:type="dxa"/>
            <w:vAlign w:val="center"/>
          </w:tcPr>
          <w:p w14:paraId="62F4E88A" w14:textId="08A1F204"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sz w:val="20"/>
                <w:szCs w:val="20"/>
                <w:lang w:eastAsia="en-GB"/>
              </w:rPr>
              <w:t>1.14 (0.84, 1.54)</w:t>
            </w:r>
          </w:p>
        </w:tc>
      </w:tr>
      <w:tr w:rsidR="00EE5515" w:rsidRPr="00980134" w14:paraId="663F9B75" w14:textId="77777777" w:rsidTr="00372260">
        <w:tc>
          <w:tcPr>
            <w:tcW w:w="2972" w:type="dxa"/>
            <w:vAlign w:val="center"/>
          </w:tcPr>
          <w:p w14:paraId="09CE5734" w14:textId="77777777" w:rsidR="00EE5515" w:rsidRPr="00980134" w:rsidRDefault="00EE5515" w:rsidP="007667CD">
            <w:pPr>
              <w:keepNext/>
              <w:jc w:val="left"/>
              <w:rPr>
                <w:rFonts w:ascii="Arial Narrow" w:hAnsi="Arial Narrow" w:cstheme="minorHAnsi"/>
                <w:sz w:val="20"/>
                <w:szCs w:val="20"/>
                <w:lang w:eastAsia="en-GB"/>
              </w:rPr>
            </w:pPr>
            <w:r w:rsidRPr="00980134">
              <w:rPr>
                <w:rFonts w:ascii="Arial Narrow" w:hAnsi="Arial Narrow" w:cstheme="minorHAnsi"/>
                <w:sz w:val="20"/>
                <w:szCs w:val="20"/>
                <w:lang w:eastAsia="en-GB"/>
              </w:rPr>
              <w:t>TEAEs associated with an outcome of death (%)</w:t>
            </w:r>
          </w:p>
        </w:tc>
        <w:tc>
          <w:tcPr>
            <w:tcW w:w="1276" w:type="dxa"/>
            <w:vAlign w:val="center"/>
          </w:tcPr>
          <w:p w14:paraId="4BF40E20" w14:textId="7D04ADD4" w:rsidR="00EE5515" w:rsidRPr="00564A09" w:rsidRDefault="00EE5515">
            <w:pPr>
              <w:keepNext/>
              <w:jc w:val="center"/>
              <w:rPr>
                <w:rFonts w:ascii="Arial Narrow" w:hAnsi="Arial Narrow" w:cstheme="minorHAnsi"/>
                <w:sz w:val="20"/>
                <w:szCs w:val="20"/>
                <w:lang w:eastAsia="en-GB"/>
              </w:rPr>
            </w:pPr>
            <w:r w:rsidRPr="00564A09">
              <w:rPr>
                <w:rFonts w:ascii="Arial Narrow" w:eastAsiaTheme="majorEastAsia" w:hAnsi="Arial Narrow"/>
                <w:sz w:val="20"/>
                <w:szCs w:val="20"/>
                <w:lang w:bidi="en-US"/>
              </w:rPr>
              <w:t>15</w:t>
            </w:r>
            <w:r w:rsidR="007C7175" w:rsidRPr="00564A09">
              <w:rPr>
                <w:rFonts w:ascii="Arial Narrow" w:hAnsi="Arial Narrow" w:cstheme="minorHAnsi"/>
                <w:sz w:val="20"/>
                <w:szCs w:val="20"/>
                <w:lang w:eastAsia="en-GB"/>
              </w:rPr>
              <w:t>/371</w:t>
            </w:r>
            <w:r w:rsidRPr="00564A09">
              <w:rPr>
                <w:rFonts w:ascii="Arial Narrow" w:eastAsiaTheme="majorEastAsia" w:hAnsi="Arial Narrow"/>
                <w:sz w:val="20"/>
                <w:szCs w:val="20"/>
                <w:lang w:bidi="en-US"/>
              </w:rPr>
              <w:t xml:space="preserve"> (4.0)</w:t>
            </w:r>
          </w:p>
        </w:tc>
        <w:tc>
          <w:tcPr>
            <w:tcW w:w="1276" w:type="dxa"/>
            <w:vAlign w:val="center"/>
          </w:tcPr>
          <w:p w14:paraId="6CCED037" w14:textId="025BAB67"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eastAsiaTheme="majorEastAsia" w:hAnsi="Arial Narrow"/>
                <w:sz w:val="20"/>
                <w:szCs w:val="20"/>
                <w:lang w:bidi="en-US"/>
              </w:rPr>
              <w:t>5</w:t>
            </w:r>
            <w:r w:rsidR="007C7175" w:rsidRPr="00980134">
              <w:rPr>
                <w:rFonts w:ascii="Arial Narrow" w:hAnsi="Arial Narrow" w:cstheme="minorHAnsi"/>
                <w:sz w:val="20"/>
                <w:szCs w:val="20"/>
                <w:lang w:eastAsia="en-GB"/>
              </w:rPr>
              <w:t>/172</w:t>
            </w:r>
            <w:r w:rsidRPr="00980134">
              <w:rPr>
                <w:rFonts w:ascii="Arial Narrow" w:eastAsiaTheme="majorEastAsia" w:hAnsi="Arial Narrow"/>
                <w:sz w:val="20"/>
                <w:szCs w:val="20"/>
                <w:lang w:bidi="en-US"/>
              </w:rPr>
              <w:t xml:space="preserve"> (2.9)</w:t>
            </w:r>
          </w:p>
        </w:tc>
        <w:tc>
          <w:tcPr>
            <w:tcW w:w="1701" w:type="dxa"/>
            <w:vAlign w:val="center"/>
          </w:tcPr>
          <w:p w14:paraId="67862C18" w14:textId="09AA39BD"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sz w:val="20"/>
                <w:szCs w:val="20"/>
                <w:lang w:eastAsia="en-GB"/>
              </w:rPr>
              <w:t>0.01 (-0.02, 0.04)</w:t>
            </w:r>
          </w:p>
        </w:tc>
        <w:tc>
          <w:tcPr>
            <w:tcW w:w="1792" w:type="dxa"/>
            <w:vAlign w:val="center"/>
          </w:tcPr>
          <w:p w14:paraId="0F37AEF5" w14:textId="47CE35E1"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sz w:val="20"/>
                <w:szCs w:val="20"/>
                <w:lang w:eastAsia="en-GB"/>
              </w:rPr>
              <w:t>1.39 (0.51, 3.76)</w:t>
            </w:r>
          </w:p>
        </w:tc>
      </w:tr>
      <w:tr w:rsidR="00EE5515" w:rsidRPr="00980134" w14:paraId="3AE95553" w14:textId="77777777" w:rsidTr="00372260">
        <w:tc>
          <w:tcPr>
            <w:tcW w:w="2972" w:type="dxa"/>
            <w:vAlign w:val="center"/>
          </w:tcPr>
          <w:p w14:paraId="313BC906" w14:textId="77777777" w:rsidR="00EE5515" w:rsidRPr="00980134" w:rsidRDefault="00EE5515" w:rsidP="007667CD">
            <w:pPr>
              <w:keepNext/>
              <w:jc w:val="left"/>
              <w:rPr>
                <w:rFonts w:ascii="Arial Narrow" w:hAnsi="Arial Narrow" w:cstheme="minorHAnsi"/>
                <w:sz w:val="20"/>
                <w:szCs w:val="20"/>
                <w:lang w:eastAsia="en-GB"/>
              </w:rPr>
            </w:pPr>
            <w:r w:rsidRPr="00980134">
              <w:rPr>
                <w:rFonts w:ascii="Arial Narrow" w:hAnsi="Arial Narrow" w:cstheme="minorHAnsi"/>
                <w:sz w:val="20"/>
                <w:szCs w:val="20"/>
                <w:lang w:eastAsia="en-GB"/>
              </w:rPr>
              <w:t>TEAE associated with study drug discontinuation (%)</w:t>
            </w:r>
          </w:p>
        </w:tc>
        <w:tc>
          <w:tcPr>
            <w:tcW w:w="1276" w:type="dxa"/>
            <w:vAlign w:val="center"/>
          </w:tcPr>
          <w:p w14:paraId="5D9BA5C6" w14:textId="378D8664" w:rsidR="00EE5515" w:rsidRPr="00564A09" w:rsidRDefault="00EE5515">
            <w:pPr>
              <w:keepNext/>
              <w:jc w:val="center"/>
              <w:rPr>
                <w:rFonts w:ascii="Arial Narrow" w:hAnsi="Arial Narrow" w:cstheme="minorHAnsi"/>
                <w:sz w:val="20"/>
                <w:szCs w:val="20"/>
                <w:lang w:eastAsia="en-GB"/>
              </w:rPr>
            </w:pPr>
            <w:r w:rsidRPr="00564A09">
              <w:rPr>
                <w:rFonts w:ascii="Arial Narrow" w:eastAsiaTheme="majorEastAsia" w:hAnsi="Arial Narrow"/>
                <w:sz w:val="20"/>
                <w:szCs w:val="20"/>
                <w:lang w:bidi="en-US"/>
              </w:rPr>
              <w:t>62</w:t>
            </w:r>
            <w:r w:rsidR="007C7175" w:rsidRPr="00564A09">
              <w:rPr>
                <w:rFonts w:ascii="Arial Narrow" w:hAnsi="Arial Narrow" w:cstheme="minorHAnsi"/>
                <w:sz w:val="20"/>
                <w:szCs w:val="20"/>
                <w:lang w:eastAsia="en-GB"/>
              </w:rPr>
              <w:t>/371</w:t>
            </w:r>
            <w:r w:rsidRPr="00564A09">
              <w:rPr>
                <w:rFonts w:ascii="Arial Narrow" w:eastAsiaTheme="majorEastAsia" w:hAnsi="Arial Narrow"/>
                <w:sz w:val="20"/>
                <w:szCs w:val="20"/>
                <w:lang w:bidi="en-US"/>
              </w:rPr>
              <w:t xml:space="preserve"> (16.7)</w:t>
            </w:r>
          </w:p>
        </w:tc>
        <w:tc>
          <w:tcPr>
            <w:tcW w:w="1276" w:type="dxa"/>
            <w:vAlign w:val="center"/>
          </w:tcPr>
          <w:p w14:paraId="3733786B" w14:textId="65E79E46"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eastAsiaTheme="majorEastAsia" w:hAnsi="Arial Narrow"/>
                <w:sz w:val="20"/>
                <w:szCs w:val="20"/>
                <w:lang w:bidi="en-US"/>
              </w:rPr>
              <w:t>14</w:t>
            </w:r>
            <w:r w:rsidR="007C7175" w:rsidRPr="00980134">
              <w:rPr>
                <w:rFonts w:ascii="Arial Narrow" w:hAnsi="Arial Narrow" w:cstheme="minorHAnsi"/>
                <w:sz w:val="20"/>
                <w:szCs w:val="20"/>
                <w:lang w:eastAsia="en-GB"/>
              </w:rPr>
              <w:t>/172</w:t>
            </w:r>
            <w:r w:rsidRPr="00980134">
              <w:rPr>
                <w:rFonts w:ascii="Arial Narrow" w:eastAsiaTheme="majorEastAsia" w:hAnsi="Arial Narrow"/>
                <w:sz w:val="20"/>
                <w:szCs w:val="20"/>
                <w:lang w:bidi="en-US"/>
              </w:rPr>
              <w:t xml:space="preserve"> (8.1)</w:t>
            </w:r>
          </w:p>
        </w:tc>
        <w:tc>
          <w:tcPr>
            <w:tcW w:w="1701" w:type="dxa"/>
            <w:vAlign w:val="center"/>
          </w:tcPr>
          <w:p w14:paraId="1BF45826" w14:textId="6275C387"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0.09 (0.03, 0.14)</w:t>
            </w:r>
          </w:p>
        </w:tc>
        <w:tc>
          <w:tcPr>
            <w:tcW w:w="1792" w:type="dxa"/>
            <w:vAlign w:val="center"/>
          </w:tcPr>
          <w:p w14:paraId="2B140AA6" w14:textId="4CF5DBF1"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2.05 (1.18, 3.56)</w:t>
            </w:r>
          </w:p>
        </w:tc>
      </w:tr>
      <w:tr w:rsidR="00EE5515" w:rsidRPr="00980134" w14:paraId="50DEDD53" w14:textId="77777777" w:rsidTr="00372260">
        <w:trPr>
          <w:trHeight w:val="70"/>
        </w:trPr>
        <w:tc>
          <w:tcPr>
            <w:tcW w:w="2972" w:type="dxa"/>
            <w:vAlign w:val="center"/>
          </w:tcPr>
          <w:p w14:paraId="247B34E2" w14:textId="77777777" w:rsidR="00EE5515" w:rsidRPr="00980134" w:rsidRDefault="00EE5515">
            <w:pPr>
              <w:keepNext/>
              <w:tabs>
                <w:tab w:val="left" w:pos="514"/>
              </w:tabs>
              <w:rPr>
                <w:rFonts w:ascii="Arial Narrow" w:eastAsiaTheme="majorEastAsia" w:hAnsi="Arial Narrow"/>
                <w:sz w:val="20"/>
                <w:szCs w:val="20"/>
                <w:lang w:bidi="en-US"/>
              </w:rPr>
            </w:pPr>
            <w:r w:rsidRPr="00980134">
              <w:rPr>
                <w:rFonts w:ascii="Arial Narrow" w:hAnsi="Arial Narrow" w:cstheme="minorHAnsi"/>
                <w:sz w:val="20"/>
                <w:szCs w:val="20"/>
                <w:lang w:eastAsia="en-GB"/>
              </w:rPr>
              <w:t>AEs of special interest</w:t>
            </w:r>
          </w:p>
        </w:tc>
        <w:tc>
          <w:tcPr>
            <w:tcW w:w="2552" w:type="dxa"/>
            <w:gridSpan w:val="2"/>
            <w:vAlign w:val="center"/>
          </w:tcPr>
          <w:p w14:paraId="25A892E0" w14:textId="77777777" w:rsidR="00EE5515" w:rsidRPr="00564A09" w:rsidRDefault="00EE5515">
            <w:pPr>
              <w:keepNext/>
              <w:tabs>
                <w:tab w:val="left" w:pos="514"/>
              </w:tabs>
              <w:rPr>
                <w:rFonts w:ascii="Arial Narrow" w:hAnsi="Arial Narrow" w:cstheme="minorHAnsi"/>
                <w:sz w:val="20"/>
                <w:szCs w:val="20"/>
                <w:lang w:eastAsia="en-GB"/>
              </w:rPr>
            </w:pPr>
          </w:p>
        </w:tc>
        <w:tc>
          <w:tcPr>
            <w:tcW w:w="3493" w:type="dxa"/>
            <w:gridSpan w:val="2"/>
            <w:vAlign w:val="center"/>
          </w:tcPr>
          <w:p w14:paraId="4F176DDF" w14:textId="77777777" w:rsidR="00EE5515" w:rsidRPr="00980134" w:rsidRDefault="00EE5515">
            <w:pPr>
              <w:keepNext/>
              <w:tabs>
                <w:tab w:val="left" w:pos="514"/>
              </w:tabs>
              <w:rPr>
                <w:rFonts w:ascii="Arial Narrow" w:hAnsi="Arial Narrow" w:cstheme="minorHAnsi"/>
                <w:sz w:val="20"/>
                <w:szCs w:val="20"/>
                <w:lang w:eastAsia="en-GB"/>
              </w:rPr>
            </w:pPr>
          </w:p>
        </w:tc>
      </w:tr>
      <w:tr w:rsidR="00EE5515" w:rsidRPr="00980134" w14:paraId="31A3F1F1" w14:textId="77777777" w:rsidTr="00372260">
        <w:tc>
          <w:tcPr>
            <w:tcW w:w="2972" w:type="dxa"/>
            <w:vAlign w:val="center"/>
          </w:tcPr>
          <w:p w14:paraId="10DDA6C7" w14:textId="77777777" w:rsidR="00EE5515" w:rsidRPr="00980134" w:rsidRDefault="00EE5515">
            <w:pPr>
              <w:keepNext/>
              <w:ind w:left="220"/>
              <w:rPr>
                <w:rFonts w:ascii="Arial Narrow" w:hAnsi="Arial Narrow" w:cstheme="minorHAnsi"/>
                <w:sz w:val="20"/>
                <w:szCs w:val="20"/>
                <w:lang w:eastAsia="en-GB"/>
              </w:rPr>
            </w:pPr>
            <w:r w:rsidRPr="00980134">
              <w:rPr>
                <w:rFonts w:ascii="Arial Narrow" w:hAnsi="Arial Narrow" w:cstheme="minorHAnsi"/>
                <w:sz w:val="20"/>
                <w:szCs w:val="20"/>
                <w:lang w:eastAsia="en-GB"/>
              </w:rPr>
              <w:t>ILD (%)</w:t>
            </w:r>
          </w:p>
        </w:tc>
        <w:tc>
          <w:tcPr>
            <w:tcW w:w="1276" w:type="dxa"/>
            <w:vAlign w:val="center"/>
          </w:tcPr>
          <w:p w14:paraId="2253C9CE" w14:textId="4B698537" w:rsidR="00EE5515" w:rsidRPr="00564A09" w:rsidRDefault="0050135E">
            <w:pPr>
              <w:keepNext/>
              <w:jc w:val="center"/>
              <w:rPr>
                <w:rFonts w:ascii="Arial Narrow" w:hAnsi="Arial Narrow" w:cstheme="minorHAnsi"/>
                <w:sz w:val="20"/>
                <w:szCs w:val="20"/>
                <w:lang w:eastAsia="en-GB"/>
              </w:rPr>
            </w:pPr>
            <w:r w:rsidRPr="00564A09">
              <w:rPr>
                <w:rFonts w:ascii="Arial Narrow" w:eastAsiaTheme="majorEastAsia" w:hAnsi="Arial Narrow"/>
                <w:sz w:val="20"/>
                <w:szCs w:val="20"/>
                <w:lang w:bidi="en-US"/>
              </w:rPr>
              <w:t>45</w:t>
            </w:r>
            <w:r w:rsidR="007C7175" w:rsidRPr="00564A09">
              <w:rPr>
                <w:rFonts w:ascii="Arial Narrow" w:hAnsi="Arial Narrow" w:cstheme="minorHAnsi"/>
                <w:sz w:val="20"/>
                <w:szCs w:val="20"/>
                <w:lang w:eastAsia="en-GB"/>
              </w:rPr>
              <w:t>/371</w:t>
            </w:r>
            <w:r w:rsidR="00EE5515" w:rsidRPr="00564A09">
              <w:rPr>
                <w:rFonts w:ascii="Arial Narrow" w:eastAsiaTheme="majorEastAsia" w:hAnsi="Arial Narrow"/>
                <w:sz w:val="20"/>
                <w:szCs w:val="20"/>
                <w:lang w:bidi="en-US"/>
              </w:rPr>
              <w:t xml:space="preserve"> (</w:t>
            </w:r>
            <w:r w:rsidRPr="00564A09">
              <w:rPr>
                <w:rFonts w:ascii="Arial Narrow" w:eastAsiaTheme="majorEastAsia" w:hAnsi="Arial Narrow"/>
                <w:sz w:val="20"/>
                <w:szCs w:val="20"/>
                <w:lang w:bidi="en-US"/>
              </w:rPr>
              <w:t>12</w:t>
            </w:r>
            <w:r w:rsidR="00EE5515" w:rsidRPr="00564A09">
              <w:rPr>
                <w:rFonts w:ascii="Arial Narrow" w:eastAsiaTheme="majorEastAsia" w:hAnsi="Arial Narrow"/>
                <w:sz w:val="20"/>
                <w:szCs w:val="20"/>
                <w:lang w:bidi="en-US"/>
              </w:rPr>
              <w:t>.1)</w:t>
            </w:r>
          </w:p>
        </w:tc>
        <w:tc>
          <w:tcPr>
            <w:tcW w:w="1276" w:type="dxa"/>
            <w:vAlign w:val="center"/>
          </w:tcPr>
          <w:p w14:paraId="0371AF71" w14:textId="64FFC5F4" w:rsidR="00EE5515" w:rsidRPr="00980134" w:rsidRDefault="0050135E">
            <w:pPr>
              <w:keepNext/>
              <w:tabs>
                <w:tab w:val="left" w:pos="514"/>
              </w:tabs>
              <w:jc w:val="center"/>
              <w:rPr>
                <w:rFonts w:ascii="Arial Narrow" w:hAnsi="Arial Narrow" w:cstheme="minorHAnsi"/>
                <w:sz w:val="20"/>
                <w:szCs w:val="20"/>
                <w:lang w:eastAsia="en-GB"/>
              </w:rPr>
            </w:pPr>
            <w:r w:rsidRPr="00980134">
              <w:rPr>
                <w:rFonts w:ascii="Arial Narrow" w:eastAsiaTheme="majorEastAsia" w:hAnsi="Arial Narrow"/>
                <w:sz w:val="20"/>
                <w:szCs w:val="20"/>
                <w:lang w:bidi="en-US"/>
              </w:rPr>
              <w:t>1</w:t>
            </w:r>
            <w:r w:rsidR="007C7175" w:rsidRPr="00980134">
              <w:rPr>
                <w:rFonts w:ascii="Arial Narrow" w:hAnsi="Arial Narrow" w:cstheme="minorHAnsi"/>
                <w:sz w:val="20"/>
                <w:szCs w:val="20"/>
                <w:lang w:eastAsia="en-GB"/>
              </w:rPr>
              <w:t>/172</w:t>
            </w:r>
            <w:r w:rsidR="00EE5515" w:rsidRPr="00980134">
              <w:rPr>
                <w:rFonts w:ascii="Arial Narrow" w:eastAsiaTheme="majorEastAsia" w:hAnsi="Arial Narrow"/>
                <w:sz w:val="20"/>
                <w:szCs w:val="20"/>
                <w:lang w:bidi="en-US"/>
              </w:rPr>
              <w:t xml:space="preserve"> (</w:t>
            </w:r>
            <w:r w:rsidRPr="00980134">
              <w:rPr>
                <w:rFonts w:ascii="Arial Narrow" w:eastAsiaTheme="majorEastAsia" w:hAnsi="Arial Narrow"/>
                <w:sz w:val="20"/>
                <w:szCs w:val="20"/>
                <w:lang w:bidi="en-US"/>
              </w:rPr>
              <w:t>0.6</w:t>
            </w:r>
            <w:r w:rsidR="00EE5515" w:rsidRPr="00980134">
              <w:rPr>
                <w:rFonts w:ascii="Arial Narrow" w:eastAsiaTheme="majorEastAsia" w:hAnsi="Arial Narrow"/>
                <w:sz w:val="20"/>
                <w:szCs w:val="20"/>
                <w:lang w:bidi="en-US"/>
              </w:rPr>
              <w:t>)</w:t>
            </w:r>
          </w:p>
        </w:tc>
        <w:tc>
          <w:tcPr>
            <w:tcW w:w="1701" w:type="dxa"/>
            <w:vAlign w:val="center"/>
          </w:tcPr>
          <w:p w14:paraId="0FFB9B7C" w14:textId="5ADAF0E7" w:rsidR="00EE5515" w:rsidRPr="00980134" w:rsidRDefault="00EE5515"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0.1</w:t>
            </w:r>
            <w:r w:rsidR="00B22529" w:rsidRPr="00980134">
              <w:rPr>
                <w:rFonts w:ascii="Arial Narrow" w:hAnsi="Arial Narrow" w:cstheme="minorHAnsi"/>
                <w:b/>
                <w:bCs/>
                <w:sz w:val="20"/>
                <w:szCs w:val="20"/>
                <w:lang w:eastAsia="en-GB"/>
              </w:rPr>
              <w:t>2</w:t>
            </w:r>
            <w:r w:rsidRPr="00980134">
              <w:rPr>
                <w:rFonts w:ascii="Arial Narrow" w:hAnsi="Arial Narrow" w:cstheme="minorHAnsi"/>
                <w:b/>
                <w:bCs/>
                <w:sz w:val="20"/>
                <w:szCs w:val="20"/>
                <w:lang w:eastAsia="en-GB"/>
              </w:rPr>
              <w:t xml:space="preserve"> (0.</w:t>
            </w:r>
            <w:r w:rsidR="00B22529" w:rsidRPr="00980134">
              <w:rPr>
                <w:rFonts w:ascii="Arial Narrow" w:hAnsi="Arial Narrow" w:cstheme="minorHAnsi"/>
                <w:b/>
                <w:bCs/>
                <w:sz w:val="20"/>
                <w:szCs w:val="20"/>
                <w:lang w:eastAsia="en-GB"/>
              </w:rPr>
              <w:t>08</w:t>
            </w:r>
            <w:r w:rsidRPr="00980134">
              <w:rPr>
                <w:rFonts w:ascii="Arial Narrow" w:hAnsi="Arial Narrow" w:cstheme="minorHAnsi"/>
                <w:b/>
                <w:bCs/>
                <w:sz w:val="20"/>
                <w:szCs w:val="20"/>
                <w:lang w:eastAsia="en-GB"/>
              </w:rPr>
              <w:t>, 0.1</w:t>
            </w:r>
            <w:r w:rsidR="00B22529" w:rsidRPr="00980134">
              <w:rPr>
                <w:rFonts w:ascii="Arial Narrow" w:hAnsi="Arial Narrow" w:cstheme="minorHAnsi"/>
                <w:b/>
                <w:bCs/>
                <w:sz w:val="20"/>
                <w:szCs w:val="20"/>
                <w:lang w:eastAsia="en-GB"/>
              </w:rPr>
              <w:t>5</w:t>
            </w:r>
            <w:r w:rsidRPr="00980134">
              <w:rPr>
                <w:rFonts w:ascii="Arial Narrow" w:hAnsi="Arial Narrow" w:cstheme="minorHAnsi"/>
                <w:b/>
                <w:bCs/>
                <w:sz w:val="20"/>
                <w:szCs w:val="20"/>
                <w:lang w:eastAsia="en-GB"/>
              </w:rPr>
              <w:t>)</w:t>
            </w:r>
          </w:p>
        </w:tc>
        <w:tc>
          <w:tcPr>
            <w:tcW w:w="1792" w:type="dxa"/>
            <w:vAlign w:val="center"/>
          </w:tcPr>
          <w:p w14:paraId="0C40EBD5" w14:textId="0F039946" w:rsidR="00EE5515" w:rsidRPr="00980134" w:rsidRDefault="00B22529" w:rsidP="000A4CE5">
            <w:pPr>
              <w:keepNext/>
              <w:tabs>
                <w:tab w:val="left" w:pos="514"/>
              </w:tabs>
              <w:jc w:val="center"/>
              <w:rPr>
                <w:rFonts w:ascii="Arial Narrow" w:eastAsiaTheme="majorEastAsia" w:hAnsi="Arial Narrow"/>
                <w:sz w:val="20"/>
                <w:szCs w:val="20"/>
                <w:lang w:bidi="en-US"/>
              </w:rPr>
            </w:pPr>
            <w:r w:rsidRPr="00980134">
              <w:rPr>
                <w:rFonts w:ascii="Arial Narrow" w:hAnsi="Arial Narrow" w:cstheme="minorHAnsi"/>
                <w:b/>
                <w:bCs/>
                <w:sz w:val="20"/>
                <w:szCs w:val="20"/>
                <w:lang w:eastAsia="en-GB"/>
              </w:rPr>
              <w:t>20.86</w:t>
            </w:r>
            <w:r w:rsidR="00EE5515" w:rsidRPr="00980134">
              <w:rPr>
                <w:rFonts w:ascii="Arial Narrow" w:hAnsi="Arial Narrow" w:cstheme="minorHAnsi"/>
                <w:b/>
                <w:bCs/>
                <w:sz w:val="20"/>
                <w:szCs w:val="20"/>
                <w:lang w:eastAsia="en-GB"/>
              </w:rPr>
              <w:t xml:space="preserve"> (</w:t>
            </w:r>
            <w:r w:rsidRPr="00980134">
              <w:rPr>
                <w:rFonts w:ascii="Arial Narrow" w:hAnsi="Arial Narrow" w:cstheme="minorHAnsi"/>
                <w:b/>
                <w:bCs/>
                <w:sz w:val="20"/>
                <w:szCs w:val="20"/>
                <w:lang w:eastAsia="en-GB"/>
              </w:rPr>
              <w:t>2.90</w:t>
            </w:r>
            <w:r w:rsidR="00EE5515" w:rsidRPr="00980134">
              <w:rPr>
                <w:rFonts w:ascii="Arial Narrow" w:hAnsi="Arial Narrow" w:cstheme="minorHAnsi"/>
                <w:b/>
                <w:bCs/>
                <w:sz w:val="20"/>
                <w:szCs w:val="20"/>
                <w:lang w:eastAsia="en-GB"/>
              </w:rPr>
              <w:t xml:space="preserve">, </w:t>
            </w:r>
            <w:r w:rsidRPr="00980134">
              <w:rPr>
                <w:rFonts w:ascii="Arial Narrow" w:hAnsi="Arial Narrow" w:cstheme="minorHAnsi"/>
                <w:b/>
                <w:bCs/>
                <w:sz w:val="20"/>
                <w:szCs w:val="20"/>
                <w:lang w:eastAsia="en-GB"/>
              </w:rPr>
              <w:t>150.10</w:t>
            </w:r>
            <w:r w:rsidR="00EE5515" w:rsidRPr="00980134">
              <w:rPr>
                <w:rFonts w:ascii="Arial Narrow" w:hAnsi="Arial Narrow" w:cstheme="minorHAnsi"/>
                <w:b/>
                <w:bCs/>
                <w:sz w:val="20"/>
                <w:szCs w:val="20"/>
                <w:lang w:eastAsia="en-GB"/>
              </w:rPr>
              <w:t>)</w:t>
            </w:r>
          </w:p>
        </w:tc>
      </w:tr>
      <w:tr w:rsidR="00EE5515" w:rsidRPr="00980134" w14:paraId="399AFF1D" w14:textId="77777777" w:rsidTr="00372260">
        <w:tc>
          <w:tcPr>
            <w:tcW w:w="2972" w:type="dxa"/>
            <w:vAlign w:val="center"/>
          </w:tcPr>
          <w:p w14:paraId="798580CA" w14:textId="2B602A1A" w:rsidR="00EE5515" w:rsidRPr="00980134" w:rsidRDefault="00EE5515">
            <w:pPr>
              <w:keepNext/>
              <w:ind w:left="220"/>
              <w:rPr>
                <w:rFonts w:ascii="Arial Narrow" w:hAnsi="Arial Narrow" w:cstheme="minorHAnsi"/>
                <w:sz w:val="20"/>
                <w:szCs w:val="20"/>
                <w:vertAlign w:val="superscript"/>
                <w:lang w:eastAsia="en-GB"/>
              </w:rPr>
            </w:pPr>
            <w:r w:rsidRPr="00980134">
              <w:rPr>
                <w:rFonts w:ascii="Arial Narrow" w:hAnsi="Arial Narrow" w:cstheme="minorHAnsi"/>
                <w:sz w:val="20"/>
                <w:szCs w:val="20"/>
                <w:lang w:eastAsia="en-GB"/>
              </w:rPr>
              <w:t>LVD (%)</w:t>
            </w:r>
            <w:r w:rsidR="00F9207B" w:rsidRPr="00980134">
              <w:rPr>
                <w:rFonts w:ascii="Arial Narrow" w:hAnsi="Arial Narrow" w:cstheme="minorHAnsi"/>
                <w:sz w:val="20"/>
                <w:szCs w:val="20"/>
                <w:vertAlign w:val="superscript"/>
                <w:lang w:eastAsia="en-GB"/>
              </w:rPr>
              <w:t>b</w:t>
            </w:r>
          </w:p>
        </w:tc>
        <w:tc>
          <w:tcPr>
            <w:tcW w:w="1276" w:type="dxa"/>
            <w:vAlign w:val="center"/>
          </w:tcPr>
          <w:p w14:paraId="11AAC836" w14:textId="2A28757C" w:rsidR="00EE5515" w:rsidRPr="00564A09" w:rsidRDefault="001D61E5">
            <w:pPr>
              <w:keepNext/>
              <w:jc w:val="center"/>
              <w:rPr>
                <w:rFonts w:ascii="Arial Narrow" w:hAnsi="Arial Narrow" w:cstheme="minorHAnsi"/>
                <w:sz w:val="20"/>
                <w:szCs w:val="20"/>
                <w:lang w:eastAsia="en-GB"/>
              </w:rPr>
            </w:pPr>
            <w:r w:rsidRPr="00564A09">
              <w:rPr>
                <w:rFonts w:ascii="Arial Narrow" w:hAnsi="Arial Narrow" w:cstheme="minorHAnsi"/>
                <w:sz w:val="20"/>
                <w:szCs w:val="20"/>
                <w:lang w:eastAsia="en-GB"/>
              </w:rPr>
              <w:t>60</w:t>
            </w:r>
            <w:r w:rsidR="00D654D6" w:rsidRPr="00564A09">
              <w:rPr>
                <w:rFonts w:ascii="Arial Narrow" w:hAnsi="Arial Narrow" w:cstheme="minorHAnsi"/>
                <w:sz w:val="20"/>
                <w:szCs w:val="20"/>
                <w:lang w:eastAsia="en-GB"/>
              </w:rPr>
              <w:t>/</w:t>
            </w:r>
            <w:r w:rsidR="00F9207B" w:rsidRPr="00564A09">
              <w:rPr>
                <w:rFonts w:ascii="Arial Narrow" w:hAnsi="Arial Narrow" w:cstheme="minorHAnsi"/>
                <w:sz w:val="20"/>
                <w:szCs w:val="20"/>
                <w:lang w:eastAsia="en-GB"/>
              </w:rPr>
              <w:t>335</w:t>
            </w:r>
            <w:r w:rsidR="00EE5515" w:rsidRPr="00564A09">
              <w:rPr>
                <w:rFonts w:ascii="Arial Narrow" w:hAnsi="Arial Narrow" w:cstheme="minorHAnsi"/>
                <w:sz w:val="20"/>
                <w:szCs w:val="20"/>
                <w:lang w:eastAsia="en-GB"/>
              </w:rPr>
              <w:t xml:space="preserve"> (</w:t>
            </w:r>
            <w:r w:rsidR="00F9207B" w:rsidRPr="00564A09">
              <w:rPr>
                <w:rFonts w:ascii="Arial Narrow" w:hAnsi="Arial Narrow" w:cstheme="minorHAnsi"/>
                <w:sz w:val="20"/>
                <w:szCs w:val="20"/>
                <w:lang w:eastAsia="en-GB"/>
              </w:rPr>
              <w:t>17.9</w:t>
            </w:r>
            <w:r w:rsidR="00EE5515" w:rsidRPr="00564A09">
              <w:rPr>
                <w:rFonts w:ascii="Arial Narrow" w:hAnsi="Arial Narrow" w:cstheme="minorHAnsi"/>
                <w:sz w:val="20"/>
                <w:szCs w:val="20"/>
                <w:lang w:eastAsia="en-GB"/>
              </w:rPr>
              <w:t>)</w:t>
            </w:r>
          </w:p>
        </w:tc>
        <w:tc>
          <w:tcPr>
            <w:tcW w:w="1276" w:type="dxa"/>
            <w:vAlign w:val="center"/>
          </w:tcPr>
          <w:p w14:paraId="5FCF78C9" w14:textId="597B54AE" w:rsidR="00EE5515" w:rsidRPr="00980134" w:rsidRDefault="00EE551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sz w:val="20"/>
                <w:szCs w:val="20"/>
                <w:lang w:eastAsia="en-GB"/>
              </w:rPr>
              <w:t>11</w:t>
            </w:r>
            <w:r w:rsidR="00F9207B" w:rsidRPr="00980134">
              <w:rPr>
                <w:rFonts w:ascii="Arial Narrow" w:hAnsi="Arial Narrow" w:cstheme="minorHAnsi"/>
                <w:sz w:val="20"/>
                <w:szCs w:val="20"/>
                <w:lang w:eastAsia="en-GB"/>
              </w:rPr>
              <w:t>/142</w:t>
            </w:r>
            <w:r w:rsidRPr="00980134">
              <w:rPr>
                <w:rFonts w:ascii="Arial Narrow" w:hAnsi="Arial Narrow" w:cstheme="minorHAnsi"/>
                <w:sz w:val="20"/>
                <w:szCs w:val="20"/>
                <w:lang w:eastAsia="en-GB"/>
              </w:rPr>
              <w:t xml:space="preserve"> (7.7)</w:t>
            </w:r>
          </w:p>
        </w:tc>
        <w:tc>
          <w:tcPr>
            <w:tcW w:w="1701" w:type="dxa"/>
            <w:vAlign w:val="center"/>
          </w:tcPr>
          <w:p w14:paraId="4B7E1268" w14:textId="1C58A61C" w:rsidR="00EE5515" w:rsidRPr="00980134" w:rsidRDefault="00EE5515" w:rsidP="000A4CE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b/>
                <w:bCs/>
                <w:sz w:val="20"/>
                <w:szCs w:val="20"/>
                <w:lang w:eastAsia="en-GB"/>
              </w:rPr>
              <w:t>0.</w:t>
            </w:r>
            <w:r w:rsidR="00F9207B" w:rsidRPr="00980134">
              <w:rPr>
                <w:rFonts w:ascii="Arial Narrow" w:hAnsi="Arial Narrow" w:cstheme="minorHAnsi"/>
                <w:b/>
                <w:bCs/>
                <w:sz w:val="20"/>
                <w:szCs w:val="20"/>
                <w:lang w:eastAsia="en-GB"/>
              </w:rPr>
              <w:t>10</w:t>
            </w:r>
            <w:r w:rsidRPr="00980134">
              <w:rPr>
                <w:rFonts w:ascii="Arial Narrow" w:hAnsi="Arial Narrow" w:cstheme="minorHAnsi"/>
                <w:b/>
                <w:bCs/>
                <w:sz w:val="20"/>
                <w:szCs w:val="20"/>
                <w:lang w:eastAsia="en-GB"/>
              </w:rPr>
              <w:t xml:space="preserve"> (0.</w:t>
            </w:r>
            <w:r w:rsidR="00F9207B" w:rsidRPr="00980134">
              <w:rPr>
                <w:rFonts w:ascii="Arial Narrow" w:hAnsi="Arial Narrow" w:cstheme="minorHAnsi"/>
                <w:b/>
                <w:bCs/>
                <w:sz w:val="20"/>
                <w:szCs w:val="20"/>
                <w:lang w:eastAsia="en-GB"/>
              </w:rPr>
              <w:t>04</w:t>
            </w:r>
            <w:r w:rsidRPr="00980134">
              <w:rPr>
                <w:rFonts w:ascii="Arial Narrow" w:hAnsi="Arial Narrow" w:cstheme="minorHAnsi"/>
                <w:b/>
                <w:bCs/>
                <w:sz w:val="20"/>
                <w:szCs w:val="20"/>
                <w:lang w:eastAsia="en-GB"/>
              </w:rPr>
              <w:t>, 0.1</w:t>
            </w:r>
            <w:r w:rsidR="00F9207B" w:rsidRPr="00980134">
              <w:rPr>
                <w:rFonts w:ascii="Arial Narrow" w:hAnsi="Arial Narrow" w:cstheme="minorHAnsi"/>
                <w:b/>
                <w:bCs/>
                <w:sz w:val="20"/>
                <w:szCs w:val="20"/>
                <w:lang w:eastAsia="en-GB"/>
              </w:rPr>
              <w:t>6</w:t>
            </w:r>
            <w:r w:rsidRPr="00980134">
              <w:rPr>
                <w:rFonts w:ascii="Arial Narrow" w:hAnsi="Arial Narrow" w:cstheme="minorHAnsi"/>
                <w:b/>
                <w:bCs/>
                <w:sz w:val="20"/>
                <w:szCs w:val="20"/>
                <w:lang w:eastAsia="en-GB"/>
              </w:rPr>
              <w:t>)</w:t>
            </w:r>
          </w:p>
        </w:tc>
        <w:tc>
          <w:tcPr>
            <w:tcW w:w="1792" w:type="dxa"/>
            <w:vAlign w:val="center"/>
          </w:tcPr>
          <w:p w14:paraId="76BFDD55" w14:textId="181BDB6A" w:rsidR="00EE5515" w:rsidRPr="00980134" w:rsidRDefault="00EE5515" w:rsidP="000A4CE5">
            <w:pPr>
              <w:keepNext/>
              <w:tabs>
                <w:tab w:val="left" w:pos="514"/>
              </w:tabs>
              <w:jc w:val="center"/>
              <w:rPr>
                <w:rFonts w:ascii="Arial Narrow" w:hAnsi="Arial Narrow" w:cstheme="minorHAnsi"/>
                <w:sz w:val="20"/>
                <w:szCs w:val="20"/>
                <w:lang w:eastAsia="en-GB"/>
              </w:rPr>
            </w:pPr>
            <w:r w:rsidRPr="00980134">
              <w:rPr>
                <w:rFonts w:ascii="Arial Narrow" w:hAnsi="Arial Narrow" w:cstheme="minorHAnsi"/>
                <w:b/>
                <w:bCs/>
                <w:sz w:val="20"/>
                <w:szCs w:val="20"/>
                <w:lang w:eastAsia="en-GB"/>
              </w:rPr>
              <w:t>2.31 (1.25, 4.</w:t>
            </w:r>
            <w:r w:rsidR="00F9207B" w:rsidRPr="00980134">
              <w:rPr>
                <w:rFonts w:ascii="Arial Narrow" w:hAnsi="Arial Narrow" w:cstheme="minorHAnsi"/>
                <w:b/>
                <w:bCs/>
                <w:sz w:val="20"/>
                <w:szCs w:val="20"/>
                <w:lang w:eastAsia="en-GB"/>
              </w:rPr>
              <w:t>26</w:t>
            </w:r>
            <w:r w:rsidRPr="00980134">
              <w:rPr>
                <w:rFonts w:ascii="Arial Narrow" w:hAnsi="Arial Narrow" w:cstheme="minorHAnsi"/>
                <w:b/>
                <w:bCs/>
                <w:sz w:val="20"/>
                <w:szCs w:val="20"/>
                <w:lang w:eastAsia="en-GB"/>
              </w:rPr>
              <w:t>)</w:t>
            </w:r>
          </w:p>
        </w:tc>
      </w:tr>
    </w:tbl>
    <w:p w14:paraId="0A39D17B" w14:textId="1BB1F761" w:rsidR="00EE5515" w:rsidRPr="00980134" w:rsidRDefault="00EE5515" w:rsidP="00EE5515">
      <w:pPr>
        <w:keepNext/>
        <w:widowControl w:val="0"/>
        <w:snapToGrid w:val="0"/>
        <w:rPr>
          <w:rFonts w:ascii="Arial Narrow" w:hAnsi="Arial Narrow" w:cstheme="minorHAnsi"/>
          <w:sz w:val="18"/>
          <w:szCs w:val="18"/>
        </w:rPr>
      </w:pPr>
      <w:r w:rsidRPr="00980134">
        <w:rPr>
          <w:rFonts w:ascii="Arial Narrow" w:hAnsi="Arial Narrow" w:cstheme="minorHAnsi"/>
          <w:sz w:val="18"/>
          <w:szCs w:val="18"/>
        </w:rPr>
        <w:t>Source: Table 2-46, p182, and Table 2-55, p194 of the submission</w:t>
      </w:r>
      <w:r w:rsidR="00314517" w:rsidRPr="00980134">
        <w:rPr>
          <w:rFonts w:ascii="Arial Narrow" w:hAnsi="Arial Narrow" w:cstheme="minorHAnsi"/>
          <w:sz w:val="18"/>
          <w:szCs w:val="18"/>
        </w:rPr>
        <w:t>,</w:t>
      </w:r>
      <w:r w:rsidR="001D61E5" w:rsidRPr="00980134">
        <w:rPr>
          <w:rFonts w:ascii="Arial Narrow" w:hAnsi="Arial Narrow" w:cstheme="minorHAnsi"/>
          <w:sz w:val="18"/>
          <w:szCs w:val="18"/>
        </w:rPr>
        <w:t xml:space="preserve"> Table 10.26, pp176-178 of the DB-04 CSR</w:t>
      </w:r>
      <w:r w:rsidRPr="00980134">
        <w:rPr>
          <w:rFonts w:ascii="Arial Narrow" w:hAnsi="Arial Narrow" w:cstheme="minorHAnsi"/>
          <w:sz w:val="18"/>
          <w:szCs w:val="18"/>
        </w:rPr>
        <w:t>.</w:t>
      </w:r>
    </w:p>
    <w:p w14:paraId="67261C45" w14:textId="77777777" w:rsidR="00EE5515" w:rsidRPr="00980134" w:rsidRDefault="00EE5515" w:rsidP="00EE5515">
      <w:pPr>
        <w:keepNext/>
        <w:widowControl w:val="0"/>
        <w:snapToGrid w:val="0"/>
        <w:rPr>
          <w:rFonts w:ascii="Arial Narrow" w:hAnsi="Arial Narrow" w:cstheme="minorHAnsi"/>
          <w:sz w:val="18"/>
          <w:szCs w:val="18"/>
        </w:rPr>
      </w:pPr>
      <w:r w:rsidRPr="00980134">
        <w:rPr>
          <w:rFonts w:ascii="Arial Narrow" w:hAnsi="Arial Narrow" w:cstheme="minorHAnsi"/>
          <w:sz w:val="18"/>
          <w:szCs w:val="18"/>
        </w:rPr>
        <w:t>AEs = adverse events; CTCAE = Common Terminology Criteria for Adverse Events; DB-04 = DESTINY-Breast04; DCO = data cut-off; ILD = interstitial lung disease; LVD = left ventricular dysfunction; SAS = safety analysis set; T-</w:t>
      </w:r>
      <w:proofErr w:type="spellStart"/>
      <w:r w:rsidRPr="00980134">
        <w:rPr>
          <w:rFonts w:ascii="Arial Narrow" w:hAnsi="Arial Narrow" w:cstheme="minorHAnsi"/>
          <w:sz w:val="18"/>
          <w:szCs w:val="18"/>
        </w:rPr>
        <w:t>DXd</w:t>
      </w:r>
      <w:proofErr w:type="spellEnd"/>
      <w:r w:rsidRPr="00980134">
        <w:rPr>
          <w:rFonts w:ascii="Arial Narrow" w:hAnsi="Arial Narrow" w:cstheme="minorHAnsi"/>
          <w:sz w:val="18"/>
          <w:szCs w:val="18"/>
        </w:rPr>
        <w:t xml:space="preserve"> = trastuzumab </w:t>
      </w:r>
      <w:proofErr w:type="spellStart"/>
      <w:r w:rsidRPr="00980134">
        <w:rPr>
          <w:rFonts w:ascii="Arial Narrow" w:hAnsi="Arial Narrow" w:cstheme="minorHAnsi"/>
          <w:sz w:val="18"/>
          <w:szCs w:val="18"/>
        </w:rPr>
        <w:t>deruxtecan</w:t>
      </w:r>
      <w:proofErr w:type="spellEnd"/>
      <w:r w:rsidRPr="00980134">
        <w:rPr>
          <w:rFonts w:ascii="Arial Narrow" w:hAnsi="Arial Narrow" w:cstheme="minorHAnsi"/>
          <w:sz w:val="18"/>
          <w:szCs w:val="18"/>
        </w:rPr>
        <w:t>; TEAE = treatment emergent adverse event; TPC = treatment of physician’s choice.</w:t>
      </w:r>
    </w:p>
    <w:p w14:paraId="3C1772EF" w14:textId="77777777" w:rsidR="00EE5515" w:rsidRPr="00980134" w:rsidRDefault="00EE5515" w:rsidP="00EE5515">
      <w:pPr>
        <w:keepNext/>
        <w:autoSpaceDE w:val="0"/>
        <w:autoSpaceDN w:val="0"/>
        <w:adjustRightInd w:val="0"/>
        <w:spacing w:line="259" w:lineRule="auto"/>
        <w:rPr>
          <w:rFonts w:ascii="Arial Narrow" w:hAnsi="Arial Narrow" w:cstheme="minorHAnsi"/>
          <w:color w:val="000000" w:themeColor="text1"/>
          <w:sz w:val="18"/>
          <w:szCs w:val="18"/>
        </w:rPr>
      </w:pPr>
      <w:proofErr w:type="spellStart"/>
      <w:r w:rsidRPr="00980134">
        <w:rPr>
          <w:rFonts w:ascii="Arial Narrow" w:hAnsi="Arial Narrow" w:cstheme="minorHAnsi"/>
          <w:color w:val="000000" w:themeColor="text1"/>
          <w:sz w:val="18"/>
          <w:szCs w:val="18"/>
          <w:vertAlign w:val="superscript"/>
        </w:rPr>
        <w:t>a</w:t>
      </w:r>
      <w:proofErr w:type="spellEnd"/>
      <w:r w:rsidRPr="00980134">
        <w:rPr>
          <w:rFonts w:ascii="Arial Narrow" w:hAnsi="Arial Narrow" w:cstheme="minorHAnsi"/>
          <w:color w:val="000000" w:themeColor="text1"/>
          <w:sz w:val="18"/>
          <w:szCs w:val="18"/>
        </w:rPr>
        <w:t xml:space="preserve"> The safety analysis set included all patients who received at least one dose of study drug (N=543)</w:t>
      </w:r>
    </w:p>
    <w:p w14:paraId="49042621" w14:textId="2A6CC75A" w:rsidR="00F9207B" w:rsidRPr="00980134" w:rsidRDefault="00F9207B" w:rsidP="00EE5515">
      <w:pPr>
        <w:keepNext/>
        <w:autoSpaceDE w:val="0"/>
        <w:autoSpaceDN w:val="0"/>
        <w:adjustRightInd w:val="0"/>
        <w:spacing w:line="259" w:lineRule="auto"/>
        <w:rPr>
          <w:rFonts w:ascii="Arial Narrow" w:hAnsi="Arial Narrow" w:cstheme="minorHAnsi"/>
          <w:color w:val="000000" w:themeColor="text1"/>
          <w:sz w:val="18"/>
          <w:szCs w:val="18"/>
        </w:rPr>
      </w:pPr>
      <w:r w:rsidRPr="00980134">
        <w:rPr>
          <w:rFonts w:ascii="Arial Narrow" w:hAnsi="Arial Narrow" w:cstheme="minorHAnsi"/>
          <w:color w:val="000000" w:themeColor="text1"/>
          <w:sz w:val="18"/>
          <w:szCs w:val="18"/>
          <w:vertAlign w:val="superscript"/>
        </w:rPr>
        <w:t>b</w:t>
      </w:r>
      <w:r w:rsidRPr="00980134">
        <w:rPr>
          <w:rFonts w:ascii="Arial Narrow" w:hAnsi="Arial Narrow" w:cstheme="minorHAnsi"/>
          <w:color w:val="000000" w:themeColor="text1"/>
          <w:sz w:val="18"/>
          <w:szCs w:val="18"/>
        </w:rPr>
        <w:t xml:space="preserve"> The denominator for LVD was patients who had non-missing data at both baseline and post-baseline for measurements of left ventricular ejection fraction.</w:t>
      </w:r>
    </w:p>
    <w:p w14:paraId="41B962E3" w14:textId="77777777" w:rsidR="00EE5515" w:rsidRPr="00980134" w:rsidRDefault="00EE5515" w:rsidP="00EE5515">
      <w:pPr>
        <w:keepNext/>
        <w:autoSpaceDE w:val="0"/>
        <w:autoSpaceDN w:val="0"/>
        <w:adjustRightInd w:val="0"/>
        <w:spacing w:line="259" w:lineRule="auto"/>
        <w:rPr>
          <w:rFonts w:ascii="Arial Narrow" w:hAnsi="Arial Narrow" w:cstheme="minorHAnsi"/>
          <w:color w:val="000000" w:themeColor="text1"/>
          <w:sz w:val="18"/>
          <w:szCs w:val="18"/>
        </w:rPr>
      </w:pPr>
      <w:r w:rsidRPr="00980134">
        <w:rPr>
          <w:rFonts w:ascii="Arial Narrow" w:hAnsi="Arial Narrow" w:cstheme="minorHAnsi"/>
          <w:color w:val="000000" w:themeColor="text1"/>
          <w:sz w:val="18"/>
          <w:szCs w:val="18"/>
        </w:rPr>
        <w:t>Bold = Statistically significant</w:t>
      </w:r>
    </w:p>
    <w:p w14:paraId="001367C0" w14:textId="77777777" w:rsidR="00EE5515" w:rsidRPr="00980134" w:rsidRDefault="00EE5515" w:rsidP="00EE5515">
      <w:pPr>
        <w:keepNext/>
        <w:autoSpaceDE w:val="0"/>
        <w:autoSpaceDN w:val="0"/>
        <w:adjustRightInd w:val="0"/>
        <w:spacing w:line="259" w:lineRule="auto"/>
        <w:rPr>
          <w:rFonts w:ascii="Arial Narrow" w:hAnsi="Arial Narrow" w:cstheme="minorHAnsi"/>
          <w:color w:val="000000" w:themeColor="text1"/>
          <w:sz w:val="18"/>
          <w:szCs w:val="18"/>
        </w:rPr>
      </w:pPr>
      <w:r w:rsidRPr="00980134">
        <w:rPr>
          <w:rFonts w:ascii="Arial Narrow" w:hAnsi="Arial Narrow" w:cstheme="minorHAnsi"/>
          <w:color w:val="000000" w:themeColor="text1"/>
          <w:sz w:val="18"/>
          <w:szCs w:val="18"/>
        </w:rPr>
        <w:t>* Calculated using Stata MP 17.0</w:t>
      </w:r>
    </w:p>
    <w:p w14:paraId="037FD698" w14:textId="77777777" w:rsidR="00EE5515" w:rsidRPr="00980134" w:rsidRDefault="00EE5515" w:rsidP="00EE5515">
      <w:pPr>
        <w:pStyle w:val="FooterTableFigure"/>
      </w:pPr>
      <w:r w:rsidRPr="00980134">
        <w:t>ILD is a group of respiratory diseases that affect the tissue and space around the air sacs of the lungs. It can cause scarring, inflammation, and difficulty breathing.</w:t>
      </w:r>
    </w:p>
    <w:p w14:paraId="2CCEFB80" w14:textId="572916BB" w:rsidR="00372260" w:rsidRPr="00980134" w:rsidRDefault="00EE5515" w:rsidP="00372260">
      <w:pPr>
        <w:pStyle w:val="FooterTableFigure"/>
      </w:pPr>
      <w:r w:rsidRPr="00980134">
        <w:t>LVD is a condition that affects the function of the left side of the heart and can result in heart failure.</w:t>
      </w:r>
    </w:p>
    <w:p w14:paraId="03F455F9" w14:textId="5D0EECAF" w:rsidR="00EE5515" w:rsidRPr="00980134" w:rsidRDefault="00EE5515" w:rsidP="00EE5515">
      <w:pPr>
        <w:pStyle w:val="3-BodyText"/>
      </w:pPr>
      <w:r w:rsidRPr="00980134">
        <w:t>In the DB-04 trial, almost all patients in both arms experienced treatment emergent adverse events (TEAEs) (99.5% in T-</w:t>
      </w:r>
      <w:proofErr w:type="spellStart"/>
      <w:r w:rsidRPr="00980134">
        <w:t>DXd</w:t>
      </w:r>
      <w:proofErr w:type="spellEnd"/>
      <w:r w:rsidRPr="00980134">
        <w:t xml:space="preserve"> and 98.3% in TPC). The incidence of Grade ≥</w:t>
      </w:r>
      <w:r w:rsidR="001207EA">
        <w:t> </w:t>
      </w:r>
      <w:r w:rsidRPr="00980134">
        <w:t>3 TEAEs was higher in the TPC arm than in the T-</w:t>
      </w:r>
      <w:proofErr w:type="spellStart"/>
      <w:r w:rsidRPr="00980134">
        <w:t>DXd</w:t>
      </w:r>
      <w:proofErr w:type="spellEnd"/>
      <w:r w:rsidRPr="00980134">
        <w:t xml:space="preserve"> arm, whereas patients receiving T-</w:t>
      </w:r>
      <w:proofErr w:type="spellStart"/>
      <w:r w:rsidRPr="00980134">
        <w:t>DXd</w:t>
      </w:r>
      <w:proofErr w:type="spellEnd"/>
      <w:r w:rsidRPr="00980134">
        <w:t xml:space="preserve"> had a greater risk of experiencing TEAEs leading to treatment discontinuation. The differences between the two treatment arms in terms of these TEAEs were statistically significant. </w:t>
      </w:r>
    </w:p>
    <w:p w14:paraId="4F92DC3E" w14:textId="77777777" w:rsidR="00EE5515" w:rsidRPr="00980134" w:rsidRDefault="00EE5515" w:rsidP="00EE5515">
      <w:pPr>
        <w:pStyle w:val="3-BodyText"/>
      </w:pPr>
      <w:r w:rsidRPr="00980134">
        <w:t>TEAEs associated with an outcome of death were reported in 15 (4.0%) patients in the T-</w:t>
      </w:r>
      <w:proofErr w:type="spellStart"/>
      <w:r w:rsidRPr="00980134">
        <w:t>DXd</w:t>
      </w:r>
      <w:proofErr w:type="spellEnd"/>
      <w:r w:rsidRPr="00980134">
        <w:t xml:space="preserve"> arm and five (2.9%) patients in the TPC arm. Of these, seven (1.9%) patients in the T-</w:t>
      </w:r>
      <w:proofErr w:type="spellStart"/>
      <w:r w:rsidRPr="00980134">
        <w:t>DXd</w:t>
      </w:r>
      <w:proofErr w:type="spellEnd"/>
      <w:r w:rsidRPr="00980134">
        <w:t xml:space="preserve"> arm and no subjects in the TPC arm had fatal TEAEs which were considered by the investigator to be related to study drug. The treatment related TEAEs leading to death in the T-</w:t>
      </w:r>
      <w:proofErr w:type="spellStart"/>
      <w:r w:rsidRPr="00980134">
        <w:t>DXd</w:t>
      </w:r>
      <w:proofErr w:type="spellEnd"/>
      <w:r w:rsidRPr="00980134">
        <w:t xml:space="preserve"> arm were listed as pneumonitis</w:t>
      </w:r>
      <w:r w:rsidRPr="00980134" w:rsidDel="00E736F6">
        <w:t xml:space="preserve"> </w:t>
      </w:r>
      <w:r w:rsidRPr="00980134">
        <w:t>in two cases, and one instance each of: ischemic colitis, dyspnoea, sepsis, disseminated intravascular coagulation, and febrile neutropenia</w:t>
      </w:r>
      <w:r w:rsidRPr="00980134" w:rsidDel="00E736F6">
        <w:t>.</w:t>
      </w:r>
    </w:p>
    <w:p w14:paraId="5018057F" w14:textId="540F08E1" w:rsidR="00EE5515" w:rsidRPr="00980134" w:rsidRDefault="00EA43D5" w:rsidP="00EE5515">
      <w:pPr>
        <w:pStyle w:val="3-BodyText"/>
      </w:pPr>
      <w:bookmarkStart w:id="54" w:name="_Hlk152073603"/>
      <w:r w:rsidRPr="00980134">
        <w:t xml:space="preserve">Drug-related </w:t>
      </w:r>
      <w:r w:rsidR="00EE5515" w:rsidRPr="00980134">
        <w:t xml:space="preserve">ILD occurred in </w:t>
      </w:r>
      <w:r w:rsidR="0050135E" w:rsidRPr="00980134">
        <w:t>45</w:t>
      </w:r>
      <w:r w:rsidR="00EE5515" w:rsidRPr="00980134">
        <w:t xml:space="preserve"> (</w:t>
      </w:r>
      <w:r w:rsidR="0050135E" w:rsidRPr="00980134">
        <w:t>12.1</w:t>
      </w:r>
      <w:r w:rsidR="00EE5515" w:rsidRPr="00980134">
        <w:t>%) patients in the T-</w:t>
      </w:r>
      <w:proofErr w:type="spellStart"/>
      <w:r w:rsidR="00EE5515" w:rsidRPr="00980134">
        <w:t>DXd</w:t>
      </w:r>
      <w:proofErr w:type="spellEnd"/>
      <w:r w:rsidR="00EE5515" w:rsidRPr="00980134">
        <w:t xml:space="preserve"> arm compared to </w:t>
      </w:r>
      <w:r w:rsidR="0050135E" w:rsidRPr="00980134">
        <w:t>one</w:t>
      </w:r>
      <w:r w:rsidR="00EE5515" w:rsidRPr="00980134">
        <w:t xml:space="preserve"> (</w:t>
      </w:r>
      <w:r w:rsidR="0050135E" w:rsidRPr="00980134">
        <w:t>0.6</w:t>
      </w:r>
      <w:r w:rsidR="00EE5515" w:rsidRPr="00980134">
        <w:t xml:space="preserve">%) in the TPC arm. Likewise, </w:t>
      </w:r>
      <w:r w:rsidR="00D54531" w:rsidRPr="00980134">
        <w:t>60</w:t>
      </w:r>
      <w:r w:rsidR="00EE5515" w:rsidRPr="00980134">
        <w:t xml:space="preserve"> (</w:t>
      </w:r>
      <w:r w:rsidR="00D54531" w:rsidRPr="00980134">
        <w:t>17.9</w:t>
      </w:r>
      <w:r w:rsidR="00EE5515" w:rsidRPr="00980134">
        <w:t>%) patients in the T-</w:t>
      </w:r>
      <w:proofErr w:type="spellStart"/>
      <w:r w:rsidR="00EE5515" w:rsidRPr="00980134">
        <w:t>DXd</w:t>
      </w:r>
      <w:proofErr w:type="spellEnd"/>
      <w:r w:rsidR="00EE5515" w:rsidRPr="00980134">
        <w:t xml:space="preserve"> arm experienced LVD and 11 (7.7%) in the TPC arm.</w:t>
      </w:r>
      <w:r w:rsidR="00EE2EB3" w:rsidRPr="00980134">
        <w:rPr>
          <w:i/>
          <w:iCs/>
        </w:rPr>
        <w:t xml:space="preserve"> </w:t>
      </w:r>
      <w:bookmarkEnd w:id="54"/>
      <w:r w:rsidR="00F45243" w:rsidRPr="00980134">
        <w:t xml:space="preserve">As </w:t>
      </w:r>
      <w:r w:rsidR="00EE2EB3" w:rsidRPr="00980134">
        <w:t xml:space="preserve">ILD can result in scarring of lung tissue making it difficult </w:t>
      </w:r>
      <w:r w:rsidR="00F45243" w:rsidRPr="00980134">
        <w:t>to breathe</w:t>
      </w:r>
      <w:r w:rsidR="00EE2EB3" w:rsidRPr="00980134">
        <w:t xml:space="preserve"> </w:t>
      </w:r>
      <w:r w:rsidR="00F45243" w:rsidRPr="00980134">
        <w:t xml:space="preserve">and </w:t>
      </w:r>
      <w:r w:rsidR="00EE2EB3" w:rsidRPr="00980134">
        <w:t>LVD can lead to heart failure</w:t>
      </w:r>
      <w:r w:rsidR="00F45243" w:rsidRPr="00980134">
        <w:t xml:space="preserve">, the differences in these AEs </w:t>
      </w:r>
      <w:r w:rsidR="003030B5" w:rsidRPr="00980134">
        <w:t>were</w:t>
      </w:r>
      <w:r w:rsidR="00F45243" w:rsidRPr="00980134">
        <w:t xml:space="preserve"> clinically relevant as well as statistically significant.</w:t>
      </w:r>
      <w:r w:rsidR="00DF5264" w:rsidRPr="00980134" w:rsidDel="00DF5264">
        <w:t xml:space="preserve"> </w:t>
      </w:r>
    </w:p>
    <w:p w14:paraId="4497C436" w14:textId="41D6E928" w:rsidR="00EE5515" w:rsidRPr="00980134" w:rsidRDefault="00EE5515" w:rsidP="00EE5515">
      <w:pPr>
        <w:pStyle w:val="3-BodyText"/>
      </w:pPr>
      <w:r w:rsidRPr="00980134">
        <w:t>The most common TEAEs experienced varied by treatment arm. Nausea was the most common TEAE for T-</w:t>
      </w:r>
      <w:proofErr w:type="spellStart"/>
      <w:r w:rsidRPr="00980134">
        <w:t>DXd</w:t>
      </w:r>
      <w:proofErr w:type="spellEnd"/>
      <w:r w:rsidRPr="00980134">
        <w:t xml:space="preserve"> (76.0%) while neutrophil count decrease was the most common TEAE in patients receiving TPC (36.0%). The TEAEs that had a notably higher </w:t>
      </w:r>
      <w:r w:rsidRPr="00980134">
        <w:lastRenderedPageBreak/>
        <w:t>(≥10% difference) incidence in the T-</w:t>
      </w:r>
      <w:proofErr w:type="spellStart"/>
      <w:r w:rsidRPr="00980134">
        <w:t>DXd</w:t>
      </w:r>
      <w:proofErr w:type="spellEnd"/>
      <w:r w:rsidRPr="00980134">
        <w:t xml:space="preserve"> arm than in the TPC arm included nausea (76.0% vs. 30.2%), vomiting (40.7% vs. 13.4%), anaemia (38.5% vs. 26.7%), constipation (34.5% vs. 22.1%), decreased appetite (31.8% vs. 19.2%), platelet count decrease (20.8% vs. 7.0%) and ILD (1</w:t>
      </w:r>
      <w:r w:rsidR="00084376" w:rsidRPr="00980134">
        <w:t>2</w:t>
      </w:r>
      <w:r w:rsidRPr="00980134">
        <w:t xml:space="preserve">.1% vs. </w:t>
      </w:r>
      <w:r w:rsidR="00084376" w:rsidRPr="00980134">
        <w:t>0.6</w:t>
      </w:r>
      <w:r w:rsidRPr="00980134">
        <w:t>%). The TEAEs that had a notably higher (≥10% difference) incidence in the TPC arm than in the T-</w:t>
      </w:r>
      <w:proofErr w:type="spellStart"/>
      <w:r w:rsidRPr="00980134">
        <w:t>DXd</w:t>
      </w:r>
      <w:proofErr w:type="spellEnd"/>
      <w:r w:rsidRPr="00980134">
        <w:t xml:space="preserve"> arm were neutrophil count decrease (22.1% vs. 36.0%) and palmar-plantar </w:t>
      </w:r>
      <w:proofErr w:type="spellStart"/>
      <w:r w:rsidRPr="00980134">
        <w:t>erythrodysaesthesia</w:t>
      </w:r>
      <w:proofErr w:type="spellEnd"/>
      <w:r w:rsidRPr="00980134">
        <w:t xml:space="preserve"> syndrome (1.3% vs. 14.0%). The most common TEAEs reported in the two treatment arms were in line with the known safety profile of T-</w:t>
      </w:r>
      <w:proofErr w:type="spellStart"/>
      <w:r w:rsidRPr="00980134">
        <w:t>DXd</w:t>
      </w:r>
      <w:proofErr w:type="spellEnd"/>
      <w:r w:rsidRPr="00980134">
        <w:t xml:space="preserve"> and chemotherapy. </w:t>
      </w:r>
      <w:r w:rsidR="009465FE" w:rsidRPr="00980134">
        <w:t>The PSCR noted that prescribers of T-</w:t>
      </w:r>
      <w:proofErr w:type="spellStart"/>
      <w:r w:rsidR="009465FE" w:rsidRPr="00980134">
        <w:t>DXd</w:t>
      </w:r>
      <w:proofErr w:type="spellEnd"/>
      <w:r w:rsidR="009465FE" w:rsidRPr="00980134">
        <w:t xml:space="preserve"> for the requested HER2-low population will be the same prescribers of T-</w:t>
      </w:r>
      <w:proofErr w:type="spellStart"/>
      <w:r w:rsidR="009465FE" w:rsidRPr="00980134">
        <w:t>DXd</w:t>
      </w:r>
      <w:proofErr w:type="spellEnd"/>
      <w:r w:rsidR="009465FE" w:rsidRPr="00980134">
        <w:t xml:space="preserve"> for HER2+ disease and have considerable experience </w:t>
      </w:r>
      <w:r w:rsidR="0068609D" w:rsidRPr="00980134">
        <w:t>with managing the adverse events profile of T-</w:t>
      </w:r>
      <w:proofErr w:type="spellStart"/>
      <w:r w:rsidR="0068609D" w:rsidRPr="00980134">
        <w:t>DXd</w:t>
      </w:r>
      <w:proofErr w:type="spellEnd"/>
      <w:r w:rsidR="0068609D" w:rsidRPr="00980134">
        <w:t xml:space="preserve">. </w:t>
      </w:r>
    </w:p>
    <w:p w14:paraId="1B1D988F" w14:textId="66764837" w:rsidR="00434CFD" w:rsidRPr="00980134" w:rsidRDefault="00434CFD" w:rsidP="00EE5515">
      <w:pPr>
        <w:pStyle w:val="3-BodyText"/>
      </w:pPr>
      <w:r w:rsidRPr="00980134">
        <w:t>The total patient years of exposure in the T-</w:t>
      </w:r>
      <w:proofErr w:type="spellStart"/>
      <w:r w:rsidRPr="00980134">
        <w:t>DXd</w:t>
      </w:r>
      <w:proofErr w:type="spellEnd"/>
      <w:r w:rsidRPr="00980134">
        <w:t xml:space="preserve"> arm was 283.55 compared to 63.59</w:t>
      </w:r>
      <w:r w:rsidR="00063856" w:rsidRPr="00980134">
        <w:t xml:space="preserve"> in the TPC arm</w:t>
      </w:r>
      <w:r w:rsidRPr="00980134">
        <w:t xml:space="preserve">. Due to the greater total </w:t>
      </w:r>
      <w:r w:rsidR="00AC43E6" w:rsidRPr="00980134">
        <w:t>patient</w:t>
      </w:r>
      <w:r w:rsidRPr="00980134">
        <w:t xml:space="preserve"> years of exposure, the exposure adjusted incidence rate (EAIR) of TEAEs favoured T-</w:t>
      </w:r>
      <w:proofErr w:type="spellStart"/>
      <w:r w:rsidRPr="00980134">
        <w:t>DXd</w:t>
      </w:r>
      <w:proofErr w:type="spellEnd"/>
      <w:r w:rsidRPr="00980134">
        <w:t xml:space="preserve"> in all TEAEs measured in this way</w:t>
      </w:r>
      <w:r w:rsidR="00665476" w:rsidRPr="00980134">
        <w:t>, i</w:t>
      </w:r>
      <w:r w:rsidRPr="00980134">
        <w:t>ncluding</w:t>
      </w:r>
      <w:r w:rsidR="00665476" w:rsidRPr="00980134">
        <w:t>:</w:t>
      </w:r>
      <w:r w:rsidRPr="00980134">
        <w:t xml:space="preserve"> any TEAE (1.30 </w:t>
      </w:r>
      <w:r w:rsidRPr="00980134">
        <w:rPr>
          <w:i/>
          <w:iCs/>
        </w:rPr>
        <w:t xml:space="preserve">vs. </w:t>
      </w:r>
      <w:r w:rsidRPr="00980134">
        <w:t xml:space="preserve">2.66), TEAEs of </w:t>
      </w:r>
      <w:r w:rsidRPr="00980134">
        <w:rPr>
          <w:rFonts w:cstheme="minorHAnsi"/>
        </w:rPr>
        <w:t>≥</w:t>
      </w:r>
      <w:r w:rsidRPr="00980134">
        <w:t xml:space="preserve"> grade 3 (0.69 </w:t>
      </w:r>
      <w:r w:rsidRPr="00980134">
        <w:rPr>
          <w:i/>
          <w:iCs/>
        </w:rPr>
        <w:t>vs.</w:t>
      </w:r>
      <w:r w:rsidRPr="00980134">
        <w:t xml:space="preserve"> 1.82), and </w:t>
      </w:r>
      <w:r w:rsidR="00AC43E6" w:rsidRPr="00980134">
        <w:t xml:space="preserve">treatment emergent SAEs (0.36 </w:t>
      </w:r>
      <w:r w:rsidR="00AC43E6" w:rsidRPr="00980134">
        <w:rPr>
          <w:i/>
          <w:iCs/>
        </w:rPr>
        <w:t>vs.</w:t>
      </w:r>
      <w:r w:rsidR="00AC43E6" w:rsidRPr="00980134">
        <w:t xml:space="preserve"> 0.68). However, as patients in the clinical setting would be expected to receive T-</w:t>
      </w:r>
      <w:proofErr w:type="spellStart"/>
      <w:r w:rsidR="00AC43E6" w:rsidRPr="00980134">
        <w:t>DXd</w:t>
      </w:r>
      <w:proofErr w:type="spellEnd"/>
      <w:r w:rsidR="00AC43E6" w:rsidRPr="00980134">
        <w:t xml:space="preserve"> for a greater duration of time than chemotherapy, the </w:t>
      </w:r>
      <w:r w:rsidR="00145E4F" w:rsidRPr="00980134">
        <w:t xml:space="preserve">ESC agreed with the evaluation that the </w:t>
      </w:r>
      <w:r w:rsidR="00AC43E6" w:rsidRPr="00980134">
        <w:t>unadjusted TEAE incidence rate is more informative for the AEs that a patient may experience over the course of treatment.</w:t>
      </w:r>
    </w:p>
    <w:p w14:paraId="69F181AB" w14:textId="77777777" w:rsidR="00EE5515" w:rsidRPr="00980134" w:rsidRDefault="00EE5515" w:rsidP="00EE5515">
      <w:pPr>
        <w:pStyle w:val="4-SubsectionHeading"/>
      </w:pPr>
      <w:bookmarkStart w:id="55" w:name="_Toc22897643"/>
      <w:bookmarkStart w:id="56" w:name="_Toc142576845"/>
      <w:bookmarkStart w:id="57" w:name="_Toc145452640"/>
      <w:r w:rsidRPr="00980134">
        <w:t>Benefits/harms</w:t>
      </w:r>
      <w:bookmarkEnd w:id="55"/>
      <w:bookmarkEnd w:id="56"/>
      <w:bookmarkEnd w:id="57"/>
    </w:p>
    <w:p w14:paraId="407F4FA2" w14:textId="7DC3A849" w:rsidR="00665476" w:rsidRPr="00980134" w:rsidRDefault="00EE5515" w:rsidP="006B4BC3">
      <w:pPr>
        <w:pStyle w:val="3-BodyText"/>
        <w:rPr>
          <w:rStyle w:val="CommentReference"/>
          <w:color w:val="0066FF"/>
        </w:rPr>
      </w:pPr>
      <w:r w:rsidRPr="00980134">
        <w:t>A summary of the comparative benefits and harms for T-</w:t>
      </w:r>
      <w:proofErr w:type="spellStart"/>
      <w:r w:rsidRPr="00980134">
        <w:t>DXd</w:t>
      </w:r>
      <w:proofErr w:type="spellEnd"/>
      <w:r w:rsidRPr="00980134">
        <w:t xml:space="preserve"> versus TPC in DB-04</w:t>
      </w:r>
      <w:r w:rsidR="007A744D" w:rsidRPr="00980134">
        <w:t xml:space="preserve"> </w:t>
      </w:r>
      <w:r w:rsidRPr="00980134">
        <w:t xml:space="preserve">is presented in </w:t>
      </w:r>
      <w:r w:rsidRPr="001207EA">
        <w:rPr>
          <w:rFonts w:cstheme="minorHAnsi"/>
        </w:rPr>
        <w:fldChar w:fldCharType="begin" w:fldLock="1"/>
      </w:r>
      <w:r w:rsidRPr="001207EA">
        <w:rPr>
          <w:rFonts w:cstheme="minorHAnsi"/>
        </w:rPr>
        <w:instrText xml:space="preserve"> REF _Ref104805037 \h </w:instrText>
      </w:r>
      <w:r w:rsidR="001207EA" w:rsidRPr="001207EA">
        <w:rPr>
          <w:rFonts w:cstheme="minorHAnsi"/>
        </w:rPr>
        <w:instrText xml:space="preserve"> \* MERGEFORMAT </w:instrText>
      </w:r>
      <w:r w:rsidRPr="001207EA">
        <w:rPr>
          <w:rFonts w:cstheme="minorHAnsi"/>
        </w:rPr>
      </w:r>
      <w:r w:rsidRPr="001207EA">
        <w:rPr>
          <w:rFonts w:cstheme="minorHAnsi"/>
        </w:rPr>
        <w:fldChar w:fldCharType="separate"/>
      </w:r>
      <w:r w:rsidR="00DF66B3" w:rsidRPr="001207EA">
        <w:rPr>
          <w:rFonts w:cstheme="minorHAnsi"/>
          <w:snapToGrid/>
        </w:rPr>
        <w:t xml:space="preserve">Table </w:t>
      </w:r>
      <w:r w:rsidR="00DF66B3" w:rsidRPr="001207EA">
        <w:rPr>
          <w:rFonts w:cstheme="minorHAnsi"/>
          <w:noProof/>
          <w:snapToGrid/>
        </w:rPr>
        <w:t>7</w:t>
      </w:r>
      <w:r w:rsidRPr="001207EA">
        <w:rPr>
          <w:rFonts w:cstheme="minorHAnsi"/>
        </w:rPr>
        <w:fldChar w:fldCharType="end"/>
      </w:r>
      <w:r w:rsidRPr="001207EA">
        <w:rPr>
          <w:rFonts w:cstheme="minorHAnsi"/>
        </w:rPr>
        <w:t>.</w:t>
      </w:r>
      <w:r w:rsidRPr="00980134">
        <w:t xml:space="preserve"> </w:t>
      </w:r>
    </w:p>
    <w:p w14:paraId="6895462F" w14:textId="46657CD1" w:rsidR="00EE5515" w:rsidRPr="00980134" w:rsidRDefault="00EE5515" w:rsidP="001207EA">
      <w:pPr>
        <w:pStyle w:val="3-BodyText"/>
        <w:keepNext/>
        <w:keepLines/>
        <w:numPr>
          <w:ilvl w:val="0"/>
          <w:numId w:val="0"/>
        </w:numPr>
        <w:spacing w:after="0"/>
        <w:rPr>
          <w:bCs/>
          <w:snapToGrid/>
          <w:szCs w:val="18"/>
        </w:rPr>
      </w:pPr>
      <w:bookmarkStart w:id="58" w:name="_Ref104805037"/>
      <w:r w:rsidRPr="00980134">
        <w:rPr>
          <w:rFonts w:ascii="Arial Narrow" w:hAnsi="Arial Narrow"/>
          <w:b/>
          <w:bCs/>
          <w:snapToGrid/>
          <w:sz w:val="20"/>
          <w:szCs w:val="18"/>
        </w:rPr>
        <w:lastRenderedPageBreak/>
        <w:t xml:space="preserve">Table </w:t>
      </w:r>
      <w:r w:rsidR="00670E56" w:rsidRPr="00980134">
        <w:rPr>
          <w:rFonts w:ascii="Arial Narrow" w:hAnsi="Arial Narrow"/>
          <w:b/>
          <w:bCs/>
          <w:snapToGrid/>
          <w:sz w:val="20"/>
          <w:szCs w:val="18"/>
        </w:rPr>
        <w:fldChar w:fldCharType="begin" w:fldLock="1"/>
      </w:r>
      <w:r w:rsidR="00670E56" w:rsidRPr="00980134">
        <w:rPr>
          <w:rFonts w:ascii="Arial Narrow" w:hAnsi="Arial Narrow"/>
          <w:b/>
          <w:bCs/>
          <w:snapToGrid/>
          <w:sz w:val="20"/>
          <w:szCs w:val="18"/>
        </w:rPr>
        <w:instrText xml:space="preserve"> SEQ Table \* ARABIC </w:instrText>
      </w:r>
      <w:r w:rsidR="00670E56" w:rsidRPr="00980134">
        <w:rPr>
          <w:rFonts w:ascii="Arial Narrow" w:hAnsi="Arial Narrow"/>
          <w:b/>
          <w:bCs/>
          <w:snapToGrid/>
          <w:sz w:val="20"/>
          <w:szCs w:val="18"/>
        </w:rPr>
        <w:fldChar w:fldCharType="separate"/>
      </w:r>
      <w:r w:rsidR="00DF66B3">
        <w:rPr>
          <w:rFonts w:ascii="Arial Narrow" w:hAnsi="Arial Narrow"/>
          <w:b/>
          <w:bCs/>
          <w:noProof/>
          <w:snapToGrid/>
          <w:sz w:val="20"/>
          <w:szCs w:val="18"/>
        </w:rPr>
        <w:t>7</w:t>
      </w:r>
      <w:r w:rsidR="00670E56" w:rsidRPr="00980134">
        <w:rPr>
          <w:rFonts w:ascii="Arial Narrow" w:hAnsi="Arial Narrow"/>
          <w:b/>
          <w:bCs/>
          <w:snapToGrid/>
          <w:sz w:val="20"/>
          <w:szCs w:val="18"/>
        </w:rPr>
        <w:fldChar w:fldCharType="end"/>
      </w:r>
      <w:bookmarkEnd w:id="58"/>
      <w:r w:rsidRPr="00980134">
        <w:rPr>
          <w:rFonts w:ascii="Arial Narrow" w:hAnsi="Arial Narrow"/>
          <w:b/>
          <w:bCs/>
          <w:snapToGrid/>
          <w:sz w:val="20"/>
          <w:szCs w:val="18"/>
        </w:rPr>
        <w:t>: Summary of comparative benefits and harms for T-</w:t>
      </w:r>
      <w:proofErr w:type="spellStart"/>
      <w:r w:rsidRPr="00980134">
        <w:rPr>
          <w:rFonts w:ascii="Arial Narrow" w:hAnsi="Arial Narrow"/>
          <w:b/>
          <w:bCs/>
          <w:snapToGrid/>
          <w:sz w:val="20"/>
          <w:szCs w:val="18"/>
        </w:rPr>
        <w:t>DXd</w:t>
      </w:r>
      <w:proofErr w:type="spellEnd"/>
      <w:r w:rsidRPr="00980134">
        <w:rPr>
          <w:rFonts w:ascii="Arial Narrow" w:hAnsi="Arial Narrow"/>
          <w:b/>
          <w:bCs/>
          <w:snapToGrid/>
          <w:sz w:val="20"/>
          <w:szCs w:val="18"/>
        </w:rPr>
        <w:t xml:space="preserve"> and TPC based on DB-04 trial data.</w:t>
      </w:r>
    </w:p>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515"/>
        <w:gridCol w:w="2007"/>
        <w:gridCol w:w="1585"/>
      </w:tblGrid>
      <w:tr w:rsidR="00EE5515" w:rsidRPr="00980134" w14:paraId="72D89905" w14:textId="77777777">
        <w:trPr>
          <w:trHeight w:val="20"/>
        </w:trPr>
        <w:tc>
          <w:tcPr>
            <w:tcW w:w="5000" w:type="pct"/>
            <w:gridSpan w:val="5"/>
            <w:shd w:val="clear" w:color="auto" w:fill="auto"/>
          </w:tcPr>
          <w:p w14:paraId="41B25E4D" w14:textId="10E254EF" w:rsidR="00EE5515" w:rsidRPr="00980134" w:rsidRDefault="00EE5515" w:rsidP="00826635">
            <w:pPr>
              <w:pStyle w:val="In-tableHeading"/>
              <w:keepLines/>
              <w:rPr>
                <w:vertAlign w:val="superscript"/>
                <w:lang w:val="en-AU"/>
              </w:rPr>
            </w:pPr>
            <w:r w:rsidRPr="00980134">
              <w:rPr>
                <w:lang w:val="en-AU"/>
              </w:rPr>
              <w:t>Progression free survival (DCO 11 January 2022)</w:t>
            </w:r>
            <w:r w:rsidRPr="00980134">
              <w:rPr>
                <w:vertAlign w:val="superscript"/>
                <w:lang w:val="en-AU"/>
              </w:rPr>
              <w:t>a</w:t>
            </w:r>
          </w:p>
        </w:tc>
      </w:tr>
      <w:tr w:rsidR="00EE5515" w:rsidRPr="00980134" w14:paraId="4F63047C" w14:textId="77777777">
        <w:trPr>
          <w:trHeight w:val="20"/>
        </w:trPr>
        <w:tc>
          <w:tcPr>
            <w:tcW w:w="1366" w:type="pct"/>
            <w:tcBorders>
              <w:bottom w:val="single" w:sz="4" w:space="0" w:color="auto"/>
            </w:tcBorders>
            <w:shd w:val="clear" w:color="auto" w:fill="auto"/>
          </w:tcPr>
          <w:p w14:paraId="7A7347FA" w14:textId="77777777" w:rsidR="00EE5515" w:rsidRPr="00980134" w:rsidRDefault="00EE5515" w:rsidP="00826635">
            <w:pPr>
              <w:pStyle w:val="In-tableHeading"/>
              <w:keepLines/>
              <w:rPr>
                <w:lang w:val="en-AU"/>
              </w:rPr>
            </w:pPr>
            <w:r w:rsidRPr="00980134">
              <w:rPr>
                <w:lang w:val="en-AU"/>
              </w:rPr>
              <w:t>Event</w:t>
            </w:r>
          </w:p>
        </w:tc>
        <w:tc>
          <w:tcPr>
            <w:tcW w:w="802" w:type="pct"/>
            <w:tcBorders>
              <w:bottom w:val="single" w:sz="4" w:space="0" w:color="auto"/>
            </w:tcBorders>
            <w:shd w:val="clear" w:color="auto" w:fill="auto"/>
          </w:tcPr>
          <w:p w14:paraId="339D4911" w14:textId="77777777" w:rsidR="00EE5515" w:rsidRPr="00980134" w:rsidRDefault="00EE5515" w:rsidP="00826635">
            <w:pPr>
              <w:pStyle w:val="In-tableHeading"/>
              <w:keepLines/>
              <w:jc w:val="center"/>
              <w:rPr>
                <w:lang w:val="en-AU"/>
              </w:rPr>
            </w:pPr>
            <w:r w:rsidRPr="00980134">
              <w:rPr>
                <w:lang w:val="en-AU"/>
              </w:rPr>
              <w:t>T-</w:t>
            </w:r>
            <w:proofErr w:type="spellStart"/>
            <w:r w:rsidRPr="00980134">
              <w:rPr>
                <w:lang w:val="en-AU"/>
              </w:rPr>
              <w:t>DXd</w:t>
            </w:r>
            <w:proofErr w:type="spellEnd"/>
          </w:p>
        </w:tc>
        <w:tc>
          <w:tcPr>
            <w:tcW w:w="840" w:type="pct"/>
            <w:tcBorders>
              <w:bottom w:val="single" w:sz="4" w:space="0" w:color="auto"/>
            </w:tcBorders>
            <w:shd w:val="clear" w:color="auto" w:fill="auto"/>
          </w:tcPr>
          <w:p w14:paraId="3408E5C5" w14:textId="77777777" w:rsidR="00EE5515" w:rsidRPr="00980134" w:rsidRDefault="00EE5515" w:rsidP="00826635">
            <w:pPr>
              <w:pStyle w:val="In-tableHeading"/>
              <w:keepLines/>
              <w:jc w:val="center"/>
              <w:rPr>
                <w:lang w:val="en-AU"/>
              </w:rPr>
            </w:pPr>
            <w:r w:rsidRPr="00980134">
              <w:rPr>
                <w:lang w:val="en-AU"/>
              </w:rPr>
              <w:t>TPC</w:t>
            </w:r>
          </w:p>
        </w:tc>
        <w:tc>
          <w:tcPr>
            <w:tcW w:w="1113" w:type="pct"/>
            <w:tcBorders>
              <w:bottom w:val="single" w:sz="4" w:space="0" w:color="auto"/>
            </w:tcBorders>
            <w:shd w:val="clear" w:color="auto" w:fill="auto"/>
          </w:tcPr>
          <w:p w14:paraId="5463932D" w14:textId="77777777" w:rsidR="00EE5515" w:rsidRPr="00980134" w:rsidRDefault="00EE5515" w:rsidP="00826635">
            <w:pPr>
              <w:pStyle w:val="In-tableHeading"/>
              <w:keepLines/>
              <w:jc w:val="center"/>
              <w:rPr>
                <w:rFonts w:asciiTheme="minorHAnsi" w:hAnsiTheme="minorHAnsi"/>
                <w:lang w:val="en-AU"/>
              </w:rPr>
            </w:pPr>
            <w:r w:rsidRPr="00980134">
              <w:rPr>
                <w:lang w:val="en-AU"/>
              </w:rPr>
              <w:t>Absolute Difference</w:t>
            </w:r>
          </w:p>
        </w:tc>
        <w:tc>
          <w:tcPr>
            <w:tcW w:w="879" w:type="pct"/>
            <w:tcBorders>
              <w:bottom w:val="single" w:sz="4" w:space="0" w:color="auto"/>
            </w:tcBorders>
            <w:shd w:val="clear" w:color="auto" w:fill="auto"/>
          </w:tcPr>
          <w:p w14:paraId="0B1212AC" w14:textId="77777777" w:rsidR="00EE5515" w:rsidRPr="00980134" w:rsidRDefault="00EE5515" w:rsidP="00826635">
            <w:pPr>
              <w:pStyle w:val="In-tableHeading"/>
              <w:keepLines/>
              <w:jc w:val="center"/>
              <w:rPr>
                <w:lang w:val="en-AU"/>
              </w:rPr>
            </w:pPr>
            <w:r w:rsidRPr="00980134">
              <w:rPr>
                <w:lang w:val="en-AU"/>
              </w:rPr>
              <w:t>Hazard ratio (95% CI)</w:t>
            </w:r>
          </w:p>
        </w:tc>
      </w:tr>
      <w:tr w:rsidR="007A744D" w:rsidRPr="00980134" w14:paraId="59B904EB" w14:textId="77777777" w:rsidTr="007A744D">
        <w:trPr>
          <w:trHeight w:val="20"/>
        </w:trPr>
        <w:tc>
          <w:tcPr>
            <w:tcW w:w="1366" w:type="pct"/>
            <w:tcBorders>
              <w:bottom w:val="single" w:sz="4" w:space="0" w:color="auto"/>
              <w:right w:val="single" w:sz="4" w:space="0" w:color="auto"/>
            </w:tcBorders>
            <w:shd w:val="clear" w:color="auto" w:fill="auto"/>
          </w:tcPr>
          <w:p w14:paraId="24AFE523" w14:textId="77777777" w:rsidR="007A744D" w:rsidRPr="00980134" w:rsidRDefault="007A744D" w:rsidP="00826635">
            <w:pPr>
              <w:pStyle w:val="TableText0"/>
              <w:keepLines/>
              <w:widowControl w:val="0"/>
            </w:pPr>
            <w:r w:rsidRPr="00980134">
              <w:t>Disease progression or deaths, n/N (%)</w:t>
            </w:r>
          </w:p>
        </w:tc>
        <w:tc>
          <w:tcPr>
            <w:tcW w:w="802" w:type="pct"/>
            <w:tcBorders>
              <w:left w:val="single" w:sz="4" w:space="0" w:color="auto"/>
              <w:bottom w:val="single" w:sz="4" w:space="0" w:color="auto"/>
              <w:right w:val="single" w:sz="4" w:space="0" w:color="auto"/>
            </w:tcBorders>
            <w:shd w:val="clear" w:color="auto" w:fill="auto"/>
          </w:tcPr>
          <w:p w14:paraId="0AF62C43" w14:textId="036674E4" w:rsidR="007A744D" w:rsidRPr="00564A09" w:rsidRDefault="007A744D" w:rsidP="00826635">
            <w:pPr>
              <w:pStyle w:val="TableText0"/>
              <w:keepLines/>
              <w:widowControl w:val="0"/>
              <w:jc w:val="center"/>
            </w:pPr>
            <w:r w:rsidRPr="00564A09">
              <w:t>234/373 (65.1)</w:t>
            </w:r>
          </w:p>
        </w:tc>
        <w:tc>
          <w:tcPr>
            <w:tcW w:w="840" w:type="pct"/>
            <w:tcBorders>
              <w:left w:val="single" w:sz="4" w:space="0" w:color="auto"/>
              <w:bottom w:val="single" w:sz="4" w:space="0" w:color="auto"/>
              <w:right w:val="single" w:sz="4" w:space="0" w:color="auto"/>
            </w:tcBorders>
            <w:shd w:val="clear" w:color="auto" w:fill="auto"/>
          </w:tcPr>
          <w:p w14:paraId="210CB0D4" w14:textId="0F0EDF2D" w:rsidR="007A744D" w:rsidRPr="00564A09" w:rsidRDefault="007A744D" w:rsidP="00826635">
            <w:pPr>
              <w:pStyle w:val="TableText0"/>
              <w:keepLines/>
              <w:widowControl w:val="0"/>
              <w:jc w:val="center"/>
            </w:pPr>
            <w:r w:rsidRPr="00564A09">
              <w:t>127/184 (69.0)</w:t>
            </w:r>
          </w:p>
        </w:tc>
        <w:tc>
          <w:tcPr>
            <w:tcW w:w="1113" w:type="pct"/>
            <w:tcBorders>
              <w:left w:val="single" w:sz="4" w:space="0" w:color="auto"/>
              <w:bottom w:val="single" w:sz="4" w:space="0" w:color="auto"/>
              <w:right w:val="single" w:sz="4" w:space="0" w:color="auto"/>
            </w:tcBorders>
            <w:shd w:val="clear" w:color="auto" w:fill="auto"/>
          </w:tcPr>
          <w:p w14:paraId="7EE8681D" w14:textId="77777777" w:rsidR="007A744D" w:rsidRPr="00564A09" w:rsidRDefault="007A744D" w:rsidP="00826635">
            <w:pPr>
              <w:pStyle w:val="TableText0"/>
              <w:keepLines/>
              <w:widowControl w:val="0"/>
              <w:jc w:val="center"/>
              <w:rPr>
                <w:color w:val="0070C0"/>
              </w:rPr>
            </w:pPr>
            <w:r w:rsidRPr="00564A09">
              <w:t>–</w:t>
            </w:r>
          </w:p>
        </w:tc>
        <w:tc>
          <w:tcPr>
            <w:tcW w:w="879" w:type="pct"/>
            <w:vMerge w:val="restart"/>
            <w:tcBorders>
              <w:left w:val="single" w:sz="4" w:space="0" w:color="auto"/>
            </w:tcBorders>
            <w:shd w:val="clear" w:color="auto" w:fill="auto"/>
            <w:vAlign w:val="center"/>
          </w:tcPr>
          <w:p w14:paraId="54158C6D" w14:textId="7E174747" w:rsidR="007A744D" w:rsidRPr="00564A09" w:rsidRDefault="007A744D" w:rsidP="00826635">
            <w:pPr>
              <w:pStyle w:val="TableText0"/>
              <w:keepLines/>
              <w:widowControl w:val="0"/>
              <w:jc w:val="center"/>
              <w:rPr>
                <w:b/>
                <w:bCs w:val="0"/>
              </w:rPr>
            </w:pPr>
            <w:r w:rsidRPr="00564A09">
              <w:rPr>
                <w:b/>
                <w:bCs w:val="0"/>
              </w:rPr>
              <w:t>0.50 (0.40, 0.63)</w:t>
            </w:r>
          </w:p>
        </w:tc>
      </w:tr>
      <w:tr w:rsidR="007A744D" w:rsidRPr="00980134" w14:paraId="2552D8BF" w14:textId="77777777" w:rsidTr="009F1945">
        <w:trPr>
          <w:trHeight w:val="20"/>
        </w:trPr>
        <w:tc>
          <w:tcPr>
            <w:tcW w:w="1366" w:type="pct"/>
            <w:tcBorders>
              <w:bottom w:val="single" w:sz="4" w:space="0" w:color="auto"/>
              <w:right w:val="single" w:sz="4" w:space="0" w:color="auto"/>
            </w:tcBorders>
            <w:shd w:val="clear" w:color="auto" w:fill="auto"/>
          </w:tcPr>
          <w:p w14:paraId="29FE849D" w14:textId="77777777" w:rsidR="007A744D" w:rsidRPr="00980134" w:rsidRDefault="007A744D" w:rsidP="00826635">
            <w:pPr>
              <w:pStyle w:val="TableText0"/>
              <w:keepLines/>
              <w:widowControl w:val="0"/>
            </w:pPr>
            <w:r w:rsidRPr="00980134">
              <w:t>Median PFS, months (95% CI)</w:t>
            </w:r>
          </w:p>
        </w:tc>
        <w:tc>
          <w:tcPr>
            <w:tcW w:w="802" w:type="pct"/>
            <w:tcBorders>
              <w:left w:val="single" w:sz="4" w:space="0" w:color="auto"/>
              <w:bottom w:val="single" w:sz="4" w:space="0" w:color="auto"/>
              <w:right w:val="single" w:sz="4" w:space="0" w:color="auto"/>
            </w:tcBorders>
            <w:shd w:val="clear" w:color="auto" w:fill="auto"/>
          </w:tcPr>
          <w:p w14:paraId="24323B53" w14:textId="6FC28134" w:rsidR="007A744D" w:rsidRPr="00564A09" w:rsidRDefault="007A744D" w:rsidP="00826635">
            <w:pPr>
              <w:pStyle w:val="TableText0"/>
              <w:keepLines/>
              <w:widowControl w:val="0"/>
              <w:jc w:val="center"/>
              <w:rPr>
                <w:rFonts w:cs="Times New Roman"/>
                <w:szCs w:val="20"/>
              </w:rPr>
            </w:pPr>
            <w:r w:rsidRPr="00564A09">
              <w:rPr>
                <w:rFonts w:cs="Times New Roman"/>
                <w:szCs w:val="20"/>
              </w:rPr>
              <w:t>9.9 (9.0, 11.3)</w:t>
            </w:r>
          </w:p>
        </w:tc>
        <w:tc>
          <w:tcPr>
            <w:tcW w:w="840" w:type="pct"/>
            <w:tcBorders>
              <w:left w:val="single" w:sz="4" w:space="0" w:color="auto"/>
              <w:bottom w:val="single" w:sz="4" w:space="0" w:color="auto"/>
              <w:right w:val="single" w:sz="4" w:space="0" w:color="auto"/>
            </w:tcBorders>
            <w:shd w:val="clear" w:color="auto" w:fill="auto"/>
          </w:tcPr>
          <w:p w14:paraId="361AB326" w14:textId="6E09E770" w:rsidR="007A744D" w:rsidRPr="00564A09" w:rsidRDefault="007A744D" w:rsidP="00826635">
            <w:pPr>
              <w:pStyle w:val="TableText0"/>
              <w:keepLines/>
              <w:widowControl w:val="0"/>
              <w:jc w:val="center"/>
              <w:rPr>
                <w:rFonts w:cs="Times New Roman"/>
                <w:szCs w:val="20"/>
              </w:rPr>
            </w:pPr>
            <w:r w:rsidRPr="00564A09">
              <w:rPr>
                <w:rFonts w:cs="Times New Roman"/>
                <w:szCs w:val="20"/>
              </w:rPr>
              <w:t>5.1 (4.2, 6.8)</w:t>
            </w:r>
          </w:p>
        </w:tc>
        <w:tc>
          <w:tcPr>
            <w:tcW w:w="1113" w:type="pct"/>
            <w:tcBorders>
              <w:left w:val="single" w:sz="4" w:space="0" w:color="auto"/>
              <w:bottom w:val="single" w:sz="4" w:space="0" w:color="auto"/>
              <w:right w:val="single" w:sz="4" w:space="0" w:color="auto"/>
            </w:tcBorders>
            <w:shd w:val="clear" w:color="auto" w:fill="auto"/>
          </w:tcPr>
          <w:p w14:paraId="39578409" w14:textId="231DD000" w:rsidR="007A744D" w:rsidRPr="00564A09" w:rsidRDefault="007A744D" w:rsidP="00826635">
            <w:pPr>
              <w:pStyle w:val="TableText0"/>
              <w:keepLines/>
              <w:widowControl w:val="0"/>
              <w:jc w:val="center"/>
            </w:pPr>
            <w:r w:rsidRPr="00564A09">
              <w:t>4.8</w:t>
            </w:r>
          </w:p>
        </w:tc>
        <w:tc>
          <w:tcPr>
            <w:tcW w:w="879" w:type="pct"/>
            <w:vMerge/>
            <w:tcBorders>
              <w:left w:val="single" w:sz="4" w:space="0" w:color="auto"/>
            </w:tcBorders>
            <w:shd w:val="clear" w:color="auto" w:fill="auto"/>
          </w:tcPr>
          <w:p w14:paraId="6D710ED4" w14:textId="77777777" w:rsidR="007A744D" w:rsidRPr="00564A09" w:rsidRDefault="007A744D" w:rsidP="00826635">
            <w:pPr>
              <w:pStyle w:val="TableText0"/>
              <w:keepLines/>
              <w:widowControl w:val="0"/>
              <w:jc w:val="center"/>
              <w:rPr>
                <w:szCs w:val="20"/>
              </w:rPr>
            </w:pPr>
          </w:p>
        </w:tc>
      </w:tr>
      <w:tr w:rsidR="007A744D" w:rsidRPr="00980134" w14:paraId="60D851D5" w14:textId="77777777" w:rsidTr="009F1945">
        <w:trPr>
          <w:trHeight w:val="20"/>
        </w:trPr>
        <w:tc>
          <w:tcPr>
            <w:tcW w:w="1366" w:type="pct"/>
            <w:tcBorders>
              <w:top w:val="single" w:sz="4" w:space="0" w:color="auto"/>
              <w:bottom w:val="single" w:sz="4" w:space="0" w:color="auto"/>
              <w:right w:val="single" w:sz="4" w:space="0" w:color="auto"/>
            </w:tcBorders>
            <w:shd w:val="clear" w:color="auto" w:fill="auto"/>
          </w:tcPr>
          <w:p w14:paraId="7651E96E" w14:textId="77777777" w:rsidR="007A744D" w:rsidRPr="00980134" w:rsidRDefault="007A744D" w:rsidP="00826635">
            <w:pPr>
              <w:pStyle w:val="TableText0"/>
              <w:keepLines/>
              <w:widowControl w:val="0"/>
            </w:pPr>
            <w:r w:rsidRPr="00980134">
              <w:t>% alive and progression-free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F751D31" w14:textId="6B594EFF" w:rsidR="007A744D" w:rsidRPr="00564A09" w:rsidRDefault="007A744D" w:rsidP="00826635">
            <w:pPr>
              <w:pStyle w:val="TableText0"/>
              <w:keepLines/>
              <w:widowControl w:val="0"/>
              <w:jc w:val="center"/>
            </w:pPr>
            <w:r w:rsidRPr="00564A09">
              <w:rPr>
                <w:rFonts w:cstheme="minorHAnsi"/>
                <w:szCs w:val="20"/>
              </w:rPr>
              <w:t>68.1 (63.0, 72.6)</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0AEDC0F0" w14:textId="5C388D70" w:rsidR="007A744D" w:rsidRPr="00564A09" w:rsidRDefault="007A744D" w:rsidP="00826635">
            <w:pPr>
              <w:pStyle w:val="TableText0"/>
              <w:keepLines/>
              <w:widowControl w:val="0"/>
              <w:jc w:val="center"/>
              <w:rPr>
                <w:szCs w:val="20"/>
              </w:rPr>
            </w:pPr>
            <w:r w:rsidRPr="00564A09">
              <w:rPr>
                <w:rFonts w:cstheme="minorHAnsi"/>
                <w:szCs w:val="20"/>
              </w:rPr>
              <w:t>43.9 (35.9, 51.6)</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5E0F6C63" w14:textId="0096E4D2" w:rsidR="007A744D" w:rsidRPr="00564A09" w:rsidRDefault="007A744D" w:rsidP="00826635">
            <w:pPr>
              <w:pStyle w:val="TableText0"/>
              <w:keepLines/>
              <w:widowControl w:val="0"/>
              <w:jc w:val="center"/>
            </w:pPr>
            <w:r w:rsidRPr="00564A09">
              <w:rPr>
                <w:rFonts w:cstheme="minorHAnsi"/>
                <w:szCs w:val="20"/>
              </w:rPr>
              <w:t>24.2</w:t>
            </w:r>
          </w:p>
        </w:tc>
        <w:tc>
          <w:tcPr>
            <w:tcW w:w="879" w:type="pct"/>
            <w:vMerge/>
            <w:tcBorders>
              <w:left w:val="single" w:sz="4" w:space="0" w:color="auto"/>
            </w:tcBorders>
            <w:shd w:val="clear" w:color="auto" w:fill="auto"/>
          </w:tcPr>
          <w:p w14:paraId="10BDEA75" w14:textId="77777777" w:rsidR="007A744D" w:rsidRPr="00564A09" w:rsidRDefault="007A744D" w:rsidP="00826635">
            <w:pPr>
              <w:pStyle w:val="TableText0"/>
              <w:keepLines/>
              <w:widowControl w:val="0"/>
              <w:jc w:val="center"/>
            </w:pPr>
          </w:p>
        </w:tc>
      </w:tr>
      <w:tr w:rsidR="007A744D" w:rsidRPr="00980134" w14:paraId="732EEEB0" w14:textId="77777777" w:rsidTr="009F1945">
        <w:trPr>
          <w:trHeight w:val="20"/>
        </w:trPr>
        <w:tc>
          <w:tcPr>
            <w:tcW w:w="1366" w:type="pct"/>
            <w:tcBorders>
              <w:top w:val="single" w:sz="4" w:space="0" w:color="auto"/>
              <w:bottom w:val="single" w:sz="4" w:space="0" w:color="auto"/>
              <w:right w:val="single" w:sz="4" w:space="0" w:color="auto"/>
            </w:tcBorders>
            <w:shd w:val="clear" w:color="auto" w:fill="auto"/>
          </w:tcPr>
          <w:p w14:paraId="65C85595" w14:textId="77777777" w:rsidR="007A744D" w:rsidRPr="00980134" w:rsidRDefault="007A744D" w:rsidP="00826635">
            <w:pPr>
              <w:pStyle w:val="TableText0"/>
              <w:keepLines/>
              <w:widowControl w:val="0"/>
            </w:pPr>
            <w:r w:rsidRPr="00980134">
              <w:t>% alive and progression-free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18822F9" w14:textId="37D50BAE" w:rsidR="007A744D" w:rsidRPr="00564A09" w:rsidRDefault="007A744D" w:rsidP="00826635">
            <w:pPr>
              <w:pStyle w:val="TableText0"/>
              <w:keepLines/>
              <w:widowControl w:val="0"/>
              <w:jc w:val="center"/>
              <w:rPr>
                <w:szCs w:val="20"/>
              </w:rPr>
            </w:pPr>
            <w:r w:rsidRPr="00564A09">
              <w:rPr>
                <w:rFonts w:cstheme="minorHAnsi"/>
                <w:szCs w:val="20"/>
              </w:rPr>
              <w:t>41.9 (36.6, 47.2)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6EB28F3C" w14:textId="032DDF51" w:rsidR="007A744D" w:rsidRPr="00564A09" w:rsidRDefault="007A744D" w:rsidP="00826635">
            <w:pPr>
              <w:pStyle w:val="TableText0"/>
              <w:keepLines/>
              <w:widowControl w:val="0"/>
              <w:jc w:val="center"/>
              <w:rPr>
                <w:szCs w:val="20"/>
              </w:rPr>
            </w:pPr>
            <w:r w:rsidRPr="00564A09">
              <w:rPr>
                <w:rFonts w:cstheme="minorHAnsi"/>
                <w:szCs w:val="20"/>
              </w:rPr>
              <w:t>21.8 (15.3, 29.2)</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532DD666" w14:textId="11DCE1D9" w:rsidR="007A744D" w:rsidRPr="00564A09" w:rsidRDefault="007A744D" w:rsidP="00826635">
            <w:pPr>
              <w:pStyle w:val="TableText0"/>
              <w:keepLines/>
              <w:widowControl w:val="0"/>
              <w:jc w:val="center"/>
              <w:rPr>
                <w:rFonts w:cs="Times New Roman"/>
                <w:szCs w:val="20"/>
              </w:rPr>
            </w:pPr>
            <w:r w:rsidRPr="00564A09">
              <w:rPr>
                <w:rFonts w:cstheme="minorHAnsi"/>
                <w:szCs w:val="20"/>
              </w:rPr>
              <w:t>20.1</w:t>
            </w:r>
          </w:p>
        </w:tc>
        <w:tc>
          <w:tcPr>
            <w:tcW w:w="879" w:type="pct"/>
            <w:vMerge/>
            <w:tcBorders>
              <w:left w:val="single" w:sz="4" w:space="0" w:color="auto"/>
            </w:tcBorders>
            <w:shd w:val="clear" w:color="auto" w:fill="auto"/>
          </w:tcPr>
          <w:p w14:paraId="2086EC96" w14:textId="77777777" w:rsidR="007A744D" w:rsidRPr="00564A09" w:rsidRDefault="007A744D" w:rsidP="00826635">
            <w:pPr>
              <w:pStyle w:val="TableText0"/>
              <w:keepLines/>
              <w:widowControl w:val="0"/>
              <w:jc w:val="center"/>
            </w:pPr>
          </w:p>
        </w:tc>
      </w:tr>
      <w:tr w:rsidR="007A744D" w:rsidRPr="00980134" w14:paraId="08158291" w14:textId="77777777">
        <w:trPr>
          <w:trHeight w:val="20"/>
        </w:trPr>
        <w:tc>
          <w:tcPr>
            <w:tcW w:w="1366" w:type="pct"/>
            <w:tcBorders>
              <w:top w:val="single" w:sz="4" w:space="0" w:color="auto"/>
              <w:bottom w:val="single" w:sz="4" w:space="0" w:color="auto"/>
              <w:right w:val="single" w:sz="4" w:space="0" w:color="auto"/>
            </w:tcBorders>
            <w:shd w:val="clear" w:color="auto" w:fill="auto"/>
          </w:tcPr>
          <w:p w14:paraId="6A87B89E" w14:textId="77777777" w:rsidR="007A744D" w:rsidRPr="00980134" w:rsidRDefault="007A744D" w:rsidP="00826635">
            <w:pPr>
              <w:pStyle w:val="TableText0"/>
              <w:keepLines/>
              <w:widowControl w:val="0"/>
            </w:pPr>
            <w:r w:rsidRPr="00980134">
              <w:t>% alive and progression-free at 18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3C267C7" w14:textId="61D0F6E2" w:rsidR="007A744D" w:rsidRPr="00564A09" w:rsidRDefault="007A744D" w:rsidP="00826635">
            <w:pPr>
              <w:pStyle w:val="TableText0"/>
              <w:keepLines/>
              <w:widowControl w:val="0"/>
              <w:jc w:val="center"/>
              <w:rPr>
                <w:szCs w:val="20"/>
              </w:rPr>
            </w:pPr>
            <w:r w:rsidRPr="00564A09">
              <w:rPr>
                <w:rFonts w:cstheme="minorHAnsi"/>
                <w:szCs w:val="20"/>
              </w:rPr>
              <w:t>29.7 (24.4, 35.2)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04142A18" w14:textId="289C1DA9" w:rsidR="007A744D" w:rsidRPr="00564A09" w:rsidRDefault="007A744D" w:rsidP="00826635">
            <w:pPr>
              <w:pStyle w:val="TableText0"/>
              <w:keepLines/>
              <w:widowControl w:val="0"/>
              <w:jc w:val="center"/>
              <w:rPr>
                <w:szCs w:val="20"/>
              </w:rPr>
            </w:pPr>
            <w:r w:rsidRPr="00564A09">
              <w:rPr>
                <w:rFonts w:cstheme="minorHAnsi"/>
                <w:szCs w:val="20"/>
              </w:rPr>
              <w:t>10.9 (5.7, 18.1)</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149F844F" w14:textId="082AA2E8" w:rsidR="007A744D" w:rsidRPr="00564A09" w:rsidRDefault="007A744D" w:rsidP="00826635">
            <w:pPr>
              <w:pStyle w:val="TableText0"/>
              <w:keepLines/>
              <w:widowControl w:val="0"/>
              <w:jc w:val="center"/>
              <w:rPr>
                <w:rFonts w:cs="Times New Roman"/>
                <w:szCs w:val="20"/>
              </w:rPr>
            </w:pPr>
            <w:r w:rsidRPr="00564A09">
              <w:rPr>
                <w:rFonts w:cstheme="minorHAnsi"/>
                <w:szCs w:val="20"/>
              </w:rPr>
              <w:t>18.8</w:t>
            </w:r>
          </w:p>
        </w:tc>
        <w:tc>
          <w:tcPr>
            <w:tcW w:w="879" w:type="pct"/>
            <w:vMerge/>
            <w:tcBorders>
              <w:left w:val="single" w:sz="4" w:space="0" w:color="auto"/>
              <w:bottom w:val="single" w:sz="4" w:space="0" w:color="auto"/>
            </w:tcBorders>
            <w:shd w:val="clear" w:color="auto" w:fill="auto"/>
          </w:tcPr>
          <w:p w14:paraId="46A376E8" w14:textId="77777777" w:rsidR="007A744D" w:rsidRPr="00564A09" w:rsidRDefault="007A744D" w:rsidP="00826635">
            <w:pPr>
              <w:pStyle w:val="TableText0"/>
              <w:keepLines/>
              <w:widowControl w:val="0"/>
              <w:jc w:val="center"/>
            </w:pPr>
          </w:p>
        </w:tc>
      </w:tr>
      <w:tr w:rsidR="007A744D" w:rsidRPr="00980134" w14:paraId="4D1E76CF"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3EB7D0" w14:textId="55E0FC4F" w:rsidR="007A744D" w:rsidRPr="00564A09" w:rsidRDefault="007A744D" w:rsidP="00826635">
            <w:pPr>
              <w:pStyle w:val="In-tableHeading"/>
              <w:keepLines/>
              <w:rPr>
                <w:lang w:val="en-AU"/>
              </w:rPr>
            </w:pPr>
            <w:r w:rsidRPr="00564A09">
              <w:rPr>
                <w:lang w:val="en-AU"/>
              </w:rPr>
              <w:t>Overall survival (DCO 1 March 2023, Median duration of follow up, 32 months)</w:t>
            </w:r>
          </w:p>
        </w:tc>
      </w:tr>
      <w:tr w:rsidR="007A744D" w:rsidRPr="00980134" w14:paraId="3B442EAF" w14:textId="77777777" w:rsidTr="00D65333">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24C0D1A5" w14:textId="77777777" w:rsidR="007A744D" w:rsidRPr="00980134" w:rsidRDefault="007A744D" w:rsidP="00826635">
            <w:pPr>
              <w:pStyle w:val="TableText0"/>
              <w:keepLines/>
              <w:widowControl w:val="0"/>
            </w:pPr>
            <w:r w:rsidRPr="00980134">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143776BE" w14:textId="075DA53C" w:rsidR="007A744D" w:rsidRPr="00564A09" w:rsidRDefault="007A744D" w:rsidP="00826635">
            <w:pPr>
              <w:pStyle w:val="TableText0"/>
              <w:keepLines/>
              <w:widowControl w:val="0"/>
              <w:jc w:val="center"/>
            </w:pPr>
            <w:r w:rsidRPr="00564A09">
              <w:t>242/373 (64.9)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2ED31BA9" w14:textId="40C4CC90" w:rsidR="007A744D" w:rsidRPr="00564A09" w:rsidRDefault="007A744D" w:rsidP="00826635">
            <w:pPr>
              <w:pStyle w:val="TableText0"/>
              <w:keepLines/>
              <w:widowControl w:val="0"/>
              <w:jc w:val="center"/>
            </w:pPr>
            <w:r w:rsidRPr="00564A09">
              <w:t>128/184 (69.6)</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3D8E48E" w14:textId="16B0E1F1" w:rsidR="007A744D" w:rsidRPr="00564A09" w:rsidRDefault="007A744D" w:rsidP="00826635">
            <w:pPr>
              <w:pStyle w:val="TableText0"/>
              <w:keepLines/>
              <w:widowControl w:val="0"/>
              <w:jc w:val="center"/>
            </w:pPr>
            <w:r w:rsidRPr="00564A09">
              <w:t>-</w:t>
            </w:r>
          </w:p>
        </w:tc>
        <w:tc>
          <w:tcPr>
            <w:tcW w:w="879" w:type="pct"/>
            <w:vMerge w:val="restart"/>
            <w:tcBorders>
              <w:top w:val="single" w:sz="4" w:space="0" w:color="auto"/>
              <w:left w:val="single" w:sz="4" w:space="0" w:color="auto"/>
              <w:right w:val="single" w:sz="4" w:space="0" w:color="auto"/>
            </w:tcBorders>
            <w:shd w:val="clear" w:color="auto" w:fill="auto"/>
            <w:vAlign w:val="center"/>
          </w:tcPr>
          <w:p w14:paraId="62C50455" w14:textId="11130CD3" w:rsidR="007A744D" w:rsidRPr="00564A09" w:rsidRDefault="007A744D" w:rsidP="00826635">
            <w:pPr>
              <w:pStyle w:val="TableText0"/>
              <w:keepLines/>
              <w:widowControl w:val="0"/>
              <w:jc w:val="center"/>
            </w:pPr>
            <w:r w:rsidRPr="00564A09">
              <w:rPr>
                <w:b/>
                <w:bCs w:val="0"/>
              </w:rPr>
              <w:t>0.69 (0.55, 0.86)</w:t>
            </w:r>
          </w:p>
        </w:tc>
      </w:tr>
      <w:tr w:rsidR="007A744D" w:rsidRPr="00980134" w14:paraId="36ADDE5B" w14:textId="77777777" w:rsidTr="00D65333">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1BFC870" w14:textId="77777777" w:rsidR="007A744D" w:rsidRPr="00980134" w:rsidRDefault="007A744D" w:rsidP="00826635">
            <w:pPr>
              <w:pStyle w:val="TableText0"/>
              <w:keepLines/>
              <w:widowControl w:val="0"/>
            </w:pPr>
            <w:r w:rsidRPr="00980134">
              <w:t>Median OS, months (95% CI)</w:t>
            </w:r>
          </w:p>
        </w:tc>
        <w:tc>
          <w:tcPr>
            <w:tcW w:w="802" w:type="pct"/>
            <w:vAlign w:val="center"/>
          </w:tcPr>
          <w:p w14:paraId="75795ADC" w14:textId="36DBDE9C" w:rsidR="007A744D" w:rsidRPr="00564A09" w:rsidRDefault="007A744D" w:rsidP="00826635">
            <w:pPr>
              <w:pStyle w:val="TableText0"/>
              <w:keepLines/>
              <w:widowControl w:val="0"/>
              <w:rPr>
                <w:rFonts w:cs="Times New Roman"/>
                <w:szCs w:val="20"/>
              </w:rPr>
            </w:pPr>
            <w:r w:rsidRPr="00564A09">
              <w:rPr>
                <w:rFonts w:cstheme="minorHAnsi"/>
                <w:szCs w:val="20"/>
                <w:lang w:bidi="en-US"/>
              </w:rPr>
              <w:t>22.9 (21.5, 24.5)</w:t>
            </w:r>
          </w:p>
        </w:tc>
        <w:tc>
          <w:tcPr>
            <w:tcW w:w="840" w:type="pct"/>
            <w:vAlign w:val="center"/>
          </w:tcPr>
          <w:p w14:paraId="4B9F9285" w14:textId="2BF7DAF8" w:rsidR="007A744D" w:rsidRPr="00564A09" w:rsidRDefault="007A744D" w:rsidP="00826635">
            <w:pPr>
              <w:pStyle w:val="TableText0"/>
              <w:keepLines/>
              <w:widowControl w:val="0"/>
              <w:jc w:val="center"/>
              <w:rPr>
                <w:rFonts w:cs="Times New Roman"/>
                <w:szCs w:val="20"/>
              </w:rPr>
            </w:pPr>
            <w:r w:rsidRPr="00564A09">
              <w:rPr>
                <w:rFonts w:cstheme="minorHAnsi"/>
                <w:szCs w:val="20"/>
                <w:lang w:bidi="en-US"/>
              </w:rPr>
              <w:t>16.8 (14.1, 19.5)</w:t>
            </w:r>
          </w:p>
        </w:tc>
        <w:tc>
          <w:tcPr>
            <w:tcW w:w="1113" w:type="pct"/>
            <w:vAlign w:val="center"/>
          </w:tcPr>
          <w:p w14:paraId="43C4E809" w14:textId="5E981CD5" w:rsidR="007A744D" w:rsidRPr="00564A09" w:rsidRDefault="007A744D" w:rsidP="00826635">
            <w:pPr>
              <w:pStyle w:val="TableText0"/>
              <w:keepLines/>
              <w:widowControl w:val="0"/>
              <w:jc w:val="center"/>
            </w:pPr>
            <w:r w:rsidRPr="00564A09">
              <w:rPr>
                <w:rFonts w:cstheme="minorHAnsi"/>
                <w:szCs w:val="20"/>
              </w:rPr>
              <w:t>6.1</w:t>
            </w:r>
          </w:p>
        </w:tc>
        <w:tc>
          <w:tcPr>
            <w:tcW w:w="879" w:type="pct"/>
            <w:vMerge/>
            <w:tcBorders>
              <w:left w:val="single" w:sz="4" w:space="0" w:color="auto"/>
              <w:right w:val="single" w:sz="4" w:space="0" w:color="auto"/>
            </w:tcBorders>
            <w:shd w:val="clear" w:color="auto" w:fill="auto"/>
            <w:vAlign w:val="center"/>
          </w:tcPr>
          <w:p w14:paraId="74067470" w14:textId="5D2FE28C" w:rsidR="007A744D" w:rsidRPr="00980134" w:rsidRDefault="007A744D" w:rsidP="00826635">
            <w:pPr>
              <w:pStyle w:val="TableText0"/>
              <w:keepLines/>
              <w:widowControl w:val="0"/>
              <w:rPr>
                <w:szCs w:val="20"/>
              </w:rPr>
            </w:pPr>
          </w:p>
        </w:tc>
      </w:tr>
      <w:tr w:rsidR="007A744D" w:rsidRPr="00980134" w14:paraId="18690F75" w14:textId="77777777" w:rsidTr="00D65333">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73811AA" w14:textId="77777777" w:rsidR="007A744D" w:rsidRPr="00980134" w:rsidRDefault="007A744D" w:rsidP="00826635">
            <w:pPr>
              <w:pStyle w:val="TableText0"/>
              <w:keepLines/>
              <w:widowControl w:val="0"/>
            </w:pPr>
            <w:r w:rsidRPr="00980134">
              <w:t xml:space="preserve">% Alive at 12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D0A80F9" w14:textId="01576B38" w:rsidR="007A744D" w:rsidRPr="00564A09" w:rsidRDefault="007A744D" w:rsidP="00826635">
            <w:pPr>
              <w:pStyle w:val="TableText0"/>
              <w:keepLines/>
              <w:widowControl w:val="0"/>
              <w:jc w:val="center"/>
            </w:pPr>
            <w:r w:rsidRPr="00564A09">
              <w:rPr>
                <w:szCs w:val="20"/>
                <w:lang w:bidi="en-US"/>
              </w:rPr>
              <w:t>78.5 (74.0, 82.4)</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27029E9C" w14:textId="11B8EEA8" w:rsidR="007A744D" w:rsidRPr="00564A09" w:rsidRDefault="007A744D" w:rsidP="00826635">
            <w:pPr>
              <w:pStyle w:val="TableText0"/>
              <w:keepLines/>
              <w:widowControl w:val="0"/>
              <w:jc w:val="center"/>
              <w:rPr>
                <w:szCs w:val="20"/>
              </w:rPr>
            </w:pPr>
            <w:r w:rsidRPr="00564A09">
              <w:rPr>
                <w:szCs w:val="20"/>
                <w:lang w:bidi="en-US"/>
              </w:rPr>
              <w:t>66.3 (58.5, 73.0)</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A8B8B75" w14:textId="7EA8560E" w:rsidR="007A744D" w:rsidRPr="00564A09" w:rsidRDefault="007A744D" w:rsidP="00826635">
            <w:pPr>
              <w:pStyle w:val="TableText0"/>
              <w:keepLines/>
              <w:widowControl w:val="0"/>
              <w:jc w:val="center"/>
            </w:pPr>
            <w:r w:rsidRPr="00564A09">
              <w:rPr>
                <w:rFonts w:cstheme="minorHAnsi"/>
                <w:szCs w:val="20"/>
              </w:rPr>
              <w:t>12.2</w:t>
            </w:r>
          </w:p>
        </w:tc>
        <w:tc>
          <w:tcPr>
            <w:tcW w:w="879" w:type="pct"/>
            <w:vMerge/>
            <w:tcBorders>
              <w:left w:val="single" w:sz="4" w:space="0" w:color="auto"/>
              <w:right w:val="single" w:sz="4" w:space="0" w:color="auto"/>
            </w:tcBorders>
            <w:shd w:val="clear" w:color="auto" w:fill="auto"/>
          </w:tcPr>
          <w:p w14:paraId="4671D79A" w14:textId="4E3C2832" w:rsidR="007A744D" w:rsidRPr="00980134" w:rsidRDefault="007A744D" w:rsidP="00826635">
            <w:pPr>
              <w:pStyle w:val="TableText0"/>
              <w:keepLines/>
              <w:widowControl w:val="0"/>
              <w:rPr>
                <w:b/>
                <w:bCs w:val="0"/>
              </w:rPr>
            </w:pPr>
          </w:p>
        </w:tc>
      </w:tr>
      <w:tr w:rsidR="007A744D" w:rsidRPr="00980134" w14:paraId="12CE2E30" w14:textId="77777777" w:rsidTr="00D65333">
        <w:trPr>
          <w:trHeight w:val="20"/>
        </w:trPr>
        <w:tc>
          <w:tcPr>
            <w:tcW w:w="1366" w:type="pct"/>
            <w:tcBorders>
              <w:top w:val="single" w:sz="4" w:space="0" w:color="auto"/>
              <w:left w:val="single" w:sz="4" w:space="0" w:color="auto"/>
              <w:bottom w:val="double" w:sz="4" w:space="0" w:color="auto"/>
              <w:right w:val="single" w:sz="4" w:space="0" w:color="auto"/>
            </w:tcBorders>
            <w:shd w:val="clear" w:color="auto" w:fill="auto"/>
          </w:tcPr>
          <w:p w14:paraId="7239EAEB" w14:textId="77777777" w:rsidR="007A744D" w:rsidRPr="00980134" w:rsidRDefault="007A744D" w:rsidP="00826635">
            <w:pPr>
              <w:pStyle w:val="TableText0"/>
              <w:keepLines/>
              <w:widowControl w:val="0"/>
            </w:pPr>
            <w:r w:rsidRPr="00980134">
              <w:t>% Alive at 36 months (95% CI)</w:t>
            </w:r>
          </w:p>
        </w:tc>
        <w:tc>
          <w:tcPr>
            <w:tcW w:w="802" w:type="pct"/>
            <w:tcBorders>
              <w:top w:val="single" w:sz="4" w:space="0" w:color="auto"/>
              <w:left w:val="single" w:sz="4" w:space="0" w:color="auto"/>
              <w:bottom w:val="double" w:sz="4" w:space="0" w:color="auto"/>
              <w:right w:val="single" w:sz="4" w:space="0" w:color="auto"/>
            </w:tcBorders>
            <w:shd w:val="clear" w:color="auto" w:fill="auto"/>
            <w:vAlign w:val="center"/>
          </w:tcPr>
          <w:p w14:paraId="32F630E2" w14:textId="0ED1FE11" w:rsidR="007A744D" w:rsidRPr="00564A09" w:rsidRDefault="007A744D" w:rsidP="00826635">
            <w:pPr>
              <w:pStyle w:val="TableText0"/>
              <w:keepLines/>
              <w:widowControl w:val="0"/>
              <w:jc w:val="center"/>
              <w:rPr>
                <w:szCs w:val="20"/>
              </w:rPr>
            </w:pPr>
            <w:r w:rsidRPr="00564A09">
              <w:rPr>
                <w:szCs w:val="20"/>
                <w:lang w:bidi="en-US"/>
              </w:rPr>
              <w:t>26.2 (20.8, 31.9)</w:t>
            </w:r>
          </w:p>
        </w:tc>
        <w:tc>
          <w:tcPr>
            <w:tcW w:w="840" w:type="pct"/>
            <w:tcBorders>
              <w:top w:val="single" w:sz="4" w:space="0" w:color="auto"/>
              <w:left w:val="single" w:sz="4" w:space="0" w:color="auto"/>
              <w:bottom w:val="double" w:sz="4" w:space="0" w:color="auto"/>
              <w:right w:val="single" w:sz="4" w:space="0" w:color="auto"/>
            </w:tcBorders>
            <w:shd w:val="clear" w:color="auto" w:fill="auto"/>
            <w:vAlign w:val="center"/>
          </w:tcPr>
          <w:p w14:paraId="29BE1D27" w14:textId="290C964A" w:rsidR="007A744D" w:rsidRPr="00564A09" w:rsidRDefault="007A744D" w:rsidP="00826635">
            <w:pPr>
              <w:pStyle w:val="TableText0"/>
              <w:keepLines/>
              <w:widowControl w:val="0"/>
              <w:jc w:val="center"/>
              <w:rPr>
                <w:szCs w:val="20"/>
              </w:rPr>
            </w:pPr>
            <w:r w:rsidRPr="00564A09">
              <w:rPr>
                <w:szCs w:val="20"/>
                <w:lang w:bidi="en-US"/>
              </w:rPr>
              <w:t>16.3 (10.3, 23.6)</w:t>
            </w:r>
          </w:p>
        </w:tc>
        <w:tc>
          <w:tcPr>
            <w:tcW w:w="1113" w:type="pct"/>
            <w:tcBorders>
              <w:top w:val="single" w:sz="4" w:space="0" w:color="auto"/>
              <w:left w:val="single" w:sz="4" w:space="0" w:color="auto"/>
              <w:bottom w:val="double" w:sz="4" w:space="0" w:color="auto"/>
              <w:right w:val="single" w:sz="4" w:space="0" w:color="auto"/>
            </w:tcBorders>
            <w:shd w:val="clear" w:color="auto" w:fill="auto"/>
            <w:vAlign w:val="center"/>
          </w:tcPr>
          <w:p w14:paraId="7D712CD8" w14:textId="62EE4CA1" w:rsidR="007A744D" w:rsidRPr="00564A09" w:rsidRDefault="007A744D" w:rsidP="00826635">
            <w:pPr>
              <w:pStyle w:val="TableText0"/>
              <w:keepLines/>
              <w:widowControl w:val="0"/>
              <w:jc w:val="center"/>
            </w:pPr>
            <w:r w:rsidRPr="00564A09">
              <w:rPr>
                <w:rFonts w:cstheme="minorHAnsi"/>
                <w:szCs w:val="20"/>
              </w:rPr>
              <w:t>9.9</w:t>
            </w:r>
          </w:p>
        </w:tc>
        <w:tc>
          <w:tcPr>
            <w:tcW w:w="879" w:type="pct"/>
            <w:vMerge/>
            <w:tcBorders>
              <w:left w:val="single" w:sz="4" w:space="0" w:color="auto"/>
              <w:bottom w:val="double" w:sz="4" w:space="0" w:color="auto"/>
              <w:right w:val="single" w:sz="4" w:space="0" w:color="auto"/>
            </w:tcBorders>
            <w:shd w:val="clear" w:color="auto" w:fill="auto"/>
          </w:tcPr>
          <w:p w14:paraId="79D245D6" w14:textId="77777777" w:rsidR="007A744D" w:rsidRPr="00980134" w:rsidRDefault="007A744D" w:rsidP="00826635">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413"/>
        <w:gridCol w:w="1134"/>
        <w:gridCol w:w="1019"/>
        <w:gridCol w:w="1674"/>
        <w:gridCol w:w="1014"/>
        <w:gridCol w:w="1112"/>
        <w:gridCol w:w="1651"/>
      </w:tblGrid>
      <w:tr w:rsidR="00EE5515" w:rsidRPr="00980134" w14:paraId="334D925A" w14:textId="77777777">
        <w:tc>
          <w:tcPr>
            <w:tcW w:w="9017"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0ACE9C44" w14:textId="77777777" w:rsidR="00EE5515" w:rsidRPr="00980134" w:rsidRDefault="00EE5515" w:rsidP="00826635">
            <w:pPr>
              <w:pStyle w:val="In-tableHeading"/>
              <w:keepLines/>
              <w:rPr>
                <w:lang w:val="en-AU"/>
              </w:rPr>
            </w:pPr>
            <w:r w:rsidRPr="00980134">
              <w:rPr>
                <w:lang w:val="en-AU"/>
              </w:rPr>
              <w:t xml:space="preserve">Harms </w:t>
            </w:r>
          </w:p>
        </w:tc>
      </w:tr>
      <w:tr w:rsidR="00EE5515" w:rsidRPr="00980134" w14:paraId="6B76AA59" w14:textId="77777777" w:rsidTr="000A4CE5">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F462A2" w14:textId="77777777" w:rsidR="00EE5515" w:rsidRPr="00980134" w:rsidRDefault="00EE5515" w:rsidP="00826635">
            <w:pPr>
              <w:pStyle w:val="In-tableHeading"/>
              <w:keepLines/>
              <w:rPr>
                <w:lang w:val="en-A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778B5D2" w14:textId="77777777" w:rsidR="00EE5515" w:rsidRPr="00980134" w:rsidRDefault="00EE5515" w:rsidP="00826635">
            <w:pPr>
              <w:pStyle w:val="In-tableHeading"/>
              <w:keepLines/>
              <w:jc w:val="center"/>
              <w:rPr>
                <w:lang w:val="en-AU"/>
              </w:rPr>
            </w:pPr>
            <w:r w:rsidRPr="00980134">
              <w:rPr>
                <w:lang w:val="en-AU"/>
              </w:rPr>
              <w:t>T-</w:t>
            </w:r>
            <w:proofErr w:type="spellStart"/>
            <w:r w:rsidRPr="00980134">
              <w:rPr>
                <w:lang w:val="en-AU"/>
              </w:rPr>
              <w:t>DXd</w:t>
            </w:r>
            <w:proofErr w:type="spellEnd"/>
          </w:p>
          <w:p w14:paraId="4CE41261" w14:textId="77777777" w:rsidR="00EE5515" w:rsidRPr="00980134" w:rsidRDefault="00EE5515" w:rsidP="00826635">
            <w:pPr>
              <w:pStyle w:val="In-tableHeading"/>
              <w:keepLines/>
              <w:jc w:val="center"/>
              <w:rPr>
                <w:lang w:val="en-AU"/>
              </w:rPr>
            </w:pPr>
            <w:r w:rsidRPr="00980134">
              <w:rPr>
                <w:lang w:val="en-AU"/>
              </w:rPr>
              <w:t>n/N</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14:paraId="64A1EBF4" w14:textId="77777777" w:rsidR="00EE5515" w:rsidRPr="00980134" w:rsidRDefault="00EE5515" w:rsidP="00826635">
            <w:pPr>
              <w:pStyle w:val="In-tableHeading"/>
              <w:keepLines/>
              <w:jc w:val="center"/>
              <w:rPr>
                <w:lang w:val="en-AU"/>
              </w:rPr>
            </w:pPr>
            <w:r w:rsidRPr="00980134">
              <w:rPr>
                <w:lang w:val="en-AU"/>
              </w:rPr>
              <w:t>TPC</w:t>
            </w:r>
          </w:p>
          <w:p w14:paraId="32E5CBE1" w14:textId="77777777" w:rsidR="00EE5515" w:rsidRPr="00980134" w:rsidRDefault="00EE5515" w:rsidP="00826635">
            <w:pPr>
              <w:pStyle w:val="In-tableHeading"/>
              <w:keepLines/>
              <w:jc w:val="center"/>
              <w:rPr>
                <w:lang w:val="en-AU"/>
              </w:rPr>
            </w:pPr>
            <w:r w:rsidRPr="00980134">
              <w:rPr>
                <w:lang w:val="en-AU"/>
              </w:rPr>
              <w:t>n/N</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14:paraId="34CB4138" w14:textId="77777777" w:rsidR="00EE5515" w:rsidRPr="00980134" w:rsidRDefault="00EE5515" w:rsidP="00826635">
            <w:pPr>
              <w:pStyle w:val="In-tableHeading"/>
              <w:keepLines/>
              <w:jc w:val="center"/>
              <w:rPr>
                <w:vertAlign w:val="superscript"/>
                <w:lang w:val="en-AU"/>
              </w:rPr>
            </w:pPr>
            <w:proofErr w:type="spellStart"/>
            <w:r w:rsidRPr="00980134">
              <w:rPr>
                <w:lang w:val="en-AU"/>
              </w:rPr>
              <w:t>RR</w:t>
            </w:r>
            <w:r w:rsidRPr="00980134">
              <w:rPr>
                <w:vertAlign w:val="superscript"/>
                <w:lang w:val="en-AU"/>
              </w:rPr>
              <w:t>b</w:t>
            </w:r>
            <w:proofErr w:type="spellEnd"/>
          </w:p>
          <w:p w14:paraId="7491C9F2" w14:textId="77777777" w:rsidR="00EE5515" w:rsidRPr="00980134" w:rsidRDefault="00EE5515" w:rsidP="00826635">
            <w:pPr>
              <w:pStyle w:val="In-tableHeading"/>
              <w:keepLines/>
              <w:jc w:val="center"/>
              <w:rPr>
                <w:lang w:val="en-AU"/>
              </w:rPr>
            </w:pPr>
            <w:r w:rsidRPr="00980134">
              <w:rPr>
                <w:lang w:val="en-AU"/>
              </w:rPr>
              <w:t>(95% CI)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FD497E" w14:textId="77777777" w:rsidR="00EE5515" w:rsidRPr="00980134" w:rsidRDefault="00EE5515" w:rsidP="00826635">
            <w:pPr>
              <w:pStyle w:val="In-tableHeading"/>
              <w:keepLines/>
              <w:jc w:val="center"/>
              <w:rPr>
                <w:lang w:val="en-AU"/>
              </w:rPr>
            </w:pPr>
            <w:r w:rsidRPr="00980134">
              <w:rPr>
                <w:lang w:val="en-AU"/>
              </w:rPr>
              <w:t>Event rate/100 patients</w:t>
            </w:r>
          </w:p>
        </w:tc>
        <w:tc>
          <w:tcPr>
            <w:tcW w:w="1651" w:type="dxa"/>
            <w:vMerge w:val="restart"/>
            <w:tcBorders>
              <w:top w:val="single" w:sz="4" w:space="0" w:color="auto"/>
              <w:left w:val="single" w:sz="4" w:space="0" w:color="auto"/>
              <w:bottom w:val="single" w:sz="4" w:space="0" w:color="auto"/>
              <w:right w:val="single" w:sz="4" w:space="0" w:color="auto"/>
            </w:tcBorders>
            <w:vAlign w:val="center"/>
          </w:tcPr>
          <w:p w14:paraId="6AF934EC" w14:textId="77777777" w:rsidR="00EE5515" w:rsidRPr="00980134" w:rsidRDefault="00EE5515" w:rsidP="00826635">
            <w:pPr>
              <w:pStyle w:val="In-tableHeading"/>
              <w:keepLines/>
              <w:jc w:val="center"/>
              <w:rPr>
                <w:vertAlign w:val="superscript"/>
                <w:lang w:val="en-AU"/>
              </w:rPr>
            </w:pPr>
            <w:proofErr w:type="spellStart"/>
            <w:r w:rsidRPr="00980134">
              <w:rPr>
                <w:lang w:val="en-AU"/>
              </w:rPr>
              <w:t>RD</w:t>
            </w:r>
            <w:r w:rsidRPr="00980134">
              <w:rPr>
                <w:vertAlign w:val="superscript"/>
                <w:lang w:val="en-AU"/>
              </w:rPr>
              <w:t>b</w:t>
            </w:r>
            <w:proofErr w:type="spellEnd"/>
          </w:p>
          <w:p w14:paraId="75702CE1" w14:textId="77777777" w:rsidR="00EE5515" w:rsidRPr="00980134" w:rsidRDefault="00EE5515" w:rsidP="00826635">
            <w:pPr>
              <w:pStyle w:val="In-tableHeading"/>
              <w:keepLines/>
              <w:jc w:val="center"/>
              <w:rPr>
                <w:lang w:val="en-AU"/>
              </w:rPr>
            </w:pPr>
            <w:r w:rsidRPr="00980134">
              <w:rPr>
                <w:lang w:val="en-AU"/>
              </w:rPr>
              <w:t>(95% CI)</w:t>
            </w:r>
          </w:p>
        </w:tc>
      </w:tr>
      <w:tr w:rsidR="00EE5515" w:rsidRPr="00980134" w14:paraId="00FFCDF3" w14:textId="77777777" w:rsidTr="000A4CE5">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7206DA" w14:textId="77777777" w:rsidR="00EE5515" w:rsidRPr="00980134" w:rsidRDefault="00EE5515" w:rsidP="00826635">
            <w:pPr>
              <w:pStyle w:val="In-tableHeading"/>
              <w:keepLines/>
              <w:rPr>
                <w:lang w:val="en-A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B7DB00A" w14:textId="77777777" w:rsidR="00EE5515" w:rsidRPr="00980134" w:rsidRDefault="00EE5515" w:rsidP="00826635">
            <w:pPr>
              <w:pStyle w:val="In-tableHeading"/>
              <w:keepLines/>
              <w:rPr>
                <w:lang w:val="en-AU"/>
              </w:rPr>
            </w:pPr>
          </w:p>
        </w:tc>
        <w:tc>
          <w:tcPr>
            <w:tcW w:w="1019" w:type="dxa"/>
            <w:vMerge/>
            <w:tcBorders>
              <w:top w:val="single" w:sz="4" w:space="0" w:color="auto"/>
              <w:left w:val="single" w:sz="4" w:space="0" w:color="auto"/>
              <w:bottom w:val="single" w:sz="4" w:space="0" w:color="auto"/>
              <w:right w:val="single" w:sz="4" w:space="0" w:color="auto"/>
            </w:tcBorders>
            <w:vAlign w:val="center"/>
          </w:tcPr>
          <w:p w14:paraId="0FD7371E" w14:textId="77777777" w:rsidR="00EE5515" w:rsidRPr="00980134" w:rsidRDefault="00EE5515" w:rsidP="00826635">
            <w:pPr>
              <w:pStyle w:val="In-tableHeading"/>
              <w:keepLines/>
              <w:rPr>
                <w:lang w:val="en-AU"/>
              </w:rPr>
            </w:pPr>
          </w:p>
        </w:tc>
        <w:tc>
          <w:tcPr>
            <w:tcW w:w="1674" w:type="dxa"/>
            <w:vMerge/>
            <w:tcBorders>
              <w:top w:val="single" w:sz="4" w:space="0" w:color="auto"/>
              <w:left w:val="single" w:sz="4" w:space="0" w:color="auto"/>
              <w:bottom w:val="single" w:sz="4" w:space="0" w:color="auto"/>
              <w:right w:val="single" w:sz="4" w:space="0" w:color="auto"/>
            </w:tcBorders>
            <w:vAlign w:val="center"/>
          </w:tcPr>
          <w:p w14:paraId="4E6A3850" w14:textId="77777777" w:rsidR="00EE5515" w:rsidRPr="00980134" w:rsidRDefault="00EE5515" w:rsidP="00826635">
            <w:pPr>
              <w:pStyle w:val="In-tableHeading"/>
              <w:keepLines/>
              <w:rPr>
                <w:lang w:val="en-AU"/>
              </w:rPr>
            </w:pPr>
          </w:p>
        </w:tc>
        <w:tc>
          <w:tcPr>
            <w:tcW w:w="1014" w:type="dxa"/>
            <w:tcBorders>
              <w:top w:val="single" w:sz="4" w:space="0" w:color="auto"/>
              <w:left w:val="single" w:sz="4" w:space="0" w:color="auto"/>
              <w:bottom w:val="single" w:sz="4" w:space="0" w:color="auto"/>
              <w:right w:val="single" w:sz="4" w:space="0" w:color="auto"/>
            </w:tcBorders>
            <w:vAlign w:val="center"/>
          </w:tcPr>
          <w:p w14:paraId="5BFF3AAA" w14:textId="77777777" w:rsidR="00EE5515" w:rsidRPr="00980134" w:rsidRDefault="00EE5515" w:rsidP="00826635">
            <w:pPr>
              <w:pStyle w:val="In-tableHeading"/>
              <w:keepLines/>
              <w:jc w:val="center"/>
              <w:rPr>
                <w:lang w:val="en-AU"/>
              </w:rPr>
            </w:pPr>
            <w:r w:rsidRPr="00980134">
              <w:rPr>
                <w:lang w:val="en-AU"/>
              </w:rPr>
              <w:t>T-</w:t>
            </w:r>
            <w:proofErr w:type="spellStart"/>
            <w:r w:rsidRPr="00980134">
              <w:rPr>
                <w:lang w:val="en-AU"/>
              </w:rPr>
              <w:t>DXd</w:t>
            </w:r>
            <w:proofErr w:type="spellEnd"/>
          </w:p>
        </w:tc>
        <w:tc>
          <w:tcPr>
            <w:tcW w:w="1112" w:type="dxa"/>
            <w:tcBorders>
              <w:top w:val="single" w:sz="4" w:space="0" w:color="auto"/>
              <w:left w:val="single" w:sz="4" w:space="0" w:color="auto"/>
              <w:bottom w:val="single" w:sz="4" w:space="0" w:color="auto"/>
              <w:right w:val="single" w:sz="4" w:space="0" w:color="auto"/>
            </w:tcBorders>
            <w:vAlign w:val="center"/>
          </w:tcPr>
          <w:p w14:paraId="697A7149" w14:textId="77777777" w:rsidR="00EE5515" w:rsidRPr="00980134" w:rsidRDefault="00EE5515" w:rsidP="00826635">
            <w:pPr>
              <w:pStyle w:val="In-tableHeading"/>
              <w:keepLines/>
              <w:jc w:val="center"/>
              <w:rPr>
                <w:lang w:val="en-AU"/>
              </w:rPr>
            </w:pPr>
            <w:r w:rsidRPr="00980134">
              <w:rPr>
                <w:lang w:val="en-AU"/>
              </w:rPr>
              <w:t>TPC</w:t>
            </w:r>
          </w:p>
        </w:tc>
        <w:tc>
          <w:tcPr>
            <w:tcW w:w="1651" w:type="dxa"/>
            <w:vMerge/>
            <w:tcBorders>
              <w:top w:val="single" w:sz="4" w:space="0" w:color="auto"/>
              <w:left w:val="single" w:sz="4" w:space="0" w:color="auto"/>
              <w:bottom w:val="single" w:sz="4" w:space="0" w:color="auto"/>
              <w:right w:val="single" w:sz="4" w:space="0" w:color="auto"/>
            </w:tcBorders>
            <w:vAlign w:val="center"/>
          </w:tcPr>
          <w:p w14:paraId="1958DC15" w14:textId="77777777" w:rsidR="00EE5515" w:rsidRPr="00980134" w:rsidRDefault="00EE5515" w:rsidP="00826635">
            <w:pPr>
              <w:pStyle w:val="In-tableHeading"/>
              <w:keepLines/>
              <w:rPr>
                <w:lang w:val="en-AU"/>
              </w:rPr>
            </w:pPr>
          </w:p>
        </w:tc>
      </w:tr>
      <w:tr w:rsidR="00EE5515" w:rsidRPr="00980134" w14:paraId="3953F10C" w14:textId="77777777" w:rsidTr="000A4CE5">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08C9F38" w14:textId="77777777" w:rsidR="00EE5515" w:rsidRPr="00980134" w:rsidRDefault="00EE5515" w:rsidP="00826635">
            <w:pPr>
              <w:pStyle w:val="TableText0"/>
              <w:keepLines/>
            </w:pPr>
            <w:r w:rsidRPr="00980134">
              <w:rPr>
                <w:rFonts w:cstheme="minorHAnsi"/>
                <w:szCs w:val="20"/>
              </w:rPr>
              <w:t>Any TEAE</w:t>
            </w:r>
          </w:p>
        </w:tc>
        <w:tc>
          <w:tcPr>
            <w:tcW w:w="1134" w:type="dxa"/>
            <w:tcBorders>
              <w:top w:val="single" w:sz="4" w:space="0" w:color="auto"/>
              <w:left w:val="single" w:sz="4" w:space="0" w:color="auto"/>
              <w:bottom w:val="single" w:sz="4" w:space="0" w:color="auto"/>
              <w:right w:val="single" w:sz="4" w:space="0" w:color="auto"/>
            </w:tcBorders>
            <w:vAlign w:val="center"/>
          </w:tcPr>
          <w:p w14:paraId="5DC50D2C" w14:textId="77777777" w:rsidR="00EE5515" w:rsidRPr="00564A09" w:rsidRDefault="00EE5515" w:rsidP="00826635">
            <w:pPr>
              <w:pStyle w:val="TableText0"/>
              <w:keepLines/>
              <w:jc w:val="center"/>
            </w:pPr>
            <w:r w:rsidRPr="00564A09">
              <w:t>369/371</w:t>
            </w:r>
          </w:p>
        </w:tc>
        <w:tc>
          <w:tcPr>
            <w:tcW w:w="1019" w:type="dxa"/>
            <w:tcBorders>
              <w:top w:val="single" w:sz="4" w:space="0" w:color="auto"/>
              <w:left w:val="single" w:sz="4" w:space="0" w:color="auto"/>
              <w:bottom w:val="single" w:sz="4" w:space="0" w:color="auto"/>
              <w:right w:val="single" w:sz="4" w:space="0" w:color="auto"/>
            </w:tcBorders>
            <w:vAlign w:val="center"/>
          </w:tcPr>
          <w:p w14:paraId="6B9730AA" w14:textId="77777777" w:rsidR="00EE5515" w:rsidRPr="00564A09" w:rsidRDefault="00EE5515" w:rsidP="00826635">
            <w:pPr>
              <w:pStyle w:val="TableText0"/>
              <w:keepLines/>
              <w:jc w:val="center"/>
            </w:pPr>
            <w:r w:rsidRPr="00564A09">
              <w:t>169/172</w:t>
            </w:r>
          </w:p>
        </w:tc>
        <w:tc>
          <w:tcPr>
            <w:tcW w:w="1674" w:type="dxa"/>
            <w:tcBorders>
              <w:top w:val="single" w:sz="4" w:space="0" w:color="auto"/>
              <w:left w:val="single" w:sz="4" w:space="0" w:color="auto"/>
              <w:bottom w:val="single" w:sz="4" w:space="0" w:color="auto"/>
              <w:right w:val="single" w:sz="4" w:space="0" w:color="auto"/>
            </w:tcBorders>
            <w:vAlign w:val="center"/>
          </w:tcPr>
          <w:p w14:paraId="2232E83D" w14:textId="77777777" w:rsidR="00EE5515" w:rsidRPr="00564A09" w:rsidRDefault="00EE5515" w:rsidP="00826635">
            <w:pPr>
              <w:pStyle w:val="TableText0"/>
              <w:keepLines/>
              <w:jc w:val="center"/>
            </w:pPr>
            <w:r w:rsidRPr="00564A09">
              <w:rPr>
                <w:rFonts w:cstheme="minorHAnsi"/>
                <w:szCs w:val="20"/>
              </w:rPr>
              <w:t>1.01 (0.99, 1.03)</w:t>
            </w:r>
          </w:p>
        </w:tc>
        <w:tc>
          <w:tcPr>
            <w:tcW w:w="1014" w:type="dxa"/>
            <w:tcBorders>
              <w:top w:val="single" w:sz="4" w:space="0" w:color="auto"/>
              <w:left w:val="single" w:sz="4" w:space="0" w:color="auto"/>
              <w:bottom w:val="single" w:sz="4" w:space="0" w:color="auto"/>
              <w:right w:val="single" w:sz="4" w:space="0" w:color="auto"/>
            </w:tcBorders>
            <w:vAlign w:val="center"/>
          </w:tcPr>
          <w:p w14:paraId="16043704" w14:textId="77777777" w:rsidR="00EE5515" w:rsidRPr="00564A09" w:rsidRDefault="00EE5515" w:rsidP="00826635">
            <w:pPr>
              <w:pStyle w:val="TableText0"/>
              <w:keepLines/>
              <w:jc w:val="center"/>
            </w:pPr>
            <w:r w:rsidRPr="00564A09">
              <w:t>99.5</w:t>
            </w:r>
          </w:p>
        </w:tc>
        <w:tc>
          <w:tcPr>
            <w:tcW w:w="1112" w:type="dxa"/>
            <w:tcBorders>
              <w:top w:val="single" w:sz="4" w:space="0" w:color="auto"/>
              <w:left w:val="single" w:sz="4" w:space="0" w:color="auto"/>
              <w:bottom w:val="single" w:sz="4" w:space="0" w:color="auto"/>
              <w:right w:val="single" w:sz="4" w:space="0" w:color="auto"/>
            </w:tcBorders>
            <w:vAlign w:val="center"/>
          </w:tcPr>
          <w:p w14:paraId="3ABF598A" w14:textId="77777777" w:rsidR="00EE5515" w:rsidRPr="00564A09" w:rsidRDefault="00EE5515" w:rsidP="00826635">
            <w:pPr>
              <w:pStyle w:val="TableText0"/>
              <w:keepLines/>
              <w:jc w:val="center"/>
            </w:pPr>
            <w:r w:rsidRPr="00564A09">
              <w:t>98.3</w:t>
            </w:r>
          </w:p>
        </w:tc>
        <w:tc>
          <w:tcPr>
            <w:tcW w:w="1651" w:type="dxa"/>
            <w:tcBorders>
              <w:top w:val="single" w:sz="4" w:space="0" w:color="auto"/>
              <w:left w:val="single" w:sz="4" w:space="0" w:color="auto"/>
              <w:bottom w:val="single" w:sz="4" w:space="0" w:color="auto"/>
              <w:right w:val="single" w:sz="4" w:space="0" w:color="auto"/>
            </w:tcBorders>
            <w:vAlign w:val="center"/>
          </w:tcPr>
          <w:p w14:paraId="59DAC8BD" w14:textId="77777777" w:rsidR="00EE5515" w:rsidRPr="00564A09" w:rsidRDefault="00EE5515" w:rsidP="00826635">
            <w:pPr>
              <w:pStyle w:val="TableText0"/>
              <w:keepLines/>
              <w:jc w:val="center"/>
            </w:pPr>
            <w:r w:rsidRPr="00564A09">
              <w:rPr>
                <w:rFonts w:cstheme="minorHAnsi"/>
                <w:szCs w:val="20"/>
              </w:rPr>
              <w:t>0.01 (-0.01, 0.03)</w:t>
            </w:r>
          </w:p>
        </w:tc>
      </w:tr>
      <w:tr w:rsidR="00AC43E6" w:rsidRPr="00980134" w14:paraId="496FD12C" w14:textId="77777777" w:rsidTr="000A4CE5">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A17084" w14:textId="77DB1F3F" w:rsidR="00AC43E6" w:rsidRPr="00980134" w:rsidDel="00B22529" w:rsidRDefault="00852F09" w:rsidP="00826635">
            <w:pPr>
              <w:pStyle w:val="TableText0"/>
              <w:keepLines/>
            </w:pPr>
            <w:r w:rsidRPr="00980134">
              <w:t>Serious TEAEs</w:t>
            </w:r>
          </w:p>
        </w:tc>
        <w:tc>
          <w:tcPr>
            <w:tcW w:w="1134" w:type="dxa"/>
            <w:tcBorders>
              <w:top w:val="single" w:sz="4" w:space="0" w:color="auto"/>
              <w:left w:val="single" w:sz="4" w:space="0" w:color="auto"/>
              <w:bottom w:val="single" w:sz="4" w:space="0" w:color="auto"/>
              <w:right w:val="single" w:sz="4" w:space="0" w:color="auto"/>
            </w:tcBorders>
            <w:vAlign w:val="center"/>
          </w:tcPr>
          <w:p w14:paraId="7D667322" w14:textId="72048B24" w:rsidR="00AC43E6" w:rsidRPr="00564A09" w:rsidDel="00B22529" w:rsidRDefault="00852F09" w:rsidP="00826635">
            <w:pPr>
              <w:pStyle w:val="TableText0"/>
              <w:keepLines/>
              <w:jc w:val="center"/>
            </w:pPr>
            <w:r w:rsidRPr="00564A09">
              <w:t>108/371</w:t>
            </w:r>
          </w:p>
        </w:tc>
        <w:tc>
          <w:tcPr>
            <w:tcW w:w="1019" w:type="dxa"/>
            <w:tcBorders>
              <w:top w:val="single" w:sz="4" w:space="0" w:color="auto"/>
              <w:left w:val="single" w:sz="4" w:space="0" w:color="auto"/>
              <w:bottom w:val="single" w:sz="4" w:space="0" w:color="auto"/>
              <w:right w:val="single" w:sz="4" w:space="0" w:color="auto"/>
            </w:tcBorders>
            <w:vAlign w:val="center"/>
          </w:tcPr>
          <w:p w14:paraId="5E5BD0DE" w14:textId="41FB094D" w:rsidR="00AC43E6" w:rsidRPr="00564A09" w:rsidDel="00B22529" w:rsidRDefault="00852F09" w:rsidP="00826635">
            <w:pPr>
              <w:pStyle w:val="TableText0"/>
              <w:keepLines/>
              <w:jc w:val="center"/>
            </w:pPr>
            <w:r w:rsidRPr="00564A09">
              <w:t>44/172</w:t>
            </w:r>
          </w:p>
        </w:tc>
        <w:tc>
          <w:tcPr>
            <w:tcW w:w="1674" w:type="dxa"/>
            <w:tcBorders>
              <w:top w:val="single" w:sz="4" w:space="0" w:color="auto"/>
              <w:left w:val="single" w:sz="4" w:space="0" w:color="auto"/>
              <w:bottom w:val="single" w:sz="4" w:space="0" w:color="auto"/>
              <w:right w:val="single" w:sz="4" w:space="0" w:color="auto"/>
            </w:tcBorders>
            <w:vAlign w:val="center"/>
          </w:tcPr>
          <w:p w14:paraId="1E80234E" w14:textId="77777777" w:rsidR="00852F09" w:rsidRPr="00564A09" w:rsidRDefault="00852F09" w:rsidP="00826635">
            <w:pPr>
              <w:keepNext/>
              <w:keepLines/>
              <w:tabs>
                <w:tab w:val="left" w:pos="514"/>
              </w:tabs>
              <w:jc w:val="center"/>
              <w:rPr>
                <w:rFonts w:ascii="Arial Narrow" w:hAnsi="Arial Narrow" w:cstheme="minorHAnsi"/>
                <w:sz w:val="20"/>
                <w:szCs w:val="20"/>
                <w:lang w:eastAsia="en-GB"/>
              </w:rPr>
            </w:pPr>
            <w:r w:rsidRPr="00564A09">
              <w:rPr>
                <w:rFonts w:ascii="Arial Narrow" w:hAnsi="Arial Narrow" w:cstheme="minorHAnsi"/>
                <w:sz w:val="20"/>
                <w:szCs w:val="20"/>
                <w:lang w:eastAsia="en-GB"/>
              </w:rPr>
              <w:t xml:space="preserve">1.14 </w:t>
            </w:r>
          </w:p>
          <w:p w14:paraId="0368B5AF" w14:textId="34D72D78" w:rsidR="00AC43E6" w:rsidRPr="00564A09" w:rsidDel="00B22529" w:rsidRDefault="00852F09" w:rsidP="00826635">
            <w:pPr>
              <w:pStyle w:val="TableText0"/>
              <w:keepLines/>
              <w:jc w:val="center"/>
              <w:rPr>
                <w:rFonts w:cstheme="minorHAnsi"/>
                <w:b/>
                <w:szCs w:val="20"/>
                <w:lang w:eastAsia="en-GB"/>
              </w:rPr>
            </w:pPr>
            <w:r w:rsidRPr="00564A09">
              <w:rPr>
                <w:rFonts w:cstheme="minorHAnsi"/>
                <w:szCs w:val="20"/>
                <w:lang w:eastAsia="en-GB"/>
              </w:rPr>
              <w:t>(0.84, 1.54)</w:t>
            </w:r>
          </w:p>
        </w:tc>
        <w:tc>
          <w:tcPr>
            <w:tcW w:w="1014" w:type="dxa"/>
            <w:tcBorders>
              <w:top w:val="single" w:sz="4" w:space="0" w:color="auto"/>
              <w:left w:val="single" w:sz="4" w:space="0" w:color="auto"/>
              <w:bottom w:val="single" w:sz="4" w:space="0" w:color="auto"/>
              <w:right w:val="single" w:sz="4" w:space="0" w:color="auto"/>
            </w:tcBorders>
            <w:vAlign w:val="center"/>
          </w:tcPr>
          <w:p w14:paraId="630EB6AA" w14:textId="4CA00DFE" w:rsidR="00AC43E6" w:rsidRPr="00564A09" w:rsidDel="00B22529" w:rsidRDefault="00852F09" w:rsidP="00826635">
            <w:pPr>
              <w:pStyle w:val="TableText0"/>
              <w:keepLines/>
              <w:jc w:val="center"/>
            </w:pPr>
            <w:r w:rsidRPr="00564A09">
              <w:t>29.1</w:t>
            </w:r>
          </w:p>
        </w:tc>
        <w:tc>
          <w:tcPr>
            <w:tcW w:w="1112" w:type="dxa"/>
            <w:tcBorders>
              <w:top w:val="single" w:sz="4" w:space="0" w:color="auto"/>
              <w:left w:val="single" w:sz="4" w:space="0" w:color="auto"/>
              <w:bottom w:val="single" w:sz="4" w:space="0" w:color="auto"/>
              <w:right w:val="single" w:sz="4" w:space="0" w:color="auto"/>
            </w:tcBorders>
            <w:vAlign w:val="center"/>
          </w:tcPr>
          <w:p w14:paraId="46828B86" w14:textId="6A69BCF4" w:rsidR="00AC43E6" w:rsidRPr="00564A09" w:rsidDel="00B22529" w:rsidRDefault="00852F09" w:rsidP="00826635">
            <w:pPr>
              <w:pStyle w:val="TableText0"/>
              <w:keepLines/>
              <w:jc w:val="center"/>
            </w:pPr>
            <w:r w:rsidRPr="00564A09">
              <w:t>25.6</w:t>
            </w:r>
          </w:p>
        </w:tc>
        <w:tc>
          <w:tcPr>
            <w:tcW w:w="1651" w:type="dxa"/>
            <w:tcBorders>
              <w:top w:val="single" w:sz="4" w:space="0" w:color="auto"/>
              <w:left w:val="single" w:sz="4" w:space="0" w:color="auto"/>
              <w:bottom w:val="single" w:sz="4" w:space="0" w:color="auto"/>
              <w:right w:val="single" w:sz="4" w:space="0" w:color="auto"/>
            </w:tcBorders>
            <w:vAlign w:val="center"/>
          </w:tcPr>
          <w:p w14:paraId="29937AE9" w14:textId="77777777" w:rsidR="00852F09" w:rsidRPr="00564A09" w:rsidRDefault="00852F09" w:rsidP="00826635">
            <w:pPr>
              <w:keepNext/>
              <w:keepLines/>
              <w:tabs>
                <w:tab w:val="left" w:pos="514"/>
              </w:tabs>
              <w:jc w:val="center"/>
              <w:rPr>
                <w:rFonts w:ascii="Arial Narrow" w:hAnsi="Arial Narrow" w:cstheme="minorHAnsi"/>
                <w:sz w:val="20"/>
                <w:szCs w:val="20"/>
                <w:lang w:eastAsia="en-GB"/>
              </w:rPr>
            </w:pPr>
            <w:r w:rsidRPr="00564A09">
              <w:rPr>
                <w:rFonts w:ascii="Arial Narrow" w:hAnsi="Arial Narrow" w:cstheme="minorHAnsi"/>
                <w:sz w:val="20"/>
                <w:szCs w:val="20"/>
                <w:lang w:eastAsia="en-GB"/>
              </w:rPr>
              <w:t>0.04</w:t>
            </w:r>
          </w:p>
          <w:p w14:paraId="192F5F83" w14:textId="19DF179C" w:rsidR="00AC43E6" w:rsidRPr="00564A09" w:rsidDel="00B22529" w:rsidRDefault="00852F09" w:rsidP="00826635">
            <w:pPr>
              <w:pStyle w:val="TableText0"/>
              <w:keepLines/>
              <w:jc w:val="center"/>
              <w:rPr>
                <w:rFonts w:cstheme="minorHAnsi"/>
                <w:b/>
                <w:szCs w:val="20"/>
                <w:lang w:eastAsia="en-GB"/>
              </w:rPr>
            </w:pPr>
            <w:r w:rsidRPr="00564A09">
              <w:rPr>
                <w:rFonts w:cstheme="minorHAnsi"/>
                <w:szCs w:val="20"/>
                <w:lang w:eastAsia="en-GB"/>
              </w:rPr>
              <w:t xml:space="preserve"> (-0.04, 0.12)</w:t>
            </w:r>
          </w:p>
        </w:tc>
      </w:tr>
      <w:tr w:rsidR="00EE5515" w:rsidRPr="00980134" w14:paraId="3BA20EAF" w14:textId="77777777" w:rsidTr="000A4CE5">
        <w:tc>
          <w:tcPr>
            <w:tcW w:w="1413" w:type="dxa"/>
            <w:tcBorders>
              <w:top w:val="single" w:sz="4" w:space="0" w:color="auto"/>
              <w:left w:val="single" w:sz="4" w:space="0" w:color="auto"/>
              <w:bottom w:val="single" w:sz="4" w:space="0" w:color="auto"/>
              <w:right w:val="single" w:sz="4" w:space="0" w:color="auto"/>
            </w:tcBorders>
            <w:shd w:val="clear" w:color="auto" w:fill="auto"/>
          </w:tcPr>
          <w:p w14:paraId="4A7A1712" w14:textId="77777777" w:rsidR="00EE5515" w:rsidRPr="00980134" w:rsidRDefault="00EE5515" w:rsidP="00826635">
            <w:pPr>
              <w:pStyle w:val="TableText0"/>
              <w:keepLines/>
              <w:ind w:right="-24"/>
            </w:pPr>
            <w:r w:rsidRPr="00980134">
              <w:t>TEAEs associated with study drug discontinuation</w:t>
            </w:r>
          </w:p>
        </w:tc>
        <w:tc>
          <w:tcPr>
            <w:tcW w:w="1134" w:type="dxa"/>
            <w:tcBorders>
              <w:top w:val="single" w:sz="4" w:space="0" w:color="auto"/>
              <w:left w:val="single" w:sz="4" w:space="0" w:color="auto"/>
              <w:bottom w:val="single" w:sz="4" w:space="0" w:color="auto"/>
              <w:right w:val="single" w:sz="4" w:space="0" w:color="auto"/>
            </w:tcBorders>
            <w:vAlign w:val="center"/>
          </w:tcPr>
          <w:p w14:paraId="48D3F5EA" w14:textId="77777777" w:rsidR="00EE5515" w:rsidRPr="00564A09" w:rsidRDefault="00EE5515" w:rsidP="00826635">
            <w:pPr>
              <w:pStyle w:val="TableText0"/>
              <w:keepLines/>
              <w:jc w:val="center"/>
            </w:pPr>
            <w:r w:rsidRPr="00564A09">
              <w:t>62/371</w:t>
            </w:r>
          </w:p>
        </w:tc>
        <w:tc>
          <w:tcPr>
            <w:tcW w:w="1019" w:type="dxa"/>
            <w:tcBorders>
              <w:top w:val="single" w:sz="4" w:space="0" w:color="auto"/>
              <w:left w:val="single" w:sz="4" w:space="0" w:color="auto"/>
              <w:bottom w:val="single" w:sz="4" w:space="0" w:color="auto"/>
              <w:right w:val="single" w:sz="4" w:space="0" w:color="auto"/>
            </w:tcBorders>
            <w:vAlign w:val="center"/>
          </w:tcPr>
          <w:p w14:paraId="068DECD3" w14:textId="77777777" w:rsidR="00EE5515" w:rsidRPr="00564A09" w:rsidRDefault="00EE5515" w:rsidP="00826635">
            <w:pPr>
              <w:pStyle w:val="TableText0"/>
              <w:keepLines/>
              <w:jc w:val="center"/>
            </w:pPr>
            <w:r w:rsidRPr="00564A09">
              <w:t>14/172</w:t>
            </w:r>
          </w:p>
        </w:tc>
        <w:tc>
          <w:tcPr>
            <w:tcW w:w="1674" w:type="dxa"/>
            <w:tcBorders>
              <w:top w:val="single" w:sz="4" w:space="0" w:color="auto"/>
              <w:left w:val="single" w:sz="4" w:space="0" w:color="auto"/>
              <w:bottom w:val="single" w:sz="4" w:space="0" w:color="auto"/>
              <w:right w:val="single" w:sz="4" w:space="0" w:color="auto"/>
            </w:tcBorders>
            <w:vAlign w:val="center"/>
          </w:tcPr>
          <w:p w14:paraId="0DC313D3" w14:textId="77777777" w:rsidR="00EE5515" w:rsidRPr="00564A09" w:rsidRDefault="00EE5515" w:rsidP="00826635">
            <w:pPr>
              <w:pStyle w:val="TableText0"/>
              <w:keepLines/>
              <w:jc w:val="center"/>
            </w:pPr>
            <w:r w:rsidRPr="00564A09">
              <w:rPr>
                <w:rFonts w:cstheme="minorHAnsi"/>
                <w:b/>
                <w:szCs w:val="20"/>
                <w:lang w:eastAsia="en-GB"/>
              </w:rPr>
              <w:t>2.05 (1.18, 3.56)</w:t>
            </w:r>
          </w:p>
        </w:tc>
        <w:tc>
          <w:tcPr>
            <w:tcW w:w="1014" w:type="dxa"/>
            <w:tcBorders>
              <w:top w:val="single" w:sz="4" w:space="0" w:color="auto"/>
              <w:left w:val="single" w:sz="4" w:space="0" w:color="auto"/>
              <w:bottom w:val="single" w:sz="4" w:space="0" w:color="auto"/>
              <w:right w:val="single" w:sz="4" w:space="0" w:color="auto"/>
            </w:tcBorders>
            <w:vAlign w:val="center"/>
          </w:tcPr>
          <w:p w14:paraId="0FDC4FD6" w14:textId="77777777" w:rsidR="00EE5515" w:rsidRPr="00564A09" w:rsidRDefault="00EE5515" w:rsidP="00826635">
            <w:pPr>
              <w:pStyle w:val="TableText0"/>
              <w:keepLines/>
              <w:jc w:val="center"/>
            </w:pPr>
            <w:r w:rsidRPr="00564A09">
              <w:t>16.7</w:t>
            </w:r>
          </w:p>
        </w:tc>
        <w:tc>
          <w:tcPr>
            <w:tcW w:w="1112" w:type="dxa"/>
            <w:tcBorders>
              <w:top w:val="single" w:sz="4" w:space="0" w:color="auto"/>
              <w:left w:val="single" w:sz="4" w:space="0" w:color="auto"/>
              <w:bottom w:val="single" w:sz="4" w:space="0" w:color="auto"/>
              <w:right w:val="single" w:sz="4" w:space="0" w:color="auto"/>
            </w:tcBorders>
            <w:vAlign w:val="center"/>
          </w:tcPr>
          <w:p w14:paraId="11EF717A" w14:textId="77777777" w:rsidR="00EE5515" w:rsidRPr="00564A09" w:rsidRDefault="00EE5515" w:rsidP="00826635">
            <w:pPr>
              <w:pStyle w:val="TableText0"/>
              <w:keepLines/>
              <w:jc w:val="center"/>
            </w:pPr>
            <w:r w:rsidRPr="00564A09">
              <w:t>8.1</w:t>
            </w:r>
          </w:p>
        </w:tc>
        <w:tc>
          <w:tcPr>
            <w:tcW w:w="1651" w:type="dxa"/>
            <w:tcBorders>
              <w:top w:val="single" w:sz="4" w:space="0" w:color="auto"/>
              <w:left w:val="single" w:sz="4" w:space="0" w:color="auto"/>
              <w:bottom w:val="single" w:sz="4" w:space="0" w:color="auto"/>
              <w:right w:val="single" w:sz="4" w:space="0" w:color="auto"/>
            </w:tcBorders>
            <w:vAlign w:val="center"/>
          </w:tcPr>
          <w:p w14:paraId="29E119A8" w14:textId="77777777" w:rsidR="00EE5515" w:rsidRPr="00564A09" w:rsidRDefault="00EE5515" w:rsidP="00826635">
            <w:pPr>
              <w:pStyle w:val="TableText0"/>
              <w:keepLines/>
              <w:jc w:val="center"/>
            </w:pPr>
            <w:r w:rsidRPr="00564A09">
              <w:rPr>
                <w:rFonts w:cstheme="minorHAnsi"/>
                <w:b/>
                <w:szCs w:val="20"/>
                <w:lang w:eastAsia="en-GB"/>
              </w:rPr>
              <w:t>0.09 (0.03, 0.14)</w:t>
            </w:r>
          </w:p>
        </w:tc>
      </w:tr>
      <w:tr w:rsidR="00EE5515" w:rsidRPr="00980134" w14:paraId="282B7741" w14:textId="77777777" w:rsidTr="000A4CE5">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31A2272" w14:textId="77777777" w:rsidR="00EE5515" w:rsidRPr="00980134" w:rsidRDefault="00EE5515" w:rsidP="00826635">
            <w:pPr>
              <w:pStyle w:val="TableText0"/>
              <w:keepLines/>
            </w:pPr>
            <w:r w:rsidRPr="00980134">
              <w:t>ILD</w:t>
            </w:r>
          </w:p>
        </w:tc>
        <w:tc>
          <w:tcPr>
            <w:tcW w:w="1134" w:type="dxa"/>
            <w:tcBorders>
              <w:top w:val="single" w:sz="4" w:space="0" w:color="auto"/>
              <w:left w:val="single" w:sz="4" w:space="0" w:color="auto"/>
              <w:bottom w:val="single" w:sz="4" w:space="0" w:color="auto"/>
              <w:right w:val="single" w:sz="4" w:space="0" w:color="auto"/>
            </w:tcBorders>
            <w:vAlign w:val="center"/>
          </w:tcPr>
          <w:p w14:paraId="2CA84535" w14:textId="44DCF6BA" w:rsidR="00EE5515" w:rsidRPr="00564A09" w:rsidRDefault="00B22529" w:rsidP="00826635">
            <w:pPr>
              <w:pStyle w:val="TableText0"/>
              <w:keepLines/>
              <w:jc w:val="center"/>
            </w:pPr>
            <w:r w:rsidRPr="00564A09">
              <w:t>45</w:t>
            </w:r>
            <w:r w:rsidR="00EE5515" w:rsidRPr="00564A09">
              <w:t>/371</w:t>
            </w:r>
          </w:p>
        </w:tc>
        <w:tc>
          <w:tcPr>
            <w:tcW w:w="1019" w:type="dxa"/>
            <w:tcBorders>
              <w:top w:val="single" w:sz="4" w:space="0" w:color="auto"/>
              <w:left w:val="single" w:sz="4" w:space="0" w:color="auto"/>
              <w:bottom w:val="single" w:sz="4" w:space="0" w:color="auto"/>
              <w:right w:val="single" w:sz="4" w:space="0" w:color="auto"/>
            </w:tcBorders>
            <w:vAlign w:val="center"/>
          </w:tcPr>
          <w:p w14:paraId="4E73DB45" w14:textId="6BF21C94" w:rsidR="00EE5515" w:rsidRPr="00564A09" w:rsidRDefault="00B22529" w:rsidP="00826635">
            <w:pPr>
              <w:pStyle w:val="TableText0"/>
              <w:keepLines/>
              <w:jc w:val="center"/>
            </w:pPr>
            <w:r w:rsidRPr="00564A09">
              <w:t>1</w:t>
            </w:r>
            <w:r w:rsidR="00EE5515" w:rsidRPr="00564A09">
              <w:t>/172</w:t>
            </w:r>
          </w:p>
        </w:tc>
        <w:tc>
          <w:tcPr>
            <w:tcW w:w="1674" w:type="dxa"/>
            <w:tcBorders>
              <w:top w:val="single" w:sz="4" w:space="0" w:color="auto"/>
              <w:left w:val="single" w:sz="4" w:space="0" w:color="auto"/>
              <w:bottom w:val="single" w:sz="4" w:space="0" w:color="auto"/>
              <w:right w:val="single" w:sz="4" w:space="0" w:color="auto"/>
            </w:tcBorders>
            <w:vAlign w:val="center"/>
          </w:tcPr>
          <w:p w14:paraId="29CA6A0B" w14:textId="77777777" w:rsidR="00B22529" w:rsidRPr="00564A09" w:rsidRDefault="00B22529" w:rsidP="00826635">
            <w:pPr>
              <w:keepNext/>
              <w:keepLines/>
              <w:tabs>
                <w:tab w:val="left" w:pos="514"/>
              </w:tabs>
              <w:jc w:val="center"/>
              <w:rPr>
                <w:rFonts w:ascii="Arial Narrow" w:hAnsi="Arial Narrow" w:cstheme="minorHAnsi"/>
                <w:b/>
                <w:bCs/>
                <w:sz w:val="20"/>
                <w:szCs w:val="20"/>
                <w:lang w:eastAsia="en-GB"/>
              </w:rPr>
            </w:pPr>
            <w:r w:rsidRPr="00564A09">
              <w:rPr>
                <w:rFonts w:ascii="Arial Narrow" w:hAnsi="Arial Narrow" w:cstheme="minorHAnsi"/>
                <w:b/>
                <w:bCs/>
                <w:sz w:val="20"/>
                <w:szCs w:val="20"/>
                <w:lang w:eastAsia="en-GB"/>
              </w:rPr>
              <w:t>20.86</w:t>
            </w:r>
          </w:p>
          <w:p w14:paraId="4DAFB7D0" w14:textId="0F82FDD9" w:rsidR="00EE5515" w:rsidRPr="00564A09" w:rsidRDefault="00B22529" w:rsidP="00826635">
            <w:pPr>
              <w:pStyle w:val="TableText0"/>
              <w:keepLines/>
              <w:jc w:val="center"/>
              <w:rPr>
                <w:rFonts w:cstheme="minorHAnsi"/>
                <w:b/>
                <w:szCs w:val="20"/>
                <w:lang w:eastAsia="en-GB"/>
              </w:rPr>
            </w:pPr>
            <w:r w:rsidRPr="00564A09">
              <w:rPr>
                <w:rFonts w:cstheme="minorHAnsi"/>
                <w:b/>
                <w:szCs w:val="20"/>
                <w:lang w:eastAsia="en-GB"/>
              </w:rPr>
              <w:t xml:space="preserve"> (</w:t>
            </w:r>
            <w:r w:rsidRPr="00564A09">
              <w:rPr>
                <w:rFonts w:cstheme="minorHAnsi"/>
                <w:b/>
                <w:bCs w:val="0"/>
                <w:szCs w:val="20"/>
                <w:lang w:eastAsia="en-GB"/>
              </w:rPr>
              <w:t>2.90</w:t>
            </w:r>
            <w:r w:rsidRPr="00564A09">
              <w:rPr>
                <w:rFonts w:cstheme="minorHAnsi"/>
                <w:b/>
                <w:szCs w:val="20"/>
                <w:lang w:eastAsia="en-GB"/>
              </w:rPr>
              <w:t xml:space="preserve">, </w:t>
            </w:r>
            <w:r w:rsidRPr="00564A09">
              <w:rPr>
                <w:rFonts w:cstheme="minorHAnsi"/>
                <w:b/>
                <w:bCs w:val="0"/>
                <w:szCs w:val="20"/>
                <w:lang w:eastAsia="en-GB"/>
              </w:rPr>
              <w:t>150.10</w:t>
            </w:r>
            <w:r w:rsidRPr="00564A09">
              <w:rPr>
                <w:rFonts w:cstheme="minorHAnsi"/>
                <w:b/>
                <w:szCs w:val="20"/>
                <w:lang w:eastAsia="en-GB"/>
              </w:rPr>
              <w:t>)</w:t>
            </w:r>
          </w:p>
        </w:tc>
        <w:tc>
          <w:tcPr>
            <w:tcW w:w="1014" w:type="dxa"/>
            <w:tcBorders>
              <w:top w:val="single" w:sz="4" w:space="0" w:color="auto"/>
              <w:left w:val="single" w:sz="4" w:space="0" w:color="auto"/>
              <w:bottom w:val="single" w:sz="4" w:space="0" w:color="auto"/>
              <w:right w:val="single" w:sz="4" w:space="0" w:color="auto"/>
            </w:tcBorders>
            <w:vAlign w:val="center"/>
          </w:tcPr>
          <w:p w14:paraId="692B86EB" w14:textId="2F513684" w:rsidR="00EE5515" w:rsidRPr="00564A09" w:rsidRDefault="00EE5515" w:rsidP="00826635">
            <w:pPr>
              <w:pStyle w:val="TableText0"/>
              <w:keepLines/>
              <w:jc w:val="center"/>
            </w:pPr>
            <w:r w:rsidRPr="00564A09">
              <w:t>1</w:t>
            </w:r>
            <w:r w:rsidR="00084376" w:rsidRPr="00564A09">
              <w:t>2</w:t>
            </w:r>
            <w:r w:rsidRPr="00564A09">
              <w:t>.1</w:t>
            </w:r>
          </w:p>
        </w:tc>
        <w:tc>
          <w:tcPr>
            <w:tcW w:w="1112" w:type="dxa"/>
            <w:tcBorders>
              <w:top w:val="single" w:sz="4" w:space="0" w:color="auto"/>
              <w:left w:val="single" w:sz="4" w:space="0" w:color="auto"/>
              <w:bottom w:val="single" w:sz="4" w:space="0" w:color="auto"/>
              <w:right w:val="single" w:sz="4" w:space="0" w:color="auto"/>
            </w:tcBorders>
            <w:vAlign w:val="center"/>
          </w:tcPr>
          <w:p w14:paraId="45E3D5D7" w14:textId="59A520C5" w:rsidR="00EE5515" w:rsidRPr="00564A09" w:rsidRDefault="00084376" w:rsidP="00826635">
            <w:pPr>
              <w:pStyle w:val="TableText0"/>
              <w:keepLines/>
              <w:jc w:val="center"/>
            </w:pPr>
            <w:r w:rsidRPr="00564A09">
              <w:t>0.6</w:t>
            </w:r>
          </w:p>
        </w:tc>
        <w:tc>
          <w:tcPr>
            <w:tcW w:w="1651" w:type="dxa"/>
            <w:tcBorders>
              <w:top w:val="single" w:sz="4" w:space="0" w:color="auto"/>
              <w:left w:val="single" w:sz="4" w:space="0" w:color="auto"/>
              <w:bottom w:val="single" w:sz="4" w:space="0" w:color="auto"/>
              <w:right w:val="single" w:sz="4" w:space="0" w:color="auto"/>
            </w:tcBorders>
            <w:vAlign w:val="center"/>
          </w:tcPr>
          <w:p w14:paraId="508F653B" w14:textId="73255E9E" w:rsidR="00EE5515" w:rsidRPr="00564A09" w:rsidRDefault="00EE5515" w:rsidP="00826635">
            <w:pPr>
              <w:pStyle w:val="TableText0"/>
              <w:keepLines/>
              <w:jc w:val="center"/>
              <w:rPr>
                <w:rFonts w:cstheme="minorHAnsi"/>
                <w:b/>
                <w:szCs w:val="20"/>
                <w:lang w:eastAsia="en-GB"/>
              </w:rPr>
            </w:pPr>
            <w:r w:rsidRPr="00564A09">
              <w:rPr>
                <w:rFonts w:cstheme="minorHAnsi"/>
                <w:b/>
                <w:szCs w:val="20"/>
                <w:lang w:eastAsia="en-GB"/>
              </w:rPr>
              <w:t>0.1</w:t>
            </w:r>
            <w:r w:rsidR="00B22529" w:rsidRPr="00564A09">
              <w:rPr>
                <w:rFonts w:cstheme="minorHAnsi"/>
                <w:b/>
                <w:szCs w:val="20"/>
                <w:lang w:eastAsia="en-GB"/>
              </w:rPr>
              <w:t>2</w:t>
            </w:r>
            <w:r w:rsidRPr="00564A09">
              <w:rPr>
                <w:rFonts w:cstheme="minorHAnsi"/>
                <w:b/>
                <w:szCs w:val="20"/>
                <w:lang w:eastAsia="en-GB"/>
              </w:rPr>
              <w:t xml:space="preserve"> (0.</w:t>
            </w:r>
            <w:r w:rsidR="00B22529" w:rsidRPr="00564A09">
              <w:rPr>
                <w:rFonts w:cstheme="minorHAnsi"/>
                <w:b/>
                <w:szCs w:val="20"/>
                <w:lang w:eastAsia="en-GB"/>
              </w:rPr>
              <w:t>08</w:t>
            </w:r>
            <w:r w:rsidRPr="00564A09">
              <w:rPr>
                <w:rFonts w:cstheme="minorHAnsi"/>
                <w:b/>
                <w:szCs w:val="20"/>
                <w:lang w:eastAsia="en-GB"/>
              </w:rPr>
              <w:t>, 0.1</w:t>
            </w:r>
            <w:r w:rsidR="00B22529" w:rsidRPr="00564A09">
              <w:rPr>
                <w:rFonts w:cstheme="minorHAnsi"/>
                <w:b/>
                <w:szCs w:val="20"/>
                <w:lang w:eastAsia="en-GB"/>
              </w:rPr>
              <w:t>5</w:t>
            </w:r>
            <w:r w:rsidRPr="00564A09">
              <w:rPr>
                <w:rFonts w:cstheme="minorHAnsi"/>
                <w:b/>
                <w:szCs w:val="20"/>
                <w:lang w:eastAsia="en-GB"/>
              </w:rPr>
              <w:t>)</w:t>
            </w:r>
          </w:p>
        </w:tc>
      </w:tr>
      <w:tr w:rsidR="00612ADD" w:rsidRPr="00980134" w14:paraId="32889BAC" w14:textId="77777777" w:rsidTr="000A4CE5">
        <w:tc>
          <w:tcPr>
            <w:tcW w:w="1413" w:type="dxa"/>
            <w:tcBorders>
              <w:top w:val="single" w:sz="4" w:space="0" w:color="auto"/>
              <w:left w:val="single" w:sz="4" w:space="0" w:color="auto"/>
              <w:bottom w:val="single" w:sz="4" w:space="0" w:color="auto"/>
              <w:right w:val="single" w:sz="4" w:space="0" w:color="auto"/>
            </w:tcBorders>
            <w:shd w:val="clear" w:color="auto" w:fill="auto"/>
          </w:tcPr>
          <w:p w14:paraId="6652B50C" w14:textId="13ECF21C" w:rsidR="00612ADD" w:rsidRPr="00980134" w:rsidRDefault="00612ADD" w:rsidP="00826635">
            <w:pPr>
              <w:pStyle w:val="TableText0"/>
              <w:keepLines/>
              <w:rPr>
                <w:vertAlign w:val="superscript"/>
              </w:rPr>
            </w:pPr>
            <w:proofErr w:type="spellStart"/>
            <w:r w:rsidRPr="00980134">
              <w:t>LVD</w:t>
            </w:r>
            <w:r w:rsidR="00F9207B" w:rsidRPr="00980134">
              <w:rPr>
                <w:vertAlign w:val="superscript"/>
              </w:rPr>
              <w:t>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F86EB2" w14:textId="6C4525B4" w:rsidR="00612ADD" w:rsidRPr="00564A09" w:rsidRDefault="00612ADD" w:rsidP="00826635">
            <w:pPr>
              <w:pStyle w:val="TableText0"/>
              <w:keepLines/>
              <w:jc w:val="center"/>
            </w:pPr>
            <w:r w:rsidRPr="00564A09">
              <w:t>60/</w:t>
            </w:r>
            <w:r w:rsidR="00F9207B" w:rsidRPr="00564A09">
              <w:t>335</w:t>
            </w:r>
          </w:p>
        </w:tc>
        <w:tc>
          <w:tcPr>
            <w:tcW w:w="1019" w:type="dxa"/>
            <w:tcBorders>
              <w:top w:val="single" w:sz="4" w:space="0" w:color="auto"/>
              <w:left w:val="single" w:sz="4" w:space="0" w:color="auto"/>
              <w:bottom w:val="single" w:sz="4" w:space="0" w:color="auto"/>
              <w:right w:val="single" w:sz="4" w:space="0" w:color="auto"/>
            </w:tcBorders>
            <w:vAlign w:val="center"/>
          </w:tcPr>
          <w:p w14:paraId="0EBB5445" w14:textId="46ED9E52" w:rsidR="00612ADD" w:rsidRPr="00564A09" w:rsidRDefault="00612ADD" w:rsidP="00826635">
            <w:pPr>
              <w:pStyle w:val="TableText0"/>
              <w:keepLines/>
              <w:jc w:val="center"/>
            </w:pPr>
            <w:r w:rsidRPr="00564A09">
              <w:t>11/</w:t>
            </w:r>
            <w:r w:rsidR="00F9207B" w:rsidRPr="00564A09">
              <w:t>142</w:t>
            </w:r>
          </w:p>
        </w:tc>
        <w:tc>
          <w:tcPr>
            <w:tcW w:w="1674" w:type="dxa"/>
            <w:tcBorders>
              <w:top w:val="single" w:sz="4" w:space="0" w:color="auto"/>
              <w:left w:val="single" w:sz="4" w:space="0" w:color="auto"/>
              <w:bottom w:val="single" w:sz="4" w:space="0" w:color="auto"/>
              <w:right w:val="single" w:sz="4" w:space="0" w:color="auto"/>
            </w:tcBorders>
            <w:vAlign w:val="center"/>
          </w:tcPr>
          <w:p w14:paraId="439C97FC" w14:textId="5C449C63" w:rsidR="00612ADD" w:rsidRPr="00564A09" w:rsidRDefault="00612ADD" w:rsidP="00826635">
            <w:pPr>
              <w:pStyle w:val="TableText0"/>
              <w:keepLines/>
              <w:jc w:val="center"/>
              <w:rPr>
                <w:rFonts w:cstheme="minorHAnsi"/>
                <w:b/>
                <w:szCs w:val="20"/>
                <w:lang w:eastAsia="en-GB"/>
              </w:rPr>
            </w:pPr>
            <w:r w:rsidRPr="00564A09">
              <w:rPr>
                <w:rFonts w:cstheme="minorHAnsi"/>
                <w:b/>
                <w:szCs w:val="20"/>
                <w:lang w:eastAsia="en-GB"/>
              </w:rPr>
              <w:t>2.</w:t>
            </w:r>
            <w:r w:rsidR="00F9207B" w:rsidRPr="00564A09">
              <w:rPr>
                <w:rFonts w:cstheme="minorHAnsi"/>
                <w:b/>
                <w:szCs w:val="20"/>
                <w:lang w:eastAsia="en-GB"/>
              </w:rPr>
              <w:t>31</w:t>
            </w:r>
            <w:r w:rsidRPr="00564A09">
              <w:rPr>
                <w:rFonts w:cstheme="minorHAnsi"/>
                <w:b/>
                <w:szCs w:val="20"/>
                <w:lang w:eastAsia="en-GB"/>
              </w:rPr>
              <w:t xml:space="preserve"> (1.</w:t>
            </w:r>
            <w:r w:rsidR="00F9207B" w:rsidRPr="00564A09">
              <w:rPr>
                <w:rFonts w:cstheme="minorHAnsi"/>
                <w:b/>
                <w:szCs w:val="20"/>
                <w:lang w:eastAsia="en-GB"/>
              </w:rPr>
              <w:t>25</w:t>
            </w:r>
            <w:r w:rsidRPr="00564A09">
              <w:rPr>
                <w:rFonts w:cstheme="minorHAnsi"/>
                <w:b/>
                <w:szCs w:val="20"/>
                <w:lang w:eastAsia="en-GB"/>
              </w:rPr>
              <w:t>, 4.</w:t>
            </w:r>
            <w:r w:rsidR="00F9207B" w:rsidRPr="00564A09">
              <w:rPr>
                <w:rFonts w:cstheme="minorHAnsi"/>
                <w:b/>
                <w:szCs w:val="20"/>
                <w:lang w:eastAsia="en-GB"/>
              </w:rPr>
              <w:t>26</w:t>
            </w:r>
            <w:r w:rsidRPr="00564A09">
              <w:rPr>
                <w:rFonts w:cstheme="minorHAnsi"/>
                <w:b/>
                <w:szCs w:val="20"/>
                <w:lang w:eastAsia="en-GB"/>
              </w:rPr>
              <w:t>)</w:t>
            </w:r>
          </w:p>
        </w:tc>
        <w:tc>
          <w:tcPr>
            <w:tcW w:w="1014" w:type="dxa"/>
            <w:tcBorders>
              <w:top w:val="single" w:sz="4" w:space="0" w:color="auto"/>
              <w:left w:val="single" w:sz="4" w:space="0" w:color="auto"/>
              <w:bottom w:val="single" w:sz="4" w:space="0" w:color="auto"/>
              <w:right w:val="single" w:sz="4" w:space="0" w:color="auto"/>
            </w:tcBorders>
            <w:vAlign w:val="center"/>
          </w:tcPr>
          <w:p w14:paraId="697F6BDF" w14:textId="621FA248" w:rsidR="00612ADD" w:rsidRPr="00564A09" w:rsidRDefault="00F9207B" w:rsidP="00826635">
            <w:pPr>
              <w:pStyle w:val="TableText0"/>
              <w:keepLines/>
              <w:jc w:val="center"/>
            </w:pPr>
            <w:r w:rsidRPr="00564A09">
              <w:t>17.9</w:t>
            </w:r>
          </w:p>
        </w:tc>
        <w:tc>
          <w:tcPr>
            <w:tcW w:w="1112" w:type="dxa"/>
            <w:tcBorders>
              <w:top w:val="single" w:sz="4" w:space="0" w:color="auto"/>
              <w:left w:val="single" w:sz="4" w:space="0" w:color="auto"/>
              <w:bottom w:val="single" w:sz="4" w:space="0" w:color="auto"/>
              <w:right w:val="single" w:sz="4" w:space="0" w:color="auto"/>
            </w:tcBorders>
            <w:vAlign w:val="center"/>
          </w:tcPr>
          <w:p w14:paraId="585A353C" w14:textId="430FB164" w:rsidR="00612ADD" w:rsidRPr="00564A09" w:rsidRDefault="00F9207B" w:rsidP="00826635">
            <w:pPr>
              <w:pStyle w:val="TableText0"/>
              <w:keepLines/>
              <w:jc w:val="center"/>
            </w:pPr>
            <w:r w:rsidRPr="00564A09">
              <w:t>7.7</w:t>
            </w:r>
          </w:p>
        </w:tc>
        <w:tc>
          <w:tcPr>
            <w:tcW w:w="1651" w:type="dxa"/>
            <w:tcBorders>
              <w:top w:val="single" w:sz="4" w:space="0" w:color="auto"/>
              <w:left w:val="single" w:sz="4" w:space="0" w:color="auto"/>
              <w:bottom w:val="single" w:sz="4" w:space="0" w:color="auto"/>
              <w:right w:val="single" w:sz="4" w:space="0" w:color="auto"/>
            </w:tcBorders>
            <w:vAlign w:val="center"/>
          </w:tcPr>
          <w:p w14:paraId="17B915DE" w14:textId="0DDA7717" w:rsidR="00612ADD" w:rsidRPr="00564A09" w:rsidRDefault="00612ADD" w:rsidP="00826635">
            <w:pPr>
              <w:pStyle w:val="TableText0"/>
              <w:keepLines/>
              <w:jc w:val="center"/>
              <w:rPr>
                <w:rFonts w:cstheme="minorHAnsi"/>
                <w:b/>
                <w:szCs w:val="20"/>
                <w:lang w:eastAsia="en-GB"/>
              </w:rPr>
            </w:pPr>
            <w:r w:rsidRPr="00564A09">
              <w:rPr>
                <w:rFonts w:cstheme="minorHAnsi"/>
                <w:b/>
                <w:szCs w:val="20"/>
                <w:lang w:eastAsia="en-GB"/>
              </w:rPr>
              <w:t>0.10 (0.0</w:t>
            </w:r>
            <w:r w:rsidR="00F9207B" w:rsidRPr="00564A09">
              <w:rPr>
                <w:rFonts w:cstheme="minorHAnsi"/>
                <w:b/>
                <w:szCs w:val="20"/>
                <w:lang w:eastAsia="en-GB"/>
              </w:rPr>
              <w:t>4</w:t>
            </w:r>
            <w:r w:rsidRPr="00564A09">
              <w:rPr>
                <w:rFonts w:cstheme="minorHAnsi"/>
                <w:b/>
                <w:szCs w:val="20"/>
                <w:lang w:eastAsia="en-GB"/>
              </w:rPr>
              <w:t>, 0.1</w:t>
            </w:r>
            <w:r w:rsidR="00F9207B" w:rsidRPr="00564A09">
              <w:rPr>
                <w:rFonts w:cstheme="minorHAnsi"/>
                <w:b/>
                <w:szCs w:val="20"/>
                <w:lang w:eastAsia="en-GB"/>
              </w:rPr>
              <w:t>6</w:t>
            </w:r>
            <w:r w:rsidRPr="00564A09">
              <w:rPr>
                <w:rFonts w:cstheme="minorHAnsi"/>
                <w:b/>
                <w:szCs w:val="20"/>
                <w:lang w:eastAsia="en-GB"/>
              </w:rPr>
              <w:t>)</w:t>
            </w:r>
          </w:p>
        </w:tc>
      </w:tr>
    </w:tbl>
    <w:p w14:paraId="268AC4E4" w14:textId="7BABC5D0" w:rsidR="00EE5515" w:rsidRPr="00980134" w:rsidRDefault="00EE5515" w:rsidP="00826635">
      <w:pPr>
        <w:pStyle w:val="FooterTableFigure"/>
        <w:keepNext/>
        <w:keepLines/>
      </w:pPr>
      <w:r w:rsidRPr="00980134">
        <w:t xml:space="preserve">Source: Table 2-31, p158, </w:t>
      </w:r>
      <w:r w:rsidR="0050135E" w:rsidRPr="00980134">
        <w:t>Figure</w:t>
      </w:r>
      <w:r w:rsidRPr="00980134">
        <w:t xml:space="preserve"> 2-11, pp150-151, and </w:t>
      </w:r>
      <w:r w:rsidRPr="00980134">
        <w:rPr>
          <w:rFonts w:cstheme="minorHAnsi"/>
          <w:szCs w:val="18"/>
        </w:rPr>
        <w:t>Table 2-46, p182</w:t>
      </w:r>
      <w:r w:rsidRPr="00980134">
        <w:t xml:space="preserve"> of the submission.</w:t>
      </w:r>
    </w:p>
    <w:p w14:paraId="34B03539" w14:textId="4AEE7C48" w:rsidR="00EE5515" w:rsidRPr="00980134" w:rsidRDefault="00EE5515" w:rsidP="00826635">
      <w:pPr>
        <w:pStyle w:val="FooterTableFigure"/>
        <w:keepNext/>
        <w:keepLines/>
      </w:pPr>
      <w:r w:rsidRPr="00980134">
        <w:t xml:space="preserve">CI = confidence interval; CTCAE = Common Terminology Criteria for Adverse Events; FAS = full analysis set; HR = hormone receptor; ILD = interstitial lung disease; </w:t>
      </w:r>
      <w:r w:rsidR="00612ADD" w:rsidRPr="00980134">
        <w:t xml:space="preserve">LVD = left ventricular dysfunction; </w:t>
      </w:r>
      <w:r w:rsidRPr="00980134">
        <w:t>OS = overall survival; PFS = progression-free survival; RD = risk difference; RR = risk ratio; SAS = safety analysis set; T-</w:t>
      </w:r>
      <w:proofErr w:type="spellStart"/>
      <w:r w:rsidRPr="00980134">
        <w:t>DXd</w:t>
      </w:r>
      <w:proofErr w:type="spellEnd"/>
      <w:r w:rsidRPr="00980134">
        <w:t xml:space="preserve"> = trastuzumab </w:t>
      </w:r>
      <w:proofErr w:type="spellStart"/>
      <w:r w:rsidRPr="00980134">
        <w:t>deruxtecan</w:t>
      </w:r>
      <w:proofErr w:type="spellEnd"/>
      <w:r w:rsidRPr="00980134">
        <w:t xml:space="preserve">; TEAE = treatment emergent adverse event; TPC = treatment of physician’s choice. </w:t>
      </w:r>
    </w:p>
    <w:p w14:paraId="1BF5432B" w14:textId="77777777" w:rsidR="00EE5515" w:rsidRPr="00980134" w:rsidRDefault="00EE5515" w:rsidP="00826635">
      <w:pPr>
        <w:pStyle w:val="FooterTableFigure"/>
        <w:keepNext/>
        <w:keepLines/>
      </w:pPr>
      <w:r w:rsidRPr="00980134">
        <w:t>Bold</w:t>
      </w:r>
      <w:r w:rsidRPr="00980134">
        <w:rPr>
          <w:b/>
          <w:bCs/>
        </w:rPr>
        <w:t xml:space="preserve"> </w:t>
      </w:r>
      <w:r w:rsidRPr="00980134">
        <w:t>= statistically significant</w:t>
      </w:r>
    </w:p>
    <w:p w14:paraId="2B1E859D" w14:textId="77777777" w:rsidR="00EE5515" w:rsidRPr="00980134" w:rsidRDefault="00EE5515" w:rsidP="00826635">
      <w:pPr>
        <w:pStyle w:val="FooterTableFigure"/>
        <w:keepNext/>
        <w:keepLines/>
      </w:pPr>
      <w:proofErr w:type="spellStart"/>
      <w:r w:rsidRPr="00980134">
        <w:rPr>
          <w:vertAlign w:val="superscript"/>
        </w:rPr>
        <w:t>a</w:t>
      </w:r>
      <w:proofErr w:type="spellEnd"/>
      <w:r w:rsidRPr="00980134">
        <w:t xml:space="preserve"> At 11 January 2022 data cut-off, the median duration of follow-up was 16.1 months in the T-</w:t>
      </w:r>
      <w:proofErr w:type="spellStart"/>
      <w:r w:rsidRPr="00980134">
        <w:t>DXd</w:t>
      </w:r>
      <w:proofErr w:type="spellEnd"/>
      <w:r w:rsidRPr="00980134">
        <w:t xml:space="preserve"> arm and 13.5 months in the TPC arm.</w:t>
      </w:r>
    </w:p>
    <w:p w14:paraId="4BB03131" w14:textId="77777777" w:rsidR="00F9207B" w:rsidRPr="00980134" w:rsidRDefault="00EE5515" w:rsidP="00826635">
      <w:pPr>
        <w:pStyle w:val="FooterTableFigure"/>
        <w:keepNext/>
        <w:keepLines/>
      </w:pPr>
      <w:r w:rsidRPr="00980134">
        <w:rPr>
          <w:vertAlign w:val="superscript"/>
        </w:rPr>
        <w:t xml:space="preserve">b </w:t>
      </w:r>
      <w:r w:rsidRPr="00980134">
        <w:t>Calculated using Stata/MP 17</w:t>
      </w:r>
    </w:p>
    <w:p w14:paraId="63FD545D" w14:textId="209AD543" w:rsidR="007A744D" w:rsidRPr="00980134" w:rsidRDefault="00F9207B" w:rsidP="001207EA">
      <w:pPr>
        <w:pStyle w:val="FooterTableFigure"/>
        <w:keepNext/>
        <w:keepLines/>
      </w:pPr>
      <w:r w:rsidRPr="00980134">
        <w:rPr>
          <w:vertAlign w:val="superscript"/>
        </w:rPr>
        <w:t>c</w:t>
      </w:r>
      <w:r w:rsidRPr="00980134">
        <w:rPr>
          <w:rFonts w:cstheme="minorHAnsi"/>
          <w:color w:val="000000" w:themeColor="text1"/>
          <w:szCs w:val="18"/>
        </w:rPr>
        <w:t xml:space="preserve"> The denominator for LVD was patients who had non-missing data at both baseline and post-baseline for measurements of left ventricular ejection fraction</w:t>
      </w:r>
      <w:r w:rsidR="00980134">
        <w:rPr>
          <w:rFonts w:cstheme="minorHAnsi"/>
          <w:color w:val="000000" w:themeColor="text1"/>
          <w:szCs w:val="18"/>
        </w:rPr>
        <w:t xml:space="preserve">. </w:t>
      </w:r>
    </w:p>
    <w:p w14:paraId="7AF7F99D" w14:textId="20D7B9CC" w:rsidR="00EE5515" w:rsidRPr="00980134" w:rsidRDefault="00EE5515" w:rsidP="00EE5515">
      <w:pPr>
        <w:pStyle w:val="3-BodyText"/>
        <w:ind w:left="709" w:hanging="709"/>
      </w:pPr>
      <w:r w:rsidRPr="00980134">
        <w:rPr>
          <w:color w:val="0066FF"/>
        </w:rPr>
        <w:t xml:space="preserve"> </w:t>
      </w:r>
      <w:r w:rsidRPr="00980134">
        <w:t>On the basis of direct evidence from the DB-04 trial presented in the submission, for every 100 patients</w:t>
      </w:r>
      <w:r w:rsidR="00E31C06" w:rsidRPr="00980134">
        <w:rPr>
          <w:rFonts w:eastAsia="Calibri"/>
        </w:rPr>
        <w:t xml:space="preserve"> </w:t>
      </w:r>
      <w:r w:rsidRPr="00980134">
        <w:t>treated with T-</w:t>
      </w:r>
      <w:proofErr w:type="spellStart"/>
      <w:r w:rsidRPr="00980134">
        <w:t>DXd</w:t>
      </w:r>
      <w:proofErr w:type="spellEnd"/>
      <w:r w:rsidRPr="00980134">
        <w:t xml:space="preserve"> in comparison with TPC:</w:t>
      </w:r>
    </w:p>
    <w:p w14:paraId="162FF9D8" w14:textId="402670D1" w:rsidR="00EE5515" w:rsidRPr="00980134" w:rsidRDefault="00EE5515" w:rsidP="001207EA">
      <w:pPr>
        <w:pStyle w:val="ListParagraph"/>
        <w:numPr>
          <w:ilvl w:val="0"/>
          <w:numId w:val="18"/>
        </w:numPr>
        <w:ind w:left="1134"/>
      </w:pPr>
      <w:r w:rsidRPr="00980134">
        <w:t xml:space="preserve">Approximately 19 additional patients would remain alive and progression-free at 18 months. </w:t>
      </w:r>
    </w:p>
    <w:p w14:paraId="4990860C" w14:textId="6CF191BD" w:rsidR="00EE5515" w:rsidRPr="00980134" w:rsidRDefault="00EE5515" w:rsidP="001207EA">
      <w:pPr>
        <w:pStyle w:val="ListParagraph"/>
        <w:numPr>
          <w:ilvl w:val="0"/>
          <w:numId w:val="18"/>
        </w:numPr>
        <w:ind w:left="1134"/>
      </w:pPr>
      <w:r w:rsidRPr="00980134">
        <w:t xml:space="preserve">Approximately 10 additional patients would </w:t>
      </w:r>
      <w:r w:rsidR="00A51C73" w:rsidRPr="00980134">
        <w:t xml:space="preserve">remain alive </w:t>
      </w:r>
      <w:r w:rsidRPr="00980134">
        <w:t xml:space="preserve">at 3 years. </w:t>
      </w:r>
    </w:p>
    <w:p w14:paraId="09303433" w14:textId="77777777" w:rsidR="00EE5515" w:rsidRPr="00980134" w:rsidRDefault="00EE5515" w:rsidP="001207EA">
      <w:pPr>
        <w:pStyle w:val="ListParagraph"/>
        <w:numPr>
          <w:ilvl w:val="0"/>
          <w:numId w:val="18"/>
        </w:numPr>
        <w:ind w:left="1134"/>
      </w:pPr>
      <w:r w:rsidRPr="00980134">
        <w:t>Approximately 9 additional patients would discontinue treatment due to an adverse event.</w:t>
      </w:r>
    </w:p>
    <w:p w14:paraId="4696E7A8" w14:textId="333C5856" w:rsidR="006C7589" w:rsidRPr="00980134" w:rsidRDefault="00EE5515" w:rsidP="001207EA">
      <w:pPr>
        <w:pStyle w:val="ListBullet"/>
        <w:numPr>
          <w:ilvl w:val="0"/>
          <w:numId w:val="18"/>
        </w:numPr>
        <w:spacing w:after="120"/>
        <w:ind w:left="1134" w:hanging="357"/>
        <w:contextualSpacing w:val="0"/>
      </w:pPr>
      <w:r w:rsidRPr="00980134">
        <w:lastRenderedPageBreak/>
        <w:t>Approximately 1</w:t>
      </w:r>
      <w:r w:rsidR="00475B6E" w:rsidRPr="00980134">
        <w:t>2</w:t>
      </w:r>
      <w:r w:rsidRPr="00980134">
        <w:t xml:space="preserve"> additional patients would experience ILD, which affects the tissue and space around the air sacs of the lungs and can cause scarring, inflammation, and difficulty breathing. </w:t>
      </w:r>
    </w:p>
    <w:p w14:paraId="337DB66A" w14:textId="6EF41D17" w:rsidR="00612ADD" w:rsidRPr="00980134" w:rsidRDefault="00612ADD" w:rsidP="001207EA">
      <w:pPr>
        <w:pStyle w:val="ListBullet"/>
        <w:numPr>
          <w:ilvl w:val="0"/>
          <w:numId w:val="18"/>
        </w:numPr>
        <w:ind w:left="1134"/>
      </w:pPr>
      <w:r w:rsidRPr="00980134">
        <w:t>Approximately 10 additional patients would experience LVD, which affects the ability of the heart to pump blood and can lead to heart failure.</w:t>
      </w:r>
    </w:p>
    <w:p w14:paraId="0D53BFD8" w14:textId="77777777" w:rsidR="00EE5515" w:rsidRPr="00980134" w:rsidRDefault="00EE5515" w:rsidP="00EE5515">
      <w:pPr>
        <w:pStyle w:val="4-SubsectionHeading"/>
      </w:pPr>
      <w:bookmarkStart w:id="59" w:name="_Toc22897644"/>
      <w:bookmarkStart w:id="60" w:name="_Toc142092390"/>
      <w:bookmarkStart w:id="61" w:name="_Toc142576846"/>
      <w:bookmarkStart w:id="62" w:name="_Toc145452641"/>
      <w:r w:rsidRPr="00980134">
        <w:t>Clinical claim</w:t>
      </w:r>
      <w:bookmarkEnd w:id="59"/>
      <w:bookmarkEnd w:id="60"/>
      <w:bookmarkEnd w:id="61"/>
      <w:bookmarkEnd w:id="62"/>
    </w:p>
    <w:p w14:paraId="60F3782A" w14:textId="77777777" w:rsidR="00EE5515" w:rsidRPr="00980134" w:rsidRDefault="00EE5515" w:rsidP="00EE5515">
      <w:pPr>
        <w:pStyle w:val="3-BodyText"/>
        <w:tabs>
          <w:tab w:val="left" w:pos="709"/>
        </w:tabs>
        <w:ind w:left="709" w:hanging="709"/>
        <w:rPr>
          <w:rFonts w:eastAsia="Calibri"/>
        </w:rPr>
      </w:pPr>
      <w:r w:rsidRPr="00980134">
        <w:rPr>
          <w:rFonts w:eastAsia="Calibri"/>
        </w:rPr>
        <w:t>The submission described T-</w:t>
      </w:r>
      <w:proofErr w:type="spellStart"/>
      <w:r w:rsidRPr="00980134">
        <w:rPr>
          <w:rFonts w:eastAsia="Calibri"/>
        </w:rPr>
        <w:t>DXd</w:t>
      </w:r>
      <w:proofErr w:type="spellEnd"/>
      <w:r w:rsidRPr="00980134">
        <w:rPr>
          <w:rFonts w:eastAsia="Calibri"/>
        </w:rPr>
        <w:t xml:space="preserve"> as superior in terms of effectiveness compared to TPC in patients with HR positive/HER2 low </w:t>
      </w:r>
      <w:proofErr w:type="spellStart"/>
      <w:r w:rsidRPr="00980134">
        <w:rPr>
          <w:rFonts w:eastAsia="Calibri"/>
        </w:rPr>
        <w:t>uBC</w:t>
      </w:r>
      <w:proofErr w:type="spellEnd"/>
      <w:r w:rsidRPr="00980134">
        <w:rPr>
          <w:rFonts w:eastAsia="Calibri"/>
        </w:rPr>
        <w:t>/</w:t>
      </w:r>
      <w:proofErr w:type="spellStart"/>
      <w:r w:rsidRPr="00980134">
        <w:rPr>
          <w:rFonts w:eastAsia="Calibri"/>
        </w:rPr>
        <w:t>mBC</w:t>
      </w:r>
      <w:proofErr w:type="spellEnd"/>
      <w:r w:rsidRPr="00980134">
        <w:rPr>
          <w:rFonts w:eastAsia="Calibri"/>
        </w:rPr>
        <w:t xml:space="preserve"> patients who have been previously treated with chemotherapy. </w:t>
      </w:r>
      <w:r w:rsidRPr="00980134">
        <w:rPr>
          <w:rFonts w:cstheme="minorHAnsi"/>
          <w:color w:val="000000" w:themeColor="text1"/>
        </w:rPr>
        <w:t>The submission made the claim that T-</w:t>
      </w:r>
      <w:proofErr w:type="spellStart"/>
      <w:r w:rsidRPr="00980134">
        <w:rPr>
          <w:rFonts w:cstheme="minorHAnsi"/>
          <w:color w:val="000000" w:themeColor="text1"/>
        </w:rPr>
        <w:t>DXd</w:t>
      </w:r>
      <w:proofErr w:type="spellEnd"/>
      <w:r w:rsidRPr="00980134">
        <w:rPr>
          <w:rFonts w:cstheme="minorHAnsi"/>
          <w:color w:val="000000" w:themeColor="text1"/>
        </w:rPr>
        <w:t xml:space="preserve"> had a different but non-inferior safety profile compared to TPC.</w:t>
      </w:r>
    </w:p>
    <w:p w14:paraId="7755D406" w14:textId="72A64989" w:rsidR="00EE5515" w:rsidRPr="00980134" w:rsidRDefault="00EE5515" w:rsidP="00EE5515">
      <w:pPr>
        <w:pStyle w:val="3-BodyText"/>
        <w:tabs>
          <w:tab w:val="left" w:pos="709"/>
        </w:tabs>
        <w:rPr>
          <w:rFonts w:eastAsia="Calibri"/>
        </w:rPr>
      </w:pPr>
      <w:r w:rsidRPr="00980134">
        <w:rPr>
          <w:rFonts w:eastAsia="Calibri"/>
        </w:rPr>
        <w:t xml:space="preserve">The </w:t>
      </w:r>
      <w:r w:rsidR="00A01AC3" w:rsidRPr="00980134">
        <w:rPr>
          <w:rFonts w:eastAsia="Calibri"/>
        </w:rPr>
        <w:t xml:space="preserve">ESC considered the </w:t>
      </w:r>
      <w:r w:rsidRPr="00980134">
        <w:rPr>
          <w:rFonts w:eastAsia="Calibri"/>
        </w:rPr>
        <w:t>claim of superior effectiveness of T-</w:t>
      </w:r>
      <w:proofErr w:type="spellStart"/>
      <w:r w:rsidRPr="00980134">
        <w:rPr>
          <w:rFonts w:eastAsia="Calibri"/>
        </w:rPr>
        <w:t>DXd</w:t>
      </w:r>
      <w:proofErr w:type="spellEnd"/>
      <w:r w:rsidRPr="00980134">
        <w:rPr>
          <w:rFonts w:eastAsia="Calibri"/>
        </w:rPr>
        <w:t xml:space="preserve"> over TPC in patients with HR positive/HER2 low </w:t>
      </w:r>
      <w:proofErr w:type="spellStart"/>
      <w:r w:rsidRPr="00980134">
        <w:rPr>
          <w:rFonts w:eastAsia="Calibri"/>
        </w:rPr>
        <w:t>uBC</w:t>
      </w:r>
      <w:proofErr w:type="spellEnd"/>
      <w:r w:rsidRPr="00980134">
        <w:rPr>
          <w:rFonts w:eastAsia="Calibri"/>
        </w:rPr>
        <w:t>/</w:t>
      </w:r>
      <w:proofErr w:type="spellStart"/>
      <w:r w:rsidRPr="00980134">
        <w:rPr>
          <w:rFonts w:eastAsia="Calibri"/>
        </w:rPr>
        <w:t>mBC</w:t>
      </w:r>
      <w:proofErr w:type="spellEnd"/>
      <w:r w:rsidRPr="00980134">
        <w:rPr>
          <w:rFonts w:eastAsia="Calibri"/>
        </w:rPr>
        <w:t xml:space="preserve"> was supported by the PFS by BICR, OS, and ORR results by BICR, which showed that T-</w:t>
      </w:r>
      <w:proofErr w:type="spellStart"/>
      <w:r w:rsidRPr="00980134">
        <w:rPr>
          <w:rFonts w:eastAsia="Calibri"/>
        </w:rPr>
        <w:t>DXd</w:t>
      </w:r>
      <w:proofErr w:type="spellEnd"/>
      <w:r w:rsidRPr="00980134">
        <w:rPr>
          <w:rFonts w:eastAsia="Calibri"/>
        </w:rPr>
        <w:t xml:space="preserve"> was associated with a statistically and clinically significant improvement in </w:t>
      </w:r>
      <w:r w:rsidR="00A01AC3" w:rsidRPr="00980134">
        <w:rPr>
          <w:rFonts w:eastAsia="Calibri"/>
        </w:rPr>
        <w:t xml:space="preserve">these outcomes </w:t>
      </w:r>
      <w:r w:rsidRPr="00980134">
        <w:rPr>
          <w:rFonts w:eastAsia="Calibri"/>
        </w:rPr>
        <w:t>when compared with TPC</w:t>
      </w:r>
      <w:r w:rsidR="00A01AC3" w:rsidRPr="00980134">
        <w:rPr>
          <w:rFonts w:eastAsia="Calibri"/>
        </w:rPr>
        <w:t>.</w:t>
      </w:r>
      <w:r w:rsidRPr="00980134">
        <w:rPr>
          <w:rFonts w:eastAsia="Calibri"/>
        </w:rPr>
        <w:t xml:space="preserve"> </w:t>
      </w:r>
    </w:p>
    <w:p w14:paraId="32B3D22E" w14:textId="6769EEA1" w:rsidR="00EE5515" w:rsidRPr="00980134" w:rsidRDefault="00EE5515" w:rsidP="00EE5515">
      <w:pPr>
        <w:pStyle w:val="3-BodyText"/>
        <w:rPr>
          <w:color w:val="0066FF"/>
        </w:rPr>
      </w:pPr>
      <w:r w:rsidRPr="00980134">
        <w:rPr>
          <w:rFonts w:eastAsia="Calibri"/>
        </w:rPr>
        <w:t>The claim of a different but non-inferior safety profile of T-</w:t>
      </w:r>
      <w:proofErr w:type="spellStart"/>
      <w:r w:rsidRPr="00980134">
        <w:rPr>
          <w:rFonts w:eastAsia="Calibri"/>
        </w:rPr>
        <w:t>DXd</w:t>
      </w:r>
      <w:proofErr w:type="spellEnd"/>
      <w:r w:rsidRPr="00980134">
        <w:rPr>
          <w:rFonts w:eastAsia="Calibri"/>
        </w:rPr>
        <w:t xml:space="preserve"> vs. TPC was not supported by the evidence from the DB-04 trial. Although the safety results reported in DB-04 were consistent with the established safety profile of T-</w:t>
      </w:r>
      <w:proofErr w:type="spellStart"/>
      <w:r w:rsidRPr="00980134">
        <w:rPr>
          <w:rFonts w:eastAsia="Calibri"/>
        </w:rPr>
        <w:t>DXd</w:t>
      </w:r>
      <w:proofErr w:type="spellEnd"/>
      <w:r w:rsidRPr="00980134">
        <w:rPr>
          <w:rFonts w:eastAsia="Calibri"/>
        </w:rPr>
        <w:t xml:space="preserve"> in patients with HER2+ </w:t>
      </w:r>
      <w:proofErr w:type="spellStart"/>
      <w:r w:rsidRPr="00980134">
        <w:rPr>
          <w:rFonts w:eastAsia="Calibri"/>
        </w:rPr>
        <w:t>mBC</w:t>
      </w:r>
      <w:proofErr w:type="spellEnd"/>
      <w:r w:rsidRPr="00980134">
        <w:rPr>
          <w:rFonts w:eastAsia="Calibri"/>
        </w:rPr>
        <w:t xml:space="preserve"> across two other trials, and aligned with the existing </w:t>
      </w:r>
      <w:r w:rsidR="005C17D8" w:rsidRPr="00980134">
        <w:rPr>
          <w:rFonts w:eastAsia="Calibri"/>
        </w:rPr>
        <w:t>PI</w:t>
      </w:r>
      <w:r w:rsidRPr="00980134">
        <w:rPr>
          <w:rFonts w:eastAsia="Calibri"/>
        </w:rPr>
        <w:t xml:space="preserve">, the difference in AEs compared to TPC suggest an inferior safety profile. </w:t>
      </w:r>
      <w:r w:rsidR="00A01AC3" w:rsidRPr="00980134">
        <w:t>The ESC noted there was less Grade ≥ 3 treatment-emergent AEs for T-</w:t>
      </w:r>
      <w:proofErr w:type="spellStart"/>
      <w:r w:rsidR="00A01AC3" w:rsidRPr="00980134">
        <w:t>DXd</w:t>
      </w:r>
      <w:proofErr w:type="spellEnd"/>
      <w:r w:rsidR="00A01AC3" w:rsidRPr="00980134">
        <w:t xml:space="preserve"> compared to chemotherapy but noted the toxicity associated with chemotherapy is usually manageable and reversible and the toxicity observed with T-</w:t>
      </w:r>
      <w:proofErr w:type="spellStart"/>
      <w:r w:rsidR="00A01AC3" w:rsidRPr="00980134">
        <w:t>DXd</w:t>
      </w:r>
      <w:proofErr w:type="spellEnd"/>
      <w:r w:rsidR="00A01AC3" w:rsidRPr="00980134">
        <w:t xml:space="preserve"> is not likely to be reversible and/ or requires treatment discontinuation</w:t>
      </w:r>
      <w:r w:rsidR="00980134">
        <w:t xml:space="preserve">. </w:t>
      </w:r>
      <w:r w:rsidR="00A01AC3" w:rsidRPr="00980134">
        <w:t>The ESC considered a claim of inferior safety was more reasonable</w:t>
      </w:r>
      <w:r w:rsidR="00980134">
        <w:t xml:space="preserve">. </w:t>
      </w:r>
    </w:p>
    <w:p w14:paraId="74778946" w14:textId="03223CE1" w:rsidR="007A744D" w:rsidRPr="00980134" w:rsidRDefault="00EE5515" w:rsidP="00874955">
      <w:pPr>
        <w:pStyle w:val="3-BodyText"/>
        <w:rPr>
          <w:szCs w:val="20"/>
        </w:rPr>
      </w:pPr>
      <w:r w:rsidRPr="00980134">
        <w:rPr>
          <w:rFonts w:eastAsia="Calibri"/>
        </w:rPr>
        <w:t>The submission described T-</w:t>
      </w:r>
      <w:proofErr w:type="spellStart"/>
      <w:r w:rsidRPr="00980134">
        <w:rPr>
          <w:rFonts w:eastAsia="Calibri"/>
        </w:rPr>
        <w:t>DXd</w:t>
      </w:r>
      <w:proofErr w:type="spellEnd"/>
      <w:r w:rsidRPr="00980134">
        <w:rPr>
          <w:rFonts w:eastAsia="Calibri"/>
        </w:rPr>
        <w:t xml:space="preserve"> as non-inferior in terms of effectiveness </w:t>
      </w:r>
      <w:r w:rsidR="007A744D" w:rsidRPr="00980134">
        <w:rPr>
          <w:rFonts w:eastAsia="Calibri"/>
        </w:rPr>
        <w:t xml:space="preserve">and safety </w:t>
      </w:r>
      <w:r w:rsidRPr="00980134">
        <w:rPr>
          <w:rFonts w:eastAsia="Calibri"/>
        </w:rPr>
        <w:t>compared to SG in the HR</w:t>
      </w:r>
      <w:r w:rsidR="00480E81" w:rsidRPr="00980134">
        <w:rPr>
          <w:rFonts w:eastAsia="Calibri"/>
        </w:rPr>
        <w:t xml:space="preserve"> negative</w:t>
      </w:r>
      <w:r w:rsidRPr="00980134">
        <w:rPr>
          <w:rFonts w:eastAsia="Calibri"/>
        </w:rPr>
        <w:t>/HER2 low population</w:t>
      </w:r>
      <w:r w:rsidR="00980134">
        <w:rPr>
          <w:rFonts w:eastAsia="Calibri"/>
        </w:rPr>
        <w:t xml:space="preserve">. </w:t>
      </w:r>
      <w:r w:rsidR="007A744D" w:rsidRPr="00980134">
        <w:rPr>
          <w:rFonts w:eastAsia="Calibri"/>
        </w:rPr>
        <w:t>The PBAC noted this claim was not relevant to its consideration</w:t>
      </w:r>
      <w:r w:rsidR="003876DA" w:rsidRPr="00980134">
        <w:rPr>
          <w:rFonts w:eastAsia="Calibri"/>
        </w:rPr>
        <w:t xml:space="preserve"> </w:t>
      </w:r>
      <w:r w:rsidR="00632BA7" w:rsidRPr="00980134">
        <w:rPr>
          <w:rFonts w:eastAsia="Calibri"/>
        </w:rPr>
        <w:t xml:space="preserve">as </w:t>
      </w:r>
      <w:r w:rsidR="003876DA" w:rsidRPr="00980134">
        <w:rPr>
          <w:rFonts w:eastAsia="Calibri"/>
        </w:rPr>
        <w:t>SG was not the main comparator for this population</w:t>
      </w:r>
      <w:r w:rsidR="007A744D" w:rsidRPr="00980134">
        <w:rPr>
          <w:rFonts w:eastAsia="Calibri"/>
        </w:rPr>
        <w:t xml:space="preserve">. </w:t>
      </w:r>
      <w:bookmarkStart w:id="63" w:name="_Hlk76376200"/>
    </w:p>
    <w:p w14:paraId="3E5C892D" w14:textId="0E5249D6" w:rsidR="00913DB2" w:rsidRPr="00980134" w:rsidRDefault="00913DB2" w:rsidP="00913DB2">
      <w:pPr>
        <w:widowControl w:val="0"/>
        <w:numPr>
          <w:ilvl w:val="1"/>
          <w:numId w:val="1"/>
        </w:numPr>
        <w:spacing w:after="120"/>
        <w:rPr>
          <w:rFonts w:asciiTheme="minorHAnsi" w:hAnsiTheme="minorHAnsi"/>
          <w:snapToGrid w:val="0"/>
          <w:szCs w:val="20"/>
        </w:rPr>
      </w:pPr>
      <w:r w:rsidRPr="00980134">
        <w:rPr>
          <w:rFonts w:asciiTheme="minorHAnsi" w:hAnsiTheme="minorHAnsi"/>
          <w:iCs/>
          <w:snapToGrid w:val="0"/>
        </w:rPr>
        <w:t>The</w:t>
      </w:r>
      <w:r w:rsidRPr="00980134">
        <w:rPr>
          <w:rFonts w:asciiTheme="minorHAnsi" w:hAnsiTheme="minorHAnsi"/>
          <w:snapToGrid w:val="0"/>
          <w:szCs w:val="20"/>
        </w:rPr>
        <w:t xml:space="preserve"> PBAC considered that the claim of superior comparative effectiveness was reasonable</w:t>
      </w:r>
      <w:r w:rsidR="007A744D" w:rsidRPr="00980134">
        <w:rPr>
          <w:rFonts w:asciiTheme="minorHAnsi" w:hAnsiTheme="minorHAnsi"/>
          <w:snapToGrid w:val="0"/>
          <w:szCs w:val="20"/>
        </w:rPr>
        <w:t xml:space="preserve"> for the HER2 low population</w:t>
      </w:r>
      <w:r w:rsidRPr="00980134">
        <w:rPr>
          <w:rFonts w:asciiTheme="minorHAnsi" w:hAnsiTheme="minorHAnsi"/>
          <w:snapToGrid w:val="0"/>
          <w:szCs w:val="20"/>
        </w:rPr>
        <w:t>.</w:t>
      </w:r>
    </w:p>
    <w:p w14:paraId="196B88EB" w14:textId="188A8BF9" w:rsidR="00DA6F80" w:rsidRPr="00980134" w:rsidRDefault="00913DB2" w:rsidP="00874955">
      <w:pPr>
        <w:pStyle w:val="3-BodyText"/>
      </w:pPr>
      <w:r w:rsidRPr="00980134">
        <w:t>The PBAC considered that the claim of non-inferior</w:t>
      </w:r>
      <w:r w:rsidR="007A744D" w:rsidRPr="00980134">
        <w:t xml:space="preserve"> c</w:t>
      </w:r>
      <w:r w:rsidRPr="00980134">
        <w:t>omparative safety was not adequately supported by the data</w:t>
      </w:r>
      <w:r w:rsidR="007B029D" w:rsidRPr="00980134">
        <w:t xml:space="preserve"> and </w:t>
      </w:r>
      <w:r w:rsidR="00874955" w:rsidRPr="00980134">
        <w:t xml:space="preserve">a </w:t>
      </w:r>
      <w:r w:rsidR="007B029D" w:rsidRPr="00980134">
        <w:t>claim of inferior safety was more reasonable</w:t>
      </w:r>
      <w:r w:rsidRPr="00980134">
        <w:t>.</w:t>
      </w:r>
      <w:bookmarkEnd w:id="63"/>
      <w:r w:rsidR="007A744D" w:rsidRPr="00980134">
        <w:t xml:space="preserve"> </w:t>
      </w:r>
      <w:bookmarkStart w:id="64" w:name="_Toc22897645"/>
      <w:bookmarkStart w:id="65" w:name="_Toc145452642"/>
    </w:p>
    <w:p w14:paraId="74A1172E" w14:textId="5C0DD32F" w:rsidR="00B60939" w:rsidRPr="00980134" w:rsidRDefault="00B60939" w:rsidP="00E9094A">
      <w:pPr>
        <w:pStyle w:val="4-SubsectionHeading"/>
      </w:pPr>
      <w:r w:rsidRPr="00980134">
        <w:t>Economic analysis</w:t>
      </w:r>
      <w:bookmarkEnd w:id="64"/>
      <w:bookmarkEnd w:id="65"/>
      <w:r w:rsidR="00491B3A" w:rsidRPr="00980134">
        <w:t xml:space="preserve"> </w:t>
      </w:r>
    </w:p>
    <w:p w14:paraId="3CA1607D" w14:textId="2F182799" w:rsidR="00C270F2" w:rsidRPr="00980134" w:rsidRDefault="00C270F2" w:rsidP="00C270F2">
      <w:pPr>
        <w:pStyle w:val="3-BodyText"/>
        <w:rPr>
          <w:b/>
          <w:bCs/>
          <w:color w:val="0066FF"/>
        </w:rPr>
      </w:pPr>
      <w:r w:rsidRPr="00980134">
        <w:t xml:space="preserve">The submission presented cost-effectiveness and cost-utility analyses for the HR positive cohort of DB-04 measuring outcomes in terms of life-years (LYs) gained and quality-adjusted life years (QALYs) gained. The key components of the </w:t>
      </w:r>
      <w:r w:rsidR="00EB4ECE" w:rsidRPr="00980134">
        <w:t>cost</w:t>
      </w:r>
      <w:r w:rsidR="00EB4ECE" w:rsidRPr="00980134">
        <w:noBreakHyphen/>
      </w:r>
      <w:r w:rsidRPr="00980134">
        <w:t xml:space="preserve">utility analysis are presented in </w:t>
      </w:r>
      <w:r w:rsidRPr="00980134">
        <w:fldChar w:fldCharType="begin" w:fldLock="1"/>
      </w:r>
      <w:r w:rsidRPr="00980134">
        <w:instrText xml:space="preserve"> REF _Ref142037421 \h </w:instrText>
      </w:r>
      <w:r w:rsidRPr="00980134">
        <w:fldChar w:fldCharType="separate"/>
      </w:r>
      <w:r w:rsidR="00DF66B3" w:rsidRPr="00980134">
        <w:t xml:space="preserve">Table </w:t>
      </w:r>
      <w:r w:rsidR="00DF66B3">
        <w:rPr>
          <w:noProof/>
        </w:rPr>
        <w:t>8</w:t>
      </w:r>
      <w:r w:rsidRPr="00980134">
        <w:fldChar w:fldCharType="end"/>
      </w:r>
      <w:r w:rsidRPr="00980134">
        <w:t>. A cost-minimisation analysis against SG was also presented for the HR negative cohort of DB-04</w:t>
      </w:r>
      <w:r w:rsidR="00632BA7" w:rsidRPr="00980134">
        <w:t>; however, the PBAC noted this was not informative as it did not consider SG was the main comparator</w:t>
      </w:r>
      <w:r w:rsidR="00874955" w:rsidRPr="00980134">
        <w:t xml:space="preserve"> for this population</w:t>
      </w:r>
      <w:r w:rsidR="00632BA7" w:rsidRPr="00980134">
        <w:t xml:space="preserve">. </w:t>
      </w:r>
    </w:p>
    <w:p w14:paraId="15FF5F39" w14:textId="7C819258" w:rsidR="00C270F2" w:rsidRPr="00980134" w:rsidRDefault="00C270F2" w:rsidP="00C270F2">
      <w:pPr>
        <w:pStyle w:val="Caption"/>
        <w:jc w:val="left"/>
        <w:rPr>
          <w:rStyle w:val="CommentReference"/>
          <w:b/>
          <w:szCs w:val="24"/>
        </w:rPr>
      </w:pPr>
      <w:bookmarkStart w:id="66" w:name="_Ref142037421"/>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8</w:t>
      </w:r>
      <w:r w:rsidR="006E03AE">
        <w:rPr>
          <w:noProof/>
        </w:rPr>
        <w:fldChar w:fldCharType="end"/>
      </w:r>
      <w:bookmarkEnd w:id="66"/>
      <w:r w:rsidRPr="00980134">
        <w:t>:</w:t>
      </w:r>
      <w:r w:rsidRPr="00980134">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7746"/>
      </w:tblGrid>
      <w:tr w:rsidR="00C270F2" w:rsidRPr="00980134" w14:paraId="31E06A3D" w14:textId="77777777">
        <w:trPr>
          <w:trHeight w:val="178"/>
          <w:tblHeader/>
        </w:trPr>
        <w:tc>
          <w:tcPr>
            <w:tcW w:w="705" w:type="pct"/>
            <w:shd w:val="clear" w:color="auto" w:fill="auto"/>
            <w:vAlign w:val="center"/>
          </w:tcPr>
          <w:p w14:paraId="00F4CFF3" w14:textId="77777777" w:rsidR="00C270F2" w:rsidRPr="00980134" w:rsidRDefault="00C270F2">
            <w:pPr>
              <w:pStyle w:val="In-tableHeading"/>
              <w:rPr>
                <w:lang w:val="en-AU"/>
              </w:rPr>
            </w:pPr>
            <w:r w:rsidRPr="00980134">
              <w:rPr>
                <w:lang w:val="en-AU"/>
              </w:rPr>
              <w:t>Component</w:t>
            </w:r>
          </w:p>
        </w:tc>
        <w:tc>
          <w:tcPr>
            <w:tcW w:w="4295" w:type="pct"/>
            <w:shd w:val="clear" w:color="auto" w:fill="auto"/>
            <w:vAlign w:val="center"/>
          </w:tcPr>
          <w:p w14:paraId="4ADA4045" w14:textId="77777777" w:rsidR="00C270F2" w:rsidRPr="00980134" w:rsidRDefault="00C270F2">
            <w:pPr>
              <w:pStyle w:val="In-tableHeading"/>
              <w:rPr>
                <w:lang w:val="en-AU"/>
              </w:rPr>
            </w:pPr>
            <w:r w:rsidRPr="00980134">
              <w:rPr>
                <w:lang w:val="en-AU"/>
              </w:rPr>
              <w:t>Summary</w:t>
            </w:r>
          </w:p>
        </w:tc>
      </w:tr>
      <w:tr w:rsidR="00C270F2" w:rsidRPr="00980134" w14:paraId="598A175B" w14:textId="77777777">
        <w:tc>
          <w:tcPr>
            <w:tcW w:w="705" w:type="pct"/>
            <w:shd w:val="clear" w:color="auto" w:fill="auto"/>
            <w:vAlign w:val="center"/>
          </w:tcPr>
          <w:p w14:paraId="09587CEE" w14:textId="77777777" w:rsidR="00C270F2" w:rsidRPr="00980134" w:rsidRDefault="00C270F2">
            <w:pPr>
              <w:pStyle w:val="TableText0"/>
            </w:pPr>
            <w:r w:rsidRPr="00980134">
              <w:t>Treatments</w:t>
            </w:r>
          </w:p>
        </w:tc>
        <w:tc>
          <w:tcPr>
            <w:tcW w:w="4295" w:type="pct"/>
            <w:shd w:val="clear" w:color="auto" w:fill="auto"/>
            <w:vAlign w:val="center"/>
          </w:tcPr>
          <w:p w14:paraId="22BD76FA" w14:textId="77777777" w:rsidR="00C270F2" w:rsidRPr="00980134" w:rsidRDefault="00C270F2">
            <w:pPr>
              <w:pStyle w:val="TableText0"/>
            </w:pPr>
            <w:r w:rsidRPr="00980134">
              <w:t>T-</w:t>
            </w:r>
            <w:proofErr w:type="spellStart"/>
            <w:r w:rsidRPr="00980134">
              <w:t>DXd</w:t>
            </w:r>
            <w:proofErr w:type="spellEnd"/>
            <w:r w:rsidRPr="00980134">
              <w:t xml:space="preserve"> versus TPC (consisting of capecitabine, gemcitabine, </w:t>
            </w:r>
            <w:proofErr w:type="spellStart"/>
            <w:r w:rsidRPr="00980134">
              <w:t>eribulin</w:t>
            </w:r>
            <w:proofErr w:type="spellEnd"/>
            <w:r w:rsidRPr="00980134">
              <w:t>, nab-paclitaxel, paclitaxel).</w:t>
            </w:r>
          </w:p>
        </w:tc>
      </w:tr>
      <w:tr w:rsidR="00C270F2" w:rsidRPr="00980134" w14:paraId="69E9BDD7" w14:textId="77777777">
        <w:tc>
          <w:tcPr>
            <w:tcW w:w="705" w:type="pct"/>
            <w:shd w:val="clear" w:color="auto" w:fill="auto"/>
            <w:vAlign w:val="center"/>
          </w:tcPr>
          <w:p w14:paraId="21AEE34A" w14:textId="77777777" w:rsidR="00C270F2" w:rsidRPr="00980134" w:rsidRDefault="00C270F2">
            <w:pPr>
              <w:pStyle w:val="TableText0"/>
            </w:pPr>
            <w:r w:rsidRPr="00980134">
              <w:t>Time horizon</w:t>
            </w:r>
          </w:p>
        </w:tc>
        <w:tc>
          <w:tcPr>
            <w:tcW w:w="4295" w:type="pct"/>
            <w:shd w:val="clear" w:color="auto" w:fill="auto"/>
            <w:vAlign w:val="center"/>
          </w:tcPr>
          <w:p w14:paraId="4D525092" w14:textId="1692F68D" w:rsidR="00C270F2" w:rsidRPr="00980134" w:rsidRDefault="00C270F2">
            <w:pPr>
              <w:pStyle w:val="TableText0"/>
            </w:pPr>
            <w:r w:rsidRPr="00980134">
              <w:t>12 years in the model base case vs median OS follow up of 18.4 months (at the January 2022 data-cut). This was only slightly shorter than the 15-year time horizon the PBAC had previously accepted for T-</w:t>
            </w:r>
            <w:proofErr w:type="spellStart"/>
            <w:r w:rsidRPr="00980134">
              <w:t>DXd</w:t>
            </w:r>
            <w:proofErr w:type="spellEnd"/>
            <w:r w:rsidRPr="00980134">
              <w:t xml:space="preserve"> in HER2 positive breast cancer (para 6.22, Trastuzumab </w:t>
            </w:r>
            <w:proofErr w:type="spellStart"/>
            <w:r w:rsidRPr="00980134">
              <w:t>deruxtecan</w:t>
            </w:r>
            <w:proofErr w:type="spellEnd"/>
            <w:r w:rsidRPr="00980134">
              <w:t xml:space="preserve"> PSD, March 2022 PBAC Meeting) despite the median OS of the current submission’s patient population being substantially shorter than for HER2 positive </w:t>
            </w:r>
            <w:proofErr w:type="spellStart"/>
            <w:r w:rsidRPr="00980134">
              <w:t>patients.</w:t>
            </w:r>
            <w:r w:rsidRPr="00980134">
              <w:rPr>
                <w:vertAlign w:val="superscript"/>
              </w:rPr>
              <w:t>a</w:t>
            </w:r>
            <w:proofErr w:type="spellEnd"/>
            <w:r w:rsidRPr="00980134">
              <w:t xml:space="preserve"> </w:t>
            </w:r>
          </w:p>
        </w:tc>
      </w:tr>
      <w:tr w:rsidR="00C270F2" w:rsidRPr="00980134" w14:paraId="13D276B7" w14:textId="77777777">
        <w:tc>
          <w:tcPr>
            <w:tcW w:w="705" w:type="pct"/>
            <w:shd w:val="clear" w:color="auto" w:fill="auto"/>
            <w:vAlign w:val="center"/>
          </w:tcPr>
          <w:p w14:paraId="4724C1EA" w14:textId="77777777" w:rsidR="00C270F2" w:rsidRPr="00980134" w:rsidRDefault="00C270F2">
            <w:pPr>
              <w:pStyle w:val="TableText0"/>
            </w:pPr>
            <w:r w:rsidRPr="00980134">
              <w:t>Outcomes</w:t>
            </w:r>
          </w:p>
        </w:tc>
        <w:tc>
          <w:tcPr>
            <w:tcW w:w="4295" w:type="pct"/>
            <w:shd w:val="clear" w:color="auto" w:fill="auto"/>
            <w:vAlign w:val="center"/>
          </w:tcPr>
          <w:p w14:paraId="682FFB8E" w14:textId="77777777" w:rsidR="00C270F2" w:rsidRPr="00980134" w:rsidRDefault="00C270F2">
            <w:pPr>
              <w:pStyle w:val="TableText0"/>
            </w:pPr>
            <w:r w:rsidRPr="00980134">
              <w:t xml:space="preserve">Life years gained; quality-adjusted life years gained. </w:t>
            </w:r>
          </w:p>
        </w:tc>
      </w:tr>
      <w:tr w:rsidR="00C270F2" w:rsidRPr="00980134" w14:paraId="03490D59" w14:textId="77777777">
        <w:tc>
          <w:tcPr>
            <w:tcW w:w="705" w:type="pct"/>
            <w:shd w:val="clear" w:color="auto" w:fill="auto"/>
            <w:vAlign w:val="center"/>
          </w:tcPr>
          <w:p w14:paraId="0C211530" w14:textId="77777777" w:rsidR="00C270F2" w:rsidRPr="00980134" w:rsidRDefault="00C270F2">
            <w:pPr>
              <w:pStyle w:val="TableText0"/>
            </w:pPr>
            <w:r w:rsidRPr="00980134">
              <w:t>Methods used to generate results</w:t>
            </w:r>
          </w:p>
        </w:tc>
        <w:tc>
          <w:tcPr>
            <w:tcW w:w="4295" w:type="pct"/>
            <w:shd w:val="clear" w:color="auto" w:fill="auto"/>
            <w:vAlign w:val="center"/>
          </w:tcPr>
          <w:p w14:paraId="6C368995" w14:textId="77777777" w:rsidR="00C270F2" w:rsidRPr="00980134" w:rsidRDefault="00C270F2">
            <w:pPr>
              <w:pStyle w:val="TableText0"/>
            </w:pPr>
            <w:r w:rsidRPr="00980134">
              <w:t>Partitioned survival analysis.</w:t>
            </w:r>
          </w:p>
        </w:tc>
      </w:tr>
      <w:tr w:rsidR="00C270F2" w:rsidRPr="00980134" w14:paraId="3E0882B6" w14:textId="77777777">
        <w:tc>
          <w:tcPr>
            <w:tcW w:w="705" w:type="pct"/>
            <w:shd w:val="clear" w:color="auto" w:fill="auto"/>
            <w:vAlign w:val="center"/>
          </w:tcPr>
          <w:p w14:paraId="2491B852" w14:textId="77777777" w:rsidR="00C270F2" w:rsidRPr="00980134" w:rsidRDefault="00C270F2">
            <w:pPr>
              <w:pStyle w:val="TableText0"/>
            </w:pPr>
            <w:r w:rsidRPr="00980134">
              <w:t>Health states</w:t>
            </w:r>
          </w:p>
        </w:tc>
        <w:tc>
          <w:tcPr>
            <w:tcW w:w="4295" w:type="pct"/>
            <w:shd w:val="clear" w:color="auto" w:fill="auto"/>
            <w:vAlign w:val="center"/>
          </w:tcPr>
          <w:p w14:paraId="0558E2FC" w14:textId="77777777" w:rsidR="00C270F2" w:rsidRPr="00980134" w:rsidRDefault="00C270F2">
            <w:pPr>
              <w:pStyle w:val="TableText0"/>
            </w:pPr>
            <w:r w:rsidRPr="00980134">
              <w:t>Progression-free, progressed disease and dead.</w:t>
            </w:r>
          </w:p>
        </w:tc>
      </w:tr>
      <w:tr w:rsidR="00C270F2" w:rsidRPr="00980134" w14:paraId="17A6E9FE" w14:textId="77777777">
        <w:tc>
          <w:tcPr>
            <w:tcW w:w="705" w:type="pct"/>
            <w:shd w:val="clear" w:color="auto" w:fill="auto"/>
            <w:vAlign w:val="center"/>
          </w:tcPr>
          <w:p w14:paraId="678B5D8D" w14:textId="77777777" w:rsidR="00C270F2" w:rsidRPr="00980134" w:rsidRDefault="00C270F2">
            <w:pPr>
              <w:pStyle w:val="TableText0"/>
            </w:pPr>
            <w:r w:rsidRPr="00980134">
              <w:t>Cycle length</w:t>
            </w:r>
          </w:p>
        </w:tc>
        <w:tc>
          <w:tcPr>
            <w:tcW w:w="4295" w:type="pct"/>
            <w:shd w:val="clear" w:color="auto" w:fill="auto"/>
            <w:vAlign w:val="center"/>
          </w:tcPr>
          <w:p w14:paraId="6890D777" w14:textId="77777777" w:rsidR="00C270F2" w:rsidRPr="00980134" w:rsidRDefault="00C270F2">
            <w:pPr>
              <w:pStyle w:val="TableText0"/>
            </w:pPr>
            <w:r w:rsidRPr="00980134">
              <w:t>21 days.</w:t>
            </w:r>
          </w:p>
        </w:tc>
      </w:tr>
      <w:tr w:rsidR="00C270F2" w:rsidRPr="00980134" w14:paraId="7C20B467" w14:textId="77777777">
        <w:trPr>
          <w:trHeight w:val="61"/>
        </w:trPr>
        <w:tc>
          <w:tcPr>
            <w:tcW w:w="705" w:type="pct"/>
            <w:shd w:val="clear" w:color="auto" w:fill="auto"/>
            <w:vAlign w:val="center"/>
          </w:tcPr>
          <w:p w14:paraId="796B6F1D" w14:textId="77777777" w:rsidR="00C270F2" w:rsidRPr="00980134" w:rsidRDefault="00C270F2">
            <w:pPr>
              <w:pStyle w:val="TableText0"/>
            </w:pPr>
            <w:r w:rsidRPr="00980134">
              <w:t>Health state allocation</w:t>
            </w:r>
          </w:p>
        </w:tc>
        <w:tc>
          <w:tcPr>
            <w:tcW w:w="4295" w:type="pct"/>
            <w:shd w:val="clear" w:color="auto" w:fill="auto"/>
            <w:vAlign w:val="center"/>
          </w:tcPr>
          <w:p w14:paraId="2992B46E" w14:textId="41609CCD" w:rsidR="00C270F2" w:rsidRPr="00980134" w:rsidRDefault="00C270F2">
            <w:pPr>
              <w:pStyle w:val="TableText0"/>
            </w:pPr>
            <w:r w:rsidRPr="00980134">
              <w:t xml:space="preserve">PFS and OS data from the HR positive cohort of DB-04, represented and extrapolated through parametric functions. Consequently, no KM data was included in the model. </w:t>
            </w:r>
            <w:r w:rsidRPr="00980134">
              <w:rPr>
                <w:rFonts w:cstheme="minorHAnsi"/>
                <w:color w:val="000000" w:themeColor="text1"/>
              </w:rPr>
              <w:t>This was not appropriate and in contrast to the PBAC guidelines which stipulates that observed time-to-event data should be used until it becomes unreliable.</w:t>
            </w:r>
          </w:p>
        </w:tc>
      </w:tr>
      <w:tr w:rsidR="00C270F2" w:rsidRPr="00980134" w14:paraId="51D99192" w14:textId="77777777">
        <w:tc>
          <w:tcPr>
            <w:tcW w:w="705" w:type="pct"/>
            <w:shd w:val="clear" w:color="auto" w:fill="auto"/>
            <w:vAlign w:val="center"/>
          </w:tcPr>
          <w:p w14:paraId="0DB5C876" w14:textId="77777777" w:rsidR="00C270F2" w:rsidRPr="00980134" w:rsidRDefault="00C270F2">
            <w:pPr>
              <w:pStyle w:val="TableText0"/>
            </w:pPr>
            <w:r w:rsidRPr="00980134">
              <w:t>Extrapolation method</w:t>
            </w:r>
          </w:p>
        </w:tc>
        <w:tc>
          <w:tcPr>
            <w:tcW w:w="4295" w:type="pct"/>
            <w:shd w:val="clear" w:color="auto" w:fill="auto"/>
            <w:vAlign w:val="center"/>
          </w:tcPr>
          <w:p w14:paraId="11D7FFDB" w14:textId="49AB79C0" w:rsidR="00C270F2" w:rsidRPr="00980134" w:rsidRDefault="00C270F2">
            <w:pPr>
              <w:pStyle w:val="TableText0"/>
            </w:pPr>
            <w:r w:rsidRPr="00980134">
              <w:rPr>
                <w:rFonts w:cstheme="minorHAnsi"/>
                <w:color w:val="000000" w:themeColor="text1"/>
              </w:rPr>
              <w:t xml:space="preserve">The submission considered the </w:t>
            </w:r>
            <w:r w:rsidRPr="00980134">
              <w:t>PH assumption holds true for both PFS and OS based on log-cumulative hazard and Schoenfeld residuals plots. The use of dependent parametric functions has not been adequately justified as diagnostic plots presented in the submission were inconclusive regarding whether the PH assumption holds true for both PFS and OS. Additionally, as no treatment waning effect was applied, this resulted in an ongoing treatment benefit associated with T-</w:t>
            </w:r>
            <w:proofErr w:type="spellStart"/>
            <w:r w:rsidRPr="00980134">
              <w:t>DXd</w:t>
            </w:r>
            <w:proofErr w:type="spellEnd"/>
            <w:r w:rsidRPr="00980134">
              <w:t xml:space="preserve"> over TPC until the end of the time horizon. </w:t>
            </w:r>
          </w:p>
          <w:p w14:paraId="267F35C0" w14:textId="77777777" w:rsidR="00C270F2" w:rsidRPr="00980134" w:rsidRDefault="00C270F2">
            <w:pPr>
              <w:pStyle w:val="TableText0"/>
            </w:pPr>
          </w:p>
          <w:p w14:paraId="793DBB46" w14:textId="6836A0FD" w:rsidR="00C270F2" w:rsidRPr="00980134" w:rsidRDefault="00C270F2">
            <w:pPr>
              <w:pStyle w:val="TableText0"/>
            </w:pPr>
            <w:r w:rsidRPr="00980134">
              <w:t xml:space="preserve">Standard dependent parametric distributions were fitted to PFS and OS KM data in both arms. Log-normal and log-logistic distributions were chosen to model PFS and OS, respectively, in both arms based on AIC/BIC and visual fit. No treatment waning was applied to any curves. Whilst the PFS data were mature and not sensitive to changes in the parametric functions, there was substantial variation between the modelled OS curves. The submission’s rationale for choosing the log-logistic curve was poorly justified, given that this distribution was </w:t>
            </w:r>
            <w:r w:rsidR="00FB771F" w:rsidRPr="00980134">
              <w:t xml:space="preserve">not the best </w:t>
            </w:r>
            <w:r w:rsidRPr="00980134">
              <w:t>fitting curve by AIC/BIC and had poor visual fit compared to the other statistically best fitting curves</w:t>
            </w:r>
            <w:r w:rsidR="00980134">
              <w:t xml:space="preserve">. </w:t>
            </w:r>
          </w:p>
          <w:p w14:paraId="504652EE" w14:textId="77777777" w:rsidR="00C270F2" w:rsidRPr="00980134" w:rsidRDefault="00C270F2">
            <w:pPr>
              <w:pStyle w:val="TableText0"/>
            </w:pPr>
          </w:p>
          <w:p w14:paraId="34E860E2" w14:textId="17520DB8" w:rsidR="00C270F2" w:rsidRPr="00980134" w:rsidRDefault="00C270F2">
            <w:pPr>
              <w:pStyle w:val="TableText0"/>
            </w:pPr>
            <w:r w:rsidRPr="00980134">
              <w:t>In the base case model 41% of LYs gained occurred after the maximum trial observation period</w:t>
            </w:r>
            <w:r w:rsidR="00980134">
              <w:t xml:space="preserve">. </w:t>
            </w:r>
          </w:p>
        </w:tc>
      </w:tr>
      <w:tr w:rsidR="00C270F2" w:rsidRPr="00980134" w14:paraId="13D7E1A8" w14:textId="77777777">
        <w:tc>
          <w:tcPr>
            <w:tcW w:w="705" w:type="pct"/>
            <w:shd w:val="clear" w:color="auto" w:fill="auto"/>
            <w:vAlign w:val="center"/>
          </w:tcPr>
          <w:p w14:paraId="22B27538" w14:textId="77777777" w:rsidR="00C270F2" w:rsidRPr="00980134" w:rsidRDefault="00C270F2">
            <w:pPr>
              <w:pStyle w:val="TableText0"/>
            </w:pPr>
            <w:r w:rsidRPr="00980134">
              <w:t>Health related quality of life</w:t>
            </w:r>
          </w:p>
        </w:tc>
        <w:tc>
          <w:tcPr>
            <w:tcW w:w="4295" w:type="pct"/>
            <w:shd w:val="clear" w:color="auto" w:fill="auto"/>
            <w:vAlign w:val="center"/>
          </w:tcPr>
          <w:p w14:paraId="33479D64" w14:textId="77777777" w:rsidR="00C270F2" w:rsidRPr="00980134" w:rsidRDefault="00C270F2">
            <w:pPr>
              <w:pStyle w:val="TableText0"/>
            </w:pPr>
            <w:r w:rsidRPr="00980134">
              <w:t xml:space="preserve">Treatment specific health state utilities were derived from EQ-5D-5L data from the HR positive cohort of DB-04. </w:t>
            </w:r>
          </w:p>
          <w:p w14:paraId="5D6DDA12" w14:textId="156BB800" w:rsidR="00C270F2" w:rsidRPr="00980134" w:rsidRDefault="00C270F2">
            <w:pPr>
              <w:pStyle w:val="TableText0"/>
            </w:pPr>
            <w:r w:rsidRPr="00980134">
              <w:t>PF: 0.883 for T-</w:t>
            </w:r>
            <w:proofErr w:type="spellStart"/>
            <w:r w:rsidRPr="00980134">
              <w:t>DXd</w:t>
            </w:r>
            <w:proofErr w:type="spellEnd"/>
            <w:r w:rsidRPr="00980134">
              <w:t xml:space="preserve"> and 0.873 for TPC</w:t>
            </w:r>
            <w:r w:rsidR="00980134">
              <w:t xml:space="preserve">. </w:t>
            </w:r>
          </w:p>
          <w:p w14:paraId="5A53CF16" w14:textId="249C1354" w:rsidR="00C270F2" w:rsidRPr="00980134" w:rsidRDefault="00C270F2">
            <w:pPr>
              <w:pStyle w:val="TableText0"/>
            </w:pPr>
            <w:r w:rsidRPr="00980134">
              <w:t>PD: 0.875 for T-</w:t>
            </w:r>
            <w:proofErr w:type="spellStart"/>
            <w:r w:rsidRPr="00980134">
              <w:t>DXd</w:t>
            </w:r>
            <w:proofErr w:type="spellEnd"/>
            <w:r w:rsidRPr="00980134">
              <w:t xml:space="preserve"> and 0.821 for TPC</w:t>
            </w:r>
            <w:r w:rsidR="00980134">
              <w:t xml:space="preserve">. </w:t>
            </w:r>
          </w:p>
          <w:p w14:paraId="5C3C6412" w14:textId="12CAEE78" w:rsidR="00C270F2" w:rsidRPr="00980134" w:rsidRDefault="00C270F2">
            <w:pPr>
              <w:pStyle w:val="TableText0"/>
            </w:pPr>
            <w:r w:rsidRPr="00980134">
              <w:t>The application of a higher utility value for T-</w:t>
            </w:r>
            <w:proofErr w:type="spellStart"/>
            <w:r w:rsidRPr="00980134">
              <w:t>DXd</w:t>
            </w:r>
            <w:proofErr w:type="spellEnd"/>
            <w:r w:rsidRPr="00980134">
              <w:t xml:space="preserve"> patients </w:t>
            </w:r>
            <w:r w:rsidR="001852D2" w:rsidRPr="00980134">
              <w:t>was not</w:t>
            </w:r>
            <w:r w:rsidRPr="00980134">
              <w:t xml:space="preserve"> plausible given</w:t>
            </w:r>
            <w:r w:rsidRPr="00980134">
              <w:rPr>
                <w:rFonts w:cstheme="minorHAnsi"/>
              </w:rPr>
              <w:t xml:space="preserve"> </w:t>
            </w:r>
            <w:r w:rsidRPr="00980134">
              <w:t>the considerably higher risk of treatment discontinuation with T-</w:t>
            </w:r>
            <w:proofErr w:type="spellStart"/>
            <w:r w:rsidRPr="00980134">
              <w:t>DXd</w:t>
            </w:r>
            <w:proofErr w:type="spellEnd"/>
            <w:r w:rsidRPr="00980134">
              <w:t xml:space="preserve"> due to TEAEs, which may impact quality of life. Additionally, PF utility values in both arms are implausibly high given the background utility of the Australian </w:t>
            </w:r>
            <w:proofErr w:type="spellStart"/>
            <w:r w:rsidRPr="00980134">
              <w:t>population</w:t>
            </w:r>
            <w:r w:rsidRPr="00980134">
              <w:rPr>
                <w:vertAlign w:val="superscript"/>
              </w:rPr>
              <w:t>b</w:t>
            </w:r>
            <w:proofErr w:type="spellEnd"/>
            <w:r w:rsidRPr="00980134">
              <w:t xml:space="preserve"> and other advanced breast cancer submissions to the </w:t>
            </w:r>
            <w:proofErr w:type="spellStart"/>
            <w:r w:rsidRPr="00980134">
              <w:t>PBAC.</w:t>
            </w:r>
            <w:r w:rsidRPr="00980134">
              <w:rPr>
                <w:vertAlign w:val="superscript"/>
              </w:rPr>
              <w:t>c</w:t>
            </w:r>
            <w:proofErr w:type="spellEnd"/>
            <w:r w:rsidRPr="00980134">
              <w:t xml:space="preserve"> The small utility decrement from the PF to the PD health state in both arms is unlikely to reflect the utility decrement associated with deteriorating disease over time until death. This is possibly due to the lack of collection of EQ-5D-5L data for this health </w:t>
            </w:r>
            <w:proofErr w:type="spellStart"/>
            <w:r w:rsidRPr="00980134">
              <w:t>state.</w:t>
            </w:r>
            <w:r w:rsidRPr="00980134">
              <w:rPr>
                <w:vertAlign w:val="superscript"/>
              </w:rPr>
              <w:t>d</w:t>
            </w:r>
            <w:proofErr w:type="spellEnd"/>
            <w:r w:rsidRPr="00980134">
              <w:t xml:space="preserve"> </w:t>
            </w:r>
          </w:p>
        </w:tc>
      </w:tr>
    </w:tbl>
    <w:p w14:paraId="5BF898B6" w14:textId="77777777" w:rsidR="00C270F2" w:rsidRPr="00980134" w:rsidRDefault="00C270F2" w:rsidP="00C270F2">
      <w:pPr>
        <w:pStyle w:val="FooterTableFigure"/>
      </w:pPr>
      <w:r w:rsidRPr="00980134">
        <w:t xml:space="preserve">Source: Constructed during the evaluation. </w:t>
      </w:r>
    </w:p>
    <w:p w14:paraId="6B075E2C" w14:textId="77777777" w:rsidR="00C270F2" w:rsidRPr="00980134" w:rsidRDefault="00C270F2" w:rsidP="00C270F2">
      <w:pPr>
        <w:pStyle w:val="FooterTableFigure"/>
      </w:pPr>
      <w:r w:rsidRPr="00980134">
        <w:rPr>
          <w:rFonts w:cstheme="minorHAnsi"/>
          <w:color w:val="000000" w:themeColor="text1"/>
        </w:rPr>
        <w:t xml:space="preserve">AIC = Akaike information criterion; BIC = Bayesian information criterion; DB-03 = Destiny Breast-03; </w:t>
      </w:r>
      <w:r w:rsidRPr="00980134">
        <w:t>DB-04 = Destiny Breast-04; HER2 = human epidermal growth factor receptor 2; HR = hormone receptor; KM = Kaplan Meier; LY = life year; OS = overall survival; PBAC = Pharmaceutical Benefits Advisory Committee; PD = progressed disease; PF = progression-free; PFS = progression-free survival; PH = proportional hazards; PSD = public summary document; T-</w:t>
      </w:r>
      <w:proofErr w:type="spellStart"/>
      <w:r w:rsidRPr="00980134">
        <w:t>DXd</w:t>
      </w:r>
      <w:proofErr w:type="spellEnd"/>
      <w:r w:rsidRPr="00980134">
        <w:t xml:space="preserve"> = trastuzumab </w:t>
      </w:r>
      <w:proofErr w:type="spellStart"/>
      <w:r w:rsidRPr="00980134">
        <w:t>deruxtecan</w:t>
      </w:r>
      <w:proofErr w:type="spellEnd"/>
      <w:r w:rsidRPr="00980134">
        <w:t>; TEAE = treatment emergent adverse event; TPC = treatment of physician’s choice.</w:t>
      </w:r>
    </w:p>
    <w:p w14:paraId="14B4B8F2" w14:textId="77777777" w:rsidR="00C270F2" w:rsidRPr="00980134" w:rsidRDefault="00C270F2" w:rsidP="00C270F2">
      <w:pPr>
        <w:pStyle w:val="FooterTableFigure"/>
      </w:pPr>
      <w:r w:rsidRPr="00980134">
        <w:rPr>
          <w:vertAlign w:val="superscript"/>
        </w:rPr>
        <w:lastRenderedPageBreak/>
        <w:t>a</w:t>
      </w:r>
      <w:r w:rsidRPr="00980134">
        <w:t xml:space="preserve"> Lower bound of the 95% CI of the median OS in DB-03 (HER2 positive trial) for HR positive T-</w:t>
      </w:r>
      <w:proofErr w:type="spellStart"/>
      <w:r w:rsidRPr="00980134">
        <w:t>DXd</w:t>
      </w:r>
      <w:proofErr w:type="spellEnd"/>
      <w:r w:rsidRPr="00980134">
        <w:t xml:space="preserve"> patients reported as 40.5 months vs median OS of 23.9 months in DB-04 for T-</w:t>
      </w:r>
      <w:proofErr w:type="spellStart"/>
      <w:r w:rsidRPr="00980134">
        <w:t>DXd</w:t>
      </w:r>
      <w:proofErr w:type="spellEnd"/>
      <w:r w:rsidRPr="00980134">
        <w:t xml:space="preserve"> HR positive patients.</w:t>
      </w:r>
      <w:bookmarkStart w:id="67" w:name="_Ref142038718"/>
      <w:r w:rsidRPr="00980134">
        <w:rPr>
          <w:rStyle w:val="FootnoteReference"/>
        </w:rPr>
        <w:footnoteReference w:id="15"/>
      </w:r>
      <w:bookmarkEnd w:id="67"/>
    </w:p>
    <w:p w14:paraId="7427D23C" w14:textId="77777777" w:rsidR="00C270F2" w:rsidRPr="00980134" w:rsidRDefault="00C270F2" w:rsidP="00C270F2">
      <w:pPr>
        <w:pStyle w:val="FooterTableFigure"/>
      </w:pPr>
      <w:r w:rsidRPr="00980134">
        <w:rPr>
          <w:vertAlign w:val="superscript"/>
        </w:rPr>
        <w:t>b</w:t>
      </w:r>
      <w:r w:rsidRPr="00980134">
        <w:t xml:space="preserve"> The background utility of the Australian population for </w:t>
      </w:r>
      <w:r w:rsidRPr="00980134">
        <w:rPr>
          <w:rFonts w:cstheme="minorHAnsi"/>
        </w:rPr>
        <w:t>the corresponding age group has been reported as 0.85</w:t>
      </w:r>
      <w:r w:rsidRPr="00980134">
        <w:rPr>
          <w:rFonts w:cstheme="minorHAnsi"/>
          <w:i/>
          <w:iCs/>
        </w:rPr>
        <w:t>.</w:t>
      </w:r>
      <w:r w:rsidRPr="00980134">
        <w:rPr>
          <w:rStyle w:val="FootnoteReference"/>
          <w:rFonts w:cstheme="minorHAnsi"/>
          <w:i/>
          <w:iCs/>
        </w:rPr>
        <w:footnoteReference w:id="16"/>
      </w:r>
    </w:p>
    <w:p w14:paraId="36B93C16" w14:textId="77777777" w:rsidR="00C270F2" w:rsidRPr="00980134" w:rsidRDefault="00C270F2" w:rsidP="00C270F2">
      <w:pPr>
        <w:pStyle w:val="FooterTableFigure"/>
      </w:pPr>
      <w:r w:rsidRPr="00980134">
        <w:rPr>
          <w:vertAlign w:val="superscript"/>
        </w:rPr>
        <w:t xml:space="preserve">c </w:t>
      </w:r>
      <w:r w:rsidRPr="00980134">
        <w:t>The previous T-</w:t>
      </w:r>
      <w:proofErr w:type="spellStart"/>
      <w:r w:rsidRPr="00980134">
        <w:t>DXd</w:t>
      </w:r>
      <w:proofErr w:type="spellEnd"/>
      <w:r w:rsidRPr="00980134">
        <w:t xml:space="preserve"> submission (for HER2 positive advanced breast cancer) reported a pooled PF utility value of 0.812, PF utilities of 0.736 and 0.712 were applied for </w:t>
      </w:r>
      <w:proofErr w:type="spellStart"/>
      <w:r w:rsidRPr="00980134">
        <w:t>palbociclib</w:t>
      </w:r>
      <w:proofErr w:type="spellEnd"/>
      <w:r w:rsidRPr="00980134">
        <w:t xml:space="preserve"> + letrozole and letrozole alone, respectively (Table 9, Palbociclib PSD, November 2017 PBAC Meeting) and PF utility values of 0.746 and 0.662 were applied for SG and TPC, respectively (para 6.48, Sacituzumab </w:t>
      </w:r>
      <w:proofErr w:type="spellStart"/>
      <w:r w:rsidRPr="00980134">
        <w:t>govetican</w:t>
      </w:r>
      <w:proofErr w:type="spellEnd"/>
      <w:r w:rsidRPr="00980134">
        <w:t xml:space="preserve"> PSD, March 2022 PBAC Meeting).</w:t>
      </w:r>
    </w:p>
    <w:p w14:paraId="51BA5042" w14:textId="260CEC93" w:rsidR="00C270F2" w:rsidRPr="00980134" w:rsidRDefault="00C270F2" w:rsidP="00C270F2">
      <w:pPr>
        <w:pStyle w:val="FooterTableFigure"/>
      </w:pPr>
      <w:r w:rsidRPr="00980134">
        <w:rPr>
          <w:vertAlign w:val="superscript"/>
        </w:rPr>
        <w:t>d</w:t>
      </w:r>
      <w:r w:rsidRPr="00980134">
        <w:t xml:space="preserve"> EQ-5D-5L data was only collected at 2 time points (40 days and 3 months post treatment discontinuation) for patients in the PD health state in DB-04. </w:t>
      </w:r>
    </w:p>
    <w:p w14:paraId="73A5D382" w14:textId="00DFA7F4" w:rsidR="00C270F2" w:rsidRPr="00980134" w:rsidRDefault="00C270F2" w:rsidP="00C270F2">
      <w:pPr>
        <w:pStyle w:val="3-BodyText"/>
      </w:pPr>
      <w:r w:rsidRPr="00980134">
        <w:rPr>
          <w:snapToGrid/>
        </w:rPr>
        <w:t>The submission nominated a time horizon of 12 years in the base case analysis as the extrapolated OS curves indicated that most patients had died by this time point. The choice of the extrapolation method for the OS curves was not well-justified and favoured the T-</w:t>
      </w:r>
      <w:proofErr w:type="spellStart"/>
      <w:r w:rsidRPr="00980134">
        <w:rPr>
          <w:snapToGrid/>
        </w:rPr>
        <w:t>DXd</w:t>
      </w:r>
      <w:proofErr w:type="spellEnd"/>
      <w:r w:rsidRPr="00980134">
        <w:rPr>
          <w:snapToGrid/>
        </w:rPr>
        <w:t xml:space="preserve"> arm (discussed below) and, hence, nominating the time horizon based on these curves may not be reasonable. </w:t>
      </w:r>
      <w:r w:rsidR="00CC743F" w:rsidRPr="00980134">
        <w:t>The ESC noted this population had received at least one prior line of therapy and was likely to have aggressive disease</w:t>
      </w:r>
      <w:r w:rsidR="00CC743F" w:rsidRPr="00980134">
        <w:rPr>
          <w:i/>
          <w:iCs/>
        </w:rPr>
        <w:t>.</w:t>
      </w:r>
      <w:r w:rsidR="00CC743F" w:rsidRPr="00980134">
        <w:t xml:space="preserve"> </w:t>
      </w:r>
      <w:r w:rsidR="00FB771F" w:rsidRPr="00980134">
        <w:t>The ESC considered that a 10 year time horizon would be more appropriate for this patient population</w:t>
      </w:r>
      <w:r w:rsidR="009465FE" w:rsidRPr="00980134">
        <w:t xml:space="preserve"> but noted</w:t>
      </w:r>
      <w:r w:rsidR="00FB771F" w:rsidRPr="00980134">
        <w:rPr>
          <w:i/>
          <w:iCs/>
        </w:rPr>
        <w:t xml:space="preserve"> </w:t>
      </w:r>
      <w:r w:rsidR="0068609D" w:rsidRPr="00980134">
        <w:t>t</w:t>
      </w:r>
      <w:r w:rsidRPr="00980134">
        <w:t xml:space="preserve">he ICER was not sensitive to changing the time horizon from 12 to 10 years (see </w:t>
      </w:r>
      <w:r w:rsidRPr="00980134">
        <w:fldChar w:fldCharType="begin" w:fldLock="1"/>
      </w:r>
      <w:r w:rsidRPr="00980134">
        <w:instrText xml:space="preserve"> REF _Ref142318959 \h  \* MERGEFORMAT </w:instrText>
      </w:r>
      <w:r w:rsidRPr="00980134">
        <w:fldChar w:fldCharType="separate"/>
      </w:r>
      <w:r w:rsidR="00DF66B3" w:rsidRPr="00980134">
        <w:t xml:space="preserve">Table </w:t>
      </w:r>
      <w:r w:rsidR="00DF66B3">
        <w:t>11</w:t>
      </w:r>
      <w:r w:rsidRPr="00980134">
        <w:fldChar w:fldCharType="end"/>
      </w:r>
      <w:r w:rsidRPr="00980134">
        <w:t>)</w:t>
      </w:r>
      <w:r w:rsidR="00980134">
        <w:t xml:space="preserve">. </w:t>
      </w:r>
    </w:p>
    <w:p w14:paraId="3BB012C5" w14:textId="78697E44" w:rsidR="00C270F2" w:rsidRPr="00980134" w:rsidRDefault="00C270F2" w:rsidP="00C270F2">
      <w:pPr>
        <w:pStyle w:val="3-BodyText"/>
        <w:snapToGrid w:val="0"/>
        <w:ind w:left="709" w:hanging="709"/>
      </w:pPr>
      <w:r w:rsidRPr="00980134">
        <w:rPr>
          <w:rFonts w:cstheme="minorHAnsi"/>
          <w:color w:val="000000" w:themeColor="text1"/>
        </w:rPr>
        <w:t xml:space="preserve">The observed </w:t>
      </w:r>
      <w:r w:rsidR="00FB771F" w:rsidRPr="00980134">
        <w:rPr>
          <w:rFonts w:cstheme="minorHAnsi"/>
          <w:color w:val="000000" w:themeColor="text1"/>
        </w:rPr>
        <w:t xml:space="preserve">TTD, </w:t>
      </w:r>
      <w:r w:rsidRPr="00980134">
        <w:rPr>
          <w:rFonts w:cstheme="minorHAnsi"/>
          <w:color w:val="000000" w:themeColor="text1"/>
        </w:rPr>
        <w:t xml:space="preserve">PFS and OS curves were </w:t>
      </w:r>
      <w:r w:rsidR="001A0079" w:rsidRPr="00980134">
        <w:rPr>
          <w:rFonts w:cstheme="minorHAnsi"/>
          <w:color w:val="000000" w:themeColor="text1"/>
        </w:rPr>
        <w:t xml:space="preserve">modelled over the entire time horizon using </w:t>
      </w:r>
      <w:r w:rsidRPr="00980134">
        <w:rPr>
          <w:rFonts w:cstheme="minorHAnsi"/>
          <w:color w:val="000000" w:themeColor="text1"/>
        </w:rPr>
        <w:t>parametric functions and consequently no KM data was explicitly included in the model. Th</w:t>
      </w:r>
      <w:r w:rsidR="00FB771F" w:rsidRPr="00980134">
        <w:rPr>
          <w:rFonts w:cstheme="minorHAnsi"/>
          <w:color w:val="000000" w:themeColor="text1"/>
        </w:rPr>
        <w:t xml:space="preserve">e ESC considered this was </w:t>
      </w:r>
      <w:r w:rsidRPr="00980134">
        <w:rPr>
          <w:rFonts w:cstheme="minorHAnsi"/>
          <w:color w:val="000000" w:themeColor="text1"/>
        </w:rPr>
        <w:t>not appropriate and in contrast to the PBAC guidelines which state a preference for observed time-to-event data until it becomes unreliable.</w:t>
      </w:r>
      <w:r w:rsidR="009465FE" w:rsidRPr="00980134">
        <w:rPr>
          <w:rFonts w:cstheme="minorHAnsi"/>
          <w:color w:val="000000" w:themeColor="text1"/>
        </w:rPr>
        <w:t xml:space="preserve"> The ESC noted including KM data in the model for TTD, PFS and OS increased the ICER</w:t>
      </w:r>
      <w:r w:rsidR="0068609D" w:rsidRPr="00980134">
        <w:rPr>
          <w:rFonts w:cstheme="minorHAnsi"/>
          <w:color w:val="000000" w:themeColor="text1"/>
        </w:rPr>
        <w:t xml:space="preserve"> by 13% (from </w:t>
      </w:r>
      <w:r w:rsidR="00F24DE5" w:rsidRPr="00F24DE5">
        <w:rPr>
          <w:rFonts w:cstheme="minorHAnsi"/>
          <w:color w:val="000000" w:themeColor="text1"/>
        </w:rPr>
        <w:t>$75,000 to &lt; $95,000</w:t>
      </w:r>
      <w:r w:rsidR="0068609D" w:rsidRPr="00980134">
        <w:rPr>
          <w:rFonts w:cstheme="minorHAnsi"/>
          <w:color w:val="000000" w:themeColor="text1"/>
        </w:rPr>
        <w:t xml:space="preserve"> </w:t>
      </w:r>
      <w:r w:rsidR="009465FE" w:rsidRPr="00980134">
        <w:rPr>
          <w:rFonts w:cstheme="minorHAnsi"/>
          <w:color w:val="000000" w:themeColor="text1"/>
        </w:rPr>
        <w:t xml:space="preserve">to </w:t>
      </w:r>
      <w:r w:rsidR="00F24DE5" w:rsidRPr="00F24DE5">
        <w:rPr>
          <w:rFonts w:cstheme="minorHAnsi"/>
          <w:color w:val="000000" w:themeColor="text1"/>
        </w:rPr>
        <w:t>$95,000 to &lt;</w:t>
      </w:r>
      <w:r w:rsidR="00BB0250">
        <w:rPr>
          <w:rFonts w:cstheme="minorHAnsi"/>
          <w:color w:val="000000" w:themeColor="text1"/>
        </w:rPr>
        <w:t> </w:t>
      </w:r>
      <w:r w:rsidR="00F24DE5" w:rsidRPr="00F24DE5">
        <w:rPr>
          <w:rFonts w:cstheme="minorHAnsi"/>
          <w:color w:val="000000" w:themeColor="text1"/>
        </w:rPr>
        <w:t xml:space="preserve">$115,000 </w:t>
      </w:r>
      <w:r w:rsidR="009465FE" w:rsidRPr="00980134">
        <w:rPr>
          <w:rFonts w:cstheme="minorHAnsi"/>
          <w:color w:val="000000" w:themeColor="text1"/>
        </w:rPr>
        <w:t>per QALY</w:t>
      </w:r>
      <w:r w:rsidR="00BD28F0" w:rsidRPr="00980134">
        <w:rPr>
          <w:rFonts w:cstheme="minorHAnsi"/>
          <w:color w:val="000000" w:themeColor="text1"/>
        </w:rPr>
        <w:t xml:space="preserve">, see </w:t>
      </w:r>
      <w:r w:rsidR="00BD28F0" w:rsidRPr="00980134">
        <w:rPr>
          <w:rFonts w:cstheme="minorHAnsi"/>
          <w:color w:val="000000" w:themeColor="text1"/>
        </w:rPr>
        <w:fldChar w:fldCharType="begin" w:fldLock="1"/>
      </w:r>
      <w:r w:rsidR="00BD28F0" w:rsidRPr="00980134">
        <w:rPr>
          <w:rFonts w:cstheme="minorHAnsi"/>
          <w:color w:val="000000" w:themeColor="text1"/>
        </w:rPr>
        <w:instrText xml:space="preserve"> REF _Ref142470537 \h </w:instrText>
      </w:r>
      <w:r w:rsidR="00BD28F0" w:rsidRPr="00980134">
        <w:rPr>
          <w:rFonts w:cstheme="minorHAnsi"/>
          <w:color w:val="000000" w:themeColor="text1"/>
        </w:rPr>
      </w:r>
      <w:r w:rsidR="00BD28F0" w:rsidRPr="00980134">
        <w:rPr>
          <w:rFonts w:cstheme="minorHAnsi"/>
          <w:color w:val="000000" w:themeColor="text1"/>
        </w:rPr>
        <w:fldChar w:fldCharType="separate"/>
      </w:r>
      <w:r w:rsidR="00DF66B3" w:rsidRPr="00980134">
        <w:t xml:space="preserve">Table </w:t>
      </w:r>
      <w:r w:rsidR="00DF66B3">
        <w:rPr>
          <w:noProof/>
        </w:rPr>
        <w:t>12</w:t>
      </w:r>
      <w:r w:rsidR="00BD28F0" w:rsidRPr="00980134">
        <w:rPr>
          <w:rFonts w:cstheme="minorHAnsi"/>
          <w:color w:val="000000" w:themeColor="text1"/>
        </w:rPr>
        <w:fldChar w:fldCharType="end"/>
      </w:r>
      <w:r w:rsidR="00792B76" w:rsidRPr="00980134">
        <w:rPr>
          <w:rFonts w:cstheme="minorHAnsi"/>
          <w:color w:val="000000" w:themeColor="text1"/>
        </w:rPr>
        <w:t xml:space="preserve"> footnotes for methodology</w:t>
      </w:r>
      <w:r w:rsidR="0068609D" w:rsidRPr="00980134">
        <w:rPr>
          <w:rFonts w:cstheme="minorHAnsi"/>
          <w:color w:val="000000" w:themeColor="text1"/>
        </w:rPr>
        <w:t>)</w:t>
      </w:r>
      <w:r w:rsidR="009465FE" w:rsidRPr="00980134">
        <w:rPr>
          <w:rFonts w:cstheme="minorHAnsi"/>
          <w:color w:val="000000" w:themeColor="text1"/>
        </w:rPr>
        <w:t xml:space="preserve">. </w:t>
      </w:r>
    </w:p>
    <w:p w14:paraId="6CCCE2CF" w14:textId="6336F4AA" w:rsidR="00C270F2" w:rsidRPr="00980134" w:rsidRDefault="00C270F2" w:rsidP="00C270F2">
      <w:pPr>
        <w:pStyle w:val="3-BodyText"/>
        <w:snapToGrid w:val="0"/>
        <w:ind w:left="709" w:hanging="709"/>
      </w:pPr>
      <w:r w:rsidRPr="00980134">
        <w:t>The submission concluded that the proportional hazards (PH) assumption holds true based on log-cumulative hazard plots and Schoenfeld residuals. Dependently fitted parametric functions were therefore applied to the trial-based KM PFS and OS data from the HR positive cohort. The interpretation of the diagnostic plots is not as straightforward as suggested by the submission. The log-log survival curves were not parallel in the first few months and the Schoenfeld residuals plot showed a non-zero slope over time. The graphical analyses suggest that the PH assumption, at the very least, is uncertain. Additionally, as no treatment waning effect was applied to the extrapolated curves, the submission has assumed an ongoing treatment benefit associated with T-</w:t>
      </w:r>
      <w:proofErr w:type="spellStart"/>
      <w:r w:rsidRPr="00980134">
        <w:t>DXd</w:t>
      </w:r>
      <w:proofErr w:type="spellEnd"/>
      <w:r w:rsidRPr="00980134">
        <w:t xml:space="preserve"> over TPC until the end of the time horizon </w:t>
      </w:r>
      <w:r w:rsidRPr="00980134">
        <w:rPr>
          <w:rFonts w:cstheme="minorHAnsi"/>
          <w:color w:val="000000" w:themeColor="text1"/>
        </w:rPr>
        <w:t>(i.e. 12 years)</w:t>
      </w:r>
      <w:r w:rsidRPr="00980134">
        <w:t>, despite treatment with T-</w:t>
      </w:r>
      <w:proofErr w:type="spellStart"/>
      <w:r w:rsidRPr="00980134">
        <w:t>DXd</w:t>
      </w:r>
      <w:proofErr w:type="spellEnd"/>
      <w:r w:rsidRPr="00980134">
        <w:t xml:space="preserve"> lasting, on average, 13 months. The submission did not provide any evidence to support an ongoing treatment effect beyond the trial observation period. Whilst the model was not sensitive to changes in the modelling of PFS due to the maturity of data, a substantial amount of extrapolation was required for OS (approximately 8 years) and hence it is not reasonable to assume that a treatment </w:t>
      </w:r>
      <w:r w:rsidRPr="00980134">
        <w:lastRenderedPageBreak/>
        <w:t>benefit associated with T-</w:t>
      </w:r>
      <w:proofErr w:type="spellStart"/>
      <w:r w:rsidRPr="00980134">
        <w:t>DXd</w:t>
      </w:r>
      <w:proofErr w:type="spellEnd"/>
      <w:r w:rsidRPr="00980134">
        <w:t xml:space="preserve"> is maintained throughout this time period. </w:t>
      </w:r>
      <w:r w:rsidR="00FB771F" w:rsidRPr="00980134">
        <w:t xml:space="preserve">The </w:t>
      </w:r>
      <w:r w:rsidR="00401D81" w:rsidRPr="00980134">
        <w:t>E</w:t>
      </w:r>
      <w:r w:rsidR="00FB771F" w:rsidRPr="00980134">
        <w:t>SC considered it was appropriate for the OS curve to converge</w:t>
      </w:r>
      <w:r w:rsidR="007D55DD" w:rsidRPr="00980134">
        <w:t xml:space="preserve"> and noted that </w:t>
      </w:r>
      <w:r w:rsidR="00401D81" w:rsidRPr="00980134">
        <w:t xml:space="preserve">the </w:t>
      </w:r>
      <w:r w:rsidR="001A0079" w:rsidRPr="00980134">
        <w:t xml:space="preserve">independent </w:t>
      </w:r>
      <w:r w:rsidR="00401D81" w:rsidRPr="00980134">
        <w:t>Weibull function resulted in convergence</w:t>
      </w:r>
      <w:r w:rsidR="009465FE" w:rsidRPr="00980134">
        <w:t xml:space="preserve"> at approximately </w:t>
      </w:r>
      <w:r w:rsidR="00BD4854" w:rsidRPr="00980134">
        <w:t>6.5</w:t>
      </w:r>
      <w:r w:rsidR="009465FE" w:rsidRPr="00980134">
        <w:t xml:space="preserve"> years</w:t>
      </w:r>
      <w:r w:rsidR="00980134">
        <w:rPr>
          <w:i/>
          <w:iCs/>
        </w:rPr>
        <w:t xml:space="preserve">. </w:t>
      </w:r>
    </w:p>
    <w:p w14:paraId="0B2617D6" w14:textId="04E4EFE4" w:rsidR="00C270F2" w:rsidRPr="00980134" w:rsidRDefault="00C270F2" w:rsidP="00C270F2">
      <w:pPr>
        <w:pStyle w:val="3-BodyText"/>
      </w:pPr>
      <w:r w:rsidRPr="00980134">
        <w:t xml:space="preserve">The submission did not nominate the statistically best fitting dependent parametric function (Weibull) to model OS. Instead, the dependent log-logistic parametric function was chosen in both arms on the basis of visual fit and similar resulting median OS to what was reported in the DB-04 trial for the HR positive cohort. Most parametric functions fit the OS KM data well at earlier time points and hence all report similar median OS to the HR positive cohort of DB-04. However, this argument does not address the shape of the tail end of the curves, which is substantially uncertain given the amount of extrapolation required. </w:t>
      </w:r>
      <w:r w:rsidRPr="00980134">
        <w:fldChar w:fldCharType="begin" w:fldLock="1"/>
      </w:r>
      <w:r w:rsidRPr="00980134">
        <w:instrText xml:space="preserve"> REF _Ref142039695 \h  \* MERGEFORMAT </w:instrText>
      </w:r>
      <w:r w:rsidRPr="00980134">
        <w:fldChar w:fldCharType="separate"/>
      </w:r>
      <w:r w:rsidR="00DF66B3" w:rsidRPr="00980134">
        <w:t xml:space="preserve">Figure </w:t>
      </w:r>
      <w:r w:rsidR="00DF66B3">
        <w:t>7</w:t>
      </w:r>
      <w:r w:rsidRPr="00980134">
        <w:fldChar w:fldCharType="end"/>
      </w:r>
      <w:r w:rsidRPr="00980134">
        <w:t xml:space="preserve"> compares the visual fitness of the submission’s base case curves (log logistic) against the statistically best fitting independent curves (Weibull) in both arms. Nominating an independent Weibull curve to model OS in both arms increased the ICER by 31% (from </w:t>
      </w:r>
      <w:bookmarkStart w:id="68" w:name="_Hlk155166195"/>
      <w:r w:rsidR="00096B73" w:rsidRPr="00096B73">
        <w:t>$75,000 to &lt;</w:t>
      </w:r>
      <w:r w:rsidR="00BB0250">
        <w:t> </w:t>
      </w:r>
      <w:r w:rsidR="00096B73" w:rsidRPr="00096B73">
        <w:t>$95,000</w:t>
      </w:r>
      <w:bookmarkEnd w:id="68"/>
      <w:r w:rsidRPr="00980134">
        <w:t xml:space="preserve"> per QALY gained to </w:t>
      </w:r>
      <w:r w:rsidR="00096B73" w:rsidRPr="00096B73">
        <w:t>$115,000 to &lt; $135,000</w:t>
      </w:r>
      <w:r w:rsidRPr="00980134">
        <w:t xml:space="preserve"> per QALY gained) whereas nominating the dependent Weibull curve, which had a similar visual fit, increased the ICER by 27% (from </w:t>
      </w:r>
      <w:r w:rsidR="00096B73" w:rsidRPr="00096B73">
        <w:t>$75,000 to &lt; $95,000</w:t>
      </w:r>
      <w:r w:rsidRPr="00980134">
        <w:t xml:space="preserve"> per QALY gained to </w:t>
      </w:r>
      <w:r w:rsidR="00096B73" w:rsidRPr="00096B73">
        <w:t xml:space="preserve">$95,000 to &lt; $115,000 </w:t>
      </w:r>
      <w:r w:rsidRPr="00980134">
        <w:t>per QALY gained).</w:t>
      </w:r>
      <w:r w:rsidR="009465FE" w:rsidRPr="00980134">
        <w:t xml:space="preserve"> The PSCR stated that when overlaying the PFS and OS curves of the top five distributions, the log-logistic curve was the only distribution where the PFS curve did not converge with the OS curve. </w:t>
      </w:r>
      <w:r w:rsidR="009C1EB0" w:rsidRPr="00980134">
        <w:t>The ESC considered that using a</w:t>
      </w:r>
      <w:r w:rsidR="00C46A2D" w:rsidRPr="00980134">
        <w:t xml:space="preserve"> dependent</w:t>
      </w:r>
      <w:r w:rsidR="009C1EB0" w:rsidRPr="00980134">
        <w:t xml:space="preserve"> log-logistic extrapolation assumed that a treatment benefit associated with T-</w:t>
      </w:r>
      <w:proofErr w:type="spellStart"/>
      <w:r w:rsidR="009C1EB0" w:rsidRPr="00980134">
        <w:t>DXd</w:t>
      </w:r>
      <w:proofErr w:type="spellEnd"/>
      <w:r w:rsidR="009C1EB0" w:rsidRPr="00980134">
        <w:t xml:space="preserve"> is maintained until the end of the time horizon (12 years) which overestimated the tail of the </w:t>
      </w:r>
      <w:r w:rsidR="00C46A2D" w:rsidRPr="00980134">
        <w:t>T-</w:t>
      </w:r>
      <w:proofErr w:type="spellStart"/>
      <w:r w:rsidR="00C46A2D" w:rsidRPr="00980134">
        <w:t>DXd</w:t>
      </w:r>
      <w:proofErr w:type="spellEnd"/>
      <w:r w:rsidR="00C46A2D" w:rsidRPr="00980134">
        <w:t xml:space="preserve"> </w:t>
      </w:r>
      <w:r w:rsidR="009C1EB0" w:rsidRPr="00980134">
        <w:t>OS curves.</w:t>
      </w:r>
      <w:r w:rsidR="009C1EB0" w:rsidRPr="00980134">
        <w:rPr>
          <w:i/>
          <w:iCs/>
        </w:rPr>
        <w:t xml:space="preserve"> </w:t>
      </w:r>
      <w:r w:rsidR="009C1EB0" w:rsidRPr="00980134">
        <w:t>The ESC preferred a</w:t>
      </w:r>
      <w:r w:rsidR="00C46A2D" w:rsidRPr="00980134">
        <w:t>n independent</w:t>
      </w:r>
      <w:r w:rsidR="009C1EB0" w:rsidRPr="00980134">
        <w:t xml:space="preserve"> Weibull extrapolation because it resulted in convergence that was more aligned with what is known about current treatments for metastatic HER2-low breast cancer i.e., they extend OS, but do not provide a cure. </w:t>
      </w:r>
      <w:r w:rsidR="00BD4854" w:rsidRPr="00980134">
        <w:t>The PSCR stated that in the longer-term, clinical experts indicated that some patients would still be expected to be alive at 10 years in the T-</w:t>
      </w:r>
      <w:proofErr w:type="spellStart"/>
      <w:r w:rsidR="00BD4854" w:rsidRPr="00980134">
        <w:t>DXd</w:t>
      </w:r>
      <w:proofErr w:type="spellEnd"/>
      <w:r w:rsidR="00BD4854" w:rsidRPr="00980134">
        <w:t xml:space="preserve"> arm and therefore considered the Weibull curve to be too pessimistic. </w:t>
      </w:r>
    </w:p>
    <w:p w14:paraId="4F6D314D" w14:textId="4F571F9F" w:rsidR="00C270F2" w:rsidRPr="00980134" w:rsidRDefault="00C270F2" w:rsidP="00C270F2">
      <w:pPr>
        <w:pStyle w:val="Caption"/>
      </w:pPr>
      <w:bookmarkStart w:id="69" w:name="_Ref142039695"/>
      <w:r w:rsidRPr="00980134">
        <w:lastRenderedPageBreak/>
        <w:t xml:space="preserve">Figure </w:t>
      </w:r>
      <w:r w:rsidR="006E03AE">
        <w:fldChar w:fldCharType="begin" w:fldLock="1"/>
      </w:r>
      <w:r w:rsidR="006E03AE">
        <w:instrText xml:space="preserve"> SEQ Figure \* ARABIC </w:instrText>
      </w:r>
      <w:r w:rsidR="006E03AE">
        <w:fldChar w:fldCharType="separate"/>
      </w:r>
      <w:r w:rsidR="00DF66B3">
        <w:rPr>
          <w:noProof/>
        </w:rPr>
        <w:t>7</w:t>
      </w:r>
      <w:r w:rsidR="006E03AE">
        <w:rPr>
          <w:noProof/>
        </w:rPr>
        <w:fldChar w:fldCharType="end"/>
      </w:r>
      <w:bookmarkEnd w:id="69"/>
      <w:r w:rsidRPr="00980134">
        <w:t>: Comparison of OS parametric functions</w:t>
      </w:r>
    </w:p>
    <w:p w14:paraId="2B093888" w14:textId="77777777" w:rsidR="00C270F2" w:rsidRPr="00980134" w:rsidRDefault="00C270F2" w:rsidP="00C270F2">
      <w:r w:rsidRPr="00980134">
        <w:rPr>
          <w:noProof/>
        </w:rPr>
        <w:drawing>
          <wp:inline distT="0" distB="0" distL="0" distR="0" wp14:anchorId="16572564" wp14:editId="28421BA3">
            <wp:extent cx="5809110" cy="3581400"/>
            <wp:effectExtent l="0" t="0" r="1270" b="0"/>
            <wp:docPr id="13" name="Picture 1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different colo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6055" cy="3585682"/>
                    </a:xfrm>
                    <a:prstGeom prst="rect">
                      <a:avLst/>
                    </a:prstGeom>
                    <a:noFill/>
                  </pic:spPr>
                </pic:pic>
              </a:graphicData>
            </a:graphic>
          </wp:inline>
        </w:drawing>
      </w:r>
    </w:p>
    <w:p w14:paraId="429A0AED" w14:textId="77777777" w:rsidR="00C270F2" w:rsidRPr="00980134" w:rsidRDefault="00C270F2" w:rsidP="00C270F2">
      <w:pPr>
        <w:pStyle w:val="FooterTableFigure"/>
        <w:rPr>
          <w:i/>
          <w:iCs/>
        </w:rPr>
      </w:pPr>
      <w:r w:rsidRPr="00980134">
        <w:t>Source: Constructed during the evaluation</w:t>
      </w:r>
      <w:r w:rsidRPr="00980134">
        <w:rPr>
          <w:i/>
          <w:iCs/>
        </w:rPr>
        <w:t xml:space="preserve">, </w:t>
      </w:r>
      <w:r w:rsidRPr="00980134">
        <w:t xml:space="preserve">based on the “T-DXd_HER2-low 2L 3L </w:t>
      </w:r>
      <w:proofErr w:type="spellStart"/>
      <w:r w:rsidRPr="00980134">
        <w:t>mBC</w:t>
      </w:r>
      <w:proofErr w:type="spellEnd"/>
      <w:r w:rsidRPr="00980134">
        <w:t xml:space="preserve"> July 2023 CUA” Excel workbook included with the submission.</w:t>
      </w:r>
      <w:r w:rsidRPr="00980134">
        <w:rPr>
          <w:i/>
          <w:iCs/>
        </w:rPr>
        <w:t xml:space="preserve"> </w:t>
      </w:r>
    </w:p>
    <w:p w14:paraId="2AA1F48D" w14:textId="77777777" w:rsidR="00C270F2" w:rsidRPr="00980134" w:rsidRDefault="00C270F2" w:rsidP="00C270F2">
      <w:pPr>
        <w:pStyle w:val="FooterTableFigure"/>
      </w:pPr>
      <w:r w:rsidRPr="00980134">
        <w:t>AFT = accelerated failure time; DB04 = Destiny Breast-04; KM = Kaplan Meier; OS = overall survival; PH = proportional hazards; TPC = treatment physician choice.</w:t>
      </w:r>
    </w:p>
    <w:p w14:paraId="222F7F85" w14:textId="77777777" w:rsidR="00C270F2" w:rsidRPr="00980134" w:rsidRDefault="00C270F2" w:rsidP="00C270F2">
      <w:pPr>
        <w:pStyle w:val="FooterTableFigure"/>
      </w:pPr>
      <w:r w:rsidRPr="00980134">
        <w:t>* Denotes the submission’s base case</w:t>
      </w:r>
    </w:p>
    <w:p w14:paraId="133BD0EF" w14:textId="6316779A" w:rsidR="00C270F2" w:rsidRPr="00980134" w:rsidRDefault="00C270F2" w:rsidP="00C270F2">
      <w:pPr>
        <w:pStyle w:val="3-BodyText"/>
        <w:rPr>
          <w:color w:val="0066FF"/>
        </w:rPr>
      </w:pPr>
      <w:bookmarkStart w:id="70" w:name="_Ref148344060"/>
      <w:r w:rsidRPr="00980134">
        <w:t>The base case analysis applied treatment-specific health state utility values which were derived from EQ-5D-5L data reported in the DB-04 trial and transformed to utility values using Australian weights</w:t>
      </w:r>
      <w:r w:rsidRPr="00980134">
        <w:rPr>
          <w:rStyle w:val="FootnoteReference"/>
        </w:rPr>
        <w:footnoteReference w:id="17"/>
      </w:r>
      <w:r w:rsidRPr="00980134">
        <w:t xml:space="preserve"> with no decrements due to AEs. This resulted in higher utility values for T-</w:t>
      </w:r>
      <w:proofErr w:type="spellStart"/>
      <w:r w:rsidRPr="00980134">
        <w:t>DXd</w:t>
      </w:r>
      <w:proofErr w:type="spellEnd"/>
      <w:r w:rsidRPr="00980134">
        <w:t xml:space="preserve"> patients. This does </w:t>
      </w:r>
      <w:r w:rsidRPr="00980134">
        <w:rPr>
          <w:rFonts w:ascii="Calibri" w:hAnsi="Calibri"/>
          <w:snapToGrid/>
        </w:rPr>
        <w:t>not reflect the substantial risk of inferior safety associated with T-</w:t>
      </w:r>
      <w:proofErr w:type="spellStart"/>
      <w:r w:rsidRPr="00980134">
        <w:rPr>
          <w:rFonts w:ascii="Calibri" w:hAnsi="Calibri"/>
          <w:snapToGrid/>
        </w:rPr>
        <w:t>DXd</w:t>
      </w:r>
      <w:proofErr w:type="spellEnd"/>
      <w:r w:rsidRPr="00980134">
        <w:rPr>
          <w:rFonts w:ascii="Calibri" w:hAnsi="Calibri"/>
          <w:snapToGrid/>
        </w:rPr>
        <w:t xml:space="preserve"> treatment (as discussed above) including the risk of ILD which is not curable and has continuing decrements to quality of life.</w:t>
      </w:r>
      <w:r w:rsidRPr="00980134">
        <w:rPr>
          <w:rStyle w:val="FootnoteReference"/>
          <w:rFonts w:ascii="Calibri" w:hAnsi="Calibri"/>
          <w:snapToGrid/>
        </w:rPr>
        <w:footnoteReference w:id="18"/>
      </w:r>
      <w:r w:rsidRPr="00980134">
        <w:rPr>
          <w:rFonts w:ascii="Calibri" w:hAnsi="Calibri"/>
          <w:snapToGrid/>
        </w:rPr>
        <w:t xml:space="preserve"> </w:t>
      </w:r>
      <w:r w:rsidRPr="00980134">
        <w:t xml:space="preserve">The application of treatment-specific utility values was also not reasonable as EQ-5D-5L data were not statistically different across the two treatment arms and no justification was provided to support a difference in quality of life. Pooled health state utilities of 0.881 for the progression-free (PF) and 0.863 for the progressed disease (PD) health states were provided during evaluation. However, the </w:t>
      </w:r>
      <w:r w:rsidR="00CC743F" w:rsidRPr="00980134">
        <w:t>evaluation considered the</w:t>
      </w:r>
      <w:r w:rsidR="00CC743F" w:rsidRPr="00980134">
        <w:rPr>
          <w:i/>
          <w:iCs/>
        </w:rPr>
        <w:t xml:space="preserve"> </w:t>
      </w:r>
      <w:r w:rsidRPr="00980134">
        <w:t>following issues remain:</w:t>
      </w:r>
      <w:bookmarkEnd w:id="70"/>
    </w:p>
    <w:p w14:paraId="78CB1C77" w14:textId="0E2B1BEE" w:rsidR="00C270F2" w:rsidRPr="00980134" w:rsidRDefault="00C270F2" w:rsidP="00EE62EC">
      <w:pPr>
        <w:pStyle w:val="Bulletpoints"/>
        <w:widowControl w:val="0"/>
        <w:ind w:left="1134" w:hanging="357"/>
        <w:contextualSpacing w:val="0"/>
      </w:pPr>
      <w:r w:rsidRPr="00980134">
        <w:t>Whilst a pooled PF health state utility is more reasonable to include in the base case analysis,</w:t>
      </w:r>
      <w:r w:rsidR="00E31C06" w:rsidRPr="00980134">
        <w:t xml:space="preserve"> the evaluation considered </w:t>
      </w:r>
      <w:r w:rsidRPr="00980134">
        <w:t xml:space="preserve">this was implausibly high as it was higher than the background utility of the general Australian population for </w:t>
      </w:r>
      <w:r w:rsidRPr="00980134">
        <w:rPr>
          <w:rFonts w:cstheme="minorHAnsi"/>
        </w:rPr>
        <w:t xml:space="preserve">the </w:t>
      </w:r>
      <w:r w:rsidRPr="00980134">
        <w:rPr>
          <w:rFonts w:cstheme="minorHAnsi"/>
        </w:rPr>
        <w:lastRenderedPageBreak/>
        <w:t>corresponding age group which has been reported as 0.85.</w:t>
      </w:r>
      <w:r w:rsidRPr="00980134">
        <w:rPr>
          <w:rStyle w:val="FootnoteReference"/>
          <w:rFonts w:cstheme="minorHAnsi"/>
        </w:rPr>
        <w:footnoteReference w:id="19"/>
      </w:r>
      <w:r w:rsidRPr="00980134">
        <w:rPr>
          <w:rFonts w:cstheme="minorHAnsi"/>
        </w:rPr>
        <w:t xml:space="preserve"> This utility was also substantially higher than other advanced breast cancer submissions to the PBAC.</w:t>
      </w:r>
      <w:r w:rsidRPr="00980134">
        <w:rPr>
          <w:rStyle w:val="FootnoteReference"/>
          <w:rFonts w:cstheme="minorHAnsi"/>
        </w:rPr>
        <w:footnoteReference w:id="20"/>
      </w:r>
      <w:r w:rsidRPr="00980134">
        <w:rPr>
          <w:rFonts w:cstheme="minorHAnsi"/>
        </w:rPr>
        <w:t xml:space="preserve"> This may be due to the collection of EQ-5D data </w:t>
      </w:r>
      <w:r w:rsidRPr="00980134">
        <w:t xml:space="preserve">on day 1, every second cycle </w:t>
      </w:r>
      <w:r w:rsidRPr="00611941">
        <w:t>before</w:t>
      </w:r>
      <w:r w:rsidRPr="00980134">
        <w:t xml:space="preserve"> infusion and hence decrements in quality of life due to T-</w:t>
      </w:r>
      <w:proofErr w:type="spellStart"/>
      <w:r w:rsidRPr="00980134">
        <w:t>DXd</w:t>
      </w:r>
      <w:proofErr w:type="spellEnd"/>
      <w:r w:rsidRPr="00980134">
        <w:t xml:space="preserve"> or TPC treatment are unlikely to be captured. This was problematic given the considerably higher risk of treatment discontinuation with T-</w:t>
      </w:r>
      <w:proofErr w:type="spellStart"/>
      <w:r w:rsidRPr="00980134">
        <w:t>DXd</w:t>
      </w:r>
      <w:proofErr w:type="spellEnd"/>
      <w:r w:rsidRPr="00980134">
        <w:t xml:space="preserve"> due to TEAEs, presumably also impacting on quality of life. </w:t>
      </w:r>
    </w:p>
    <w:p w14:paraId="35B26C7D" w14:textId="1AA19212" w:rsidR="00C270F2" w:rsidRPr="00980134" w:rsidRDefault="00C270F2" w:rsidP="00EE62EC">
      <w:pPr>
        <w:pStyle w:val="ListParagraph"/>
        <w:numPr>
          <w:ilvl w:val="0"/>
          <w:numId w:val="9"/>
        </w:numPr>
        <w:spacing w:line="259" w:lineRule="auto"/>
        <w:ind w:left="1134"/>
        <w:contextualSpacing/>
      </w:pPr>
      <w:r w:rsidRPr="00980134">
        <w:t>Only a small decrement between the PF and PD health state utility values (-0.018 in both treatment arms) was reported. This was not plausible considering that disease progression has a large impact on quality of life for advanced breast cancer patients</w:t>
      </w:r>
      <w:bookmarkStart w:id="71" w:name="_Ref142042792"/>
      <w:r w:rsidRPr="00980134">
        <w:rPr>
          <w:rStyle w:val="FootnoteReference"/>
        </w:rPr>
        <w:footnoteReference w:id="21"/>
      </w:r>
      <w:bookmarkEnd w:id="71"/>
      <w:r w:rsidRPr="00980134">
        <w:t xml:space="preserve">, and this health state continues from progression to death. This is most likely due to the early collection of EQ-5D data after progression (which may be radiological) rather than as symptoms progress toward the end of the health state. </w:t>
      </w:r>
      <w:r w:rsidRPr="00980134">
        <w:rPr>
          <w:rFonts w:cstheme="minorHAnsi"/>
        </w:rPr>
        <w:t>The ESC have previously considered the Lloyd et al.</w:t>
      </w:r>
      <w:r w:rsidRPr="00980134">
        <w:rPr>
          <w:rFonts w:cstheme="minorHAnsi"/>
        </w:rPr>
        <w:fldChar w:fldCharType="begin" w:fldLock="1"/>
      </w:r>
      <w:r w:rsidRPr="00980134">
        <w:rPr>
          <w:rFonts w:cstheme="minorHAnsi"/>
        </w:rPr>
        <w:instrText xml:space="preserve"> NOTEREF _Ref142042792 \f \h  \* MERGEFORMAT </w:instrText>
      </w:r>
      <w:r w:rsidRPr="00980134">
        <w:rPr>
          <w:rFonts w:cstheme="minorHAnsi"/>
        </w:rPr>
      </w:r>
      <w:r w:rsidRPr="00980134">
        <w:rPr>
          <w:rFonts w:cstheme="minorHAnsi"/>
        </w:rPr>
        <w:fldChar w:fldCharType="separate"/>
      </w:r>
      <w:r w:rsidR="00DF66B3" w:rsidRPr="00DF66B3">
        <w:rPr>
          <w:rStyle w:val="FootnoteReference"/>
        </w:rPr>
        <w:t>20</w:t>
      </w:r>
      <w:r w:rsidRPr="00980134">
        <w:rPr>
          <w:rFonts w:cstheme="minorHAnsi"/>
        </w:rPr>
        <w:fldChar w:fldCharType="end"/>
      </w:r>
      <w:r w:rsidRPr="00980134">
        <w:rPr>
          <w:rFonts w:cstheme="minorHAnsi"/>
        </w:rPr>
        <w:t xml:space="preserve"> algorithm (i.e. a PD utility decrement of -0.272) to be reasonable to derive a non-treatment-specific PD health state utility when considering T-</w:t>
      </w:r>
      <w:proofErr w:type="spellStart"/>
      <w:r w:rsidRPr="00980134">
        <w:rPr>
          <w:rFonts w:cstheme="minorHAnsi"/>
        </w:rPr>
        <w:t>DXd</w:t>
      </w:r>
      <w:proofErr w:type="spellEnd"/>
      <w:r w:rsidRPr="00980134">
        <w:rPr>
          <w:rFonts w:cstheme="minorHAnsi"/>
        </w:rPr>
        <w:t xml:space="preserve"> for HER2 positive breast cancer (para 6.32, Trastuzumab </w:t>
      </w:r>
      <w:proofErr w:type="spellStart"/>
      <w:r w:rsidRPr="00980134">
        <w:rPr>
          <w:rFonts w:cstheme="minorHAnsi"/>
        </w:rPr>
        <w:t>deruxtecan</w:t>
      </w:r>
      <w:proofErr w:type="spellEnd"/>
      <w:r w:rsidRPr="00980134">
        <w:rPr>
          <w:rFonts w:cstheme="minorHAnsi"/>
        </w:rPr>
        <w:t xml:space="preserve"> PSD, July 2022 PBAC Meeting).</w:t>
      </w:r>
      <w:r w:rsidRPr="00980134">
        <w:t xml:space="preserve"> This may be preferable to apply in the base case analysis for the PD health state.</w:t>
      </w:r>
    </w:p>
    <w:p w14:paraId="3A84CC86" w14:textId="1080948B" w:rsidR="000751E3" w:rsidRPr="00980134" w:rsidRDefault="00C270F2" w:rsidP="00EE62EC">
      <w:pPr>
        <w:spacing w:after="120" w:line="259" w:lineRule="auto"/>
        <w:ind w:left="709"/>
        <w:contextualSpacing/>
      </w:pPr>
      <w:r w:rsidRPr="00980134">
        <w:t xml:space="preserve">The ICER was sensitive to cumulative changes in health state utility values (see </w:t>
      </w:r>
      <w:r w:rsidRPr="00980134">
        <w:fldChar w:fldCharType="begin" w:fldLock="1"/>
      </w:r>
      <w:r w:rsidRPr="00980134">
        <w:instrText xml:space="preserve"> REF _Ref142470537 \h  \* MERGEFORMAT </w:instrText>
      </w:r>
      <w:r w:rsidRPr="00980134">
        <w:fldChar w:fldCharType="separate"/>
      </w:r>
      <w:r w:rsidR="00DF66B3" w:rsidRPr="00980134">
        <w:t xml:space="preserve">Table </w:t>
      </w:r>
      <w:r w:rsidR="00DF66B3">
        <w:t>12</w:t>
      </w:r>
      <w:r w:rsidRPr="00980134">
        <w:fldChar w:fldCharType="end"/>
      </w:r>
      <w:r w:rsidRPr="00980134">
        <w:t xml:space="preserve">). </w:t>
      </w:r>
    </w:p>
    <w:p w14:paraId="1C2CF9AD" w14:textId="2C902FF6" w:rsidR="00C270F2" w:rsidRPr="00980134" w:rsidRDefault="00C270F2" w:rsidP="00E334F3">
      <w:pPr>
        <w:pStyle w:val="3-BodyText"/>
        <w:rPr>
          <w:rStyle w:val="normaltextrun"/>
        </w:rPr>
      </w:pPr>
      <w:r w:rsidRPr="00980134">
        <w:rPr>
          <w:rStyle w:val="normaltextrun"/>
          <w:rFonts w:eastAsiaTheme="majorEastAsia" w:cs="Calibri"/>
          <w:color w:val="000000"/>
          <w:shd w:val="clear" w:color="auto" w:fill="FFFFFF"/>
        </w:rPr>
        <w:t>The recommended dosing of T-</w:t>
      </w:r>
      <w:proofErr w:type="spellStart"/>
      <w:r w:rsidRPr="00980134">
        <w:rPr>
          <w:rStyle w:val="normaltextrun"/>
          <w:rFonts w:eastAsiaTheme="majorEastAsia" w:cs="Calibri"/>
          <w:color w:val="000000"/>
          <w:shd w:val="clear" w:color="auto" w:fill="FFFFFF"/>
        </w:rPr>
        <w:t>DXd</w:t>
      </w:r>
      <w:proofErr w:type="spellEnd"/>
      <w:r w:rsidRPr="00980134">
        <w:rPr>
          <w:rStyle w:val="normaltextrun"/>
          <w:rFonts w:eastAsiaTheme="majorEastAsia" w:cs="Calibri"/>
          <w:color w:val="000000"/>
          <w:shd w:val="clear" w:color="auto" w:fill="FFFFFF"/>
        </w:rPr>
        <w:t xml:space="preserve">, outlined in the Australian PI, is 5.4 mg/kg administered intravenously, once every 3 weeks. However, the submission applied a relative dose intensity (RDI) of 90% to the recommended dose based on previous PBAC advice where it considered that the RDI reported in the SG ASCENT trial did not account for AE-related dose reductions and treatment interruptions (para 7.15, Sacituzumab </w:t>
      </w:r>
      <w:proofErr w:type="spellStart"/>
      <w:r w:rsidRPr="00980134">
        <w:rPr>
          <w:rStyle w:val="normaltextrun"/>
          <w:rFonts w:eastAsiaTheme="majorEastAsia" w:cs="Calibri"/>
          <w:color w:val="000000"/>
          <w:shd w:val="clear" w:color="auto" w:fill="FFFFFF"/>
        </w:rPr>
        <w:t>govitecan</w:t>
      </w:r>
      <w:proofErr w:type="spellEnd"/>
      <w:r w:rsidRPr="00980134">
        <w:rPr>
          <w:rStyle w:val="normaltextrun"/>
          <w:rFonts w:eastAsiaTheme="majorEastAsia" w:cs="Calibri"/>
          <w:color w:val="000000"/>
          <w:shd w:val="clear" w:color="auto" w:fill="FFFFFF"/>
        </w:rPr>
        <w:t xml:space="preserve"> PSD, March 2022 PBAC Meeting). As the submission indicated it was unsure whether the reported mean T-</w:t>
      </w:r>
      <w:proofErr w:type="spellStart"/>
      <w:r w:rsidRPr="00980134">
        <w:rPr>
          <w:rStyle w:val="normaltextrun"/>
          <w:rFonts w:eastAsiaTheme="majorEastAsia" w:cs="Calibri"/>
          <w:color w:val="000000"/>
          <w:shd w:val="clear" w:color="auto" w:fill="FFFFFF"/>
        </w:rPr>
        <w:t>DXd</w:t>
      </w:r>
      <w:proofErr w:type="spellEnd"/>
      <w:r w:rsidRPr="00980134">
        <w:rPr>
          <w:rStyle w:val="normaltextrun"/>
          <w:rFonts w:eastAsiaTheme="majorEastAsia" w:cs="Calibri"/>
          <w:color w:val="000000"/>
          <w:shd w:val="clear" w:color="auto" w:fill="FFFFFF"/>
        </w:rPr>
        <w:t xml:space="preserve"> RDI (99.8%) in the DB-04 clinical study report (CSR) accounted for AE-related dose reductions and interruptions, the applied RDI (90%) was not well justified. The mean actual dose intensity, which is based </w:t>
      </w:r>
      <w:r w:rsidR="000E35D1" w:rsidRPr="00980134">
        <w:rPr>
          <w:rStyle w:val="normaltextrun"/>
          <w:rFonts w:eastAsiaTheme="majorEastAsia" w:cs="Calibri"/>
          <w:color w:val="000000"/>
          <w:shd w:val="clear" w:color="auto" w:fill="FFFFFF"/>
        </w:rPr>
        <w:t xml:space="preserve">on </w:t>
      </w:r>
      <w:r w:rsidRPr="00980134">
        <w:rPr>
          <w:rStyle w:val="normaltextrun"/>
          <w:rFonts w:eastAsiaTheme="majorEastAsia" w:cs="Calibri"/>
          <w:color w:val="000000"/>
          <w:shd w:val="clear" w:color="auto" w:fill="FFFFFF"/>
        </w:rPr>
        <w:t>the actual amount of T-</w:t>
      </w:r>
      <w:proofErr w:type="spellStart"/>
      <w:r w:rsidRPr="00980134">
        <w:rPr>
          <w:rStyle w:val="normaltextrun"/>
          <w:rFonts w:eastAsiaTheme="majorEastAsia" w:cs="Calibri"/>
          <w:color w:val="000000"/>
          <w:shd w:val="clear" w:color="auto" w:fill="FFFFFF"/>
        </w:rPr>
        <w:t>DXd</w:t>
      </w:r>
      <w:proofErr w:type="spellEnd"/>
      <w:r w:rsidRPr="00980134">
        <w:rPr>
          <w:rStyle w:val="normaltextrun"/>
          <w:rFonts w:eastAsiaTheme="majorEastAsia" w:cs="Calibri"/>
          <w:color w:val="000000"/>
          <w:shd w:val="clear" w:color="auto" w:fill="FFFFFF"/>
        </w:rPr>
        <w:t xml:space="preserve"> consumed (and hence likely to include dose reductions) was 5.1 mg/kg. Hence it is more reasonable to assume an RDI based </w:t>
      </w:r>
      <w:r w:rsidR="000E35D1" w:rsidRPr="00980134">
        <w:rPr>
          <w:rStyle w:val="normaltextrun"/>
          <w:rFonts w:eastAsiaTheme="majorEastAsia" w:cs="Calibri"/>
          <w:color w:val="000000"/>
          <w:shd w:val="clear" w:color="auto" w:fill="FFFFFF"/>
        </w:rPr>
        <w:t xml:space="preserve">on </w:t>
      </w:r>
      <w:r w:rsidRPr="00980134">
        <w:rPr>
          <w:rStyle w:val="normaltextrun"/>
          <w:rFonts w:eastAsiaTheme="majorEastAsia" w:cs="Calibri"/>
          <w:color w:val="000000"/>
          <w:shd w:val="clear" w:color="auto" w:fill="FFFFFF"/>
        </w:rPr>
        <w:t>the actual dose intensity, relative to the recommended dose (94.4%</w:t>
      </w:r>
      <w:r w:rsidRPr="00980134">
        <w:rPr>
          <w:rStyle w:val="FootnoteReference"/>
          <w:rFonts w:eastAsiaTheme="majorEastAsia" w:cs="Calibri"/>
          <w:color w:val="000000"/>
          <w:shd w:val="clear" w:color="auto" w:fill="FFFFFF"/>
        </w:rPr>
        <w:footnoteReference w:id="22"/>
      </w:r>
      <w:r w:rsidRPr="00980134">
        <w:rPr>
          <w:rStyle w:val="normaltextrun"/>
          <w:rFonts w:eastAsiaTheme="majorEastAsia" w:cs="Calibri"/>
          <w:color w:val="000000"/>
          <w:shd w:val="clear" w:color="auto" w:fill="FFFFFF"/>
        </w:rPr>
        <w:t xml:space="preserve">). The applied RDIs for the TPC drugs were sourced directly from the DB-04 trial. However, the reported RDIs measured compliance to the planned dose intensity in DB-04 which was considerably </w:t>
      </w:r>
      <w:r w:rsidRPr="00980134">
        <w:rPr>
          <w:rStyle w:val="normaltextrun"/>
          <w:rFonts w:eastAsiaTheme="majorEastAsia" w:cs="Calibri"/>
          <w:color w:val="000000"/>
          <w:shd w:val="clear" w:color="auto" w:fill="FFFFFF"/>
        </w:rPr>
        <w:lastRenderedPageBreak/>
        <w:t>lower than the recommended Australian dosing regimens. Hence, similar to T-</w:t>
      </w:r>
      <w:proofErr w:type="spellStart"/>
      <w:r w:rsidRPr="00980134">
        <w:rPr>
          <w:rStyle w:val="normaltextrun"/>
          <w:rFonts w:eastAsiaTheme="majorEastAsia" w:cs="Calibri"/>
          <w:color w:val="000000"/>
          <w:shd w:val="clear" w:color="auto" w:fill="FFFFFF"/>
        </w:rPr>
        <w:t>DXd</w:t>
      </w:r>
      <w:proofErr w:type="spellEnd"/>
      <w:r w:rsidRPr="00980134">
        <w:rPr>
          <w:rStyle w:val="normaltextrun"/>
          <w:rFonts w:eastAsiaTheme="majorEastAsia" w:cs="Calibri"/>
          <w:color w:val="000000"/>
          <w:shd w:val="clear" w:color="auto" w:fill="FFFFFF"/>
        </w:rPr>
        <w:t>, the evaluation explored the effect of applying an RDI which was based o</w:t>
      </w:r>
      <w:r w:rsidR="000E35D1" w:rsidRPr="00980134">
        <w:rPr>
          <w:rStyle w:val="normaltextrun"/>
          <w:rFonts w:eastAsiaTheme="majorEastAsia" w:cs="Calibri"/>
          <w:color w:val="000000"/>
          <w:shd w:val="clear" w:color="auto" w:fill="FFFFFF"/>
        </w:rPr>
        <w:t xml:space="preserve">n </w:t>
      </w:r>
      <w:r w:rsidRPr="00980134">
        <w:rPr>
          <w:rStyle w:val="normaltextrun"/>
          <w:rFonts w:eastAsiaTheme="majorEastAsia" w:cs="Calibri"/>
          <w:color w:val="000000"/>
          <w:shd w:val="clear" w:color="auto" w:fill="FFFFFF"/>
        </w:rPr>
        <w:t>the average actual dose intensity, relative to the recommended dose in both arms. This increased the ICER by 8% (</w:t>
      </w:r>
      <w:r w:rsidRPr="00980134">
        <w:t xml:space="preserve">from </w:t>
      </w:r>
      <w:r w:rsidR="00096B73" w:rsidRPr="00096B73">
        <w:t>$75,000 to &lt; $95,000</w:t>
      </w:r>
      <w:r w:rsidRPr="00980134">
        <w:t xml:space="preserve"> per QALY gained to </w:t>
      </w:r>
      <w:r w:rsidR="00096B73" w:rsidRPr="00096B73">
        <w:t>$95,000 to &lt;</w:t>
      </w:r>
      <w:r w:rsidR="00BB0250">
        <w:t> </w:t>
      </w:r>
      <w:r w:rsidR="00096B73" w:rsidRPr="00096B73">
        <w:t>$115,000</w:t>
      </w:r>
      <w:r w:rsidRPr="00980134">
        <w:t xml:space="preserve"> per QALY gained). </w:t>
      </w:r>
    </w:p>
    <w:p w14:paraId="0473194C" w14:textId="26DB44FE" w:rsidR="00C270F2" w:rsidRPr="00980134" w:rsidRDefault="00C270F2" w:rsidP="00C270F2">
      <w:pPr>
        <w:pStyle w:val="3-BodyText"/>
        <w:rPr>
          <w:iCs/>
        </w:rPr>
      </w:pPr>
      <w:r w:rsidRPr="00980134">
        <w:t xml:space="preserve">The submission assumed vial sharing would occur in the economic evaluation. </w:t>
      </w:r>
      <w:r w:rsidRPr="00980134">
        <w:rPr>
          <w:iCs/>
        </w:rPr>
        <w:t>This was not reasonable and is not consistent with the PBAC guidelines and the T-</w:t>
      </w:r>
      <w:proofErr w:type="spellStart"/>
      <w:r w:rsidRPr="00980134">
        <w:rPr>
          <w:iCs/>
        </w:rPr>
        <w:t>DXd</w:t>
      </w:r>
      <w:proofErr w:type="spellEnd"/>
      <w:r w:rsidRPr="00980134">
        <w:rPr>
          <w:iCs/>
        </w:rPr>
        <w:t xml:space="preserve"> PI which clearly stipulates that the “product is for single use in one patient only” and to “discard any residue” and the previous T-</w:t>
      </w:r>
      <w:proofErr w:type="spellStart"/>
      <w:r w:rsidRPr="00980134">
        <w:rPr>
          <w:iCs/>
        </w:rPr>
        <w:t>DXd</w:t>
      </w:r>
      <w:proofErr w:type="spellEnd"/>
      <w:r w:rsidRPr="00980134">
        <w:rPr>
          <w:iCs/>
        </w:rPr>
        <w:t xml:space="preserve"> submission for HER2 positive breast cancer. </w:t>
      </w:r>
      <w:r w:rsidR="00816122" w:rsidRPr="00980134">
        <w:rPr>
          <w:iCs/>
        </w:rPr>
        <w:t xml:space="preserve">The PSCR stated the assumption of vial sharing was included in the cost-utility analysis firstly to be consistent with the approach accepted for SG for TNBC in March 2022 and because the practice of vial sharing to minimise wastage is more efficient than would otherwise occur if drug was supplied and claimed on a whole-vial basis and reflects the commercial reality of the PBS supply chain. </w:t>
      </w:r>
      <w:r w:rsidRPr="00980134">
        <w:rPr>
          <w:iCs/>
        </w:rPr>
        <w:t>Although the economic model allowed wastage to be incorporated (which was based on a normal distribution of body weight (for T-</w:t>
      </w:r>
      <w:proofErr w:type="spellStart"/>
      <w:r w:rsidRPr="00980134">
        <w:rPr>
          <w:iCs/>
        </w:rPr>
        <w:t>DXd</w:t>
      </w:r>
      <w:proofErr w:type="spellEnd"/>
      <w:r w:rsidRPr="00980134">
        <w:rPr>
          <w:iCs/>
        </w:rPr>
        <w:t xml:space="preserve">) and body surface area (BSA) (for TPC)), this was applied incorrectly. It was </w:t>
      </w:r>
      <w:r w:rsidRPr="00980134">
        <w:rPr>
          <w:rStyle w:val="normaltextrun"/>
          <w:rFonts w:cs="Calibri"/>
          <w:iCs/>
          <w:color w:val="000000"/>
          <w:shd w:val="clear" w:color="auto" w:fill="FFFFFF"/>
        </w:rPr>
        <w:t xml:space="preserve">1) assumed that efficient funding of chemotherapies (EFC) dispensing fees were proportional to the cost of the medicine (whereas these are fixed, and so apply regardless of the amount dispensed) and 2) the RDI was applied after the required number of vials </w:t>
      </w:r>
      <w:r w:rsidRPr="00980134">
        <w:rPr>
          <w:iCs/>
        </w:rPr>
        <w:t xml:space="preserve">was estimated, which is not reasonable given the RDI relates to dosing and hence should be applied to the dose required. Additionally, for certain TPC drugs, incorrect vial sizes and inefficient use of vials were included. </w:t>
      </w:r>
      <w:r w:rsidR="00816122" w:rsidRPr="00980134">
        <w:rPr>
          <w:iCs/>
        </w:rPr>
        <w:t xml:space="preserve">Assuming no vial sharing and correcting the EFC fees </w:t>
      </w:r>
      <w:r w:rsidRPr="00980134">
        <w:rPr>
          <w:iCs/>
        </w:rPr>
        <w:t>resulted in a 17% increase in the ICER (from $</w:t>
      </w:r>
      <w:r w:rsidR="00096B73" w:rsidRPr="00096B73">
        <w:rPr>
          <w:iCs/>
        </w:rPr>
        <w:t>75,000 to &lt; $95,000</w:t>
      </w:r>
      <w:r w:rsidRPr="00980134">
        <w:rPr>
          <w:iCs/>
        </w:rPr>
        <w:t xml:space="preserve"> per QALY gained to </w:t>
      </w:r>
      <w:r w:rsidR="00096B73" w:rsidRPr="00096B73">
        <w:rPr>
          <w:iCs/>
        </w:rPr>
        <w:t xml:space="preserve">$95,000 to &lt; $115,000 </w:t>
      </w:r>
      <w:r w:rsidRPr="00980134">
        <w:rPr>
          <w:iCs/>
        </w:rPr>
        <w:t xml:space="preserve">per QALY gained). </w:t>
      </w:r>
      <w:r w:rsidR="002A6F0C" w:rsidRPr="00980134">
        <w:rPr>
          <w:iCs/>
        </w:rPr>
        <w:t xml:space="preserve">The pre-PBAC response </w:t>
      </w:r>
      <w:r w:rsidR="003876DA" w:rsidRPr="00980134">
        <w:rPr>
          <w:iCs/>
        </w:rPr>
        <w:t xml:space="preserve">accepted </w:t>
      </w:r>
      <w:r w:rsidR="002A6F0C" w:rsidRPr="00980134">
        <w:rPr>
          <w:iCs/>
        </w:rPr>
        <w:t>remov</w:t>
      </w:r>
      <w:r w:rsidR="003876DA" w:rsidRPr="00980134">
        <w:rPr>
          <w:iCs/>
        </w:rPr>
        <w:t xml:space="preserve">ing </w:t>
      </w:r>
      <w:r w:rsidR="002A6F0C" w:rsidRPr="00980134">
        <w:rPr>
          <w:iCs/>
        </w:rPr>
        <w:t xml:space="preserve">assumptions regarding vial sharing. </w:t>
      </w:r>
    </w:p>
    <w:p w14:paraId="4E9E3BF8" w14:textId="241D6FA8" w:rsidR="00C270F2" w:rsidRPr="00980134" w:rsidRDefault="00C270F2" w:rsidP="001A0079">
      <w:pPr>
        <w:pStyle w:val="3-BodyText"/>
        <w:rPr>
          <w:i/>
          <w:iCs/>
        </w:rPr>
      </w:pPr>
      <w:r w:rsidRPr="00980134">
        <w:t>Time on treatment for T-</w:t>
      </w:r>
      <w:proofErr w:type="spellStart"/>
      <w:r w:rsidRPr="00980134">
        <w:t>DXd</w:t>
      </w:r>
      <w:proofErr w:type="spellEnd"/>
      <w:r w:rsidRPr="00980134">
        <w:t xml:space="preserve"> and TPC was modelled through independent parametric functions, informed by time to treatment discontinuation (TTD) data from the HR positive cohort of DB-04. While the model was not sensitive to the nominated parametric function in the TPC arm, the submission had chosen an independent gamma function (third best statistical fit) to model T-</w:t>
      </w:r>
      <w:proofErr w:type="spellStart"/>
      <w:r w:rsidRPr="00980134">
        <w:t>DXd</w:t>
      </w:r>
      <w:proofErr w:type="spellEnd"/>
      <w:r w:rsidRPr="00980134">
        <w:t xml:space="preserve"> TTD data, however this was observed to underestimate TTD KM data. The generalized gamma function (second best statistical fit) appeared to have the best visual fit among all parametric functions. Using this function increased the time on treatment from 11.0 months (15.9 administrations) to 11.4 months (16.6 administrations) which increased the ICER by 4% (from $</w:t>
      </w:r>
      <w:r w:rsidR="00096B73" w:rsidRPr="00096B73">
        <w:t>75,000 to &lt; $95,000</w:t>
      </w:r>
      <w:r w:rsidRPr="00980134">
        <w:t xml:space="preserve"> per QALY gained to $</w:t>
      </w:r>
      <w:r w:rsidR="00096B73" w:rsidRPr="00096B73">
        <w:t>75,000 to &lt; $95,000</w:t>
      </w:r>
      <w:r w:rsidRPr="00980134">
        <w:t xml:space="preserve"> per QALY gained)</w:t>
      </w:r>
      <w:r w:rsidR="00980134">
        <w:t xml:space="preserve">. </w:t>
      </w:r>
      <w:r w:rsidR="001A0079" w:rsidRPr="00980134">
        <w:t>The PSCR stated there was a marginally better statistical fit using AIC for generalised gamma, but there was a better statistical fit using BIC for the gamma function. The ESC considered applying the gamma function to model TTD for T-</w:t>
      </w:r>
      <w:proofErr w:type="spellStart"/>
      <w:r w:rsidR="001A0079" w:rsidRPr="00980134">
        <w:t>DXd</w:t>
      </w:r>
      <w:proofErr w:type="spellEnd"/>
      <w:r w:rsidR="001A0079" w:rsidRPr="00980134">
        <w:t xml:space="preserve"> was reasonable.</w:t>
      </w:r>
      <w:r w:rsidR="001A0079" w:rsidRPr="00980134">
        <w:rPr>
          <w:i/>
          <w:iCs/>
        </w:rPr>
        <w:t xml:space="preserve"> </w:t>
      </w:r>
    </w:p>
    <w:p w14:paraId="276F7E40" w14:textId="14271C8A" w:rsidR="00C270F2" w:rsidRPr="00980134" w:rsidRDefault="00C270F2" w:rsidP="00C270F2">
      <w:pPr>
        <w:pStyle w:val="ListParagraph"/>
        <w:numPr>
          <w:ilvl w:val="1"/>
          <w:numId w:val="1"/>
        </w:numPr>
        <w:spacing w:after="160"/>
        <w:ind w:left="709" w:hanging="709"/>
      </w:pPr>
      <w:r w:rsidRPr="00980134">
        <w:t xml:space="preserve">The economic analysis included costs associated with a subsequent line of therapy for a certain proportion of patients until death. The submission selected the most </w:t>
      </w:r>
      <w:r w:rsidRPr="00980134">
        <w:lastRenderedPageBreak/>
        <w:t>common and relevant subsequent therapies reported in DB-04 and distributed the patients in the progressed disease health state to each subsequent therapy as per the proportions reported in the DB-04 CSR for the HR positive cohort. This was not appropriate as these proportions included patients who had not yet progressed at the data cutoff and hence the applied proportions did not represent the distribution of use of each subsequent therapy among progressed patients. This was recalculated during the evaluation based on the clinical data</w:t>
      </w:r>
      <w:r w:rsidRPr="00980134">
        <w:rPr>
          <w:rStyle w:val="FootnoteReference"/>
        </w:rPr>
        <w:footnoteReference w:id="23"/>
      </w:r>
      <w:r w:rsidRPr="00980134">
        <w:t xml:space="preserve"> to ensure the distribution reflected subsequent therapy use among progressed patients who received subsequent therapy. This approach was previously accepted by the Sponsor and the PBAC in the HER2 positive submission (para 7.9, Trastuzumab </w:t>
      </w:r>
      <w:proofErr w:type="spellStart"/>
      <w:r w:rsidRPr="00980134">
        <w:t>deruxtecan</w:t>
      </w:r>
      <w:proofErr w:type="spellEnd"/>
      <w:r w:rsidRPr="00980134">
        <w:t xml:space="preserve"> PSD, July 2022 PBAC Meeting). The evaluation also noted several issues with the submission’s approach to calculating the cost of subsequent therapies as vial sharing was assumed and incorrect vial sizes, dosing regimens and administration costs were applied for certain subsequent therapies. Once these issues were addressed, the ICER increased by 7% (from $</w:t>
      </w:r>
      <w:r w:rsidR="00096B73" w:rsidRPr="00096B73">
        <w:t>75,000 to &lt; $95,000</w:t>
      </w:r>
      <w:r w:rsidRPr="00980134">
        <w:t xml:space="preserve"> per QALY gained to $</w:t>
      </w:r>
      <w:r w:rsidR="00096B73" w:rsidRPr="00096B73">
        <w:t>75,000 to &lt; $95,000</w:t>
      </w:r>
      <w:r w:rsidRPr="00980134">
        <w:t xml:space="preserve"> per QALY gained).</w:t>
      </w:r>
    </w:p>
    <w:p w14:paraId="7B4B18F7" w14:textId="2A2C2386" w:rsidR="00C270F2" w:rsidRPr="00980134" w:rsidRDefault="00C270F2" w:rsidP="00C270F2">
      <w:pPr>
        <w:pStyle w:val="ListParagraph"/>
        <w:numPr>
          <w:ilvl w:val="1"/>
          <w:numId w:val="1"/>
        </w:numPr>
        <w:spacing w:after="160"/>
        <w:ind w:left="709" w:hanging="709"/>
      </w:pPr>
      <w:r w:rsidRPr="00980134">
        <w:t xml:space="preserve">Key model drivers are presented in </w:t>
      </w:r>
      <w:r w:rsidRPr="00980134">
        <w:fldChar w:fldCharType="begin" w:fldLock="1"/>
      </w:r>
      <w:r w:rsidRPr="00980134">
        <w:instrText xml:space="preserve"> REF _Ref104805122 \h  \* MERGEFORMAT </w:instrText>
      </w:r>
      <w:r w:rsidRPr="00980134">
        <w:fldChar w:fldCharType="separate"/>
      </w:r>
      <w:r w:rsidR="00DF66B3" w:rsidRPr="00980134">
        <w:t xml:space="preserve">Table </w:t>
      </w:r>
      <w:r w:rsidR="00DF66B3">
        <w:t>9</w:t>
      </w:r>
      <w:r w:rsidRPr="00980134">
        <w:fldChar w:fldCharType="end"/>
      </w:r>
      <w:r w:rsidRPr="00980134">
        <w:t>.</w:t>
      </w:r>
    </w:p>
    <w:p w14:paraId="0B09B305" w14:textId="546587C1" w:rsidR="00C270F2" w:rsidRPr="00980134" w:rsidRDefault="00C270F2" w:rsidP="00C270F2">
      <w:pPr>
        <w:pStyle w:val="Caption"/>
        <w:jc w:val="left"/>
        <w:rPr>
          <w:rStyle w:val="CommentReference"/>
          <w:b/>
          <w:szCs w:val="24"/>
        </w:rPr>
      </w:pPr>
      <w:bookmarkStart w:id="72" w:name="_Ref104805122"/>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9</w:t>
      </w:r>
      <w:r w:rsidR="006E03AE">
        <w:rPr>
          <w:noProof/>
        </w:rPr>
        <w:fldChar w:fldCharType="end"/>
      </w:r>
      <w:bookmarkEnd w:id="72"/>
      <w:r w:rsidRPr="00980134">
        <w:t>:</w:t>
      </w:r>
      <w:r w:rsidRPr="00980134">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670"/>
        <w:gridCol w:w="2218"/>
      </w:tblGrid>
      <w:tr w:rsidR="00C270F2" w:rsidRPr="00980134" w14:paraId="7F4B5B65" w14:textId="77777777">
        <w:trPr>
          <w:tblHeader/>
        </w:trPr>
        <w:tc>
          <w:tcPr>
            <w:tcW w:w="626" w:type="pct"/>
            <w:shd w:val="clear" w:color="auto" w:fill="auto"/>
            <w:vAlign w:val="center"/>
          </w:tcPr>
          <w:p w14:paraId="0E2580E4" w14:textId="77777777" w:rsidR="00C270F2" w:rsidRPr="00980134" w:rsidRDefault="00C270F2">
            <w:pPr>
              <w:pStyle w:val="In-tableHeading"/>
              <w:jc w:val="center"/>
              <w:rPr>
                <w:lang w:val="en-AU"/>
              </w:rPr>
            </w:pPr>
            <w:r w:rsidRPr="00980134">
              <w:rPr>
                <w:lang w:val="en-AU"/>
              </w:rPr>
              <w:t>Description</w:t>
            </w:r>
          </w:p>
        </w:tc>
        <w:tc>
          <w:tcPr>
            <w:tcW w:w="3144" w:type="pct"/>
            <w:shd w:val="clear" w:color="auto" w:fill="auto"/>
            <w:vAlign w:val="center"/>
          </w:tcPr>
          <w:p w14:paraId="4FCE5589" w14:textId="77777777" w:rsidR="00C270F2" w:rsidRPr="00980134" w:rsidRDefault="00C270F2">
            <w:pPr>
              <w:pStyle w:val="In-tableHeading"/>
              <w:jc w:val="center"/>
              <w:rPr>
                <w:lang w:val="en-AU"/>
              </w:rPr>
            </w:pPr>
            <w:r w:rsidRPr="00980134">
              <w:rPr>
                <w:lang w:val="en-AU"/>
              </w:rPr>
              <w:t>Method/Value</w:t>
            </w:r>
          </w:p>
        </w:tc>
        <w:tc>
          <w:tcPr>
            <w:tcW w:w="1230" w:type="pct"/>
            <w:shd w:val="clear" w:color="auto" w:fill="auto"/>
            <w:vAlign w:val="center"/>
          </w:tcPr>
          <w:p w14:paraId="39B45724" w14:textId="77777777" w:rsidR="00C270F2" w:rsidRPr="00980134" w:rsidRDefault="00C270F2">
            <w:pPr>
              <w:pStyle w:val="In-tableHeading"/>
              <w:jc w:val="center"/>
              <w:rPr>
                <w:lang w:val="en-AU"/>
              </w:rPr>
            </w:pPr>
            <w:r w:rsidRPr="00980134">
              <w:rPr>
                <w:lang w:val="en-AU"/>
              </w:rPr>
              <w:t>Impact</w:t>
            </w:r>
          </w:p>
          <w:p w14:paraId="567FC8E8" w14:textId="44F27B59" w:rsidR="00C270F2" w:rsidRPr="00980134" w:rsidRDefault="00C270F2">
            <w:pPr>
              <w:pStyle w:val="In-tableHeading"/>
              <w:jc w:val="center"/>
              <w:rPr>
                <w:lang w:val="en-AU"/>
              </w:rPr>
            </w:pPr>
            <w:r w:rsidRPr="00980134">
              <w:rPr>
                <w:rFonts w:cs="Arial"/>
                <w:szCs w:val="20"/>
                <w:lang w:val="en-AU"/>
              </w:rPr>
              <w:t>Base case:</w:t>
            </w:r>
            <w:r w:rsidR="00640308" w:rsidRPr="00640308">
              <w:rPr>
                <w:rFonts w:cs="Arial"/>
                <w:szCs w:val="20"/>
                <w:lang w:val="en-AU"/>
              </w:rPr>
              <w:t xml:space="preserve"> </w:t>
            </w:r>
            <w:r w:rsidR="00640308" w:rsidRPr="00640308">
              <w:rPr>
                <w:rFonts w:cs="Arial"/>
                <w:color w:val="000000"/>
                <w:spacing w:val="168"/>
                <w:szCs w:val="20"/>
                <w:shd w:val="solid" w:color="000000" w:fill="000000"/>
                <w:fitText w:val="260" w:id="-1032110075"/>
                <w:lang w:val="en-AU"/>
                <w14:textFill>
                  <w14:solidFill>
                    <w14:srgbClr w14:val="000000">
                      <w14:alpha w14:val="100000"/>
                    </w14:srgbClr>
                  </w14:solidFill>
                </w14:textFill>
              </w:rPr>
              <w:t>|</w:t>
            </w:r>
            <w:r w:rsidR="00640308" w:rsidRPr="00640308">
              <w:rPr>
                <w:rFonts w:cs="Arial"/>
                <w:color w:val="000000"/>
                <w:spacing w:val="1"/>
                <w:szCs w:val="20"/>
                <w:shd w:val="solid" w:color="000000" w:fill="000000"/>
                <w:fitText w:val="260" w:id="-1032110075"/>
                <w:lang w:val="en-AU"/>
                <w14:textFill>
                  <w14:solidFill>
                    <w14:srgbClr w14:val="000000">
                      <w14:alpha w14:val="100000"/>
                    </w14:srgbClr>
                  </w14:solidFill>
                </w14:textFill>
              </w:rPr>
              <w:t>|</w:t>
            </w:r>
            <w:r w:rsidR="007C30B8" w:rsidRPr="007C30B8">
              <w:rPr>
                <w:rFonts w:cs="Arial"/>
                <w:szCs w:val="20"/>
                <w:vertAlign w:val="superscript"/>
                <w:lang w:val="en-AU"/>
              </w:rPr>
              <w:t>1</w:t>
            </w:r>
            <w:r w:rsidRPr="00980134">
              <w:rPr>
                <w:rFonts w:cs="Arial"/>
                <w:szCs w:val="20"/>
                <w:lang w:val="en-AU"/>
              </w:rPr>
              <w:t>/QALY gained</w:t>
            </w:r>
          </w:p>
        </w:tc>
      </w:tr>
      <w:tr w:rsidR="00C270F2" w:rsidRPr="00980134" w14:paraId="7D87EBE0" w14:textId="77777777">
        <w:tc>
          <w:tcPr>
            <w:tcW w:w="626" w:type="pct"/>
            <w:shd w:val="clear" w:color="auto" w:fill="auto"/>
            <w:vAlign w:val="center"/>
          </w:tcPr>
          <w:p w14:paraId="08FE4035" w14:textId="77777777" w:rsidR="00C270F2" w:rsidRPr="00980134" w:rsidRDefault="00C270F2">
            <w:pPr>
              <w:pStyle w:val="TableText0"/>
            </w:pPr>
            <w:r w:rsidRPr="00980134">
              <w:t>OS Extrapolation</w:t>
            </w:r>
          </w:p>
        </w:tc>
        <w:tc>
          <w:tcPr>
            <w:tcW w:w="3144" w:type="pct"/>
            <w:shd w:val="clear" w:color="auto" w:fill="auto"/>
            <w:vAlign w:val="center"/>
          </w:tcPr>
          <w:p w14:paraId="1CF1F750" w14:textId="77777777" w:rsidR="00C270F2" w:rsidRPr="00980134" w:rsidRDefault="00C270F2">
            <w:pPr>
              <w:pStyle w:val="TableText0"/>
            </w:pPr>
            <w:r w:rsidRPr="00980134">
              <w:t>Dependent log-logistic distribution in both arms based on statistical and visual fit. As there was no application of treatment waning to the parametric functions, the modelled curves represented an ongoing treatment effect of T-</w:t>
            </w:r>
            <w:proofErr w:type="spellStart"/>
            <w:r w:rsidRPr="00980134">
              <w:t>DXd</w:t>
            </w:r>
            <w:proofErr w:type="spellEnd"/>
            <w:r w:rsidRPr="00980134">
              <w:t>, in terms of overall survival, until the end of the time horizon, which was not justified.</w:t>
            </w:r>
          </w:p>
          <w:p w14:paraId="09A98B89" w14:textId="77777777" w:rsidR="00C270F2" w:rsidRPr="00980134" w:rsidRDefault="00C270F2">
            <w:pPr>
              <w:pStyle w:val="TableText0"/>
            </w:pPr>
          </w:p>
          <w:p w14:paraId="485AC795" w14:textId="2465BB97" w:rsidR="00C270F2" w:rsidRPr="00980134" w:rsidRDefault="00C270F2">
            <w:pPr>
              <w:pStyle w:val="TableText0"/>
            </w:pPr>
            <w:r w:rsidRPr="00980134">
              <w:t xml:space="preserve">The independent Weibull curve had better visual and statistical fit than the submission’s base case and estimated convergence of the OS curves at approximately </w:t>
            </w:r>
            <w:r w:rsidR="00B93F03" w:rsidRPr="00980134">
              <w:t>6.5</w:t>
            </w:r>
            <w:r w:rsidRPr="00980134">
              <w:t xml:space="preserve"> years, indicating a diminishing treatment effect.</w:t>
            </w:r>
          </w:p>
        </w:tc>
        <w:tc>
          <w:tcPr>
            <w:tcW w:w="1230" w:type="pct"/>
            <w:shd w:val="clear" w:color="auto" w:fill="auto"/>
            <w:vAlign w:val="center"/>
          </w:tcPr>
          <w:p w14:paraId="5DA77D89" w14:textId="4F8D24D2" w:rsidR="00C270F2" w:rsidRPr="00980134" w:rsidRDefault="00C270F2">
            <w:pPr>
              <w:pStyle w:val="TableText0"/>
            </w:pPr>
            <w:r w:rsidRPr="00980134">
              <w:t>High, favours T-</w:t>
            </w:r>
            <w:proofErr w:type="spellStart"/>
            <w:r w:rsidRPr="00980134">
              <w:t>DXd</w:t>
            </w:r>
            <w:proofErr w:type="spellEnd"/>
            <w:r w:rsidRPr="00980134">
              <w:t>. Use of independent Weibull OS curves in both arms increased the ICER to</w:t>
            </w:r>
            <w:r w:rsidR="00640308">
              <w:t xml:space="preserve"> </w:t>
            </w:r>
            <w:r w:rsidR="00640308" w:rsidRPr="00640308">
              <w:rPr>
                <w:color w:val="000000"/>
                <w:spacing w:val="53"/>
                <w:shd w:val="solid" w:color="000000" w:fill="000000"/>
                <w:fitText w:val="330" w:id="-1032110074"/>
                <w14:textFill>
                  <w14:solidFill>
                    <w14:srgbClr w14:val="000000">
                      <w14:alpha w14:val="100000"/>
                    </w14:srgbClr>
                  </w14:solidFill>
                </w14:textFill>
              </w:rPr>
              <w:t>|||</w:t>
            </w:r>
            <w:r w:rsidR="00640308" w:rsidRPr="00640308">
              <w:rPr>
                <w:color w:val="000000"/>
                <w:spacing w:val="1"/>
                <w:shd w:val="solid" w:color="000000" w:fill="000000"/>
                <w:fitText w:val="330" w:id="-1032110074"/>
                <w14:textFill>
                  <w14:solidFill>
                    <w14:srgbClr w14:val="000000">
                      <w14:alpha w14:val="100000"/>
                    </w14:srgbClr>
                  </w14:solidFill>
                </w14:textFill>
              </w:rPr>
              <w:t>|</w:t>
            </w:r>
            <w:r w:rsidR="00F24A15">
              <w:rPr>
                <w:vertAlign w:val="superscript"/>
              </w:rPr>
              <w:t>2</w:t>
            </w:r>
            <w:r w:rsidRPr="00980134">
              <w:t>/QALY gained.</w:t>
            </w:r>
          </w:p>
        </w:tc>
      </w:tr>
      <w:tr w:rsidR="001A0079" w:rsidRPr="00980134" w14:paraId="4AAB3EA3" w14:textId="77777777" w:rsidTr="00816122">
        <w:trPr>
          <w:trHeight w:val="954"/>
        </w:trPr>
        <w:tc>
          <w:tcPr>
            <w:tcW w:w="626" w:type="pct"/>
            <w:shd w:val="clear" w:color="auto" w:fill="auto"/>
            <w:vAlign w:val="center"/>
          </w:tcPr>
          <w:p w14:paraId="1B388C00" w14:textId="112DDD80" w:rsidR="001A0079" w:rsidRPr="00980134" w:rsidRDefault="001A0079">
            <w:pPr>
              <w:pStyle w:val="TableText0"/>
            </w:pPr>
            <w:r w:rsidRPr="00980134">
              <w:t xml:space="preserve">Use of KM data </w:t>
            </w:r>
          </w:p>
        </w:tc>
        <w:tc>
          <w:tcPr>
            <w:tcW w:w="3144" w:type="pct"/>
            <w:shd w:val="clear" w:color="auto" w:fill="auto"/>
            <w:vAlign w:val="center"/>
          </w:tcPr>
          <w:p w14:paraId="635F9C83" w14:textId="6D8A0959" w:rsidR="001A0079" w:rsidRPr="00980134" w:rsidRDefault="001A0079">
            <w:pPr>
              <w:pStyle w:val="TableText0"/>
            </w:pPr>
            <w:r w:rsidRPr="00980134">
              <w:rPr>
                <w:rFonts w:cstheme="minorHAnsi"/>
                <w:color w:val="000000" w:themeColor="text1"/>
              </w:rPr>
              <w:t>The observed TTD, PFS and OS curves were modelled over the entire time horizon using parametric functions and consequently no KM data was explicitly included in the model.</w:t>
            </w:r>
          </w:p>
        </w:tc>
        <w:tc>
          <w:tcPr>
            <w:tcW w:w="1230" w:type="pct"/>
            <w:shd w:val="clear" w:color="auto" w:fill="auto"/>
            <w:vAlign w:val="center"/>
          </w:tcPr>
          <w:p w14:paraId="6604367D" w14:textId="2572CC37" w:rsidR="001A0079" w:rsidRPr="00980134" w:rsidRDefault="001A0079">
            <w:pPr>
              <w:pStyle w:val="TableText0"/>
            </w:pPr>
            <w:r w:rsidRPr="00980134">
              <w:t>High</w:t>
            </w:r>
            <w:r w:rsidR="00CE1887" w:rsidRPr="00980134">
              <w:t xml:space="preserve">, </w:t>
            </w:r>
            <w:r w:rsidR="00E63662" w:rsidRPr="00980134">
              <w:t>f</w:t>
            </w:r>
            <w:r w:rsidRPr="00980134">
              <w:t>avours T-</w:t>
            </w:r>
            <w:proofErr w:type="spellStart"/>
            <w:r w:rsidRPr="00980134">
              <w:t>DXd</w:t>
            </w:r>
            <w:proofErr w:type="spellEnd"/>
            <w:r w:rsidRPr="00980134">
              <w:t>. Use of KM data for TTD, PFS and OS in the model increased the ICER to</w:t>
            </w:r>
            <w:r w:rsidR="00640308" w:rsidRPr="00640308">
              <w:t xml:space="preserve"> </w:t>
            </w:r>
            <w:r w:rsidR="00640308" w:rsidRPr="00640308">
              <w:rPr>
                <w:color w:val="000000"/>
                <w:spacing w:val="53"/>
                <w:shd w:val="solid" w:color="000000" w:fill="000000"/>
                <w:fitText w:val="330" w:id="-1032110073"/>
                <w14:textFill>
                  <w14:solidFill>
                    <w14:srgbClr w14:val="000000">
                      <w14:alpha w14:val="100000"/>
                    </w14:srgbClr>
                  </w14:solidFill>
                </w14:textFill>
              </w:rPr>
              <w:t>|||</w:t>
            </w:r>
            <w:r w:rsidR="00640308" w:rsidRPr="00640308">
              <w:rPr>
                <w:color w:val="000000"/>
                <w:spacing w:val="1"/>
                <w:shd w:val="solid" w:color="000000" w:fill="000000"/>
                <w:fitText w:val="330" w:id="-1032110073"/>
                <w14:textFill>
                  <w14:solidFill>
                    <w14:srgbClr w14:val="000000">
                      <w14:alpha w14:val="100000"/>
                    </w14:srgbClr>
                  </w14:solidFill>
                </w14:textFill>
              </w:rPr>
              <w:t>|</w:t>
            </w:r>
            <w:r w:rsidR="00F24A15">
              <w:rPr>
                <w:vertAlign w:val="superscript"/>
              </w:rPr>
              <w:t>3</w:t>
            </w:r>
            <w:r w:rsidRPr="00980134">
              <w:t xml:space="preserve">/ QALY gained. </w:t>
            </w:r>
          </w:p>
        </w:tc>
      </w:tr>
      <w:tr w:rsidR="00C270F2" w:rsidRPr="00980134" w14:paraId="5BB7D7AC" w14:textId="77777777" w:rsidTr="00816122">
        <w:trPr>
          <w:trHeight w:val="954"/>
        </w:trPr>
        <w:tc>
          <w:tcPr>
            <w:tcW w:w="626" w:type="pct"/>
            <w:shd w:val="clear" w:color="auto" w:fill="auto"/>
            <w:vAlign w:val="center"/>
          </w:tcPr>
          <w:p w14:paraId="6270DAEC" w14:textId="77777777" w:rsidR="00C270F2" w:rsidRPr="00980134" w:rsidRDefault="00C270F2">
            <w:pPr>
              <w:pStyle w:val="TableText0"/>
            </w:pPr>
            <w:r w:rsidRPr="00980134">
              <w:t>Vial sharing and EFC fees</w:t>
            </w:r>
          </w:p>
        </w:tc>
        <w:tc>
          <w:tcPr>
            <w:tcW w:w="3144" w:type="pct"/>
            <w:shd w:val="clear" w:color="auto" w:fill="auto"/>
            <w:vAlign w:val="center"/>
          </w:tcPr>
          <w:p w14:paraId="1E8B74F7" w14:textId="77777777" w:rsidR="00C270F2" w:rsidRPr="00980134" w:rsidRDefault="00C270F2">
            <w:pPr>
              <w:pStyle w:val="TableText0"/>
            </w:pPr>
            <w:r w:rsidRPr="00980134">
              <w:t>100% vial sharing assumed in the base case with proportional EFC fees. Vial sharing is not appropriate and contrasts the PBAC guidelines and the PI documents for T-</w:t>
            </w:r>
            <w:proofErr w:type="spellStart"/>
            <w:r w:rsidRPr="00980134">
              <w:t>DXd</w:t>
            </w:r>
            <w:proofErr w:type="spellEnd"/>
            <w:r w:rsidRPr="00980134">
              <w:t xml:space="preserve"> and TPC drugs which stipulate that wastage should be incorporated and unused portions left in vials should be discarded. EFC fees are fixed, and not proportional to the amount of drug dispensed.</w:t>
            </w:r>
          </w:p>
        </w:tc>
        <w:tc>
          <w:tcPr>
            <w:tcW w:w="1230" w:type="pct"/>
            <w:shd w:val="clear" w:color="auto" w:fill="auto"/>
            <w:vAlign w:val="center"/>
          </w:tcPr>
          <w:p w14:paraId="6712EA6A" w14:textId="16CD8E5B" w:rsidR="00C270F2" w:rsidRPr="00980134" w:rsidRDefault="00C270F2">
            <w:pPr>
              <w:pStyle w:val="TableText0"/>
            </w:pPr>
            <w:r w:rsidRPr="00980134">
              <w:t>High, favours T-</w:t>
            </w:r>
            <w:proofErr w:type="spellStart"/>
            <w:r w:rsidRPr="00980134">
              <w:t>DXd</w:t>
            </w:r>
            <w:proofErr w:type="spellEnd"/>
            <w:r w:rsidRPr="00980134">
              <w:t>. Assuming no vial sharing, and fixed EFC fees in both arms increased the ICER to</w:t>
            </w:r>
            <w:r w:rsidR="00640308">
              <w:t xml:space="preserve"> </w:t>
            </w:r>
            <w:r w:rsidR="00640308" w:rsidRPr="00640308">
              <w:rPr>
                <w:color w:val="000000"/>
                <w:spacing w:val="53"/>
                <w:shd w:val="solid" w:color="000000" w:fill="000000"/>
                <w:fitText w:val="330" w:id="-1032110072"/>
                <w14:textFill>
                  <w14:solidFill>
                    <w14:srgbClr w14:val="000000">
                      <w14:alpha w14:val="100000"/>
                    </w14:srgbClr>
                  </w14:solidFill>
                </w14:textFill>
              </w:rPr>
              <w:t>|||</w:t>
            </w:r>
            <w:r w:rsidR="00640308" w:rsidRPr="00640308">
              <w:rPr>
                <w:color w:val="000000"/>
                <w:spacing w:val="1"/>
                <w:shd w:val="solid" w:color="000000" w:fill="000000"/>
                <w:fitText w:val="330" w:id="-1032110072"/>
                <w14:textFill>
                  <w14:solidFill>
                    <w14:srgbClr w14:val="000000">
                      <w14:alpha w14:val="100000"/>
                    </w14:srgbClr>
                  </w14:solidFill>
                </w14:textFill>
              </w:rPr>
              <w:t>|</w:t>
            </w:r>
            <w:r w:rsidR="00F24A15" w:rsidRPr="00F24A15">
              <w:rPr>
                <w:vertAlign w:val="superscript"/>
              </w:rPr>
              <w:t>3</w:t>
            </w:r>
            <w:r w:rsidRPr="00980134">
              <w:t>/QALY gained.</w:t>
            </w:r>
          </w:p>
        </w:tc>
      </w:tr>
      <w:tr w:rsidR="00C270F2" w:rsidRPr="00980134" w14:paraId="3D0FA325" w14:textId="77777777">
        <w:tc>
          <w:tcPr>
            <w:tcW w:w="626" w:type="pct"/>
            <w:shd w:val="clear" w:color="auto" w:fill="auto"/>
            <w:vAlign w:val="center"/>
          </w:tcPr>
          <w:p w14:paraId="36D9C24B" w14:textId="77777777" w:rsidR="00C270F2" w:rsidRPr="00980134" w:rsidRDefault="00C270F2">
            <w:pPr>
              <w:pStyle w:val="TableText0"/>
            </w:pPr>
            <w:r w:rsidRPr="00980134">
              <w:t>Utilities</w:t>
            </w:r>
          </w:p>
        </w:tc>
        <w:tc>
          <w:tcPr>
            <w:tcW w:w="3144" w:type="pct"/>
            <w:shd w:val="clear" w:color="auto" w:fill="auto"/>
            <w:vAlign w:val="center"/>
          </w:tcPr>
          <w:p w14:paraId="5AFF84CC" w14:textId="77777777" w:rsidR="00C270F2" w:rsidRPr="00980134" w:rsidRDefault="00C270F2">
            <w:pPr>
              <w:pStyle w:val="TableText0"/>
            </w:pPr>
            <w:r w:rsidRPr="00980134">
              <w:t>The submission applied treatment-specific health state utilities for both the PF and PD health states with no decrements due to adverse events. This was not justified, given that the EQ-5D-5L utility scores were not significantly different between the two treatment arms, AEs were higher in the T-</w:t>
            </w:r>
            <w:proofErr w:type="spellStart"/>
            <w:r w:rsidRPr="00980134">
              <w:t>DXd</w:t>
            </w:r>
            <w:proofErr w:type="spellEnd"/>
            <w:r w:rsidRPr="00980134">
              <w:t xml:space="preserve"> arm, the EQ-5D-5L measures were not timed to capture disutility while on treatment, and that there is potential for bias for assessment of quality-of-life outcomes due to the open-label design of the clinical trial. </w:t>
            </w:r>
          </w:p>
          <w:p w14:paraId="17965FE0" w14:textId="77777777" w:rsidR="00C270F2" w:rsidRPr="00980134" w:rsidRDefault="00C270F2">
            <w:pPr>
              <w:pStyle w:val="TableText0"/>
            </w:pPr>
          </w:p>
          <w:p w14:paraId="7EE8DF13" w14:textId="77777777" w:rsidR="00C270F2" w:rsidRPr="00980134" w:rsidRDefault="00C270F2">
            <w:pPr>
              <w:pStyle w:val="TableText0"/>
            </w:pPr>
            <w:r w:rsidRPr="00980134">
              <w:t>The PF utilities (both pooled and treatment-specific) appear unreasonably high. The small decrement between the PF and PD health state utility values does not seem plausible.</w:t>
            </w:r>
          </w:p>
        </w:tc>
        <w:tc>
          <w:tcPr>
            <w:tcW w:w="1230" w:type="pct"/>
            <w:shd w:val="clear" w:color="auto" w:fill="auto"/>
            <w:vAlign w:val="center"/>
          </w:tcPr>
          <w:p w14:paraId="46C2DFC7" w14:textId="0AA6637B" w:rsidR="00C270F2" w:rsidRPr="00980134" w:rsidRDefault="00C270F2">
            <w:pPr>
              <w:pStyle w:val="TableText0"/>
            </w:pPr>
            <w:r w:rsidRPr="00980134">
              <w:t>High, favours T-</w:t>
            </w:r>
            <w:proofErr w:type="spellStart"/>
            <w:r w:rsidRPr="00980134">
              <w:t>DXd</w:t>
            </w:r>
            <w:proofErr w:type="spellEnd"/>
            <w:r w:rsidRPr="00980134">
              <w:t>. Use of a pooled PF utility of 0.881 and assuming a PD decrement of -0.272 (as suggested by Lloyd et al</w:t>
            </w:r>
            <w:r w:rsidRPr="00980134">
              <w:fldChar w:fldCharType="begin" w:fldLock="1"/>
            </w:r>
            <w:r w:rsidRPr="00980134">
              <w:instrText xml:space="preserve"> NOTEREF _Ref142042792 \f \h  \* MERGEFORMAT </w:instrText>
            </w:r>
            <w:r w:rsidRPr="00980134">
              <w:fldChar w:fldCharType="separate"/>
            </w:r>
            <w:r w:rsidR="00DF66B3" w:rsidRPr="00DF66B3">
              <w:rPr>
                <w:rStyle w:val="FootnoteReference"/>
              </w:rPr>
              <w:t>20</w:t>
            </w:r>
            <w:r w:rsidRPr="00980134">
              <w:fldChar w:fldCharType="end"/>
            </w:r>
            <w:r w:rsidRPr="00980134">
              <w:t>) in both arms, increased the ICER to</w:t>
            </w:r>
            <w:r w:rsidR="00640308">
              <w:t xml:space="preserve"> </w:t>
            </w:r>
            <w:r w:rsidR="00640308" w:rsidRPr="00640308">
              <w:rPr>
                <w:color w:val="000000"/>
                <w:spacing w:val="53"/>
                <w:shd w:val="solid" w:color="000000" w:fill="000000"/>
                <w:fitText w:val="330" w:id="-1032110071"/>
                <w14:textFill>
                  <w14:solidFill>
                    <w14:srgbClr w14:val="000000">
                      <w14:alpha w14:val="100000"/>
                    </w14:srgbClr>
                  </w14:solidFill>
                </w14:textFill>
              </w:rPr>
              <w:t>|||</w:t>
            </w:r>
            <w:r w:rsidR="00640308" w:rsidRPr="00640308">
              <w:rPr>
                <w:color w:val="000000"/>
                <w:spacing w:val="1"/>
                <w:shd w:val="solid" w:color="000000" w:fill="000000"/>
                <w:fitText w:val="330" w:id="-1032110071"/>
                <w14:textFill>
                  <w14:solidFill>
                    <w14:srgbClr w14:val="000000">
                      <w14:alpha w14:val="100000"/>
                    </w14:srgbClr>
                  </w14:solidFill>
                </w14:textFill>
              </w:rPr>
              <w:t>|</w:t>
            </w:r>
            <w:r w:rsidR="00F24A15" w:rsidRPr="00F24A15">
              <w:rPr>
                <w:vertAlign w:val="superscript"/>
              </w:rPr>
              <w:t>3</w:t>
            </w:r>
            <w:r w:rsidRPr="00980134">
              <w:t>/QALY gained.</w:t>
            </w:r>
          </w:p>
        </w:tc>
      </w:tr>
      <w:tr w:rsidR="00C270F2" w:rsidRPr="00980134" w14:paraId="4A525C6B" w14:textId="77777777">
        <w:tc>
          <w:tcPr>
            <w:tcW w:w="626" w:type="pct"/>
            <w:shd w:val="clear" w:color="auto" w:fill="auto"/>
            <w:vAlign w:val="center"/>
          </w:tcPr>
          <w:p w14:paraId="1BF291B8" w14:textId="77777777" w:rsidR="00C270F2" w:rsidRPr="00980134" w:rsidRDefault="00C270F2">
            <w:pPr>
              <w:pStyle w:val="TableText0"/>
            </w:pPr>
            <w:r w:rsidRPr="00980134">
              <w:t>RDI</w:t>
            </w:r>
          </w:p>
        </w:tc>
        <w:tc>
          <w:tcPr>
            <w:tcW w:w="3144" w:type="pct"/>
            <w:shd w:val="clear" w:color="auto" w:fill="auto"/>
            <w:vAlign w:val="center"/>
          </w:tcPr>
          <w:p w14:paraId="43CCFA10" w14:textId="77777777" w:rsidR="00C270F2" w:rsidRPr="00980134" w:rsidRDefault="00C270F2">
            <w:pPr>
              <w:pStyle w:val="TableText0"/>
            </w:pPr>
            <w:r w:rsidRPr="00980134">
              <w:t>The submission assumed an RDI of 90% for T-</w:t>
            </w:r>
            <w:proofErr w:type="spellStart"/>
            <w:r w:rsidRPr="00980134">
              <w:t>DXd</w:t>
            </w:r>
            <w:proofErr w:type="spellEnd"/>
            <w:r w:rsidRPr="00980134">
              <w:t xml:space="preserve"> </w:t>
            </w:r>
            <w:r w:rsidRPr="00980134">
              <w:rPr>
                <w:rStyle w:val="normaltextrun"/>
                <w:rFonts w:cs="Calibri"/>
                <w:color w:val="000000"/>
                <w:shd w:val="clear" w:color="auto" w:fill="FFFFFF"/>
              </w:rPr>
              <w:t xml:space="preserve">based on previous PBAC advice that the RDI reported for SG </w:t>
            </w:r>
            <w:r w:rsidRPr="00980134">
              <w:rPr>
                <w:rStyle w:val="eop"/>
                <w:rFonts w:cs="Calibri"/>
              </w:rPr>
              <w:t xml:space="preserve">did not account for AE-related dose reductions and treatment interruptions (para 7.15, Sacituzumab </w:t>
            </w:r>
            <w:proofErr w:type="spellStart"/>
            <w:r w:rsidRPr="00980134">
              <w:rPr>
                <w:rStyle w:val="eop"/>
                <w:rFonts w:cs="Calibri"/>
              </w:rPr>
              <w:t>govitecan</w:t>
            </w:r>
            <w:proofErr w:type="spellEnd"/>
            <w:r w:rsidRPr="00980134">
              <w:rPr>
                <w:rStyle w:val="eop"/>
                <w:rFonts w:cs="Calibri"/>
              </w:rPr>
              <w:t xml:space="preserve"> PSD, March 2022 PBAC Meeting). As the submission stated it was “unclear” whether the reported T-</w:t>
            </w:r>
            <w:proofErr w:type="spellStart"/>
            <w:r w:rsidRPr="00980134">
              <w:rPr>
                <w:rStyle w:val="eop"/>
                <w:rFonts w:cs="Calibri"/>
              </w:rPr>
              <w:t>DXd</w:t>
            </w:r>
            <w:proofErr w:type="spellEnd"/>
            <w:r w:rsidRPr="00980134">
              <w:rPr>
                <w:rStyle w:val="eop"/>
                <w:rFonts w:cs="Calibri"/>
              </w:rPr>
              <w:t xml:space="preserve"> RDI in the DB-04 CSR accounted for AE-related dose reductions and interruptions, the RDI applied was not well justified. Applying an RDI based on the mean actual dose intensity (which is the actual amount of drug consumed) relative to the recommended Australian dosing regimen may be more reasonable for T-</w:t>
            </w:r>
            <w:proofErr w:type="spellStart"/>
            <w:r w:rsidRPr="00980134">
              <w:rPr>
                <w:rStyle w:val="eop"/>
                <w:rFonts w:cs="Calibri"/>
              </w:rPr>
              <w:t>DXd</w:t>
            </w:r>
            <w:proofErr w:type="spellEnd"/>
            <w:r w:rsidRPr="00980134">
              <w:rPr>
                <w:rStyle w:val="eop"/>
                <w:rFonts w:cs="Calibri"/>
              </w:rPr>
              <w:t xml:space="preserve"> and TPC drugs. </w:t>
            </w:r>
          </w:p>
        </w:tc>
        <w:tc>
          <w:tcPr>
            <w:tcW w:w="1230" w:type="pct"/>
            <w:shd w:val="clear" w:color="auto" w:fill="auto"/>
            <w:vAlign w:val="center"/>
          </w:tcPr>
          <w:p w14:paraId="29A216D3" w14:textId="2609417B" w:rsidR="00C270F2" w:rsidRPr="00980134" w:rsidRDefault="00C270F2">
            <w:pPr>
              <w:pStyle w:val="TableText0"/>
            </w:pPr>
            <w:r w:rsidRPr="00980134">
              <w:t>Moderate, favours T-</w:t>
            </w:r>
            <w:proofErr w:type="spellStart"/>
            <w:r w:rsidRPr="00980134">
              <w:t>DXd</w:t>
            </w:r>
            <w:proofErr w:type="spellEnd"/>
            <w:r w:rsidRPr="00980134">
              <w:t>. Applying RDIs based on the mean actual dose intensity relative to the recommended dose intensity increased the ICER to</w:t>
            </w:r>
            <w:r w:rsidR="00640308">
              <w:t xml:space="preserve"> </w:t>
            </w:r>
            <w:r w:rsidR="00640308" w:rsidRPr="00640308">
              <w:rPr>
                <w:color w:val="000000"/>
                <w:spacing w:val="53"/>
                <w:shd w:val="solid" w:color="000000" w:fill="000000"/>
                <w:fitText w:val="330" w:id="-1032110070"/>
                <w14:textFill>
                  <w14:solidFill>
                    <w14:srgbClr w14:val="000000">
                      <w14:alpha w14:val="100000"/>
                    </w14:srgbClr>
                  </w14:solidFill>
                </w14:textFill>
              </w:rPr>
              <w:t>|||</w:t>
            </w:r>
            <w:r w:rsidR="00640308" w:rsidRPr="00640308">
              <w:rPr>
                <w:color w:val="000000"/>
                <w:spacing w:val="1"/>
                <w:shd w:val="solid" w:color="000000" w:fill="000000"/>
                <w:fitText w:val="330" w:id="-1032110070"/>
                <w14:textFill>
                  <w14:solidFill>
                    <w14:srgbClr w14:val="000000">
                      <w14:alpha w14:val="100000"/>
                    </w14:srgbClr>
                  </w14:solidFill>
                </w14:textFill>
              </w:rPr>
              <w:t>|</w:t>
            </w:r>
            <w:r w:rsidR="00F24A15">
              <w:rPr>
                <w:vertAlign w:val="superscript"/>
              </w:rPr>
              <w:t>3</w:t>
            </w:r>
            <w:r w:rsidRPr="00980134">
              <w:t>/QALY gained.</w:t>
            </w:r>
          </w:p>
        </w:tc>
      </w:tr>
    </w:tbl>
    <w:p w14:paraId="54B03E73" w14:textId="77777777" w:rsidR="00C270F2" w:rsidRPr="00980134" w:rsidRDefault="00C270F2" w:rsidP="00C270F2">
      <w:pPr>
        <w:pStyle w:val="FooterTableFigure"/>
      </w:pPr>
      <w:r w:rsidRPr="00980134">
        <w:t>Source: Constructed during the evaluation.</w:t>
      </w:r>
    </w:p>
    <w:p w14:paraId="0858A9DB" w14:textId="352FE5D5" w:rsidR="00C270F2" w:rsidRDefault="00C270F2" w:rsidP="00C270F2">
      <w:pPr>
        <w:pStyle w:val="FooterTableFigure"/>
      </w:pPr>
      <w:r w:rsidRPr="00980134">
        <w:t>AE = adverse events; CSR = clinical study report; DB-04 = Destiny Breast-04; EFC = Efficient Funding of Chemotherapies; ICER = incremental cost effectiveness ratio; OS = overall survival; PBAC = Pharmaceutical Benefits Advisory Committee; PD = progressed disease; PF = progression-free; PI = Product Information; PSD = public summary document; QALY = quality-adjusted life year; RDI = relative dose intensity; T-</w:t>
      </w:r>
      <w:proofErr w:type="spellStart"/>
      <w:r w:rsidRPr="00980134">
        <w:t>DXd</w:t>
      </w:r>
      <w:proofErr w:type="spellEnd"/>
      <w:r w:rsidRPr="00980134">
        <w:t xml:space="preserve"> = trastuzumab </w:t>
      </w:r>
      <w:proofErr w:type="spellStart"/>
      <w:r w:rsidRPr="00980134">
        <w:t>deruxtecan</w:t>
      </w:r>
      <w:proofErr w:type="spellEnd"/>
      <w:r w:rsidRPr="00980134">
        <w:t>; TPC = treatment of physician’s choice.</w:t>
      </w:r>
    </w:p>
    <w:p w14:paraId="441D04DD" w14:textId="77777777" w:rsidR="007C30B8" w:rsidRPr="007C30B8" w:rsidRDefault="007C30B8" w:rsidP="007C30B8">
      <w:pPr>
        <w:pStyle w:val="FooterTableFigure"/>
        <w:rPr>
          <w:i/>
          <w:iCs/>
        </w:rPr>
      </w:pPr>
      <w:bookmarkStart w:id="73" w:name="_Hlk155339399"/>
      <w:bookmarkStart w:id="74" w:name="_Hlk155167645"/>
      <w:r w:rsidRPr="007C30B8">
        <w:rPr>
          <w:i/>
          <w:iCs/>
        </w:rPr>
        <w:t>The redacted values correspond to the following ranges:</w:t>
      </w:r>
    </w:p>
    <w:bookmarkEnd w:id="73"/>
    <w:p w14:paraId="42021524" w14:textId="2E0D748C" w:rsidR="007C30B8" w:rsidRDefault="007C30B8" w:rsidP="007C30B8">
      <w:pPr>
        <w:pStyle w:val="FooterTableFigure"/>
        <w:rPr>
          <w:i/>
          <w:iCs/>
        </w:rPr>
      </w:pPr>
      <w:r w:rsidRPr="00384A6C">
        <w:rPr>
          <w:i/>
          <w:iCs/>
          <w:vertAlign w:val="superscript"/>
        </w:rPr>
        <w:t xml:space="preserve">1 </w:t>
      </w:r>
      <w:r w:rsidRPr="007C30B8">
        <w:rPr>
          <w:i/>
          <w:iCs/>
        </w:rPr>
        <w:t>$75,000 to &lt; $95,000</w:t>
      </w:r>
    </w:p>
    <w:p w14:paraId="553CE943" w14:textId="6D40E460" w:rsidR="00F24A15" w:rsidRPr="007C30B8" w:rsidRDefault="00F24A15" w:rsidP="007C30B8">
      <w:pPr>
        <w:pStyle w:val="FooterTableFigure"/>
        <w:rPr>
          <w:i/>
          <w:iCs/>
        </w:rPr>
      </w:pPr>
      <w:r>
        <w:rPr>
          <w:i/>
          <w:iCs/>
          <w:vertAlign w:val="superscript"/>
        </w:rPr>
        <w:t>2</w:t>
      </w:r>
      <w:r w:rsidRPr="00F24A15">
        <w:rPr>
          <w:i/>
          <w:iCs/>
        </w:rPr>
        <w:t xml:space="preserve"> $115,000 to &lt; $135,000</w:t>
      </w:r>
    </w:p>
    <w:p w14:paraId="4C78F57F" w14:textId="5D70D629" w:rsidR="00C270F2" w:rsidRPr="00980134" w:rsidRDefault="00F24A15" w:rsidP="00C270F2">
      <w:pPr>
        <w:pStyle w:val="FooterTableFigure"/>
      </w:pPr>
      <w:r>
        <w:rPr>
          <w:i/>
          <w:iCs/>
          <w:vertAlign w:val="superscript"/>
        </w:rPr>
        <w:t>3</w:t>
      </w:r>
      <w:r w:rsidR="007C30B8" w:rsidRPr="007C30B8">
        <w:rPr>
          <w:i/>
          <w:iCs/>
        </w:rPr>
        <w:t xml:space="preserve"> $95,000 to &lt; $115,000 </w:t>
      </w:r>
      <w:bookmarkEnd w:id="74"/>
    </w:p>
    <w:p w14:paraId="576EF927" w14:textId="49303137" w:rsidR="00C270F2" w:rsidRPr="00980134" w:rsidRDefault="00C270F2" w:rsidP="00C270F2">
      <w:pPr>
        <w:pStyle w:val="3-BodyText"/>
        <w:rPr>
          <w:rFonts w:ascii="Arial Narrow" w:hAnsi="Arial Narrow"/>
          <w:b/>
          <w:sz w:val="20"/>
          <w:szCs w:val="18"/>
        </w:rPr>
      </w:pPr>
      <w:r w:rsidRPr="00980134">
        <w:t xml:space="preserve">The submission’s stepped evaluation was not considered informative for decision making as no trial-based evaluation was included and hence the effect of </w:t>
      </w:r>
      <w:r w:rsidRPr="00980134">
        <w:lastRenderedPageBreak/>
        <w:t xml:space="preserve">extrapolation could not be clearly observed. A revised version has been presented </w:t>
      </w:r>
      <w:r w:rsidR="00401D81" w:rsidRPr="00980134">
        <w:t>below</w:t>
      </w:r>
      <w:r w:rsidR="00401D81" w:rsidRPr="00980134">
        <w:rPr>
          <w:i/>
          <w:iCs/>
        </w:rPr>
        <w:t xml:space="preserve"> </w:t>
      </w:r>
      <w:r w:rsidRPr="00980134">
        <w:t xml:space="preserve">which allows the effects of extrapolation and the transformation of LYs to QALYS to be clearly observed. The re-arranged stepped evaluation is presented in </w:t>
      </w:r>
      <w:r w:rsidRPr="00980134">
        <w:fldChar w:fldCharType="begin" w:fldLock="1"/>
      </w:r>
      <w:r w:rsidRPr="00980134">
        <w:instrText xml:space="preserve"> REF _Ref104805160 \h  \* MERGEFORMAT </w:instrText>
      </w:r>
      <w:r w:rsidRPr="00980134">
        <w:fldChar w:fldCharType="separate"/>
      </w:r>
      <w:r w:rsidR="00DF66B3" w:rsidRPr="00980134">
        <w:t xml:space="preserve">Table </w:t>
      </w:r>
      <w:r w:rsidR="00DF66B3">
        <w:t>10</w:t>
      </w:r>
      <w:r w:rsidRPr="00980134">
        <w:fldChar w:fldCharType="end"/>
      </w:r>
      <w:r w:rsidR="00980134">
        <w:t>.</w:t>
      </w:r>
      <w:r w:rsidR="00640308">
        <w:t xml:space="preserve"> </w:t>
      </w:r>
      <w:r w:rsidRPr="00980134">
        <w:t xml:space="preserve"> </w:t>
      </w:r>
    </w:p>
    <w:p w14:paraId="57593C36" w14:textId="4788E051" w:rsidR="00C270F2" w:rsidRPr="00980134" w:rsidRDefault="00C270F2" w:rsidP="00C270F2">
      <w:pPr>
        <w:pStyle w:val="Caption"/>
        <w:rPr>
          <w:rStyle w:val="CommentReference"/>
          <w:b/>
          <w:szCs w:val="18"/>
        </w:rPr>
      </w:pPr>
      <w:r w:rsidRPr="00980134">
        <w:t xml:space="preserve"> </w:t>
      </w:r>
      <w:bookmarkStart w:id="75" w:name="_Ref104805160"/>
      <w:r w:rsidRPr="00980134">
        <w:t xml:space="preserve">Table </w:t>
      </w:r>
      <w:r w:rsidR="006E03AE">
        <w:fldChar w:fldCharType="begin" w:fldLock="1"/>
      </w:r>
      <w:r w:rsidR="006E03AE">
        <w:instrText xml:space="preserve"> SEQ Table \* ARABIC </w:instrText>
      </w:r>
      <w:r w:rsidR="006E03AE">
        <w:fldChar w:fldCharType="separate"/>
      </w:r>
      <w:r w:rsidR="00DF66B3">
        <w:rPr>
          <w:noProof/>
        </w:rPr>
        <w:t>10</w:t>
      </w:r>
      <w:r w:rsidR="006E03AE">
        <w:rPr>
          <w:noProof/>
        </w:rPr>
        <w:fldChar w:fldCharType="end"/>
      </w:r>
      <w:bookmarkEnd w:id="75"/>
      <w:r w:rsidRPr="00980134">
        <w:t>:</w:t>
      </w:r>
      <w:r w:rsidRPr="00980134">
        <w:rPr>
          <w:rStyle w:val="CommentReference"/>
          <w:b/>
          <w:szCs w:val="24"/>
        </w:rPr>
        <w:t xml:space="preserve"> </w:t>
      </w:r>
      <w:r w:rsidRPr="00980134">
        <w:t>Results of the re-arranged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3"/>
        <w:gridCol w:w="3277"/>
        <w:gridCol w:w="1776"/>
        <w:gridCol w:w="1776"/>
        <w:gridCol w:w="1775"/>
      </w:tblGrid>
      <w:tr w:rsidR="00C270F2" w:rsidRPr="00980134" w14:paraId="0F33E328" w14:textId="77777777">
        <w:trPr>
          <w:tblHeader/>
        </w:trPr>
        <w:tc>
          <w:tcPr>
            <w:tcW w:w="229" w:type="pct"/>
            <w:vAlign w:val="center"/>
          </w:tcPr>
          <w:p w14:paraId="1567C4CD" w14:textId="77777777" w:rsidR="00C270F2" w:rsidRPr="00980134" w:rsidRDefault="00C270F2">
            <w:pPr>
              <w:pStyle w:val="TableFigureHeading"/>
            </w:pPr>
            <w:r w:rsidRPr="00980134">
              <w:t>Step</w:t>
            </w:r>
          </w:p>
        </w:tc>
        <w:tc>
          <w:tcPr>
            <w:tcW w:w="1817" w:type="pct"/>
            <w:vAlign w:val="center"/>
          </w:tcPr>
          <w:p w14:paraId="48F5B680" w14:textId="77777777" w:rsidR="00C270F2" w:rsidRPr="00980134" w:rsidRDefault="00C270F2">
            <w:pPr>
              <w:pStyle w:val="In-tableHeading"/>
              <w:jc w:val="center"/>
              <w:rPr>
                <w:lang w:val="en-AU"/>
              </w:rPr>
            </w:pPr>
            <w:r w:rsidRPr="00980134">
              <w:rPr>
                <w:lang w:val="en-AU"/>
              </w:rPr>
              <w:t>Description</w:t>
            </w:r>
          </w:p>
        </w:tc>
        <w:tc>
          <w:tcPr>
            <w:tcW w:w="985" w:type="pct"/>
            <w:vAlign w:val="center"/>
          </w:tcPr>
          <w:p w14:paraId="15673806" w14:textId="77777777" w:rsidR="00C270F2" w:rsidRPr="00980134" w:rsidRDefault="00C270F2">
            <w:pPr>
              <w:pStyle w:val="In-tableHeading"/>
              <w:jc w:val="center"/>
              <w:rPr>
                <w:lang w:val="en-AU"/>
              </w:rPr>
            </w:pPr>
            <w:r w:rsidRPr="00980134">
              <w:rPr>
                <w:lang w:val="en-AU"/>
              </w:rPr>
              <w:t>T-</w:t>
            </w:r>
            <w:proofErr w:type="spellStart"/>
            <w:r w:rsidRPr="00980134">
              <w:rPr>
                <w:lang w:val="en-AU"/>
              </w:rPr>
              <w:t>DXd</w:t>
            </w:r>
            <w:proofErr w:type="spellEnd"/>
          </w:p>
        </w:tc>
        <w:tc>
          <w:tcPr>
            <w:tcW w:w="985" w:type="pct"/>
            <w:vAlign w:val="center"/>
          </w:tcPr>
          <w:p w14:paraId="33DD0AC2" w14:textId="77777777" w:rsidR="00C270F2" w:rsidRPr="00980134" w:rsidRDefault="00C270F2">
            <w:pPr>
              <w:pStyle w:val="In-tableHeading"/>
              <w:jc w:val="center"/>
              <w:rPr>
                <w:lang w:val="en-AU"/>
              </w:rPr>
            </w:pPr>
            <w:r w:rsidRPr="00980134">
              <w:rPr>
                <w:lang w:val="en-AU"/>
              </w:rPr>
              <w:t>TPC</w:t>
            </w:r>
          </w:p>
        </w:tc>
        <w:tc>
          <w:tcPr>
            <w:tcW w:w="984" w:type="pct"/>
          </w:tcPr>
          <w:p w14:paraId="41F28061" w14:textId="77777777" w:rsidR="00C270F2" w:rsidRPr="00980134" w:rsidRDefault="00C270F2">
            <w:pPr>
              <w:pStyle w:val="In-tableHeading"/>
              <w:jc w:val="center"/>
              <w:rPr>
                <w:lang w:val="en-AU"/>
              </w:rPr>
            </w:pPr>
            <w:r w:rsidRPr="00980134">
              <w:rPr>
                <w:lang w:val="en-AU"/>
              </w:rPr>
              <w:t>Increment</w:t>
            </w:r>
          </w:p>
        </w:tc>
      </w:tr>
      <w:tr w:rsidR="00C270F2" w:rsidRPr="00980134" w14:paraId="3F26216D" w14:textId="77777777">
        <w:trPr>
          <w:trHeight w:val="990"/>
        </w:trPr>
        <w:tc>
          <w:tcPr>
            <w:tcW w:w="229" w:type="pct"/>
            <w:vMerge w:val="restart"/>
            <w:vAlign w:val="center"/>
          </w:tcPr>
          <w:p w14:paraId="549E27CF" w14:textId="77777777" w:rsidR="00C270F2" w:rsidRPr="00980134" w:rsidRDefault="00C270F2">
            <w:pPr>
              <w:pStyle w:val="TableText0"/>
              <w:jc w:val="center"/>
            </w:pPr>
            <w:r w:rsidRPr="00980134">
              <w:t>1</w:t>
            </w:r>
          </w:p>
        </w:tc>
        <w:tc>
          <w:tcPr>
            <w:tcW w:w="4771" w:type="pct"/>
            <w:gridSpan w:val="4"/>
            <w:vAlign w:val="center"/>
          </w:tcPr>
          <w:p w14:paraId="526A0578" w14:textId="77777777" w:rsidR="00C270F2" w:rsidRPr="00980134" w:rsidRDefault="00C270F2">
            <w:pPr>
              <w:pStyle w:val="TableText0"/>
            </w:pPr>
            <w:r w:rsidRPr="00980134">
              <w:rPr>
                <w:b/>
                <w:bCs w:val="0"/>
              </w:rPr>
              <w:t>T</w:t>
            </w:r>
            <w:r w:rsidRPr="00980134">
              <w:rPr>
                <w:b/>
              </w:rPr>
              <w:t>rial based (DB-04) economic evaluation.</w:t>
            </w:r>
            <w:r w:rsidRPr="00980134">
              <w:t xml:space="preserve"> Based on the PFS and OS data from the HR positive cohort of DB-04 represented with parametric functions. Time horizon of 3.83 years (OS follow-up time in DB-04). </w:t>
            </w:r>
          </w:p>
          <w:p w14:paraId="48609B31" w14:textId="77777777" w:rsidR="00C270F2" w:rsidRPr="00980134" w:rsidRDefault="00C270F2">
            <w:pPr>
              <w:pStyle w:val="TableText0"/>
            </w:pPr>
            <w:r w:rsidRPr="00980134">
              <w:t>Costs: Drug acquisition, drug administration and AE management.</w:t>
            </w:r>
          </w:p>
          <w:p w14:paraId="3D2E9565" w14:textId="77777777" w:rsidR="00C270F2" w:rsidRPr="00980134" w:rsidRDefault="00C270F2">
            <w:pPr>
              <w:pStyle w:val="TableText0"/>
              <w:rPr>
                <w:b/>
                <w:bCs w:val="0"/>
              </w:rPr>
            </w:pPr>
            <w:r w:rsidRPr="00980134">
              <w:t>Outcomes: LYs gained</w:t>
            </w:r>
          </w:p>
        </w:tc>
      </w:tr>
      <w:tr w:rsidR="00C270F2" w:rsidRPr="00980134" w14:paraId="06697290" w14:textId="77777777">
        <w:tc>
          <w:tcPr>
            <w:tcW w:w="229" w:type="pct"/>
            <w:vMerge/>
            <w:vAlign w:val="center"/>
          </w:tcPr>
          <w:p w14:paraId="34DD355B" w14:textId="77777777" w:rsidR="00C270F2" w:rsidRPr="00980134" w:rsidRDefault="00C270F2">
            <w:pPr>
              <w:pStyle w:val="TableText0"/>
              <w:jc w:val="center"/>
            </w:pPr>
          </w:p>
        </w:tc>
        <w:tc>
          <w:tcPr>
            <w:tcW w:w="1817" w:type="pct"/>
            <w:vAlign w:val="center"/>
          </w:tcPr>
          <w:p w14:paraId="2554A6F9" w14:textId="15AA24AF" w:rsidR="00C270F2" w:rsidRPr="00980134" w:rsidRDefault="00C270F2">
            <w:pPr>
              <w:pStyle w:val="TableText0"/>
            </w:pPr>
            <w:r w:rsidRPr="00980134">
              <w:t>Costs</w:t>
            </w:r>
            <w:r w:rsidR="00E01CF7">
              <w:t xml:space="preserve"> ($)</w:t>
            </w:r>
          </w:p>
        </w:tc>
        <w:tc>
          <w:tcPr>
            <w:tcW w:w="985" w:type="pct"/>
            <w:vAlign w:val="bottom"/>
          </w:tcPr>
          <w:p w14:paraId="3B9659CD" w14:textId="3E0171D8" w:rsidR="00C270F2" w:rsidRPr="006E5ED7" w:rsidRDefault="00640308">
            <w:pPr>
              <w:pStyle w:val="TableText0"/>
              <w:jc w:val="center"/>
              <w:rPr>
                <w:highlight w:val="darkGray"/>
              </w:rPr>
            </w:pPr>
            <w:r w:rsidRPr="00640308">
              <w:t xml:space="preserve"> </w:t>
            </w:r>
            <w:r w:rsidRPr="00640308">
              <w:rPr>
                <w:color w:val="000000"/>
                <w:shd w:val="solid" w:color="000000" w:fill="000000"/>
                <w14:textFill>
                  <w14:solidFill>
                    <w14:srgbClr w14:val="000000">
                      <w14:alpha w14:val="100000"/>
                    </w14:srgbClr>
                  </w14:solidFill>
                </w14:textFill>
              </w:rPr>
              <w:t>|</w:t>
            </w:r>
            <w:r w:rsidR="00880709" w:rsidRPr="006E5ED7">
              <w:t xml:space="preserve"> </w:t>
            </w:r>
          </w:p>
        </w:tc>
        <w:tc>
          <w:tcPr>
            <w:tcW w:w="985" w:type="pct"/>
            <w:vAlign w:val="bottom"/>
          </w:tcPr>
          <w:p w14:paraId="11FFE1EC" w14:textId="77777777" w:rsidR="00C270F2" w:rsidRPr="00980134" w:rsidRDefault="00C270F2">
            <w:pPr>
              <w:pStyle w:val="TableText0"/>
              <w:jc w:val="center"/>
            </w:pPr>
            <w:r w:rsidRPr="00880709">
              <w:t>$8,422</w:t>
            </w:r>
          </w:p>
        </w:tc>
        <w:tc>
          <w:tcPr>
            <w:tcW w:w="984" w:type="pct"/>
            <w:vAlign w:val="bottom"/>
          </w:tcPr>
          <w:p w14:paraId="208AC30C" w14:textId="0CE9C0C0"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p>
        </w:tc>
      </w:tr>
      <w:tr w:rsidR="00C270F2" w:rsidRPr="00980134" w14:paraId="4862F013" w14:textId="77777777">
        <w:tc>
          <w:tcPr>
            <w:tcW w:w="229" w:type="pct"/>
            <w:vMerge/>
            <w:vAlign w:val="center"/>
          </w:tcPr>
          <w:p w14:paraId="165CB191" w14:textId="77777777" w:rsidR="00C270F2" w:rsidRPr="00980134" w:rsidRDefault="00C270F2">
            <w:pPr>
              <w:pStyle w:val="TableText0"/>
              <w:jc w:val="center"/>
            </w:pPr>
          </w:p>
        </w:tc>
        <w:tc>
          <w:tcPr>
            <w:tcW w:w="1817" w:type="pct"/>
            <w:vAlign w:val="center"/>
          </w:tcPr>
          <w:p w14:paraId="7D14C470" w14:textId="77777777" w:rsidR="00C270F2" w:rsidRPr="00980134" w:rsidRDefault="00C270F2">
            <w:pPr>
              <w:pStyle w:val="TableText0"/>
            </w:pPr>
            <w:r w:rsidRPr="00980134">
              <w:t>Outcomes</w:t>
            </w:r>
          </w:p>
        </w:tc>
        <w:tc>
          <w:tcPr>
            <w:tcW w:w="985" w:type="pct"/>
            <w:vAlign w:val="bottom"/>
          </w:tcPr>
          <w:p w14:paraId="20C108CE" w14:textId="77777777" w:rsidR="00C270F2" w:rsidRPr="00980134" w:rsidRDefault="00C270F2">
            <w:pPr>
              <w:pStyle w:val="TableText0"/>
              <w:jc w:val="center"/>
            </w:pPr>
            <w:r w:rsidRPr="00980134">
              <w:t>2.13</w:t>
            </w:r>
          </w:p>
        </w:tc>
        <w:tc>
          <w:tcPr>
            <w:tcW w:w="985" w:type="pct"/>
            <w:vAlign w:val="bottom"/>
          </w:tcPr>
          <w:p w14:paraId="287B9417" w14:textId="77777777" w:rsidR="00C270F2" w:rsidRPr="00980134" w:rsidRDefault="00C270F2">
            <w:pPr>
              <w:pStyle w:val="TableText0"/>
              <w:jc w:val="center"/>
            </w:pPr>
            <w:r w:rsidRPr="00980134">
              <w:t>1.75</w:t>
            </w:r>
          </w:p>
        </w:tc>
        <w:tc>
          <w:tcPr>
            <w:tcW w:w="984" w:type="pct"/>
            <w:vAlign w:val="bottom"/>
          </w:tcPr>
          <w:p w14:paraId="27ECF43F" w14:textId="77777777" w:rsidR="00C270F2" w:rsidRPr="00980134" w:rsidRDefault="00C270F2">
            <w:pPr>
              <w:pStyle w:val="TableText0"/>
              <w:jc w:val="center"/>
            </w:pPr>
            <w:r w:rsidRPr="00980134">
              <w:t>0.38</w:t>
            </w:r>
          </w:p>
        </w:tc>
      </w:tr>
      <w:tr w:rsidR="00C270F2" w:rsidRPr="00980134" w14:paraId="22B52F32" w14:textId="77777777">
        <w:tc>
          <w:tcPr>
            <w:tcW w:w="229" w:type="pct"/>
            <w:vMerge/>
            <w:vAlign w:val="center"/>
          </w:tcPr>
          <w:p w14:paraId="16A0E4EB" w14:textId="77777777" w:rsidR="00C270F2" w:rsidRPr="00980134" w:rsidRDefault="00C270F2">
            <w:pPr>
              <w:pStyle w:val="TableText0"/>
              <w:jc w:val="center"/>
            </w:pPr>
          </w:p>
        </w:tc>
        <w:tc>
          <w:tcPr>
            <w:tcW w:w="3787" w:type="pct"/>
            <w:gridSpan w:val="3"/>
            <w:vAlign w:val="center"/>
          </w:tcPr>
          <w:p w14:paraId="357AC0F2" w14:textId="77777777" w:rsidR="00C270F2" w:rsidRPr="00980134" w:rsidRDefault="00C270F2">
            <w:pPr>
              <w:pStyle w:val="TableText0"/>
            </w:pPr>
            <w:r w:rsidRPr="00980134">
              <w:t>Incremental cost per LY gained</w:t>
            </w:r>
          </w:p>
        </w:tc>
        <w:tc>
          <w:tcPr>
            <w:tcW w:w="984" w:type="pct"/>
          </w:tcPr>
          <w:p w14:paraId="4148D8E2" w14:textId="26749A76"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r w:rsidR="00F24A15" w:rsidRPr="00F24A15">
              <w:rPr>
                <w:vertAlign w:val="superscript"/>
              </w:rPr>
              <w:t>1</w:t>
            </w:r>
          </w:p>
        </w:tc>
      </w:tr>
      <w:tr w:rsidR="00C270F2" w:rsidRPr="00980134" w14:paraId="011DB60F" w14:textId="77777777">
        <w:trPr>
          <w:trHeight w:val="728"/>
        </w:trPr>
        <w:tc>
          <w:tcPr>
            <w:tcW w:w="229" w:type="pct"/>
            <w:vMerge w:val="restart"/>
            <w:vAlign w:val="center"/>
          </w:tcPr>
          <w:p w14:paraId="1BE04385" w14:textId="77777777" w:rsidR="00C270F2" w:rsidRPr="00980134" w:rsidRDefault="00C270F2">
            <w:pPr>
              <w:pStyle w:val="TableText0"/>
              <w:jc w:val="center"/>
            </w:pPr>
            <w:r w:rsidRPr="00980134">
              <w:t>2</w:t>
            </w:r>
          </w:p>
        </w:tc>
        <w:tc>
          <w:tcPr>
            <w:tcW w:w="4771" w:type="pct"/>
            <w:gridSpan w:val="4"/>
            <w:vAlign w:val="center"/>
          </w:tcPr>
          <w:p w14:paraId="058AFB32" w14:textId="4BA4323C" w:rsidR="00C270F2" w:rsidRPr="00980134" w:rsidRDefault="00C270F2">
            <w:pPr>
              <w:pStyle w:val="TableText0"/>
            </w:pPr>
            <w:r w:rsidRPr="00980134">
              <w:rPr>
                <w:b/>
                <w:bCs w:val="0"/>
              </w:rPr>
              <w:t>Modelled economic evaluation.</w:t>
            </w:r>
            <w:r w:rsidRPr="00980134">
              <w:t xml:space="preserve"> PFS and OS data extrapolated with parametric functions until 12 years. 5% discounting of costs and outcomes</w:t>
            </w:r>
            <w:r w:rsidR="00980134">
              <w:t xml:space="preserve">. </w:t>
            </w:r>
          </w:p>
          <w:p w14:paraId="3FD35148" w14:textId="77777777" w:rsidR="00C270F2" w:rsidRPr="00980134" w:rsidRDefault="00C270F2">
            <w:pPr>
              <w:pStyle w:val="TableText0"/>
            </w:pPr>
            <w:r w:rsidRPr="00980134">
              <w:t>Costs: as in Step 1 + disease management and monitoring, subsequent therapy and terminal care</w:t>
            </w:r>
          </w:p>
          <w:p w14:paraId="28E1FFC3" w14:textId="77777777" w:rsidR="00C270F2" w:rsidRPr="00980134" w:rsidRDefault="00C270F2">
            <w:pPr>
              <w:pStyle w:val="TableText0"/>
            </w:pPr>
            <w:r w:rsidRPr="00980134">
              <w:t>Outcomes: LYs gained over the modelled time horizon</w:t>
            </w:r>
          </w:p>
        </w:tc>
      </w:tr>
      <w:tr w:rsidR="00C270F2" w:rsidRPr="00980134" w14:paraId="5A0D264F" w14:textId="77777777">
        <w:trPr>
          <w:trHeight w:val="53"/>
        </w:trPr>
        <w:tc>
          <w:tcPr>
            <w:tcW w:w="229" w:type="pct"/>
            <w:vMerge/>
            <w:vAlign w:val="center"/>
          </w:tcPr>
          <w:p w14:paraId="6BDE053C" w14:textId="77777777" w:rsidR="00C270F2" w:rsidRPr="00980134" w:rsidRDefault="00C270F2">
            <w:pPr>
              <w:pStyle w:val="TableText0"/>
              <w:jc w:val="center"/>
            </w:pPr>
          </w:p>
        </w:tc>
        <w:tc>
          <w:tcPr>
            <w:tcW w:w="1817" w:type="pct"/>
            <w:vAlign w:val="center"/>
          </w:tcPr>
          <w:p w14:paraId="3F7BB9F2" w14:textId="5A093262" w:rsidR="00C270F2" w:rsidRPr="00980134" w:rsidRDefault="00C270F2">
            <w:pPr>
              <w:pStyle w:val="TableText0"/>
            </w:pPr>
            <w:r w:rsidRPr="00980134">
              <w:t>Costs</w:t>
            </w:r>
            <w:r w:rsidR="00E01CF7">
              <w:t xml:space="preserve"> ($)</w:t>
            </w:r>
          </w:p>
        </w:tc>
        <w:tc>
          <w:tcPr>
            <w:tcW w:w="985" w:type="pct"/>
          </w:tcPr>
          <w:p w14:paraId="0899548E" w14:textId="50DF1268"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p>
        </w:tc>
        <w:tc>
          <w:tcPr>
            <w:tcW w:w="985" w:type="pct"/>
          </w:tcPr>
          <w:p w14:paraId="7D4D84AE" w14:textId="77777777" w:rsidR="00C270F2" w:rsidRPr="00980134" w:rsidRDefault="00C270F2">
            <w:pPr>
              <w:pStyle w:val="TableText0"/>
              <w:jc w:val="center"/>
            </w:pPr>
            <w:r w:rsidRPr="00880709">
              <w:t>$53,892</w:t>
            </w:r>
          </w:p>
        </w:tc>
        <w:tc>
          <w:tcPr>
            <w:tcW w:w="984" w:type="pct"/>
          </w:tcPr>
          <w:p w14:paraId="21E7F0C9" w14:textId="41C85753"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p>
        </w:tc>
      </w:tr>
      <w:tr w:rsidR="00C270F2" w:rsidRPr="00980134" w14:paraId="59DC2059" w14:textId="77777777">
        <w:trPr>
          <w:trHeight w:val="53"/>
        </w:trPr>
        <w:tc>
          <w:tcPr>
            <w:tcW w:w="229" w:type="pct"/>
            <w:vMerge/>
            <w:vAlign w:val="center"/>
          </w:tcPr>
          <w:p w14:paraId="458395FE" w14:textId="77777777" w:rsidR="00C270F2" w:rsidRPr="00980134" w:rsidRDefault="00C270F2">
            <w:pPr>
              <w:pStyle w:val="TableText0"/>
              <w:jc w:val="center"/>
            </w:pPr>
          </w:p>
        </w:tc>
        <w:tc>
          <w:tcPr>
            <w:tcW w:w="1817" w:type="pct"/>
            <w:vAlign w:val="center"/>
          </w:tcPr>
          <w:p w14:paraId="641DFD53" w14:textId="77777777" w:rsidR="00C270F2" w:rsidRPr="00980134" w:rsidRDefault="00C270F2">
            <w:pPr>
              <w:pStyle w:val="TableText0"/>
            </w:pPr>
            <w:r w:rsidRPr="00980134">
              <w:t>Outcomes</w:t>
            </w:r>
          </w:p>
        </w:tc>
        <w:tc>
          <w:tcPr>
            <w:tcW w:w="985" w:type="pct"/>
          </w:tcPr>
          <w:p w14:paraId="6D8C4100" w14:textId="77777777" w:rsidR="00C270F2" w:rsidRPr="00980134" w:rsidRDefault="00C270F2">
            <w:pPr>
              <w:pStyle w:val="TableText0"/>
              <w:jc w:val="center"/>
            </w:pPr>
            <w:r w:rsidRPr="00980134">
              <w:t>2.47</w:t>
            </w:r>
          </w:p>
        </w:tc>
        <w:tc>
          <w:tcPr>
            <w:tcW w:w="985" w:type="pct"/>
          </w:tcPr>
          <w:p w14:paraId="38A693C3" w14:textId="77777777" w:rsidR="00C270F2" w:rsidRPr="00980134" w:rsidRDefault="00C270F2">
            <w:pPr>
              <w:pStyle w:val="TableText0"/>
              <w:jc w:val="center"/>
            </w:pPr>
            <w:r w:rsidRPr="00980134">
              <w:t>1.94</w:t>
            </w:r>
          </w:p>
        </w:tc>
        <w:tc>
          <w:tcPr>
            <w:tcW w:w="984" w:type="pct"/>
          </w:tcPr>
          <w:p w14:paraId="697F75EE" w14:textId="77777777" w:rsidR="00C270F2" w:rsidRPr="00980134" w:rsidRDefault="00C270F2">
            <w:pPr>
              <w:pStyle w:val="TableText0"/>
              <w:jc w:val="center"/>
            </w:pPr>
            <w:r w:rsidRPr="00980134">
              <w:t>0.53</w:t>
            </w:r>
          </w:p>
        </w:tc>
      </w:tr>
      <w:tr w:rsidR="00C270F2" w:rsidRPr="00980134" w14:paraId="640C1182" w14:textId="77777777">
        <w:trPr>
          <w:trHeight w:val="53"/>
        </w:trPr>
        <w:tc>
          <w:tcPr>
            <w:tcW w:w="229" w:type="pct"/>
            <w:vMerge/>
            <w:vAlign w:val="center"/>
          </w:tcPr>
          <w:p w14:paraId="6CD1DDF5" w14:textId="77777777" w:rsidR="00C270F2" w:rsidRPr="00980134" w:rsidRDefault="00C270F2">
            <w:pPr>
              <w:pStyle w:val="TableText0"/>
              <w:jc w:val="center"/>
            </w:pPr>
          </w:p>
        </w:tc>
        <w:tc>
          <w:tcPr>
            <w:tcW w:w="3787" w:type="pct"/>
            <w:gridSpan w:val="3"/>
            <w:vAlign w:val="center"/>
          </w:tcPr>
          <w:p w14:paraId="4A3CE1DC" w14:textId="77777777" w:rsidR="00C270F2" w:rsidRPr="00980134" w:rsidRDefault="00C270F2">
            <w:pPr>
              <w:pStyle w:val="TableText0"/>
            </w:pPr>
            <w:r w:rsidRPr="00980134">
              <w:t>Incremental cost per LY gained</w:t>
            </w:r>
          </w:p>
        </w:tc>
        <w:tc>
          <w:tcPr>
            <w:tcW w:w="984" w:type="pct"/>
          </w:tcPr>
          <w:p w14:paraId="1CB19774" w14:textId="3EF4B333" w:rsidR="00C270F2" w:rsidRPr="00980134" w:rsidRDefault="00C270F2">
            <w:pPr>
              <w:pStyle w:val="TableText0"/>
              <w:jc w:val="center"/>
            </w:pPr>
            <w:r w:rsidRPr="00980134">
              <w:t>$</w:t>
            </w:r>
            <w:r w:rsidR="00640308" w:rsidRPr="00640308">
              <w:t xml:space="preserve"> </w:t>
            </w:r>
            <w:r w:rsidR="00640308" w:rsidRPr="00640308">
              <w:rPr>
                <w:color w:val="000000"/>
                <w:shd w:val="solid" w:color="000000" w:fill="000000"/>
                <w14:textFill>
                  <w14:solidFill>
                    <w14:srgbClr w14:val="000000">
                      <w14:alpha w14:val="100000"/>
                    </w14:srgbClr>
                  </w14:solidFill>
                </w14:textFill>
              </w:rPr>
              <w:t>|</w:t>
            </w:r>
            <w:r w:rsidR="00880709">
              <w:t xml:space="preserve"> </w:t>
            </w:r>
            <w:r w:rsidR="00F24A15" w:rsidRPr="00F24A15">
              <w:rPr>
                <w:vertAlign w:val="superscript"/>
              </w:rPr>
              <w:t>2</w:t>
            </w:r>
          </w:p>
        </w:tc>
      </w:tr>
      <w:tr w:rsidR="00C270F2" w:rsidRPr="00980134" w14:paraId="11DE7B36" w14:textId="77777777">
        <w:tc>
          <w:tcPr>
            <w:tcW w:w="229" w:type="pct"/>
            <w:vMerge w:val="restart"/>
            <w:vAlign w:val="center"/>
          </w:tcPr>
          <w:p w14:paraId="3E08964C" w14:textId="77777777" w:rsidR="00C270F2" w:rsidRPr="00980134" w:rsidRDefault="00C270F2">
            <w:pPr>
              <w:pStyle w:val="TableText0"/>
              <w:jc w:val="center"/>
            </w:pPr>
            <w:r w:rsidRPr="00980134">
              <w:t>3</w:t>
            </w:r>
          </w:p>
        </w:tc>
        <w:tc>
          <w:tcPr>
            <w:tcW w:w="4771" w:type="pct"/>
            <w:gridSpan w:val="4"/>
            <w:vAlign w:val="center"/>
          </w:tcPr>
          <w:p w14:paraId="6A7AB4ED" w14:textId="77777777" w:rsidR="00C270F2" w:rsidRPr="00980134" w:rsidRDefault="00C270F2">
            <w:pPr>
              <w:pStyle w:val="TableText0"/>
            </w:pPr>
            <w:r w:rsidRPr="00980134">
              <w:rPr>
                <w:b/>
                <w:bCs w:val="0"/>
              </w:rPr>
              <w:t xml:space="preserve">Cost per QALY gained. </w:t>
            </w:r>
            <w:r w:rsidRPr="00980134">
              <w:t>Transformation of LYs to QALYs.</w:t>
            </w:r>
          </w:p>
          <w:p w14:paraId="007BE7B4" w14:textId="77777777" w:rsidR="00C270F2" w:rsidRPr="00980134" w:rsidRDefault="00C270F2">
            <w:pPr>
              <w:pStyle w:val="TableText0"/>
            </w:pPr>
            <w:r w:rsidRPr="00980134">
              <w:t>Costs: As in Step 2</w:t>
            </w:r>
          </w:p>
          <w:p w14:paraId="2C74A4AE" w14:textId="77777777" w:rsidR="00C270F2" w:rsidRPr="00980134" w:rsidRDefault="00C270F2">
            <w:pPr>
              <w:pStyle w:val="TableText0"/>
            </w:pPr>
            <w:r w:rsidRPr="00980134">
              <w:t>Outcomes: QALYs over the modelled time horizon</w:t>
            </w:r>
          </w:p>
        </w:tc>
      </w:tr>
      <w:tr w:rsidR="00C270F2" w:rsidRPr="00980134" w14:paraId="0427C493" w14:textId="77777777">
        <w:tc>
          <w:tcPr>
            <w:tcW w:w="229" w:type="pct"/>
            <w:vMerge/>
            <w:vAlign w:val="center"/>
          </w:tcPr>
          <w:p w14:paraId="1F2976FC" w14:textId="77777777" w:rsidR="00C270F2" w:rsidRPr="00980134" w:rsidRDefault="00C270F2">
            <w:pPr>
              <w:pStyle w:val="TableText0"/>
              <w:jc w:val="center"/>
            </w:pPr>
          </w:p>
        </w:tc>
        <w:tc>
          <w:tcPr>
            <w:tcW w:w="1817" w:type="pct"/>
            <w:vAlign w:val="center"/>
          </w:tcPr>
          <w:p w14:paraId="14C671C3" w14:textId="0DC10863" w:rsidR="00C270F2" w:rsidRPr="00980134" w:rsidRDefault="00C270F2">
            <w:pPr>
              <w:pStyle w:val="TableText0"/>
              <w:rPr>
                <w:b/>
                <w:bCs w:val="0"/>
              </w:rPr>
            </w:pPr>
            <w:r w:rsidRPr="00980134">
              <w:t>Costs</w:t>
            </w:r>
            <w:r w:rsidR="00E01CF7">
              <w:t xml:space="preserve"> ($)</w:t>
            </w:r>
          </w:p>
        </w:tc>
        <w:tc>
          <w:tcPr>
            <w:tcW w:w="985" w:type="pct"/>
            <w:vAlign w:val="center"/>
          </w:tcPr>
          <w:p w14:paraId="1C06F742" w14:textId="10AD05E7"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p>
        </w:tc>
        <w:tc>
          <w:tcPr>
            <w:tcW w:w="985" w:type="pct"/>
            <w:vAlign w:val="center"/>
          </w:tcPr>
          <w:p w14:paraId="52485DA7" w14:textId="77777777" w:rsidR="00C270F2" w:rsidRPr="00980134" w:rsidRDefault="00C270F2">
            <w:pPr>
              <w:pStyle w:val="TableText0"/>
              <w:jc w:val="center"/>
            </w:pPr>
            <w:r w:rsidRPr="00880709">
              <w:t>$53,892</w:t>
            </w:r>
          </w:p>
        </w:tc>
        <w:tc>
          <w:tcPr>
            <w:tcW w:w="984" w:type="pct"/>
            <w:vAlign w:val="center"/>
          </w:tcPr>
          <w:p w14:paraId="3D3DBA7B" w14:textId="34A0F21D"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880709">
              <w:t xml:space="preserve"> </w:t>
            </w:r>
          </w:p>
        </w:tc>
      </w:tr>
      <w:tr w:rsidR="00C270F2" w:rsidRPr="00980134" w14:paraId="5468BBF7" w14:textId="77777777">
        <w:tc>
          <w:tcPr>
            <w:tcW w:w="229" w:type="pct"/>
            <w:vMerge/>
            <w:vAlign w:val="center"/>
          </w:tcPr>
          <w:p w14:paraId="04ACDE3F" w14:textId="77777777" w:rsidR="00C270F2" w:rsidRPr="00980134" w:rsidRDefault="00C270F2">
            <w:pPr>
              <w:pStyle w:val="TableText0"/>
              <w:jc w:val="center"/>
            </w:pPr>
          </w:p>
        </w:tc>
        <w:tc>
          <w:tcPr>
            <w:tcW w:w="1817" w:type="pct"/>
            <w:vAlign w:val="center"/>
          </w:tcPr>
          <w:p w14:paraId="76D6DC1E" w14:textId="77777777" w:rsidR="00C270F2" w:rsidRPr="00980134" w:rsidRDefault="00C270F2">
            <w:pPr>
              <w:pStyle w:val="TableText0"/>
              <w:rPr>
                <w:b/>
                <w:bCs w:val="0"/>
              </w:rPr>
            </w:pPr>
            <w:r w:rsidRPr="00980134">
              <w:t>Outcomes</w:t>
            </w:r>
          </w:p>
        </w:tc>
        <w:tc>
          <w:tcPr>
            <w:tcW w:w="985" w:type="pct"/>
            <w:vAlign w:val="center"/>
          </w:tcPr>
          <w:p w14:paraId="2BC764CF" w14:textId="77777777" w:rsidR="00C270F2" w:rsidRPr="00980134" w:rsidRDefault="00C270F2">
            <w:pPr>
              <w:pStyle w:val="TableText0"/>
              <w:jc w:val="center"/>
            </w:pPr>
            <w:r w:rsidRPr="00980134">
              <w:t>2.17</w:t>
            </w:r>
          </w:p>
        </w:tc>
        <w:tc>
          <w:tcPr>
            <w:tcW w:w="985" w:type="pct"/>
            <w:vAlign w:val="center"/>
          </w:tcPr>
          <w:p w14:paraId="1B73210F" w14:textId="77777777" w:rsidR="00C270F2" w:rsidRPr="00980134" w:rsidRDefault="00C270F2">
            <w:pPr>
              <w:pStyle w:val="TableText0"/>
              <w:jc w:val="center"/>
            </w:pPr>
            <w:r w:rsidRPr="00980134">
              <w:t>1.63</w:t>
            </w:r>
          </w:p>
        </w:tc>
        <w:tc>
          <w:tcPr>
            <w:tcW w:w="984" w:type="pct"/>
            <w:vAlign w:val="center"/>
          </w:tcPr>
          <w:p w14:paraId="2AC7F758" w14:textId="77777777" w:rsidR="00C270F2" w:rsidRPr="00980134" w:rsidRDefault="00C270F2">
            <w:pPr>
              <w:pStyle w:val="TableText0"/>
              <w:jc w:val="center"/>
            </w:pPr>
            <w:r w:rsidRPr="00980134">
              <w:t>0.54</w:t>
            </w:r>
          </w:p>
        </w:tc>
      </w:tr>
      <w:tr w:rsidR="00C270F2" w:rsidRPr="00980134" w14:paraId="0C48FF29" w14:textId="77777777">
        <w:tc>
          <w:tcPr>
            <w:tcW w:w="229" w:type="pct"/>
            <w:vMerge/>
            <w:vAlign w:val="center"/>
          </w:tcPr>
          <w:p w14:paraId="50FFDA21" w14:textId="77777777" w:rsidR="00C270F2" w:rsidRPr="00980134" w:rsidRDefault="00C270F2">
            <w:pPr>
              <w:pStyle w:val="TableText0"/>
              <w:jc w:val="center"/>
            </w:pPr>
          </w:p>
        </w:tc>
        <w:tc>
          <w:tcPr>
            <w:tcW w:w="3787" w:type="pct"/>
            <w:gridSpan w:val="3"/>
            <w:vAlign w:val="center"/>
          </w:tcPr>
          <w:p w14:paraId="0260174F" w14:textId="77777777" w:rsidR="00C270F2" w:rsidRPr="00980134" w:rsidRDefault="00C270F2">
            <w:pPr>
              <w:pStyle w:val="TableText0"/>
              <w:rPr>
                <w:b/>
                <w:bCs w:val="0"/>
              </w:rPr>
            </w:pPr>
            <w:r w:rsidRPr="00980134">
              <w:rPr>
                <w:b/>
                <w:bCs w:val="0"/>
              </w:rPr>
              <w:t>Incremental cost per QALY gained (base case)</w:t>
            </w:r>
          </w:p>
        </w:tc>
        <w:tc>
          <w:tcPr>
            <w:tcW w:w="984" w:type="pct"/>
            <w:vAlign w:val="center"/>
          </w:tcPr>
          <w:p w14:paraId="3B6AD3B8" w14:textId="69B6BA1C" w:rsidR="00C270F2" w:rsidRPr="00980134" w:rsidRDefault="00C270F2">
            <w:pPr>
              <w:pStyle w:val="TableText0"/>
              <w:jc w:val="center"/>
              <w:rPr>
                <w:b/>
                <w:bCs w:val="0"/>
              </w:rPr>
            </w:pPr>
            <w:r w:rsidRPr="00980134">
              <w:rPr>
                <w:b/>
                <w:bCs w:val="0"/>
              </w:rPr>
              <w:t>$</w:t>
            </w:r>
            <w:r w:rsidR="00640308" w:rsidRPr="00640308">
              <w:rPr>
                <w:b/>
                <w:bCs w:val="0"/>
              </w:rPr>
              <w:t xml:space="preserve"> </w:t>
            </w:r>
            <w:r w:rsidR="00640308" w:rsidRPr="00640308">
              <w:rPr>
                <w:b/>
                <w:bCs w:val="0"/>
                <w:color w:val="000000"/>
                <w:shd w:val="solid" w:color="000000" w:fill="000000"/>
                <w14:textFill>
                  <w14:solidFill>
                    <w14:srgbClr w14:val="000000">
                      <w14:alpha w14:val="100000"/>
                    </w14:srgbClr>
                  </w14:solidFill>
                </w14:textFill>
              </w:rPr>
              <w:t>|</w:t>
            </w:r>
            <w:r w:rsidR="00880709">
              <w:rPr>
                <w:b/>
                <w:bCs w:val="0"/>
              </w:rPr>
              <w:t xml:space="preserve"> </w:t>
            </w:r>
            <w:r w:rsidR="00F24A15" w:rsidRPr="00F24A15">
              <w:rPr>
                <w:b/>
                <w:bCs w:val="0"/>
                <w:vertAlign w:val="superscript"/>
              </w:rPr>
              <w:t>2</w:t>
            </w:r>
          </w:p>
        </w:tc>
      </w:tr>
    </w:tbl>
    <w:p w14:paraId="67716CAF" w14:textId="77777777" w:rsidR="00C270F2" w:rsidRPr="00980134" w:rsidRDefault="00C270F2" w:rsidP="00C270F2">
      <w:pPr>
        <w:pStyle w:val="TableFooter"/>
      </w:pPr>
      <w:r w:rsidRPr="00980134">
        <w:t xml:space="preserve">Source: Constructed during the evaluation, based on the “T-DXd_HER2-low 2L 3L </w:t>
      </w:r>
      <w:proofErr w:type="spellStart"/>
      <w:r w:rsidRPr="00980134">
        <w:t>mBC</w:t>
      </w:r>
      <w:proofErr w:type="spellEnd"/>
      <w:r w:rsidRPr="00980134">
        <w:t xml:space="preserve"> July 2023 CUA” Excel workbook included with the submission. </w:t>
      </w:r>
    </w:p>
    <w:p w14:paraId="05635689" w14:textId="08B7863B" w:rsidR="00C270F2" w:rsidRDefault="00C270F2" w:rsidP="00C270F2">
      <w:pPr>
        <w:pStyle w:val="FooterTableFigure"/>
      </w:pPr>
      <w:r w:rsidRPr="00980134">
        <w:t>AE = adverse event; DB-04 = Destiny Breast-04; HR = hormone receptor; LY = life year; OS = overall survival; PFS = progression-free survival; QALY = quality-adjusted life year; T-</w:t>
      </w:r>
      <w:proofErr w:type="spellStart"/>
      <w:r w:rsidRPr="00980134">
        <w:t>DXd</w:t>
      </w:r>
      <w:proofErr w:type="spellEnd"/>
      <w:r w:rsidRPr="00980134">
        <w:t xml:space="preserve"> = trastuzumab </w:t>
      </w:r>
      <w:proofErr w:type="spellStart"/>
      <w:r w:rsidRPr="00980134">
        <w:t>deruxtecan</w:t>
      </w:r>
      <w:proofErr w:type="spellEnd"/>
      <w:r w:rsidRPr="00980134">
        <w:t xml:space="preserve">; TPC = treatment of physician’s choice. </w:t>
      </w:r>
    </w:p>
    <w:p w14:paraId="1E0A9EE3" w14:textId="6C706E74" w:rsidR="00880709" w:rsidRDefault="00880709" w:rsidP="00880709">
      <w:pPr>
        <w:pStyle w:val="FooterTableFigure"/>
        <w:rPr>
          <w:i/>
          <w:iCs/>
        </w:rPr>
      </w:pPr>
      <w:bookmarkStart w:id="76" w:name="_Hlk155167984"/>
      <w:r w:rsidRPr="00880709">
        <w:rPr>
          <w:i/>
          <w:iCs/>
        </w:rPr>
        <w:t>The redacted values correspond to the following ranges:</w:t>
      </w:r>
    </w:p>
    <w:p w14:paraId="304A4AEF" w14:textId="29F517AA" w:rsidR="00F24A15" w:rsidRDefault="00F24A15" w:rsidP="00880709">
      <w:pPr>
        <w:pStyle w:val="FooterTableFigure"/>
        <w:rPr>
          <w:i/>
          <w:iCs/>
        </w:rPr>
      </w:pPr>
      <w:r>
        <w:rPr>
          <w:i/>
          <w:iCs/>
          <w:vertAlign w:val="superscript"/>
        </w:rPr>
        <w:t>1</w:t>
      </w:r>
      <w:r w:rsidR="00A60FFA">
        <w:rPr>
          <w:i/>
          <w:iCs/>
          <w:vertAlign w:val="superscript"/>
        </w:rPr>
        <w:t xml:space="preserve"> </w:t>
      </w:r>
      <w:r w:rsidRPr="00F24A15">
        <w:rPr>
          <w:i/>
          <w:iCs/>
        </w:rPr>
        <w:t>$115,000 to &lt; $135,000</w:t>
      </w:r>
    </w:p>
    <w:p w14:paraId="03A54294" w14:textId="580ED114" w:rsidR="00880709" w:rsidRPr="00980134" w:rsidRDefault="00F24A15" w:rsidP="00C270F2">
      <w:pPr>
        <w:pStyle w:val="FooterTableFigure"/>
      </w:pPr>
      <w:r>
        <w:rPr>
          <w:i/>
          <w:iCs/>
          <w:vertAlign w:val="superscript"/>
        </w:rPr>
        <w:t>2</w:t>
      </w:r>
      <w:r w:rsidR="00A60FFA">
        <w:rPr>
          <w:i/>
          <w:iCs/>
          <w:vertAlign w:val="superscript"/>
        </w:rPr>
        <w:t xml:space="preserve"> </w:t>
      </w:r>
      <w:r w:rsidRPr="00F24A15">
        <w:rPr>
          <w:i/>
          <w:iCs/>
        </w:rPr>
        <w:t>$75,000 to &lt; $95,000</w:t>
      </w:r>
      <w:bookmarkEnd w:id="76"/>
    </w:p>
    <w:p w14:paraId="6717FAA7" w14:textId="4D750890" w:rsidR="00CF75EB" w:rsidRPr="00980134" w:rsidRDefault="00C270F2" w:rsidP="00CF75EB">
      <w:pPr>
        <w:pStyle w:val="3-BodyText"/>
      </w:pPr>
      <w:r w:rsidRPr="00980134">
        <w:fldChar w:fldCharType="begin" w:fldLock="1"/>
      </w:r>
      <w:r w:rsidRPr="00980134">
        <w:instrText xml:space="preserve"> REF _Ref142855181 \h </w:instrText>
      </w:r>
      <w:r w:rsidRPr="00980134">
        <w:fldChar w:fldCharType="separate"/>
      </w:r>
      <w:r w:rsidR="00DF66B3" w:rsidRPr="00980134">
        <w:t xml:space="preserve">Figure </w:t>
      </w:r>
      <w:r w:rsidR="00DF66B3">
        <w:rPr>
          <w:noProof/>
        </w:rPr>
        <w:t>8</w:t>
      </w:r>
      <w:r w:rsidRPr="00980134">
        <w:fldChar w:fldCharType="end"/>
      </w:r>
      <w:r w:rsidRPr="00980134">
        <w:t xml:space="preserve"> depicts life years gained over the time horizon. It is noted that 41% of the incremental life years in the base case occurred after the maximum trial observation period </w:t>
      </w:r>
      <w:bookmarkStart w:id="77" w:name="_Ref142050707"/>
      <w:r w:rsidRPr="00980134">
        <w:t xml:space="preserve">and may be overly optimistic due to the approach used to extrapolate OS. </w:t>
      </w:r>
      <w:r w:rsidR="00F0366C" w:rsidRPr="00980134">
        <w:t>The modelled mean undiscounted increase in PFS was 8.2 months and the mean undiscounted gain in OS was 7.7 months.</w:t>
      </w:r>
      <w:r w:rsidR="00CF75EB" w:rsidRPr="00980134">
        <w:t xml:space="preserve"> </w:t>
      </w:r>
    </w:p>
    <w:p w14:paraId="20A674B7" w14:textId="0D69DE9F" w:rsidR="00C270F2" w:rsidRPr="00980134" w:rsidRDefault="00C270F2" w:rsidP="00C270F2">
      <w:pPr>
        <w:pStyle w:val="TableFigureHeading"/>
      </w:pPr>
      <w:bookmarkStart w:id="78" w:name="_Ref142855181"/>
      <w:r w:rsidRPr="00980134">
        <w:lastRenderedPageBreak/>
        <w:t xml:space="preserve">Figure </w:t>
      </w:r>
      <w:r w:rsidR="006E03AE">
        <w:fldChar w:fldCharType="begin" w:fldLock="1"/>
      </w:r>
      <w:r w:rsidR="006E03AE">
        <w:instrText xml:space="preserve"> SEQ Figure \* ARABIC </w:instrText>
      </w:r>
      <w:r w:rsidR="006E03AE">
        <w:fldChar w:fldCharType="separate"/>
      </w:r>
      <w:r w:rsidR="00DF66B3">
        <w:rPr>
          <w:noProof/>
        </w:rPr>
        <w:t>8</w:t>
      </w:r>
      <w:r w:rsidR="006E03AE">
        <w:rPr>
          <w:noProof/>
        </w:rPr>
        <w:fldChar w:fldCharType="end"/>
      </w:r>
      <w:bookmarkEnd w:id="77"/>
      <w:bookmarkEnd w:id="78"/>
      <w:r w:rsidRPr="00980134">
        <w:t>: LYs gained over the time horizon, undiscounted</w:t>
      </w:r>
    </w:p>
    <w:p w14:paraId="2CD85BEF" w14:textId="77777777" w:rsidR="00C270F2" w:rsidRPr="00980134" w:rsidRDefault="00C270F2" w:rsidP="00C270F2">
      <w:r w:rsidRPr="00980134">
        <w:rPr>
          <w:noProof/>
        </w:rPr>
        <w:drawing>
          <wp:inline distT="0" distB="0" distL="0" distR="0" wp14:anchorId="0B2AF96F" wp14:editId="0AAFDA2A">
            <wp:extent cx="5800186" cy="3491672"/>
            <wp:effectExtent l="0" t="0" r="0" b="0"/>
            <wp:docPr id="22" name="Picture 22" descr="A graph of a number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raph of a number of numbers and a lin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7718" cy="3502226"/>
                    </a:xfrm>
                    <a:prstGeom prst="rect">
                      <a:avLst/>
                    </a:prstGeom>
                    <a:noFill/>
                  </pic:spPr>
                </pic:pic>
              </a:graphicData>
            </a:graphic>
          </wp:inline>
        </w:drawing>
      </w:r>
    </w:p>
    <w:p w14:paraId="034BB64C" w14:textId="77777777" w:rsidR="00C270F2" w:rsidRPr="00980134" w:rsidRDefault="00C270F2" w:rsidP="00C270F2">
      <w:pPr>
        <w:pStyle w:val="FooterTableFigure"/>
        <w:rPr>
          <w:i/>
          <w:iCs/>
        </w:rPr>
      </w:pPr>
      <w:r w:rsidRPr="00980134">
        <w:rPr>
          <w:i/>
          <w:iCs/>
        </w:rPr>
        <w:t xml:space="preserve">Source: Constructed during the evaluation, </w:t>
      </w:r>
      <w:r w:rsidRPr="00980134">
        <w:t xml:space="preserve">based on the “T-DXd_HER2-low 2L 3L </w:t>
      </w:r>
      <w:proofErr w:type="spellStart"/>
      <w:r w:rsidRPr="00980134">
        <w:t>mBC</w:t>
      </w:r>
      <w:proofErr w:type="spellEnd"/>
      <w:r w:rsidRPr="00980134">
        <w:t xml:space="preserve"> July 2023 CUA” Excel workbook included with the submission.</w:t>
      </w:r>
      <w:r w:rsidRPr="00980134">
        <w:rPr>
          <w:i/>
          <w:iCs/>
        </w:rPr>
        <w:t xml:space="preserve"> </w:t>
      </w:r>
    </w:p>
    <w:p w14:paraId="0A9D2641" w14:textId="77777777" w:rsidR="00C270F2" w:rsidRPr="00980134" w:rsidRDefault="00C270F2" w:rsidP="00C270F2">
      <w:pPr>
        <w:pStyle w:val="FooterTableFigure"/>
      </w:pPr>
      <w:r w:rsidRPr="00980134">
        <w:t>LYs = life years; T-</w:t>
      </w:r>
      <w:proofErr w:type="spellStart"/>
      <w:r w:rsidRPr="00980134">
        <w:t>DXd</w:t>
      </w:r>
      <w:proofErr w:type="spellEnd"/>
      <w:r w:rsidRPr="00980134">
        <w:t xml:space="preserve"> = trastuzumab </w:t>
      </w:r>
      <w:proofErr w:type="spellStart"/>
      <w:r w:rsidRPr="00980134">
        <w:t>deruxtecan</w:t>
      </w:r>
      <w:proofErr w:type="spellEnd"/>
      <w:r w:rsidRPr="00980134">
        <w:t>; TPC = treatment of physician’s choice.</w:t>
      </w:r>
    </w:p>
    <w:p w14:paraId="49D13846" w14:textId="0707ED42" w:rsidR="00C270F2" w:rsidRPr="00980134" w:rsidRDefault="00C270F2" w:rsidP="00C270F2">
      <w:pPr>
        <w:pStyle w:val="3-BodyText"/>
      </w:pPr>
      <w:r w:rsidRPr="00980134">
        <w:t xml:space="preserve">The disaggregated summary for costs and health outcomes are presented in </w:t>
      </w:r>
      <w:r w:rsidRPr="00980134">
        <w:fldChar w:fldCharType="begin" w:fldLock="1"/>
      </w:r>
      <w:r w:rsidRPr="00980134">
        <w:instrText xml:space="preserve"> REF _Ref142318959 \h </w:instrText>
      </w:r>
      <w:r w:rsidRPr="00980134">
        <w:fldChar w:fldCharType="separate"/>
      </w:r>
      <w:r w:rsidR="00DF66B3" w:rsidRPr="00980134">
        <w:t xml:space="preserve">Table </w:t>
      </w:r>
      <w:r w:rsidR="00DF66B3">
        <w:rPr>
          <w:noProof/>
        </w:rPr>
        <w:t>11</w:t>
      </w:r>
      <w:r w:rsidRPr="00980134">
        <w:fldChar w:fldCharType="end"/>
      </w:r>
      <w:r w:rsidRPr="00980134">
        <w:t>. The drug acquisition of T-</w:t>
      </w:r>
      <w:proofErr w:type="spellStart"/>
      <w:r w:rsidRPr="00980134">
        <w:t>DXd</w:t>
      </w:r>
      <w:proofErr w:type="spellEnd"/>
      <w:r w:rsidRPr="00980134">
        <w:t xml:space="preserve"> comprises almost all of the incremental costs between the intervention and comparator arms. More PF health state disease management and monitoring costs are associated with T-</w:t>
      </w:r>
      <w:proofErr w:type="spellStart"/>
      <w:r w:rsidRPr="00980134">
        <w:t>DXd</w:t>
      </w:r>
      <w:proofErr w:type="spellEnd"/>
      <w:r w:rsidRPr="00980134">
        <w:t xml:space="preserve"> as patients remain in this health state for a longer period of time. </w:t>
      </w:r>
    </w:p>
    <w:p w14:paraId="7A68A9C9" w14:textId="58193D1D" w:rsidR="00C270F2" w:rsidRPr="00980134" w:rsidRDefault="00C270F2" w:rsidP="00C270F2">
      <w:pPr>
        <w:pStyle w:val="Caption"/>
        <w:rPr>
          <w:rStyle w:val="CommentReference"/>
          <w:b/>
          <w:bCs w:val="0"/>
          <w:i/>
          <w:iCs/>
          <w:szCs w:val="20"/>
        </w:rPr>
      </w:pPr>
      <w:bookmarkStart w:id="79" w:name="_Ref142318959"/>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11</w:t>
      </w:r>
      <w:r w:rsidR="006E03AE">
        <w:rPr>
          <w:noProof/>
        </w:rPr>
        <w:fldChar w:fldCharType="end"/>
      </w:r>
      <w:bookmarkEnd w:id="79"/>
      <w:r w:rsidRPr="00980134">
        <w:t xml:space="preserve">: </w:t>
      </w:r>
      <w:r w:rsidRPr="00980134">
        <w:rPr>
          <w:rStyle w:val="CommentReference"/>
          <w:b/>
          <w:bCs w:val="0"/>
          <w:szCs w:val="20"/>
        </w:rPr>
        <w:t>Summary of cost and QALY impacts included in the base case economic evaluation, discounted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34"/>
        <w:gridCol w:w="1559"/>
        <w:gridCol w:w="1701"/>
        <w:gridCol w:w="1362"/>
      </w:tblGrid>
      <w:tr w:rsidR="00C270F2" w:rsidRPr="00980134" w14:paraId="5C7A50F8"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46892B" w14:textId="77777777" w:rsidR="00C270F2" w:rsidRPr="00980134" w:rsidRDefault="00C270F2">
            <w:pPr>
              <w:pStyle w:val="TableText0"/>
              <w:jc w:val="center"/>
              <w:rPr>
                <w:b/>
                <w:bCs w:val="0"/>
              </w:rPr>
            </w:pPr>
            <w:r w:rsidRPr="00980134">
              <w:rPr>
                <w:b/>
                <w:bCs w:val="0"/>
              </w:rPr>
              <w:t>Resource cost</w:t>
            </w:r>
          </w:p>
        </w:tc>
        <w:tc>
          <w:tcPr>
            <w:tcW w:w="1134" w:type="dxa"/>
            <w:tcBorders>
              <w:top w:val="single" w:sz="4" w:space="0" w:color="auto"/>
              <w:left w:val="single" w:sz="4" w:space="0" w:color="auto"/>
              <w:bottom w:val="single" w:sz="4" w:space="0" w:color="auto"/>
              <w:right w:val="single" w:sz="4" w:space="0" w:color="auto"/>
            </w:tcBorders>
            <w:vAlign w:val="center"/>
          </w:tcPr>
          <w:p w14:paraId="590907EB" w14:textId="77777777" w:rsidR="00C270F2" w:rsidRPr="00980134" w:rsidRDefault="00C270F2">
            <w:pPr>
              <w:pStyle w:val="TableText0"/>
              <w:jc w:val="center"/>
              <w:rPr>
                <w:b/>
                <w:bCs w:val="0"/>
              </w:rPr>
            </w:pPr>
            <w:r w:rsidRPr="00980134">
              <w:rPr>
                <w:b/>
                <w:bCs w:val="0"/>
              </w:rPr>
              <w:t>T-</w:t>
            </w:r>
            <w:proofErr w:type="spellStart"/>
            <w:r w:rsidRPr="00980134">
              <w:rPr>
                <w:b/>
                <w:bCs w:val="0"/>
              </w:rPr>
              <w:t>DXd</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A819F48" w14:textId="77777777" w:rsidR="00C270F2" w:rsidRPr="00980134" w:rsidRDefault="00C270F2">
            <w:pPr>
              <w:pStyle w:val="TableText0"/>
              <w:jc w:val="center"/>
              <w:rPr>
                <w:b/>
                <w:bCs w:val="0"/>
              </w:rPr>
            </w:pPr>
            <w:r w:rsidRPr="00980134">
              <w:rPr>
                <w:b/>
                <w:bCs w:val="0"/>
              </w:rPr>
              <w:t>TPC</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C86FFC" w14:textId="77777777" w:rsidR="00C270F2" w:rsidRPr="00980134" w:rsidRDefault="00C270F2">
            <w:pPr>
              <w:pStyle w:val="TableText0"/>
              <w:jc w:val="center"/>
              <w:rPr>
                <w:b/>
                <w:bCs w:val="0"/>
              </w:rPr>
            </w:pPr>
            <w:r w:rsidRPr="00980134">
              <w:rPr>
                <w:b/>
                <w:bCs w:val="0"/>
              </w:rPr>
              <w:t>Incremental</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7D06CA" w14:textId="77777777" w:rsidR="00C270F2" w:rsidRPr="00980134" w:rsidRDefault="00C270F2">
            <w:pPr>
              <w:pStyle w:val="TableText0"/>
              <w:jc w:val="center"/>
              <w:rPr>
                <w:b/>
                <w:bCs w:val="0"/>
              </w:rPr>
            </w:pPr>
            <w:r w:rsidRPr="00980134">
              <w:rPr>
                <w:b/>
                <w:bCs w:val="0"/>
              </w:rPr>
              <w:t>% of total incremental value</w:t>
            </w:r>
          </w:p>
        </w:tc>
      </w:tr>
      <w:tr w:rsidR="00C270F2" w:rsidRPr="00980134" w14:paraId="0125F22A" w14:textId="77777777">
        <w:trPr>
          <w:cantSplit/>
        </w:trPr>
        <w:tc>
          <w:tcPr>
            <w:tcW w:w="9017"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810EE9" w14:textId="77777777" w:rsidR="00C270F2" w:rsidRPr="00980134" w:rsidRDefault="00C270F2">
            <w:pPr>
              <w:pStyle w:val="TableText0"/>
              <w:rPr>
                <w:b/>
                <w:bCs w:val="0"/>
              </w:rPr>
            </w:pPr>
            <w:r w:rsidRPr="00980134">
              <w:rPr>
                <w:b/>
                <w:bCs w:val="0"/>
              </w:rPr>
              <w:t>Cost</w:t>
            </w:r>
          </w:p>
        </w:tc>
      </w:tr>
      <w:tr w:rsidR="00C270F2" w:rsidRPr="00980134" w14:paraId="4D323158"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C7EFDB" w14:textId="0438C761" w:rsidR="00C270F2" w:rsidRPr="00980134" w:rsidRDefault="00C270F2">
            <w:pPr>
              <w:pStyle w:val="TableText0"/>
            </w:pPr>
            <w:r w:rsidRPr="00980134">
              <w:t>Drug acquisition cost</w:t>
            </w:r>
            <w:r w:rsidR="00F24A15">
              <w:t xml:space="preserve"> ($)</w:t>
            </w:r>
          </w:p>
        </w:tc>
        <w:tc>
          <w:tcPr>
            <w:tcW w:w="1134" w:type="dxa"/>
            <w:tcBorders>
              <w:top w:val="single" w:sz="4" w:space="0" w:color="auto"/>
              <w:left w:val="single" w:sz="4" w:space="0" w:color="auto"/>
              <w:bottom w:val="single" w:sz="4" w:space="0" w:color="auto"/>
              <w:right w:val="single" w:sz="4" w:space="0" w:color="auto"/>
            </w:tcBorders>
          </w:tcPr>
          <w:p w14:paraId="3C4959AF" w14:textId="4232BBBE" w:rsidR="00C270F2" w:rsidRPr="00980134" w:rsidRDefault="00640308">
            <w:pPr>
              <w:pStyle w:val="TableText0"/>
              <w:jc w:val="center"/>
            </w:pPr>
            <w:r w:rsidRPr="00640308">
              <w:t xml:space="preserve"> </w:t>
            </w:r>
            <w:r w:rsidRPr="00640308">
              <w:rPr>
                <w:rFonts w:hint="eastAsia"/>
                <w:color w:val="000000"/>
                <w:w w:val="24"/>
                <w:shd w:val="solid" w:color="000000" w:fill="000000"/>
                <w:fitText w:val="110" w:id="-1032110069"/>
                <w14:textFill>
                  <w14:solidFill>
                    <w14:srgbClr w14:val="000000">
                      <w14:alpha w14:val="100000"/>
                    </w14:srgbClr>
                  </w14:solidFill>
                </w14:textFill>
              </w:rPr>
              <w:t xml:space="preserve">　</w:t>
            </w:r>
            <w:r w:rsidRPr="00640308">
              <w:rPr>
                <w:color w:val="000000"/>
                <w:w w:val="24"/>
                <w:shd w:val="solid" w:color="000000" w:fill="000000"/>
                <w:fitText w:val="110" w:id="-1032110069"/>
                <w14:textFill>
                  <w14:solidFill>
                    <w14:srgbClr w14:val="000000">
                      <w14:alpha w14:val="100000"/>
                    </w14:srgbClr>
                  </w14:solidFill>
                </w14:textFill>
              </w:rPr>
              <w:t>|</w:t>
            </w:r>
            <w:r w:rsidRPr="00640308">
              <w:rPr>
                <w:rFonts w:hint="eastAsia"/>
                <w:color w:val="000000"/>
                <w:spacing w:val="6"/>
                <w:w w:val="24"/>
                <w:shd w:val="solid" w:color="000000" w:fill="000000"/>
                <w:fitText w:val="110" w:id="-1032110069"/>
                <w14:textFill>
                  <w14:solidFill>
                    <w14:srgbClr w14:val="000000">
                      <w14:alpha w14:val="100000"/>
                    </w14:srgbClr>
                  </w14:solidFill>
                </w14:textFill>
              </w:rPr>
              <w:t xml:space="preserve">　</w:t>
            </w:r>
            <w:r w:rsidR="00E8596C">
              <w:t xml:space="preserve"> </w:t>
            </w:r>
          </w:p>
        </w:tc>
        <w:tc>
          <w:tcPr>
            <w:tcW w:w="1559" w:type="dxa"/>
            <w:tcBorders>
              <w:top w:val="single" w:sz="4" w:space="0" w:color="auto"/>
              <w:left w:val="single" w:sz="4" w:space="0" w:color="auto"/>
              <w:bottom w:val="single" w:sz="4" w:space="0" w:color="auto"/>
              <w:right w:val="single" w:sz="4" w:space="0" w:color="auto"/>
            </w:tcBorders>
          </w:tcPr>
          <w:p w14:paraId="65026B99" w14:textId="77777777" w:rsidR="00C270F2" w:rsidRPr="00980134" w:rsidRDefault="00C270F2">
            <w:pPr>
              <w:pStyle w:val="TableText0"/>
              <w:jc w:val="center"/>
            </w:pPr>
            <w:r w:rsidRPr="00980134">
              <w:t>$7,199</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28E6A6A6" w14:textId="4977B541" w:rsidR="00C270F2" w:rsidRPr="00980134" w:rsidRDefault="00640308">
            <w:pPr>
              <w:pStyle w:val="TableText0"/>
              <w:jc w:val="center"/>
            </w:pPr>
            <w:r w:rsidRPr="00640308">
              <w:t xml:space="preserve"> </w:t>
            </w:r>
            <w:r w:rsidRPr="00640308">
              <w:rPr>
                <w:color w:val="000000"/>
                <w:shd w:val="solid" w:color="000000" w:fill="000000"/>
                <w14:textFill>
                  <w14:solidFill>
                    <w14:srgbClr w14:val="000000">
                      <w14:alpha w14:val="100000"/>
                    </w14:srgbClr>
                  </w14:solidFill>
                </w14:textFill>
              </w:rPr>
              <w:t>|</w:t>
            </w:r>
            <w:r w:rsidR="00E8596C">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3393EE85" w14:textId="5EF6738B" w:rsidR="00C270F2" w:rsidRPr="00980134" w:rsidRDefault="00640308">
            <w:pPr>
              <w:pStyle w:val="TableText0"/>
              <w:jc w:val="center"/>
            </w:pPr>
            <w:r w:rsidRPr="00640308">
              <w:t xml:space="preserve"> </w:t>
            </w:r>
            <w:r w:rsidRPr="006E03AE">
              <w:rPr>
                <w:rFonts w:hint="eastAsia"/>
                <w:color w:val="000000"/>
                <w:w w:val="15"/>
                <w:shd w:val="solid" w:color="000000" w:fill="000000"/>
                <w:fitText w:val="20" w:id="-1032110068"/>
                <w14:textFill>
                  <w14:solidFill>
                    <w14:srgbClr w14:val="000000">
                      <w14:alpha w14:val="100000"/>
                    </w14:srgbClr>
                  </w14:solidFill>
                </w14:textFill>
              </w:rPr>
              <w:t xml:space="preserve">　</w:t>
            </w:r>
            <w:r w:rsidRPr="006E03AE">
              <w:rPr>
                <w:color w:val="000000"/>
                <w:w w:val="15"/>
                <w:shd w:val="solid" w:color="000000" w:fill="000000"/>
                <w:fitText w:val="20" w:id="-1032110068"/>
                <w14:textFill>
                  <w14:solidFill>
                    <w14:srgbClr w14:val="000000">
                      <w14:alpha w14:val="100000"/>
                    </w14:srgbClr>
                  </w14:solidFill>
                </w14:textFill>
              </w:rPr>
              <w:t>|</w:t>
            </w:r>
            <w:r w:rsidRPr="006E03AE">
              <w:rPr>
                <w:rFonts w:hint="eastAsia"/>
                <w:color w:val="000000"/>
                <w:spacing w:val="-45"/>
                <w:w w:val="15"/>
                <w:shd w:val="solid" w:color="000000" w:fill="000000"/>
                <w:fitText w:val="20" w:id="-1032110068"/>
                <w14:textFill>
                  <w14:solidFill>
                    <w14:srgbClr w14:val="000000">
                      <w14:alpha w14:val="100000"/>
                    </w14:srgbClr>
                  </w14:solidFill>
                </w14:textFill>
              </w:rPr>
              <w:t xml:space="preserve">　</w:t>
            </w:r>
            <w:r w:rsidR="00C270F2" w:rsidRPr="00980134">
              <w:t>%</w:t>
            </w:r>
          </w:p>
        </w:tc>
      </w:tr>
      <w:tr w:rsidR="00C270F2" w:rsidRPr="00980134" w14:paraId="7C273FBC"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9BCC52" w14:textId="77777777" w:rsidR="00C270F2" w:rsidRPr="00980134" w:rsidRDefault="00C270F2">
            <w:pPr>
              <w:pStyle w:val="TableText0"/>
            </w:pPr>
            <w:r w:rsidRPr="00980134">
              <w:t>Drug administration cost</w:t>
            </w:r>
          </w:p>
        </w:tc>
        <w:tc>
          <w:tcPr>
            <w:tcW w:w="1134" w:type="dxa"/>
            <w:tcBorders>
              <w:top w:val="single" w:sz="4" w:space="0" w:color="auto"/>
              <w:left w:val="single" w:sz="4" w:space="0" w:color="auto"/>
              <w:bottom w:val="single" w:sz="4" w:space="0" w:color="auto"/>
              <w:right w:val="single" w:sz="4" w:space="0" w:color="auto"/>
            </w:tcBorders>
          </w:tcPr>
          <w:p w14:paraId="08FA26FB" w14:textId="03D06861" w:rsidR="00C270F2" w:rsidRPr="005C413A" w:rsidRDefault="00C270F2">
            <w:pPr>
              <w:pStyle w:val="TableText0"/>
              <w:jc w:val="center"/>
            </w:pPr>
            <w:r w:rsidRPr="005C413A">
              <w:t>$1,773</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7FB61FB4" w14:textId="77777777" w:rsidR="00C270F2" w:rsidRPr="005C413A" w:rsidRDefault="00C270F2">
            <w:pPr>
              <w:pStyle w:val="TableText0"/>
              <w:jc w:val="center"/>
            </w:pPr>
            <w:r w:rsidRPr="005C413A">
              <w:t>$1,348</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8EB4942" w14:textId="6C8CF6D1" w:rsidR="00C270F2" w:rsidRPr="005C413A" w:rsidRDefault="00C270F2">
            <w:pPr>
              <w:pStyle w:val="TableText0"/>
              <w:jc w:val="center"/>
            </w:pPr>
            <w:r w:rsidRPr="005C413A">
              <w:t>$426</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45662F09" w14:textId="7EB0463A" w:rsidR="00C270F2" w:rsidRPr="00980134" w:rsidRDefault="00640308">
            <w:pPr>
              <w:pStyle w:val="TableText0"/>
              <w:jc w:val="center"/>
            </w:pPr>
            <w:r w:rsidRPr="00640308">
              <w:t xml:space="preserve"> </w:t>
            </w:r>
            <w:r w:rsidRPr="006E03AE">
              <w:rPr>
                <w:rFonts w:hint="eastAsia"/>
                <w:color w:val="000000"/>
                <w:w w:val="15"/>
                <w:shd w:val="solid" w:color="000000" w:fill="000000"/>
                <w:fitText w:val="20" w:id="-1032110067"/>
                <w14:textFill>
                  <w14:solidFill>
                    <w14:srgbClr w14:val="000000">
                      <w14:alpha w14:val="100000"/>
                    </w14:srgbClr>
                  </w14:solidFill>
                </w14:textFill>
              </w:rPr>
              <w:t xml:space="preserve">　</w:t>
            </w:r>
            <w:r w:rsidRPr="006E03AE">
              <w:rPr>
                <w:color w:val="000000"/>
                <w:w w:val="15"/>
                <w:shd w:val="solid" w:color="000000" w:fill="000000"/>
                <w:fitText w:val="20" w:id="-1032110067"/>
                <w14:textFill>
                  <w14:solidFill>
                    <w14:srgbClr w14:val="000000">
                      <w14:alpha w14:val="100000"/>
                    </w14:srgbClr>
                  </w14:solidFill>
                </w14:textFill>
              </w:rPr>
              <w:t>|</w:t>
            </w:r>
            <w:r w:rsidRPr="006E03AE">
              <w:rPr>
                <w:rFonts w:hint="eastAsia"/>
                <w:color w:val="000000"/>
                <w:spacing w:val="-45"/>
                <w:w w:val="15"/>
                <w:shd w:val="solid" w:color="000000" w:fill="000000"/>
                <w:fitText w:val="20" w:id="-1032110067"/>
                <w14:textFill>
                  <w14:solidFill>
                    <w14:srgbClr w14:val="000000">
                      <w14:alpha w14:val="100000"/>
                    </w14:srgbClr>
                  </w14:solidFill>
                </w14:textFill>
              </w:rPr>
              <w:t xml:space="preserve">　</w:t>
            </w:r>
            <w:r w:rsidR="00C270F2" w:rsidRPr="00980134">
              <w:t>%</w:t>
            </w:r>
          </w:p>
        </w:tc>
      </w:tr>
      <w:tr w:rsidR="00C270F2" w:rsidRPr="00980134" w14:paraId="19EB8B2B"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C51CD7" w14:textId="77777777" w:rsidR="00C270F2" w:rsidRPr="00980134" w:rsidRDefault="00C270F2">
            <w:pPr>
              <w:pStyle w:val="TableText0"/>
            </w:pPr>
            <w:r w:rsidRPr="00980134">
              <w:t>PF Disease management and monitoring</w:t>
            </w:r>
          </w:p>
        </w:tc>
        <w:tc>
          <w:tcPr>
            <w:tcW w:w="1134" w:type="dxa"/>
            <w:tcBorders>
              <w:top w:val="single" w:sz="4" w:space="0" w:color="auto"/>
              <w:left w:val="single" w:sz="4" w:space="0" w:color="auto"/>
              <w:bottom w:val="single" w:sz="4" w:space="0" w:color="auto"/>
              <w:right w:val="single" w:sz="4" w:space="0" w:color="auto"/>
            </w:tcBorders>
          </w:tcPr>
          <w:p w14:paraId="0CF01C3B" w14:textId="3F9D1402" w:rsidR="00C270F2" w:rsidRPr="005C413A" w:rsidRDefault="00C270F2">
            <w:pPr>
              <w:pStyle w:val="TableText0"/>
              <w:jc w:val="center"/>
            </w:pPr>
            <w:r w:rsidRPr="005C413A">
              <w:t>$5,657</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7277B8C8" w14:textId="77777777" w:rsidR="00C270F2" w:rsidRPr="005C413A" w:rsidRDefault="00C270F2">
            <w:pPr>
              <w:pStyle w:val="TableText0"/>
              <w:jc w:val="center"/>
            </w:pPr>
            <w:r w:rsidRPr="005C413A">
              <w:t>$3,084</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75F8B715" w14:textId="68F7D189" w:rsidR="00C270F2" w:rsidRPr="005C413A" w:rsidRDefault="00C270F2">
            <w:pPr>
              <w:pStyle w:val="TableText0"/>
              <w:jc w:val="center"/>
            </w:pPr>
            <w:r w:rsidRPr="005C413A">
              <w:t>$2,573</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61948628" w14:textId="5783D7C9" w:rsidR="00C270F2" w:rsidRPr="00980134" w:rsidRDefault="00640308">
            <w:pPr>
              <w:pStyle w:val="TableText0"/>
              <w:jc w:val="center"/>
            </w:pPr>
            <w:r w:rsidRPr="00640308">
              <w:t xml:space="preserve"> </w:t>
            </w:r>
            <w:r w:rsidRPr="006E03AE">
              <w:rPr>
                <w:rFonts w:hint="eastAsia"/>
                <w:color w:val="000000"/>
                <w:w w:val="15"/>
                <w:shd w:val="solid" w:color="000000" w:fill="000000"/>
                <w:fitText w:val="20" w:id="-1032110066"/>
                <w14:textFill>
                  <w14:solidFill>
                    <w14:srgbClr w14:val="000000">
                      <w14:alpha w14:val="100000"/>
                    </w14:srgbClr>
                  </w14:solidFill>
                </w14:textFill>
              </w:rPr>
              <w:t xml:space="preserve">　</w:t>
            </w:r>
            <w:r w:rsidRPr="006E03AE">
              <w:rPr>
                <w:color w:val="000000"/>
                <w:w w:val="15"/>
                <w:shd w:val="solid" w:color="000000" w:fill="000000"/>
                <w:fitText w:val="20" w:id="-1032110066"/>
                <w14:textFill>
                  <w14:solidFill>
                    <w14:srgbClr w14:val="000000">
                      <w14:alpha w14:val="100000"/>
                    </w14:srgbClr>
                  </w14:solidFill>
                </w14:textFill>
              </w:rPr>
              <w:t>|</w:t>
            </w:r>
            <w:r w:rsidRPr="006E03AE">
              <w:rPr>
                <w:rFonts w:hint="eastAsia"/>
                <w:color w:val="000000"/>
                <w:spacing w:val="-45"/>
                <w:w w:val="15"/>
                <w:shd w:val="solid" w:color="000000" w:fill="000000"/>
                <w:fitText w:val="20" w:id="-1032110066"/>
                <w14:textFill>
                  <w14:solidFill>
                    <w14:srgbClr w14:val="000000">
                      <w14:alpha w14:val="100000"/>
                    </w14:srgbClr>
                  </w14:solidFill>
                </w14:textFill>
              </w:rPr>
              <w:t xml:space="preserve">　</w:t>
            </w:r>
            <w:r w:rsidR="00C270F2" w:rsidRPr="00980134">
              <w:t>%</w:t>
            </w:r>
          </w:p>
        </w:tc>
      </w:tr>
      <w:tr w:rsidR="00C270F2" w:rsidRPr="00980134" w14:paraId="5CD7B19C"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46B3E7" w14:textId="77777777" w:rsidR="00C270F2" w:rsidRPr="00980134" w:rsidRDefault="00C270F2">
            <w:pPr>
              <w:pStyle w:val="TableText0"/>
            </w:pPr>
            <w:r w:rsidRPr="00980134">
              <w:t>AE management</w:t>
            </w:r>
          </w:p>
        </w:tc>
        <w:tc>
          <w:tcPr>
            <w:tcW w:w="1134" w:type="dxa"/>
            <w:tcBorders>
              <w:top w:val="single" w:sz="4" w:space="0" w:color="auto"/>
              <w:left w:val="single" w:sz="4" w:space="0" w:color="auto"/>
              <w:bottom w:val="single" w:sz="4" w:space="0" w:color="auto"/>
              <w:right w:val="single" w:sz="4" w:space="0" w:color="auto"/>
            </w:tcBorders>
          </w:tcPr>
          <w:p w14:paraId="3F70A977" w14:textId="4B811C5D" w:rsidR="00C270F2" w:rsidRPr="005C413A" w:rsidRDefault="00C270F2">
            <w:pPr>
              <w:pStyle w:val="TableText0"/>
              <w:jc w:val="center"/>
            </w:pPr>
            <w:r w:rsidRPr="005C413A">
              <w:t>$36</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60222082" w14:textId="77777777" w:rsidR="00C270F2" w:rsidRPr="005C413A" w:rsidRDefault="00C270F2">
            <w:pPr>
              <w:pStyle w:val="TableText0"/>
              <w:jc w:val="center"/>
            </w:pPr>
            <w:r w:rsidRPr="005C413A">
              <w:t>$43</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845F2BF" w14:textId="76A6D4DB" w:rsidR="00C270F2" w:rsidRPr="005C413A" w:rsidRDefault="00C270F2">
            <w:pPr>
              <w:pStyle w:val="TableText0"/>
              <w:jc w:val="center"/>
            </w:pPr>
            <w:r w:rsidRPr="005C413A">
              <w:t>-$6</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4E7E42DB" w14:textId="24F3C981" w:rsidR="00C270F2" w:rsidRPr="00980134" w:rsidRDefault="00C270F2">
            <w:pPr>
              <w:pStyle w:val="TableText0"/>
              <w:jc w:val="center"/>
            </w:pPr>
            <w:r w:rsidRPr="00980134">
              <w:t>-</w:t>
            </w:r>
            <w:r w:rsidR="00640308" w:rsidRPr="00640308">
              <w:t xml:space="preserve"> </w:t>
            </w:r>
            <w:r w:rsidR="00640308" w:rsidRPr="00640308">
              <w:rPr>
                <w:rFonts w:hint="eastAsia"/>
                <w:color w:val="000000"/>
                <w:w w:val="15"/>
                <w:shd w:val="solid" w:color="000000" w:fill="000000"/>
                <w:fitText w:val="50" w:id="-1032110065"/>
                <w14:textFill>
                  <w14:solidFill>
                    <w14:srgbClr w14:val="000000">
                      <w14:alpha w14:val="100000"/>
                    </w14:srgbClr>
                  </w14:solidFill>
                </w14:textFill>
              </w:rPr>
              <w:t xml:space="preserve">　</w:t>
            </w:r>
            <w:r w:rsidR="00640308" w:rsidRPr="00640308">
              <w:rPr>
                <w:color w:val="000000"/>
                <w:w w:val="15"/>
                <w:shd w:val="solid" w:color="000000" w:fill="000000"/>
                <w:fitText w:val="50" w:id="-1032110065"/>
                <w14:textFill>
                  <w14:solidFill>
                    <w14:srgbClr w14:val="000000">
                      <w14:alpha w14:val="100000"/>
                    </w14:srgbClr>
                  </w14:solidFill>
                </w14:textFill>
              </w:rPr>
              <w:t>|</w:t>
            </w:r>
            <w:r w:rsidR="00640308" w:rsidRPr="00640308">
              <w:rPr>
                <w:rFonts w:hint="eastAsia"/>
                <w:color w:val="000000"/>
                <w:spacing w:val="-15"/>
                <w:w w:val="15"/>
                <w:shd w:val="solid" w:color="000000" w:fill="000000"/>
                <w:fitText w:val="50" w:id="-1032110065"/>
                <w14:textFill>
                  <w14:solidFill>
                    <w14:srgbClr w14:val="000000">
                      <w14:alpha w14:val="100000"/>
                    </w14:srgbClr>
                  </w14:solidFill>
                </w14:textFill>
              </w:rPr>
              <w:t xml:space="preserve">　</w:t>
            </w:r>
            <w:r w:rsidRPr="00980134">
              <w:t>%</w:t>
            </w:r>
          </w:p>
        </w:tc>
      </w:tr>
      <w:tr w:rsidR="00C270F2" w:rsidRPr="00980134" w14:paraId="07796863"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C596A5" w14:textId="77777777" w:rsidR="00C270F2" w:rsidRPr="00980134" w:rsidRDefault="00C270F2">
            <w:pPr>
              <w:pStyle w:val="TableText0"/>
            </w:pPr>
            <w:r w:rsidRPr="00980134">
              <w:t>Subsequent treatment</w:t>
            </w:r>
          </w:p>
        </w:tc>
        <w:tc>
          <w:tcPr>
            <w:tcW w:w="1134" w:type="dxa"/>
            <w:tcBorders>
              <w:top w:val="single" w:sz="4" w:space="0" w:color="auto"/>
              <w:left w:val="single" w:sz="4" w:space="0" w:color="auto"/>
              <w:bottom w:val="single" w:sz="4" w:space="0" w:color="auto"/>
              <w:right w:val="single" w:sz="4" w:space="0" w:color="auto"/>
            </w:tcBorders>
          </w:tcPr>
          <w:p w14:paraId="0C312424" w14:textId="3C9C1A0C" w:rsidR="00C270F2" w:rsidRPr="005C413A" w:rsidRDefault="00C270F2">
            <w:pPr>
              <w:pStyle w:val="TableText0"/>
              <w:jc w:val="center"/>
            </w:pPr>
            <w:r w:rsidRPr="005C413A">
              <w:t>$5,129</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544437A4" w14:textId="77777777" w:rsidR="00C270F2" w:rsidRPr="005C413A" w:rsidRDefault="00C270F2">
            <w:pPr>
              <w:pStyle w:val="TableText0"/>
              <w:jc w:val="center"/>
            </w:pPr>
            <w:r w:rsidRPr="005C413A">
              <w:t>$8,827</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817821E" w14:textId="532874FE" w:rsidR="00C270F2" w:rsidRPr="005C413A" w:rsidRDefault="00C270F2">
            <w:pPr>
              <w:pStyle w:val="TableText0"/>
              <w:jc w:val="center"/>
            </w:pPr>
            <w:r w:rsidRPr="005C413A">
              <w:t>-$3,698</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18E79630" w14:textId="22EB2C15" w:rsidR="00C270F2" w:rsidRPr="00980134" w:rsidRDefault="00C270F2">
            <w:pPr>
              <w:pStyle w:val="TableText0"/>
              <w:jc w:val="center"/>
            </w:pPr>
            <w:r w:rsidRPr="00980134">
              <w:t>-</w:t>
            </w:r>
            <w:r w:rsidR="00640308" w:rsidRPr="00640308">
              <w:t xml:space="preserve"> </w:t>
            </w:r>
            <w:r w:rsidR="00640308" w:rsidRPr="00640308">
              <w:rPr>
                <w:rFonts w:hint="eastAsia"/>
                <w:color w:val="000000"/>
                <w:w w:val="15"/>
                <w:shd w:val="solid" w:color="000000" w:fill="000000"/>
                <w:fitText w:val="50" w:id="-1032110064"/>
                <w14:textFill>
                  <w14:solidFill>
                    <w14:srgbClr w14:val="000000">
                      <w14:alpha w14:val="100000"/>
                    </w14:srgbClr>
                  </w14:solidFill>
                </w14:textFill>
              </w:rPr>
              <w:t xml:space="preserve">　</w:t>
            </w:r>
            <w:r w:rsidR="00640308" w:rsidRPr="00640308">
              <w:rPr>
                <w:color w:val="000000"/>
                <w:w w:val="15"/>
                <w:shd w:val="solid" w:color="000000" w:fill="000000"/>
                <w:fitText w:val="50" w:id="-1032110064"/>
                <w14:textFill>
                  <w14:solidFill>
                    <w14:srgbClr w14:val="000000">
                      <w14:alpha w14:val="100000"/>
                    </w14:srgbClr>
                  </w14:solidFill>
                </w14:textFill>
              </w:rPr>
              <w:t>|</w:t>
            </w:r>
            <w:r w:rsidR="00640308" w:rsidRPr="00640308">
              <w:rPr>
                <w:rFonts w:hint="eastAsia"/>
                <w:color w:val="000000"/>
                <w:spacing w:val="-15"/>
                <w:w w:val="15"/>
                <w:shd w:val="solid" w:color="000000" w:fill="000000"/>
                <w:fitText w:val="50" w:id="-1032110064"/>
                <w14:textFill>
                  <w14:solidFill>
                    <w14:srgbClr w14:val="000000">
                      <w14:alpha w14:val="100000"/>
                    </w14:srgbClr>
                  </w14:solidFill>
                </w14:textFill>
              </w:rPr>
              <w:t xml:space="preserve">　</w:t>
            </w:r>
            <w:r w:rsidRPr="00980134">
              <w:t>%</w:t>
            </w:r>
          </w:p>
        </w:tc>
      </w:tr>
      <w:tr w:rsidR="00C270F2" w:rsidRPr="00980134" w14:paraId="7B889C5F"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A6533D" w14:textId="77777777" w:rsidR="00C270F2" w:rsidRPr="00980134" w:rsidRDefault="00C270F2">
            <w:pPr>
              <w:pStyle w:val="TableText0"/>
            </w:pPr>
            <w:r w:rsidRPr="00980134">
              <w:t>PD Disease management and monitoring</w:t>
            </w:r>
          </w:p>
        </w:tc>
        <w:tc>
          <w:tcPr>
            <w:tcW w:w="1134" w:type="dxa"/>
            <w:tcBorders>
              <w:top w:val="single" w:sz="4" w:space="0" w:color="auto"/>
              <w:left w:val="single" w:sz="4" w:space="0" w:color="auto"/>
              <w:bottom w:val="single" w:sz="4" w:space="0" w:color="auto"/>
              <w:right w:val="single" w:sz="4" w:space="0" w:color="auto"/>
            </w:tcBorders>
          </w:tcPr>
          <w:p w14:paraId="22D42A9F" w14:textId="6334F107" w:rsidR="00C270F2" w:rsidRPr="005C413A" w:rsidRDefault="00C270F2">
            <w:pPr>
              <w:pStyle w:val="TableText0"/>
              <w:jc w:val="center"/>
            </w:pPr>
            <w:r w:rsidRPr="005C413A">
              <w:t>$4,034</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4073D8F9" w14:textId="77777777" w:rsidR="00C270F2" w:rsidRPr="005C413A" w:rsidRDefault="00C270F2">
            <w:pPr>
              <w:pStyle w:val="TableText0"/>
              <w:jc w:val="center"/>
            </w:pPr>
            <w:r w:rsidRPr="005C413A">
              <w:t>$4,295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37579FAD" w14:textId="28DE7E97" w:rsidR="00C270F2" w:rsidRPr="005C413A" w:rsidRDefault="00C270F2">
            <w:pPr>
              <w:pStyle w:val="TableText0"/>
              <w:jc w:val="center"/>
            </w:pPr>
            <w:r w:rsidRPr="005C413A">
              <w:t>-$261</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379573CF" w14:textId="3821D504" w:rsidR="00C270F2" w:rsidRPr="00980134" w:rsidRDefault="00C270F2">
            <w:pPr>
              <w:pStyle w:val="TableText0"/>
              <w:jc w:val="center"/>
            </w:pPr>
            <w:r w:rsidRPr="00980134">
              <w:t>-</w:t>
            </w:r>
            <w:r w:rsidR="00640308" w:rsidRPr="00640308">
              <w:t xml:space="preserve"> </w:t>
            </w:r>
            <w:r w:rsidR="00640308" w:rsidRPr="00640308">
              <w:rPr>
                <w:rFonts w:hint="eastAsia"/>
                <w:color w:val="000000"/>
                <w:w w:val="15"/>
                <w:shd w:val="solid" w:color="000000" w:fill="000000"/>
                <w:fitText w:val="50" w:id="-1032110080"/>
                <w14:textFill>
                  <w14:solidFill>
                    <w14:srgbClr w14:val="000000">
                      <w14:alpha w14:val="100000"/>
                    </w14:srgbClr>
                  </w14:solidFill>
                </w14:textFill>
              </w:rPr>
              <w:t xml:space="preserve">　</w:t>
            </w:r>
            <w:r w:rsidR="00640308" w:rsidRPr="00640308">
              <w:rPr>
                <w:color w:val="000000"/>
                <w:w w:val="15"/>
                <w:shd w:val="solid" w:color="000000" w:fill="000000"/>
                <w:fitText w:val="50" w:id="-1032110080"/>
                <w14:textFill>
                  <w14:solidFill>
                    <w14:srgbClr w14:val="000000">
                      <w14:alpha w14:val="100000"/>
                    </w14:srgbClr>
                  </w14:solidFill>
                </w14:textFill>
              </w:rPr>
              <w:t>|</w:t>
            </w:r>
            <w:r w:rsidR="00640308" w:rsidRPr="00640308">
              <w:rPr>
                <w:rFonts w:hint="eastAsia"/>
                <w:color w:val="000000"/>
                <w:spacing w:val="-15"/>
                <w:w w:val="15"/>
                <w:shd w:val="solid" w:color="000000" w:fill="000000"/>
                <w:fitText w:val="50" w:id="-1032110080"/>
                <w14:textFill>
                  <w14:solidFill>
                    <w14:srgbClr w14:val="000000">
                      <w14:alpha w14:val="100000"/>
                    </w14:srgbClr>
                  </w14:solidFill>
                </w14:textFill>
              </w:rPr>
              <w:t xml:space="preserve">　</w:t>
            </w:r>
            <w:r w:rsidRPr="00980134">
              <w:t>%</w:t>
            </w:r>
          </w:p>
        </w:tc>
      </w:tr>
      <w:tr w:rsidR="00C270F2" w:rsidRPr="00980134" w14:paraId="7F7162AA" w14:textId="77777777" w:rsidTr="00384A6C">
        <w:trPr>
          <w:cantSplit/>
        </w:trPr>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E3CFFD" w14:textId="77777777" w:rsidR="00C270F2" w:rsidRPr="00980134" w:rsidRDefault="00C270F2">
            <w:pPr>
              <w:pStyle w:val="TableText0"/>
            </w:pPr>
            <w:r w:rsidRPr="00980134">
              <w:t>Terminal care</w:t>
            </w:r>
          </w:p>
        </w:tc>
        <w:tc>
          <w:tcPr>
            <w:tcW w:w="1134" w:type="dxa"/>
            <w:tcBorders>
              <w:top w:val="single" w:sz="4" w:space="0" w:color="auto"/>
              <w:left w:val="single" w:sz="4" w:space="0" w:color="auto"/>
              <w:bottom w:val="single" w:sz="4" w:space="0" w:color="auto"/>
              <w:right w:val="single" w:sz="4" w:space="0" w:color="auto"/>
            </w:tcBorders>
          </w:tcPr>
          <w:p w14:paraId="38AEF0E8" w14:textId="4C4982ED" w:rsidR="00C270F2" w:rsidRPr="005C413A" w:rsidRDefault="00C270F2">
            <w:pPr>
              <w:pStyle w:val="TableText0"/>
              <w:jc w:val="center"/>
            </w:pPr>
            <w:r w:rsidRPr="005C413A">
              <w:t>$27,930</w:t>
            </w:r>
            <w:r w:rsidR="00E8596C" w:rsidRPr="005C413A">
              <w:t xml:space="preserve"> </w:t>
            </w:r>
          </w:p>
        </w:tc>
        <w:tc>
          <w:tcPr>
            <w:tcW w:w="1559" w:type="dxa"/>
            <w:tcBorders>
              <w:top w:val="single" w:sz="4" w:space="0" w:color="auto"/>
              <w:left w:val="single" w:sz="4" w:space="0" w:color="auto"/>
              <w:bottom w:val="single" w:sz="4" w:space="0" w:color="auto"/>
              <w:right w:val="single" w:sz="4" w:space="0" w:color="auto"/>
            </w:tcBorders>
          </w:tcPr>
          <w:p w14:paraId="2A5CBF83" w14:textId="77777777" w:rsidR="00C270F2" w:rsidRPr="005C413A" w:rsidRDefault="00C270F2">
            <w:pPr>
              <w:pStyle w:val="TableText0"/>
              <w:jc w:val="center"/>
            </w:pPr>
            <w:r w:rsidRPr="005C413A">
              <w:t>$29,097</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32BC627" w14:textId="5614F927" w:rsidR="00C270F2" w:rsidRPr="005C413A" w:rsidRDefault="00C270F2">
            <w:pPr>
              <w:pStyle w:val="TableText0"/>
              <w:jc w:val="center"/>
            </w:pPr>
            <w:r w:rsidRPr="005C413A">
              <w:t>-$1,166</w:t>
            </w:r>
            <w:r w:rsidR="00E8596C" w:rsidRPr="005C413A">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015D9D8A" w14:textId="3A7698DE" w:rsidR="00C270F2" w:rsidRPr="00980134" w:rsidRDefault="00C270F2">
            <w:pPr>
              <w:pStyle w:val="TableText0"/>
              <w:jc w:val="center"/>
            </w:pPr>
            <w:r w:rsidRPr="00980134">
              <w:t>-</w:t>
            </w:r>
            <w:r w:rsidR="00640308" w:rsidRPr="00640308">
              <w:t xml:space="preserve"> </w:t>
            </w:r>
            <w:r w:rsidR="00640308" w:rsidRPr="00640308">
              <w:rPr>
                <w:rFonts w:hint="eastAsia"/>
                <w:color w:val="000000"/>
                <w:w w:val="15"/>
                <w:shd w:val="solid" w:color="000000" w:fill="000000"/>
                <w:fitText w:val="50" w:id="-1032110079"/>
                <w14:textFill>
                  <w14:solidFill>
                    <w14:srgbClr w14:val="000000">
                      <w14:alpha w14:val="100000"/>
                    </w14:srgbClr>
                  </w14:solidFill>
                </w14:textFill>
              </w:rPr>
              <w:t xml:space="preserve">　</w:t>
            </w:r>
            <w:r w:rsidR="00640308" w:rsidRPr="00640308">
              <w:rPr>
                <w:color w:val="000000"/>
                <w:w w:val="15"/>
                <w:shd w:val="solid" w:color="000000" w:fill="000000"/>
                <w:fitText w:val="50" w:id="-1032110079"/>
                <w14:textFill>
                  <w14:solidFill>
                    <w14:srgbClr w14:val="000000">
                      <w14:alpha w14:val="100000"/>
                    </w14:srgbClr>
                  </w14:solidFill>
                </w14:textFill>
              </w:rPr>
              <w:t>|</w:t>
            </w:r>
            <w:r w:rsidR="00640308" w:rsidRPr="00640308">
              <w:rPr>
                <w:rFonts w:hint="eastAsia"/>
                <w:color w:val="000000"/>
                <w:spacing w:val="-15"/>
                <w:w w:val="15"/>
                <w:shd w:val="solid" w:color="000000" w:fill="000000"/>
                <w:fitText w:val="50" w:id="-1032110079"/>
                <w14:textFill>
                  <w14:solidFill>
                    <w14:srgbClr w14:val="000000">
                      <w14:alpha w14:val="100000"/>
                    </w14:srgbClr>
                  </w14:solidFill>
                </w14:textFill>
              </w:rPr>
              <w:t xml:space="preserve">　</w:t>
            </w:r>
            <w:r w:rsidRPr="00980134">
              <w:t>%</w:t>
            </w:r>
          </w:p>
        </w:tc>
      </w:tr>
      <w:tr w:rsidR="00C270F2" w:rsidRPr="00980134" w14:paraId="7DBB2FEE" w14:textId="77777777" w:rsidTr="00384A6C">
        <w:trPr>
          <w:cantSplit/>
          <w:trHeight w:val="147"/>
        </w:trPr>
        <w:tc>
          <w:tcPr>
            <w:tcW w:w="3261" w:type="dxa"/>
            <w:tcBorders>
              <w:top w:val="single" w:sz="4" w:space="0" w:color="auto"/>
              <w:left w:val="single" w:sz="4" w:space="0" w:color="auto"/>
              <w:bottom w:val="single" w:sz="4" w:space="0" w:color="auto"/>
              <w:right w:val="single" w:sz="4" w:space="0" w:color="auto"/>
            </w:tcBorders>
            <w:vAlign w:val="center"/>
          </w:tcPr>
          <w:p w14:paraId="3BE3020E" w14:textId="664C23F1" w:rsidR="00C270F2" w:rsidRPr="00980134" w:rsidRDefault="00C270F2">
            <w:pPr>
              <w:pStyle w:val="TableText0"/>
              <w:rPr>
                <w:b/>
                <w:bCs w:val="0"/>
              </w:rPr>
            </w:pPr>
            <w:r w:rsidRPr="00980134">
              <w:rPr>
                <w:b/>
                <w:bCs w:val="0"/>
              </w:rPr>
              <w:t>Total</w:t>
            </w:r>
            <w:r w:rsidR="00F24A15">
              <w:rPr>
                <w:b/>
                <w:bCs w:val="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D2A07D" w14:textId="2D5735E6" w:rsidR="00C270F2" w:rsidRPr="00980134" w:rsidRDefault="00640308">
            <w:pPr>
              <w:pStyle w:val="TableText0"/>
              <w:jc w:val="center"/>
              <w:rPr>
                <w:b/>
                <w:bCs w:val="0"/>
              </w:rPr>
            </w:pPr>
            <w:r w:rsidRPr="00640308">
              <w:rPr>
                <w:b/>
                <w:bCs w:val="0"/>
              </w:rPr>
              <w:t xml:space="preserve"> </w:t>
            </w:r>
            <w:r w:rsidRPr="00640308">
              <w:rPr>
                <w:b/>
                <w:bCs w:val="0"/>
                <w:color w:val="000000"/>
                <w:spacing w:val="68"/>
                <w:shd w:val="solid" w:color="000000" w:fill="000000"/>
                <w:fitText w:val="160" w:id="-1032110078"/>
                <w14:textFill>
                  <w14:solidFill>
                    <w14:srgbClr w14:val="000000">
                      <w14:alpha w14:val="100000"/>
                    </w14:srgbClr>
                  </w14:solidFill>
                </w14:textFill>
              </w:rPr>
              <w:t>|</w:t>
            </w:r>
            <w:r w:rsidRPr="00640308">
              <w:rPr>
                <w:b/>
                <w:bCs w:val="0"/>
                <w:color w:val="000000"/>
                <w:spacing w:val="1"/>
                <w:shd w:val="solid" w:color="000000" w:fill="000000"/>
                <w:fitText w:val="160" w:id="-1032110078"/>
                <w14:textFill>
                  <w14:solidFill>
                    <w14:srgbClr w14:val="000000">
                      <w14:alpha w14:val="100000"/>
                    </w14:srgbClr>
                  </w14:solidFill>
                </w14:textFill>
              </w:rPr>
              <w:t>|</w:t>
            </w:r>
          </w:p>
        </w:tc>
        <w:tc>
          <w:tcPr>
            <w:tcW w:w="1559" w:type="dxa"/>
            <w:tcBorders>
              <w:top w:val="single" w:sz="4" w:space="0" w:color="auto"/>
              <w:left w:val="single" w:sz="4" w:space="0" w:color="auto"/>
              <w:bottom w:val="single" w:sz="4" w:space="0" w:color="auto"/>
              <w:right w:val="single" w:sz="4" w:space="0" w:color="auto"/>
            </w:tcBorders>
            <w:vAlign w:val="center"/>
          </w:tcPr>
          <w:p w14:paraId="4163A73D" w14:textId="77777777" w:rsidR="00C270F2" w:rsidRPr="00980134" w:rsidRDefault="00C270F2">
            <w:pPr>
              <w:pStyle w:val="TableText0"/>
              <w:jc w:val="center"/>
              <w:rPr>
                <w:b/>
                <w:bCs w:val="0"/>
              </w:rPr>
            </w:pPr>
            <w:r w:rsidRPr="00980134">
              <w:rPr>
                <w:b/>
                <w:bCs w:val="0"/>
              </w:rPr>
              <w:t>$62,665</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13A21C" w14:textId="76222952" w:rsidR="00C270F2" w:rsidRPr="00980134" w:rsidRDefault="00640308">
            <w:pPr>
              <w:pStyle w:val="TableText0"/>
              <w:jc w:val="center"/>
              <w:rPr>
                <w:b/>
                <w:bCs w:val="0"/>
              </w:rPr>
            </w:pPr>
            <w:r w:rsidRPr="00640308">
              <w:rPr>
                <w:b/>
                <w:bCs w:val="0"/>
              </w:rPr>
              <w:t xml:space="preserve"> </w:t>
            </w:r>
            <w:r w:rsidRPr="00640308">
              <w:rPr>
                <w:b/>
                <w:bCs w:val="0"/>
                <w:color w:val="000000"/>
                <w:shd w:val="solid" w:color="000000" w:fill="000000"/>
                <w14:textFill>
                  <w14:solidFill>
                    <w14:srgbClr w14:val="000000">
                      <w14:alpha w14:val="100000"/>
                    </w14:srgbClr>
                  </w14:solidFill>
                </w14:textFill>
              </w:rPr>
              <w:t>|</w:t>
            </w:r>
            <w:r w:rsidR="00E8596C">
              <w:rPr>
                <w:b/>
                <w:bCs w:val="0"/>
              </w:rPr>
              <w:t xml:space="preserve"> </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3EC292" w14:textId="77777777" w:rsidR="00C270F2" w:rsidRPr="00980134" w:rsidRDefault="00C270F2">
            <w:pPr>
              <w:pStyle w:val="TableText0"/>
              <w:jc w:val="center"/>
              <w:rPr>
                <w:b/>
                <w:bCs w:val="0"/>
              </w:rPr>
            </w:pPr>
            <w:r w:rsidRPr="00980134">
              <w:rPr>
                <w:b/>
                <w:bCs w:val="0"/>
              </w:rPr>
              <w:t>100.0%</w:t>
            </w:r>
          </w:p>
        </w:tc>
      </w:tr>
      <w:tr w:rsidR="00C270F2" w:rsidRPr="00980134" w14:paraId="2E92E1C0" w14:textId="77777777">
        <w:trPr>
          <w:cantSplit/>
          <w:trHeight w:val="147"/>
        </w:trPr>
        <w:tc>
          <w:tcPr>
            <w:tcW w:w="9017" w:type="dxa"/>
            <w:gridSpan w:val="5"/>
            <w:tcBorders>
              <w:top w:val="single" w:sz="4" w:space="0" w:color="auto"/>
              <w:left w:val="single" w:sz="4" w:space="0" w:color="auto"/>
              <w:bottom w:val="single" w:sz="4" w:space="0" w:color="auto"/>
              <w:right w:val="single" w:sz="4" w:space="0" w:color="auto"/>
            </w:tcBorders>
            <w:vAlign w:val="center"/>
          </w:tcPr>
          <w:p w14:paraId="112AB5F3" w14:textId="77777777" w:rsidR="00C270F2" w:rsidRPr="00980134" w:rsidRDefault="00C270F2">
            <w:pPr>
              <w:pStyle w:val="TableText0"/>
              <w:rPr>
                <w:b/>
                <w:bCs w:val="0"/>
              </w:rPr>
            </w:pPr>
            <w:r w:rsidRPr="00980134">
              <w:rPr>
                <w:b/>
              </w:rPr>
              <w:t>QALYs</w:t>
            </w:r>
          </w:p>
        </w:tc>
      </w:tr>
      <w:tr w:rsidR="00C270F2" w:rsidRPr="00980134" w14:paraId="4EAA9F45" w14:textId="77777777" w:rsidTr="00384A6C">
        <w:trPr>
          <w:cantSplit/>
          <w:trHeight w:val="147"/>
        </w:trPr>
        <w:tc>
          <w:tcPr>
            <w:tcW w:w="3261" w:type="dxa"/>
            <w:tcBorders>
              <w:top w:val="single" w:sz="4" w:space="0" w:color="auto"/>
              <w:left w:val="single" w:sz="4" w:space="0" w:color="auto"/>
              <w:bottom w:val="single" w:sz="4" w:space="0" w:color="auto"/>
              <w:right w:val="single" w:sz="4" w:space="0" w:color="auto"/>
            </w:tcBorders>
            <w:vAlign w:val="center"/>
          </w:tcPr>
          <w:p w14:paraId="53EB5E9C" w14:textId="77777777" w:rsidR="00C270F2" w:rsidRPr="00980134" w:rsidRDefault="00C270F2">
            <w:pPr>
              <w:pStyle w:val="TableText0"/>
              <w:rPr>
                <w:b/>
                <w:bCs w:val="0"/>
              </w:rPr>
            </w:pPr>
            <w:r w:rsidRPr="00980134">
              <w:t>PF</w:t>
            </w:r>
          </w:p>
        </w:tc>
        <w:tc>
          <w:tcPr>
            <w:tcW w:w="1134" w:type="dxa"/>
            <w:tcBorders>
              <w:top w:val="single" w:sz="4" w:space="0" w:color="auto"/>
              <w:left w:val="single" w:sz="4" w:space="0" w:color="auto"/>
              <w:bottom w:val="single" w:sz="4" w:space="0" w:color="auto"/>
              <w:right w:val="single" w:sz="4" w:space="0" w:color="auto"/>
            </w:tcBorders>
          </w:tcPr>
          <w:p w14:paraId="07997B0A" w14:textId="77777777" w:rsidR="00C270F2" w:rsidRPr="00980134" w:rsidRDefault="00C270F2">
            <w:pPr>
              <w:pStyle w:val="TableText0"/>
              <w:jc w:val="center"/>
              <w:rPr>
                <w:b/>
                <w:bCs w:val="0"/>
              </w:rPr>
            </w:pPr>
            <w:r w:rsidRPr="00980134">
              <w:t>1.20</w:t>
            </w:r>
          </w:p>
        </w:tc>
        <w:tc>
          <w:tcPr>
            <w:tcW w:w="1559" w:type="dxa"/>
            <w:tcBorders>
              <w:top w:val="single" w:sz="4" w:space="0" w:color="auto"/>
              <w:left w:val="single" w:sz="4" w:space="0" w:color="auto"/>
              <w:bottom w:val="single" w:sz="4" w:space="0" w:color="auto"/>
              <w:right w:val="single" w:sz="4" w:space="0" w:color="auto"/>
            </w:tcBorders>
          </w:tcPr>
          <w:p w14:paraId="2611E57B" w14:textId="77777777" w:rsidR="00C270F2" w:rsidRPr="00980134" w:rsidRDefault="00C270F2">
            <w:pPr>
              <w:pStyle w:val="TableText0"/>
              <w:jc w:val="center"/>
              <w:rPr>
                <w:b/>
                <w:bCs w:val="0"/>
              </w:rPr>
            </w:pPr>
            <w:r w:rsidRPr="00980134">
              <w:t>0.66</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179D7807" w14:textId="77777777" w:rsidR="00C270F2" w:rsidRPr="00980134" w:rsidRDefault="00C270F2">
            <w:pPr>
              <w:pStyle w:val="TableText0"/>
              <w:jc w:val="center"/>
              <w:rPr>
                <w:b/>
                <w:bCs w:val="0"/>
              </w:rPr>
            </w:pPr>
            <w:r w:rsidRPr="00980134">
              <w:t>0.54</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0F125DF1" w14:textId="77777777" w:rsidR="00C270F2" w:rsidRPr="00980134" w:rsidRDefault="00C270F2">
            <w:pPr>
              <w:pStyle w:val="TableText0"/>
              <w:jc w:val="center"/>
              <w:rPr>
                <w:b/>
                <w:bCs w:val="0"/>
              </w:rPr>
            </w:pPr>
            <w:r w:rsidRPr="00980134">
              <w:t>100.1%</w:t>
            </w:r>
          </w:p>
        </w:tc>
      </w:tr>
      <w:tr w:rsidR="00C270F2" w:rsidRPr="00980134" w14:paraId="77624A2C" w14:textId="77777777" w:rsidTr="00384A6C">
        <w:trPr>
          <w:cantSplit/>
          <w:trHeight w:val="147"/>
        </w:trPr>
        <w:tc>
          <w:tcPr>
            <w:tcW w:w="3261" w:type="dxa"/>
            <w:tcBorders>
              <w:top w:val="single" w:sz="4" w:space="0" w:color="auto"/>
              <w:left w:val="single" w:sz="4" w:space="0" w:color="auto"/>
              <w:bottom w:val="single" w:sz="4" w:space="0" w:color="auto"/>
              <w:right w:val="single" w:sz="4" w:space="0" w:color="auto"/>
            </w:tcBorders>
            <w:vAlign w:val="center"/>
          </w:tcPr>
          <w:p w14:paraId="02AD072B" w14:textId="77777777" w:rsidR="00C270F2" w:rsidRPr="00980134" w:rsidRDefault="00C270F2">
            <w:pPr>
              <w:pStyle w:val="TableText0"/>
              <w:rPr>
                <w:b/>
                <w:bCs w:val="0"/>
              </w:rPr>
            </w:pPr>
            <w:r w:rsidRPr="00980134">
              <w:t>PD</w:t>
            </w:r>
          </w:p>
        </w:tc>
        <w:tc>
          <w:tcPr>
            <w:tcW w:w="1134" w:type="dxa"/>
            <w:tcBorders>
              <w:top w:val="single" w:sz="4" w:space="0" w:color="auto"/>
              <w:left w:val="single" w:sz="4" w:space="0" w:color="auto"/>
              <w:bottom w:val="single" w:sz="4" w:space="0" w:color="auto"/>
              <w:right w:val="single" w:sz="4" w:space="0" w:color="auto"/>
            </w:tcBorders>
          </w:tcPr>
          <w:p w14:paraId="42F89BB7" w14:textId="77777777" w:rsidR="00C270F2" w:rsidRPr="00980134" w:rsidRDefault="00C270F2">
            <w:pPr>
              <w:pStyle w:val="TableText0"/>
              <w:jc w:val="center"/>
              <w:rPr>
                <w:b/>
                <w:bCs w:val="0"/>
              </w:rPr>
            </w:pPr>
            <w:r w:rsidRPr="00980134">
              <w:t>0.97</w:t>
            </w:r>
          </w:p>
        </w:tc>
        <w:tc>
          <w:tcPr>
            <w:tcW w:w="1559" w:type="dxa"/>
            <w:tcBorders>
              <w:top w:val="single" w:sz="4" w:space="0" w:color="auto"/>
              <w:left w:val="single" w:sz="4" w:space="0" w:color="auto"/>
              <w:bottom w:val="single" w:sz="4" w:space="0" w:color="auto"/>
              <w:right w:val="single" w:sz="4" w:space="0" w:color="auto"/>
            </w:tcBorders>
          </w:tcPr>
          <w:p w14:paraId="567AA3EF" w14:textId="77777777" w:rsidR="00C270F2" w:rsidRPr="00980134" w:rsidRDefault="00C270F2">
            <w:pPr>
              <w:pStyle w:val="TableText0"/>
              <w:jc w:val="center"/>
              <w:rPr>
                <w:b/>
                <w:bCs w:val="0"/>
              </w:rPr>
            </w:pPr>
            <w:r w:rsidRPr="00980134">
              <w:t>0.97</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39EFDA3F" w14:textId="77777777" w:rsidR="00C270F2" w:rsidRPr="00980134" w:rsidRDefault="00C270F2">
            <w:pPr>
              <w:pStyle w:val="TableText0"/>
              <w:jc w:val="center"/>
              <w:rPr>
                <w:b/>
                <w:bCs w:val="0"/>
              </w:rPr>
            </w:pPr>
            <w:r w:rsidRPr="00980134">
              <w:t>-0.00</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4194753C" w14:textId="77777777" w:rsidR="00C270F2" w:rsidRPr="00980134" w:rsidRDefault="00C270F2">
            <w:pPr>
              <w:pStyle w:val="TableText0"/>
              <w:jc w:val="center"/>
              <w:rPr>
                <w:b/>
                <w:bCs w:val="0"/>
              </w:rPr>
            </w:pPr>
            <w:r w:rsidRPr="00980134">
              <w:t>-0.1%</w:t>
            </w:r>
          </w:p>
        </w:tc>
      </w:tr>
      <w:tr w:rsidR="00C270F2" w:rsidRPr="00980134" w14:paraId="691D19B8" w14:textId="77777777" w:rsidTr="00384A6C">
        <w:trPr>
          <w:cantSplit/>
          <w:trHeight w:val="147"/>
        </w:trPr>
        <w:tc>
          <w:tcPr>
            <w:tcW w:w="3261" w:type="dxa"/>
            <w:tcBorders>
              <w:top w:val="single" w:sz="4" w:space="0" w:color="auto"/>
              <w:left w:val="single" w:sz="4" w:space="0" w:color="auto"/>
              <w:bottom w:val="single" w:sz="4" w:space="0" w:color="auto"/>
              <w:right w:val="single" w:sz="4" w:space="0" w:color="auto"/>
            </w:tcBorders>
            <w:vAlign w:val="center"/>
          </w:tcPr>
          <w:p w14:paraId="10C46FDA" w14:textId="77777777" w:rsidR="00C270F2" w:rsidRPr="00980134" w:rsidRDefault="00C270F2">
            <w:pPr>
              <w:pStyle w:val="TableText0"/>
              <w:rPr>
                <w:b/>
                <w:bCs w:val="0"/>
              </w:rPr>
            </w:pPr>
            <w:r w:rsidRPr="00980134">
              <w:t xml:space="preserve">AE </w:t>
            </w:r>
            <w:proofErr w:type="spellStart"/>
            <w:r w:rsidRPr="00980134">
              <w:t>disutility</w:t>
            </w:r>
            <w:r w:rsidRPr="00980134">
              <w:rPr>
                <w:vertAlign w:val="superscript"/>
              </w:rPr>
              <w:t>a</w:t>
            </w:r>
            <w:proofErr w:type="spellEnd"/>
          </w:p>
        </w:tc>
        <w:tc>
          <w:tcPr>
            <w:tcW w:w="1134" w:type="dxa"/>
            <w:tcBorders>
              <w:top w:val="single" w:sz="4" w:space="0" w:color="auto"/>
              <w:left w:val="single" w:sz="4" w:space="0" w:color="auto"/>
              <w:bottom w:val="single" w:sz="4" w:space="0" w:color="auto"/>
              <w:right w:val="single" w:sz="4" w:space="0" w:color="auto"/>
            </w:tcBorders>
          </w:tcPr>
          <w:p w14:paraId="5B03A708" w14:textId="77777777" w:rsidR="00C270F2" w:rsidRPr="00980134" w:rsidRDefault="00C270F2">
            <w:pPr>
              <w:pStyle w:val="TableText0"/>
              <w:jc w:val="center"/>
              <w:rPr>
                <w:b/>
                <w:bCs w:val="0"/>
              </w:rPr>
            </w:pPr>
            <w:r w:rsidRPr="00980134">
              <w:t>0.00</w:t>
            </w:r>
          </w:p>
        </w:tc>
        <w:tc>
          <w:tcPr>
            <w:tcW w:w="1559" w:type="dxa"/>
            <w:tcBorders>
              <w:top w:val="single" w:sz="4" w:space="0" w:color="auto"/>
              <w:left w:val="single" w:sz="4" w:space="0" w:color="auto"/>
              <w:bottom w:val="single" w:sz="4" w:space="0" w:color="auto"/>
              <w:right w:val="single" w:sz="4" w:space="0" w:color="auto"/>
            </w:tcBorders>
          </w:tcPr>
          <w:p w14:paraId="362BB785" w14:textId="77777777" w:rsidR="00C270F2" w:rsidRPr="00980134" w:rsidRDefault="00C270F2">
            <w:pPr>
              <w:pStyle w:val="TableText0"/>
              <w:jc w:val="center"/>
              <w:rPr>
                <w:b/>
                <w:bCs w:val="0"/>
              </w:rPr>
            </w:pPr>
            <w:r w:rsidRPr="00980134">
              <w:t>0.00</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462C4C72" w14:textId="77777777" w:rsidR="00C270F2" w:rsidRPr="00980134" w:rsidRDefault="00C270F2">
            <w:pPr>
              <w:pStyle w:val="TableText0"/>
              <w:jc w:val="center"/>
              <w:rPr>
                <w:b/>
                <w:bCs w:val="0"/>
              </w:rPr>
            </w:pPr>
            <w:r w:rsidRPr="00980134">
              <w:t>0.00</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tcPr>
          <w:p w14:paraId="2C7D972B" w14:textId="77777777" w:rsidR="00C270F2" w:rsidRPr="00980134" w:rsidRDefault="00C270F2">
            <w:pPr>
              <w:pStyle w:val="TableText0"/>
              <w:jc w:val="center"/>
              <w:rPr>
                <w:b/>
                <w:bCs w:val="0"/>
              </w:rPr>
            </w:pPr>
            <w:r w:rsidRPr="00980134">
              <w:t>0.0%</w:t>
            </w:r>
          </w:p>
        </w:tc>
      </w:tr>
      <w:tr w:rsidR="00C270F2" w:rsidRPr="00980134" w14:paraId="66720F82" w14:textId="77777777" w:rsidTr="00384A6C">
        <w:trPr>
          <w:cantSplit/>
          <w:trHeight w:val="147"/>
        </w:trPr>
        <w:tc>
          <w:tcPr>
            <w:tcW w:w="3261" w:type="dxa"/>
            <w:tcBorders>
              <w:top w:val="single" w:sz="4" w:space="0" w:color="auto"/>
              <w:left w:val="single" w:sz="4" w:space="0" w:color="auto"/>
              <w:bottom w:val="single" w:sz="4" w:space="0" w:color="auto"/>
              <w:right w:val="single" w:sz="4" w:space="0" w:color="auto"/>
            </w:tcBorders>
            <w:vAlign w:val="center"/>
          </w:tcPr>
          <w:p w14:paraId="1C70A487" w14:textId="77777777" w:rsidR="00C270F2" w:rsidRPr="00980134" w:rsidRDefault="00C270F2">
            <w:pPr>
              <w:pStyle w:val="TableText0"/>
              <w:rPr>
                <w:b/>
                <w:bCs w:val="0"/>
              </w:rPr>
            </w:pPr>
            <w:r w:rsidRPr="00980134">
              <w:rPr>
                <w:b/>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28648C1C" w14:textId="77777777" w:rsidR="00C270F2" w:rsidRPr="00980134" w:rsidRDefault="00C270F2">
            <w:pPr>
              <w:pStyle w:val="TableText0"/>
              <w:jc w:val="center"/>
              <w:rPr>
                <w:b/>
                <w:bCs w:val="0"/>
              </w:rPr>
            </w:pPr>
            <w:r w:rsidRPr="00980134">
              <w:rPr>
                <w:b/>
                <w:color w:val="000000"/>
              </w:rPr>
              <w:t>2.39</w:t>
            </w:r>
          </w:p>
        </w:tc>
        <w:tc>
          <w:tcPr>
            <w:tcW w:w="1559" w:type="dxa"/>
            <w:tcBorders>
              <w:top w:val="single" w:sz="4" w:space="0" w:color="auto"/>
              <w:left w:val="single" w:sz="4" w:space="0" w:color="auto"/>
              <w:bottom w:val="single" w:sz="4" w:space="0" w:color="auto"/>
              <w:right w:val="single" w:sz="4" w:space="0" w:color="auto"/>
            </w:tcBorders>
            <w:vAlign w:val="center"/>
          </w:tcPr>
          <w:p w14:paraId="345FE970" w14:textId="77777777" w:rsidR="00C270F2" w:rsidRPr="00980134" w:rsidRDefault="00C270F2">
            <w:pPr>
              <w:pStyle w:val="TableText0"/>
              <w:jc w:val="center"/>
              <w:rPr>
                <w:b/>
                <w:bCs w:val="0"/>
              </w:rPr>
            </w:pPr>
            <w:r w:rsidRPr="00980134">
              <w:rPr>
                <w:b/>
                <w:color w:val="000000"/>
              </w:rPr>
              <w:t>1.71</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8B2A4E" w14:textId="77777777" w:rsidR="00C270F2" w:rsidRPr="00980134" w:rsidRDefault="00C270F2">
            <w:pPr>
              <w:pStyle w:val="TableText0"/>
              <w:jc w:val="center"/>
              <w:rPr>
                <w:b/>
                <w:bCs w:val="0"/>
              </w:rPr>
            </w:pPr>
            <w:r w:rsidRPr="00980134">
              <w:rPr>
                <w:b/>
              </w:rPr>
              <w:t>0.68</w:t>
            </w:r>
          </w:p>
        </w:tc>
        <w:tc>
          <w:tcPr>
            <w:tcW w:w="136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E2CA28" w14:textId="77777777" w:rsidR="00C270F2" w:rsidRPr="00980134" w:rsidRDefault="00C270F2">
            <w:pPr>
              <w:pStyle w:val="TableText0"/>
              <w:jc w:val="center"/>
              <w:rPr>
                <w:b/>
                <w:bCs w:val="0"/>
              </w:rPr>
            </w:pPr>
            <w:r w:rsidRPr="00980134">
              <w:rPr>
                <w:b/>
              </w:rPr>
              <w:t>100.0%</w:t>
            </w:r>
          </w:p>
        </w:tc>
      </w:tr>
    </w:tbl>
    <w:p w14:paraId="40C9EA29" w14:textId="77777777" w:rsidR="00C270F2" w:rsidRPr="00980134" w:rsidRDefault="00C270F2" w:rsidP="00C270F2">
      <w:pPr>
        <w:pStyle w:val="TableFigureFooter"/>
        <w:keepNext/>
        <w:rPr>
          <w:i/>
          <w:iCs/>
        </w:rPr>
      </w:pPr>
      <w:r w:rsidRPr="00980134">
        <w:t xml:space="preserve">Source: Constructed during the evaluation, based on the “T-DXd_HER2-low 2L 3L </w:t>
      </w:r>
      <w:proofErr w:type="spellStart"/>
      <w:r w:rsidRPr="00980134">
        <w:t>mBC</w:t>
      </w:r>
      <w:proofErr w:type="spellEnd"/>
      <w:r w:rsidRPr="00980134">
        <w:t xml:space="preserve"> July 2023 CUA” Excel workbook included with the submission.</w:t>
      </w:r>
      <w:r w:rsidRPr="00980134">
        <w:rPr>
          <w:i/>
          <w:iCs/>
        </w:rPr>
        <w:t xml:space="preserve"> </w:t>
      </w:r>
    </w:p>
    <w:p w14:paraId="1D28EB02" w14:textId="77777777" w:rsidR="00C270F2" w:rsidRPr="00980134" w:rsidRDefault="00C270F2" w:rsidP="00C270F2">
      <w:pPr>
        <w:pStyle w:val="TableFigureFooter"/>
        <w:keepNext/>
      </w:pPr>
      <w:r w:rsidRPr="00980134">
        <w:t>AE = adverse event; PD = progressed disease; PF = progression-free; QALY = quality-adjusted life year; T-</w:t>
      </w:r>
      <w:proofErr w:type="spellStart"/>
      <w:r w:rsidRPr="00980134">
        <w:t>DXd</w:t>
      </w:r>
      <w:proofErr w:type="spellEnd"/>
      <w:r w:rsidRPr="00980134">
        <w:t xml:space="preserve"> = trastuzumab </w:t>
      </w:r>
      <w:proofErr w:type="spellStart"/>
      <w:r w:rsidRPr="00980134">
        <w:t>deruxtecan</w:t>
      </w:r>
      <w:proofErr w:type="spellEnd"/>
      <w:r w:rsidRPr="00980134">
        <w:t>; TPC = treatment of physician’s choice.</w:t>
      </w:r>
    </w:p>
    <w:p w14:paraId="45CC6379" w14:textId="41D38FA2" w:rsidR="00C270F2" w:rsidRDefault="00C270F2" w:rsidP="00C270F2">
      <w:pPr>
        <w:pStyle w:val="TableFigureFooter"/>
        <w:keepNext/>
      </w:pPr>
      <w:r w:rsidRPr="00980134">
        <w:rPr>
          <w:vertAlign w:val="superscript"/>
        </w:rPr>
        <w:t>a</w:t>
      </w:r>
      <w:r w:rsidRPr="00980134">
        <w:t xml:space="preserve"> Health state utility values were assumed to include decrements due to AEs</w:t>
      </w:r>
    </w:p>
    <w:p w14:paraId="4D10F831" w14:textId="36132E73" w:rsidR="00C270F2" w:rsidRPr="00980134" w:rsidRDefault="00C270F2" w:rsidP="00C270F2">
      <w:pPr>
        <w:pStyle w:val="3-BodyText"/>
        <w:rPr>
          <w:rFonts w:ascii="Arial Narrow" w:hAnsi="Arial Narrow"/>
          <w:b/>
          <w:sz w:val="20"/>
        </w:rPr>
      </w:pPr>
      <w:bookmarkStart w:id="80" w:name="_Ref104804865"/>
      <w:r w:rsidRPr="00980134">
        <w:t xml:space="preserve">Key sensitivity analyses are presented in </w:t>
      </w:r>
      <w:r w:rsidRPr="00980134">
        <w:fldChar w:fldCharType="begin" w:fldLock="1"/>
      </w:r>
      <w:r w:rsidRPr="00980134">
        <w:instrText xml:space="preserve"> REF _Ref142470537 \h </w:instrText>
      </w:r>
      <w:r w:rsidRPr="00980134">
        <w:fldChar w:fldCharType="separate"/>
      </w:r>
      <w:r w:rsidR="00DF66B3" w:rsidRPr="00980134">
        <w:t xml:space="preserve">Table </w:t>
      </w:r>
      <w:r w:rsidR="00DF66B3">
        <w:rPr>
          <w:noProof/>
        </w:rPr>
        <w:t>12</w:t>
      </w:r>
      <w:r w:rsidRPr="00980134">
        <w:fldChar w:fldCharType="end"/>
      </w:r>
      <w:r w:rsidR="00401D81" w:rsidRPr="00980134">
        <w:t>.</w:t>
      </w:r>
      <w:r w:rsidRPr="00980134">
        <w:t xml:space="preserve"> The model was most sensitive to the nominated OS parametric model and vial sharing assumption, which, as raised above, were not reasonable. The model was also moderately sensitive to health state utility values (including the extent and difference in the PD utility decrement across the arms)</w:t>
      </w:r>
      <w:r w:rsidR="00CD7C80" w:rsidRPr="00980134">
        <w:t xml:space="preserve"> and curve convergence assumptions</w:t>
      </w:r>
      <w:r w:rsidRPr="00980134">
        <w:t>.</w:t>
      </w:r>
    </w:p>
    <w:p w14:paraId="1F0E4479" w14:textId="4ECA81FA" w:rsidR="00C270F2" w:rsidRPr="00980134" w:rsidRDefault="00C270F2" w:rsidP="00FC3C68">
      <w:pPr>
        <w:pStyle w:val="Caption"/>
        <w:rPr>
          <w:rStyle w:val="CommentReference"/>
          <w:b/>
          <w:szCs w:val="24"/>
        </w:rPr>
      </w:pPr>
      <w:bookmarkStart w:id="81" w:name="_Ref142470537"/>
      <w:bookmarkStart w:id="82" w:name="_Ref152260104"/>
      <w:bookmarkEnd w:id="80"/>
      <w:r w:rsidRPr="00980134">
        <w:lastRenderedPageBreak/>
        <w:t xml:space="preserve">Table </w:t>
      </w:r>
      <w:r w:rsidR="006E03AE">
        <w:fldChar w:fldCharType="begin" w:fldLock="1"/>
      </w:r>
      <w:r w:rsidR="006E03AE">
        <w:instrText xml:space="preserve"> SEQ Table \* ARABIC </w:instrText>
      </w:r>
      <w:r w:rsidR="006E03AE">
        <w:fldChar w:fldCharType="separate"/>
      </w:r>
      <w:r w:rsidR="00DF66B3">
        <w:rPr>
          <w:noProof/>
        </w:rPr>
        <w:t>12</w:t>
      </w:r>
      <w:r w:rsidR="006E03AE">
        <w:rPr>
          <w:noProof/>
        </w:rPr>
        <w:fldChar w:fldCharType="end"/>
      </w:r>
      <w:bookmarkEnd w:id="81"/>
      <w:r w:rsidRPr="00980134">
        <w:t xml:space="preserve">: Key </w:t>
      </w:r>
      <w:r w:rsidRPr="00980134">
        <w:rPr>
          <w:rStyle w:val="CommentReference"/>
          <w:b/>
          <w:szCs w:val="24"/>
        </w:rPr>
        <w:t>sensitivity analyses</w:t>
      </w:r>
      <w:bookmarkEnd w:id="82"/>
    </w:p>
    <w:tbl>
      <w:tblPr>
        <w:tblW w:w="0" w:type="auto"/>
        <w:tblLayout w:type="fixed"/>
        <w:tblLook w:val="04A0" w:firstRow="1" w:lastRow="0" w:firstColumn="1" w:lastColumn="0" w:noHBand="0" w:noVBand="1"/>
      </w:tblPr>
      <w:tblGrid>
        <w:gridCol w:w="4531"/>
        <w:gridCol w:w="1271"/>
        <w:gridCol w:w="1139"/>
        <w:gridCol w:w="1129"/>
        <w:gridCol w:w="937"/>
      </w:tblGrid>
      <w:tr w:rsidR="00C270F2" w:rsidRPr="00980134" w14:paraId="34E22CDC" w14:textId="77777777" w:rsidTr="00480E99">
        <w:trPr>
          <w:cantSplit/>
          <w:trHeight w:val="314"/>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5932D" w14:textId="77777777" w:rsidR="00C270F2" w:rsidRPr="00980134" w:rsidRDefault="00C270F2" w:rsidP="00FC3C68">
            <w:pPr>
              <w:keepNext/>
              <w:keepLines/>
              <w:jc w:val="left"/>
              <w:rPr>
                <w:rFonts w:ascii="Arial Narrow" w:hAnsi="Arial Narrow" w:cs="Calibri"/>
                <w:b/>
                <w:bCs/>
                <w:color w:val="000000"/>
                <w:sz w:val="20"/>
                <w:szCs w:val="20"/>
              </w:rPr>
            </w:pPr>
            <w:r w:rsidRPr="00980134">
              <w:rPr>
                <w:rFonts w:ascii="Arial Narrow" w:hAnsi="Arial Narrow" w:cs="Calibri"/>
                <w:b/>
                <w:bCs/>
                <w:color w:val="000000"/>
                <w:sz w:val="20"/>
                <w:szCs w:val="20"/>
              </w:rPr>
              <w:t>Analyses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BE82F" w14:textId="686AE4FC" w:rsidR="00C270F2" w:rsidRPr="00980134" w:rsidRDefault="00C270F2" w:rsidP="00FC3C68">
            <w:pPr>
              <w:keepNext/>
              <w:keepLines/>
              <w:jc w:val="center"/>
              <w:rPr>
                <w:rFonts w:ascii="Arial Narrow" w:hAnsi="Arial Narrow" w:cs="Calibri"/>
                <w:b/>
                <w:bCs/>
                <w:color w:val="000000"/>
                <w:sz w:val="20"/>
                <w:szCs w:val="20"/>
              </w:rPr>
            </w:pPr>
            <w:r w:rsidRPr="00980134">
              <w:rPr>
                <w:rFonts w:ascii="Arial Narrow" w:hAnsi="Arial Narrow" w:cs="Calibri"/>
                <w:b/>
                <w:bCs/>
                <w:color w:val="000000"/>
                <w:sz w:val="20"/>
                <w:szCs w:val="20"/>
              </w:rPr>
              <w:t>Incremental cost</w:t>
            </w:r>
            <w:r w:rsidR="00CD1D8E">
              <w:rPr>
                <w:rFonts w:ascii="Arial Narrow" w:hAnsi="Arial Narrow" w:cs="Calibri"/>
                <w:b/>
                <w:bCs/>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72DD1" w14:textId="77777777" w:rsidR="00C270F2" w:rsidRPr="00980134" w:rsidRDefault="00C270F2" w:rsidP="00FC3C68">
            <w:pPr>
              <w:keepNext/>
              <w:keepLines/>
              <w:jc w:val="center"/>
              <w:rPr>
                <w:rFonts w:ascii="Arial Narrow" w:hAnsi="Arial Narrow" w:cs="Calibri"/>
                <w:b/>
                <w:bCs/>
                <w:color w:val="000000"/>
                <w:sz w:val="20"/>
                <w:szCs w:val="20"/>
              </w:rPr>
            </w:pPr>
            <w:r w:rsidRPr="00980134">
              <w:rPr>
                <w:rFonts w:ascii="Arial Narrow" w:hAnsi="Arial Narrow" w:cs="Calibri"/>
                <w:b/>
                <w:bCs/>
                <w:color w:val="000000"/>
                <w:sz w:val="20"/>
                <w:szCs w:val="20"/>
              </w:rPr>
              <w:t>Incremental QALY</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568A1" w14:textId="77777777" w:rsidR="00C270F2" w:rsidRPr="00980134" w:rsidRDefault="00C270F2" w:rsidP="00FC3C68">
            <w:pPr>
              <w:keepNext/>
              <w:keepLines/>
              <w:jc w:val="center"/>
              <w:rPr>
                <w:rFonts w:ascii="Arial Narrow" w:hAnsi="Arial Narrow" w:cs="Calibri"/>
                <w:b/>
                <w:bCs/>
                <w:color w:val="000000"/>
                <w:sz w:val="20"/>
                <w:szCs w:val="20"/>
              </w:rPr>
            </w:pPr>
            <w:r w:rsidRPr="00980134">
              <w:rPr>
                <w:rFonts w:ascii="Arial Narrow" w:hAnsi="Arial Narrow" w:cs="Calibri"/>
                <w:b/>
                <w:bCs/>
                <w:color w:val="000000"/>
                <w:sz w:val="20"/>
                <w:szCs w:val="20"/>
              </w:rPr>
              <w:t>ICER</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C570" w14:textId="77777777" w:rsidR="00C270F2" w:rsidRPr="00980134" w:rsidRDefault="00C270F2" w:rsidP="00FC3C68">
            <w:pPr>
              <w:keepNext/>
              <w:keepLines/>
              <w:jc w:val="center"/>
              <w:rPr>
                <w:rFonts w:ascii="Arial Narrow" w:hAnsi="Arial Narrow" w:cs="Calibri"/>
                <w:b/>
                <w:bCs/>
                <w:sz w:val="20"/>
                <w:szCs w:val="20"/>
              </w:rPr>
            </w:pPr>
            <w:r w:rsidRPr="00980134">
              <w:rPr>
                <w:rFonts w:ascii="Arial Narrow" w:hAnsi="Arial Narrow" w:cs="Calibri"/>
                <w:b/>
                <w:bCs/>
                <w:sz w:val="20"/>
                <w:szCs w:val="20"/>
              </w:rPr>
              <w:t>% Change</w:t>
            </w:r>
          </w:p>
        </w:tc>
      </w:tr>
      <w:tr w:rsidR="00C270F2" w:rsidRPr="00980134" w14:paraId="2EB3F2AF" w14:textId="77777777" w:rsidTr="00480E99">
        <w:trPr>
          <w:cantSplit/>
          <w:trHeight w:val="170"/>
          <w:tblHead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FBF39" w14:textId="77777777" w:rsidR="00C270F2" w:rsidRPr="00980134" w:rsidRDefault="00C270F2" w:rsidP="00FC3C68">
            <w:pPr>
              <w:keepNext/>
              <w:keepLines/>
              <w:jc w:val="left"/>
              <w:rPr>
                <w:rFonts w:ascii="Arial Narrow" w:hAnsi="Arial Narrow" w:cs="Calibri"/>
                <w:b/>
                <w:bCs/>
                <w:color w:val="000000"/>
                <w:sz w:val="20"/>
                <w:szCs w:val="20"/>
              </w:rPr>
            </w:pPr>
            <w:r w:rsidRPr="00980134">
              <w:rPr>
                <w:rFonts w:ascii="Arial Narrow" w:hAnsi="Arial Narrow" w:cs="Calibri"/>
                <w:b/>
                <w:bCs/>
                <w:color w:val="000000"/>
                <w:sz w:val="20"/>
                <w:szCs w:val="20"/>
              </w:rPr>
              <w:t>Base case</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7DC9B" w14:textId="1A8926B5" w:rsidR="00C270F2" w:rsidRPr="00980134" w:rsidRDefault="00640308" w:rsidP="00FC3C68">
            <w:pPr>
              <w:keepNext/>
              <w:keepLines/>
              <w:jc w:val="center"/>
              <w:rPr>
                <w:rFonts w:ascii="Arial Narrow" w:hAnsi="Arial Narrow" w:cs="Calibri"/>
                <w:b/>
                <w:bCs/>
                <w:color w:val="000000"/>
                <w:sz w:val="20"/>
                <w:szCs w:val="20"/>
              </w:rPr>
            </w:pPr>
            <w:r w:rsidRPr="00640308">
              <w:rPr>
                <w:rFonts w:ascii="Arial Narrow" w:hAnsi="Arial Narrow" w:cs="Calibri"/>
                <w:b/>
                <w:bCs/>
                <w:color w:val="000000"/>
                <w:sz w:val="20"/>
                <w:szCs w:val="20"/>
              </w:rPr>
              <w:t xml:space="preserve"> </w:t>
            </w:r>
            <w:r w:rsidRPr="00640308">
              <w:rPr>
                <w:rFonts w:ascii="Arial Narrow" w:hAnsi="Arial Narrow" w:cs="Calibri" w:hint="eastAsia"/>
                <w:b/>
                <w:bCs/>
                <w:color w:val="000000"/>
                <w:w w:val="20"/>
                <w:sz w:val="20"/>
                <w:szCs w:val="20"/>
                <w:shd w:val="solid" w:color="000000" w:fill="000000"/>
                <w:fitText w:val="90" w:id="-1032110077"/>
                <w14:textFill>
                  <w14:solidFill>
                    <w14:srgbClr w14:val="000000">
                      <w14:alpha w14:val="100000"/>
                    </w14:srgbClr>
                  </w14:solidFill>
                </w14:textFill>
              </w:rPr>
              <w:t xml:space="preserve">　</w:t>
            </w:r>
            <w:r w:rsidRPr="00640308">
              <w:rPr>
                <w:rFonts w:ascii="Arial Narrow" w:hAnsi="Arial Narrow" w:cs="Calibri"/>
                <w:b/>
                <w:bCs/>
                <w:color w:val="000000"/>
                <w:w w:val="20"/>
                <w:sz w:val="20"/>
                <w:szCs w:val="20"/>
                <w:shd w:val="solid" w:color="000000" w:fill="000000"/>
                <w:fitText w:val="90" w:id="-1032110077"/>
                <w14:textFill>
                  <w14:solidFill>
                    <w14:srgbClr w14:val="000000">
                      <w14:alpha w14:val="100000"/>
                    </w14:srgbClr>
                  </w14:solidFill>
                </w14:textFill>
              </w:rPr>
              <w:t>|</w:t>
            </w:r>
            <w:r w:rsidRPr="00640308">
              <w:rPr>
                <w:rFonts w:ascii="Arial Narrow" w:hAnsi="Arial Narrow" w:cs="Calibri" w:hint="eastAsia"/>
                <w:b/>
                <w:bCs/>
                <w:color w:val="000000"/>
                <w:spacing w:val="2"/>
                <w:w w:val="20"/>
                <w:sz w:val="20"/>
                <w:szCs w:val="20"/>
                <w:shd w:val="solid" w:color="000000" w:fill="000000"/>
                <w:fitText w:val="90" w:id="-1032110077"/>
                <w14:textFill>
                  <w14:solidFill>
                    <w14:srgbClr w14:val="000000">
                      <w14:alpha w14:val="100000"/>
                    </w14:srgbClr>
                  </w14:solidFill>
                </w14:textFill>
              </w:rPr>
              <w:t xml:space="preserve">　</w:t>
            </w:r>
            <w:r w:rsidR="003F7061">
              <w:rPr>
                <w:rFonts w:ascii="Arial Narrow" w:hAnsi="Arial Narrow" w:cs="Calibri"/>
                <w:b/>
                <w:bCs/>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D331" w14:textId="77777777" w:rsidR="00C270F2" w:rsidRPr="00980134" w:rsidRDefault="00C270F2" w:rsidP="00FC3C68">
            <w:pPr>
              <w:keepNext/>
              <w:keepLines/>
              <w:jc w:val="center"/>
              <w:rPr>
                <w:rFonts w:ascii="Arial Narrow" w:hAnsi="Arial Narrow" w:cs="Calibri"/>
                <w:b/>
                <w:bCs/>
                <w:color w:val="000000"/>
                <w:sz w:val="20"/>
                <w:szCs w:val="20"/>
              </w:rPr>
            </w:pPr>
            <w:r w:rsidRPr="00980134">
              <w:rPr>
                <w:rFonts w:ascii="Arial Narrow" w:hAnsi="Arial Narrow" w:cs="Calibri"/>
                <w:b/>
                <w:bCs/>
                <w:color w:val="000000"/>
                <w:sz w:val="20"/>
                <w:szCs w:val="20"/>
              </w:rPr>
              <w:t>0.541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D112" w14:textId="19233FE9" w:rsidR="00C270F2" w:rsidRPr="00980134" w:rsidRDefault="00640308" w:rsidP="00FC3C68">
            <w:pPr>
              <w:keepNext/>
              <w:keepLines/>
              <w:jc w:val="center"/>
              <w:rPr>
                <w:rFonts w:ascii="Arial Narrow" w:hAnsi="Arial Narrow" w:cs="Calibri"/>
                <w:b/>
                <w:bCs/>
                <w:color w:val="000000"/>
                <w:sz w:val="20"/>
                <w:szCs w:val="20"/>
              </w:rPr>
            </w:pPr>
            <w:r w:rsidRPr="00640308">
              <w:rPr>
                <w:rFonts w:ascii="Arial Narrow" w:hAnsi="Arial Narrow" w:cs="Calibri"/>
                <w:b/>
                <w:bCs/>
                <w:color w:val="000000"/>
                <w:sz w:val="20"/>
                <w:szCs w:val="20"/>
              </w:rPr>
              <w:t xml:space="preserve"> </w:t>
            </w:r>
            <w:r w:rsidRPr="00640308">
              <w:rPr>
                <w:rFonts w:ascii="Arial Narrow" w:hAnsi="Arial Narrow" w:cs="Calibri"/>
                <w:b/>
                <w:bCs/>
                <w:color w:val="000000"/>
                <w:spacing w:val="98"/>
                <w:sz w:val="20"/>
                <w:szCs w:val="20"/>
                <w:shd w:val="solid" w:color="000000" w:fill="000000"/>
                <w:fitText w:val="190" w:id="-1032110076"/>
                <w14:textFill>
                  <w14:solidFill>
                    <w14:srgbClr w14:val="000000">
                      <w14:alpha w14:val="100000"/>
                    </w14:srgbClr>
                  </w14:solidFill>
                </w14:textFill>
              </w:rPr>
              <w:t>|</w:t>
            </w:r>
            <w:r w:rsidRPr="00640308">
              <w:rPr>
                <w:rFonts w:ascii="Arial Narrow" w:hAnsi="Arial Narrow" w:cs="Calibri"/>
                <w:b/>
                <w:bCs/>
                <w:color w:val="000000"/>
                <w:spacing w:val="1"/>
                <w:sz w:val="20"/>
                <w:szCs w:val="20"/>
                <w:shd w:val="solid" w:color="000000" w:fill="000000"/>
                <w:fitText w:val="190" w:id="-1032110076"/>
                <w14:textFill>
                  <w14:solidFill>
                    <w14:srgbClr w14:val="000000">
                      <w14:alpha w14:val="100000"/>
                    </w14:srgbClr>
                  </w14:solidFill>
                </w14:textFill>
              </w:rPr>
              <w:t>|</w:t>
            </w:r>
            <w:r w:rsidR="00163DB0">
              <w:rPr>
                <w:rFonts w:ascii="Arial Narrow" w:hAnsi="Arial Narrow" w:cs="Calibri"/>
                <w:b/>
                <w:bCs/>
                <w:color w:val="000000"/>
                <w:sz w:val="20"/>
                <w:szCs w:val="20"/>
                <w:vertAlign w:val="superscript"/>
              </w:rPr>
              <w:t>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18A51" w14:textId="77777777" w:rsidR="00C270F2" w:rsidRPr="00980134" w:rsidRDefault="00C270F2" w:rsidP="00FC3C68">
            <w:pPr>
              <w:keepNext/>
              <w:keepLines/>
              <w:jc w:val="center"/>
              <w:rPr>
                <w:rFonts w:ascii="Arial Narrow" w:hAnsi="Arial Narrow" w:cs="Calibri"/>
                <w:b/>
                <w:bCs/>
                <w:sz w:val="20"/>
                <w:szCs w:val="20"/>
              </w:rPr>
            </w:pPr>
            <w:r w:rsidRPr="00980134">
              <w:rPr>
                <w:rFonts w:ascii="Arial Narrow" w:hAnsi="Arial Narrow" w:cs="Calibri"/>
                <w:b/>
                <w:bCs/>
                <w:sz w:val="20"/>
                <w:szCs w:val="20"/>
              </w:rPr>
              <w:t>0%</w:t>
            </w:r>
          </w:p>
        </w:tc>
      </w:tr>
      <w:tr w:rsidR="00C270F2" w:rsidRPr="00980134" w14:paraId="71EAB9FB"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tcPr>
          <w:p w14:paraId="4871F253" w14:textId="77777777" w:rsidR="00C270F2" w:rsidRPr="00980134" w:rsidRDefault="00C270F2" w:rsidP="00FC3C68">
            <w:pPr>
              <w:keepNext/>
              <w:keepLines/>
              <w:jc w:val="left"/>
              <w:rPr>
                <w:rFonts w:ascii="Arial Narrow" w:hAnsi="Arial Narrow" w:cs="Calibri"/>
                <w:color w:val="000000"/>
                <w:sz w:val="20"/>
                <w:szCs w:val="20"/>
              </w:rPr>
            </w:pPr>
            <w:r w:rsidRPr="00980134">
              <w:rPr>
                <w:rFonts w:ascii="Arial Narrow" w:hAnsi="Arial Narrow" w:cs="Calibri"/>
                <w:color w:val="000000"/>
                <w:sz w:val="20"/>
                <w:szCs w:val="20"/>
              </w:rPr>
              <w:t>Discount rate (base case 5% to costs and outcomes)</w:t>
            </w:r>
          </w:p>
        </w:tc>
        <w:tc>
          <w:tcPr>
            <w:tcW w:w="1271" w:type="dxa"/>
            <w:tcBorders>
              <w:top w:val="single" w:sz="4" w:space="0" w:color="auto"/>
              <w:left w:val="nil"/>
              <w:bottom w:val="nil"/>
              <w:right w:val="nil"/>
            </w:tcBorders>
            <w:shd w:val="clear" w:color="auto" w:fill="auto"/>
            <w:vAlign w:val="center"/>
          </w:tcPr>
          <w:p w14:paraId="566A3052" w14:textId="77777777" w:rsidR="00C270F2" w:rsidRPr="00980134" w:rsidRDefault="00C270F2" w:rsidP="00FC3C68">
            <w:pPr>
              <w:keepNext/>
              <w:keepLines/>
              <w:jc w:val="center"/>
              <w:rPr>
                <w:rFonts w:ascii="Arial Narrow" w:hAnsi="Arial Narrow" w:cs="Calibri"/>
                <w:color w:val="000000"/>
                <w:sz w:val="20"/>
                <w:szCs w:val="20"/>
              </w:rPr>
            </w:pPr>
          </w:p>
        </w:tc>
        <w:tc>
          <w:tcPr>
            <w:tcW w:w="1139" w:type="dxa"/>
            <w:tcBorders>
              <w:top w:val="single" w:sz="4" w:space="0" w:color="auto"/>
              <w:left w:val="single" w:sz="8" w:space="0" w:color="auto"/>
              <w:bottom w:val="nil"/>
              <w:right w:val="single" w:sz="8" w:space="0" w:color="auto"/>
            </w:tcBorders>
            <w:shd w:val="clear" w:color="auto" w:fill="auto"/>
            <w:vAlign w:val="center"/>
          </w:tcPr>
          <w:p w14:paraId="42CC8F48" w14:textId="77777777" w:rsidR="00C270F2" w:rsidRPr="00980134" w:rsidRDefault="00C270F2" w:rsidP="00FC3C68">
            <w:pPr>
              <w:keepNext/>
              <w:keepLines/>
              <w:jc w:val="center"/>
              <w:rPr>
                <w:rFonts w:ascii="Arial Narrow" w:hAnsi="Arial Narrow" w:cs="Calibri"/>
                <w:color w:val="000000"/>
                <w:sz w:val="20"/>
                <w:szCs w:val="20"/>
              </w:rPr>
            </w:pPr>
          </w:p>
        </w:tc>
        <w:tc>
          <w:tcPr>
            <w:tcW w:w="1129" w:type="dxa"/>
            <w:tcBorders>
              <w:top w:val="single" w:sz="4" w:space="0" w:color="auto"/>
              <w:left w:val="nil"/>
              <w:bottom w:val="nil"/>
              <w:right w:val="nil"/>
            </w:tcBorders>
            <w:shd w:val="clear" w:color="auto" w:fill="auto"/>
            <w:vAlign w:val="center"/>
          </w:tcPr>
          <w:p w14:paraId="3CA1A0A9" w14:textId="77777777" w:rsidR="00C270F2" w:rsidRPr="00980134" w:rsidRDefault="00C270F2" w:rsidP="00FC3C68">
            <w:pPr>
              <w:keepNext/>
              <w:keepLines/>
              <w:jc w:val="center"/>
              <w:rPr>
                <w:rFonts w:ascii="Arial Narrow" w:hAnsi="Arial Narrow" w:cs="Calibri"/>
                <w:color w:val="000000"/>
                <w:sz w:val="20"/>
                <w:szCs w:val="20"/>
              </w:rPr>
            </w:pPr>
          </w:p>
        </w:tc>
        <w:tc>
          <w:tcPr>
            <w:tcW w:w="937" w:type="dxa"/>
            <w:tcBorders>
              <w:top w:val="single" w:sz="4" w:space="0" w:color="auto"/>
              <w:left w:val="single" w:sz="8" w:space="0" w:color="auto"/>
              <w:bottom w:val="nil"/>
              <w:right w:val="single" w:sz="4" w:space="0" w:color="auto"/>
            </w:tcBorders>
            <w:shd w:val="clear" w:color="auto" w:fill="auto"/>
            <w:vAlign w:val="center"/>
          </w:tcPr>
          <w:p w14:paraId="1F9D55A1" w14:textId="77777777" w:rsidR="00C270F2" w:rsidRPr="00980134" w:rsidRDefault="00C270F2" w:rsidP="00FC3C68">
            <w:pPr>
              <w:keepNext/>
              <w:keepLines/>
              <w:jc w:val="center"/>
              <w:rPr>
                <w:rFonts w:ascii="Arial Narrow" w:hAnsi="Arial Narrow" w:cs="Calibri"/>
                <w:sz w:val="20"/>
                <w:szCs w:val="20"/>
              </w:rPr>
            </w:pPr>
          </w:p>
        </w:tc>
      </w:tr>
      <w:tr w:rsidR="00C270F2" w:rsidRPr="00980134" w14:paraId="1429863D"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tcPr>
          <w:p w14:paraId="54EDD0BD" w14:textId="4E7D3806" w:rsidR="00C270F2" w:rsidRPr="00980134" w:rsidRDefault="00C270F2" w:rsidP="00FC3C68">
            <w:pPr>
              <w:keepNext/>
              <w:keepLines/>
              <w:jc w:val="left"/>
              <w:rPr>
                <w:rFonts w:ascii="Arial Narrow" w:hAnsi="Arial Narrow" w:cs="Calibri"/>
                <w:color w:val="000000"/>
                <w:sz w:val="20"/>
                <w:szCs w:val="20"/>
              </w:rPr>
            </w:pPr>
            <w:r w:rsidRPr="00980134">
              <w:rPr>
                <w:rFonts w:ascii="Symbol" w:hAnsi="Symbol" w:cs="Calibri"/>
                <w:color w:val="000000"/>
                <w:sz w:val="20"/>
                <w:szCs w:val="20"/>
              </w:rPr>
              <w:t>·</w:t>
            </w:r>
            <w:r w:rsidR="00640308">
              <w:rPr>
                <w:rFonts w:ascii="Times New Roman" w:hAnsi="Times New Roman" w:cs="Times New Roman"/>
                <w:color w:val="000000"/>
                <w:sz w:val="14"/>
                <w:szCs w:val="14"/>
              </w:rPr>
              <w:t xml:space="preserve">    </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0% costs and outcomes</w:t>
            </w:r>
          </w:p>
        </w:tc>
        <w:tc>
          <w:tcPr>
            <w:tcW w:w="1271" w:type="dxa"/>
            <w:tcBorders>
              <w:top w:val="single" w:sz="4" w:space="0" w:color="auto"/>
              <w:left w:val="nil"/>
              <w:bottom w:val="nil"/>
              <w:right w:val="nil"/>
            </w:tcBorders>
            <w:shd w:val="clear" w:color="auto" w:fill="auto"/>
            <w:vAlign w:val="center"/>
          </w:tcPr>
          <w:p w14:paraId="426DB48F" w14:textId="13B82601"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5"/>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5"/>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5"/>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8" w:space="0" w:color="auto"/>
              <w:bottom w:val="nil"/>
              <w:right w:val="single" w:sz="8" w:space="0" w:color="auto"/>
            </w:tcBorders>
            <w:shd w:val="clear" w:color="auto" w:fill="auto"/>
            <w:vAlign w:val="center"/>
          </w:tcPr>
          <w:p w14:paraId="05B499E2" w14:textId="77777777" w:rsidR="00C270F2" w:rsidRPr="00980134" w:rsidRDefault="00C270F2"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0.645</w:t>
            </w:r>
          </w:p>
        </w:tc>
        <w:tc>
          <w:tcPr>
            <w:tcW w:w="1129" w:type="dxa"/>
            <w:tcBorders>
              <w:top w:val="single" w:sz="4" w:space="0" w:color="auto"/>
              <w:left w:val="nil"/>
              <w:bottom w:val="nil"/>
              <w:right w:val="nil"/>
            </w:tcBorders>
            <w:shd w:val="clear" w:color="auto" w:fill="auto"/>
            <w:vAlign w:val="center"/>
          </w:tcPr>
          <w:p w14:paraId="7C8034F6" w14:textId="6A14D6FA"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4"/>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4"/>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4"/>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single" w:sz="4" w:space="0" w:color="auto"/>
              <w:left w:val="single" w:sz="8" w:space="0" w:color="auto"/>
              <w:bottom w:val="nil"/>
              <w:right w:val="single" w:sz="4" w:space="0" w:color="auto"/>
            </w:tcBorders>
            <w:shd w:val="clear" w:color="auto" w:fill="auto"/>
            <w:vAlign w:val="center"/>
          </w:tcPr>
          <w:p w14:paraId="5D7CB49B" w14:textId="54240A43" w:rsidR="00C270F2" w:rsidRPr="00CD1D8E" w:rsidRDefault="00CD1D8E" w:rsidP="00FC3C68">
            <w:pPr>
              <w:keepNext/>
              <w:keepLines/>
              <w:jc w:val="center"/>
              <w:rPr>
                <w:rFonts w:ascii="Arial Narrow" w:hAnsi="Arial Narrow" w:cs="Calibri"/>
                <w:sz w:val="20"/>
                <w:szCs w:val="20"/>
              </w:rPr>
            </w:pPr>
            <w:r w:rsidRPr="00CD1D8E">
              <w:rPr>
                <w:rFonts w:ascii="Arial Narrow" w:hAnsi="Arial Narrow" w:cs="Calibri"/>
                <w:sz w:val="20"/>
                <w:szCs w:val="20"/>
              </w:rPr>
              <w:t>-</w:t>
            </w:r>
            <w:r w:rsidR="00640308">
              <w:rPr>
                <w:rFonts w:ascii="Arial Narrow" w:hAnsi="Arial Narrow" w:cs="Calibri"/>
                <w:sz w:val="20"/>
                <w:szCs w:val="20"/>
              </w:rPr>
              <w:t xml:space="preserve"> </w:t>
            </w:r>
            <w:r w:rsidR="00640308" w:rsidRPr="00640308">
              <w:rPr>
                <w:rFonts w:ascii="Arial Narrow" w:hAnsi="Arial Narrow" w:cs="Calibri"/>
                <w:color w:val="000000"/>
                <w:spacing w:val="174"/>
                <w:sz w:val="20"/>
                <w:szCs w:val="20"/>
                <w:shd w:val="solid" w:color="000000" w:fill="000000"/>
                <w:fitText w:val="260" w:id="-1032110073"/>
                <w14:textFill>
                  <w14:solidFill>
                    <w14:srgbClr w14:val="000000">
                      <w14:alpha w14:val="100000"/>
                    </w14:srgbClr>
                  </w14:solidFill>
                </w14:textFill>
              </w:rPr>
              <w:t>|</w:t>
            </w:r>
            <w:r w:rsidR="00640308" w:rsidRPr="00640308">
              <w:rPr>
                <w:rFonts w:ascii="Arial Narrow" w:hAnsi="Arial Narrow" w:cs="Calibri"/>
                <w:color w:val="000000"/>
                <w:spacing w:val="1"/>
                <w:sz w:val="20"/>
                <w:szCs w:val="20"/>
                <w:shd w:val="solid" w:color="000000" w:fill="000000"/>
                <w:fitText w:val="260" w:id="-1032110073"/>
                <w14:textFill>
                  <w14:solidFill>
                    <w14:srgbClr w14:val="000000">
                      <w14:alpha w14:val="100000"/>
                    </w14:srgbClr>
                  </w14:solidFill>
                </w14:textFill>
              </w:rPr>
              <w:t>|</w:t>
            </w:r>
          </w:p>
        </w:tc>
      </w:tr>
      <w:tr w:rsidR="00C270F2" w:rsidRPr="00980134" w14:paraId="6C79C0FE"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tcPr>
          <w:p w14:paraId="180F832B" w14:textId="6BCFF381" w:rsidR="00C270F2" w:rsidRPr="00980134" w:rsidRDefault="00C270F2" w:rsidP="00FC3C68">
            <w:pPr>
              <w:keepNext/>
              <w:keepLines/>
              <w:jc w:val="left"/>
              <w:rPr>
                <w:rFonts w:ascii="Arial Narrow" w:hAnsi="Arial Narrow" w:cs="Calibri"/>
                <w:color w:val="000000"/>
                <w:sz w:val="20"/>
                <w:szCs w:val="20"/>
              </w:rPr>
            </w:pPr>
            <w:r w:rsidRPr="00980134">
              <w:rPr>
                <w:rFonts w:ascii="Symbol" w:hAnsi="Symbol" w:cs="Calibri"/>
                <w:color w:val="000000"/>
                <w:sz w:val="20"/>
                <w:szCs w:val="20"/>
              </w:rPr>
              <w:t>·</w:t>
            </w:r>
            <w:r w:rsidR="00640308">
              <w:rPr>
                <w:rFonts w:ascii="Times New Roman" w:hAnsi="Times New Roman" w:cs="Times New Roman"/>
                <w:color w:val="000000"/>
                <w:sz w:val="14"/>
                <w:szCs w:val="14"/>
              </w:rPr>
              <w:t xml:space="preserve">    </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3.5% costs and outcomes</w:t>
            </w:r>
          </w:p>
        </w:tc>
        <w:tc>
          <w:tcPr>
            <w:tcW w:w="1271" w:type="dxa"/>
            <w:tcBorders>
              <w:top w:val="single" w:sz="4" w:space="0" w:color="auto"/>
              <w:left w:val="nil"/>
              <w:bottom w:val="nil"/>
              <w:right w:val="nil"/>
            </w:tcBorders>
            <w:shd w:val="clear" w:color="auto" w:fill="auto"/>
            <w:vAlign w:val="center"/>
          </w:tcPr>
          <w:p w14:paraId="2627B428" w14:textId="44B9E55E"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2"/>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2"/>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2"/>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8" w:space="0" w:color="auto"/>
              <w:bottom w:val="nil"/>
              <w:right w:val="single" w:sz="8" w:space="0" w:color="auto"/>
            </w:tcBorders>
            <w:shd w:val="clear" w:color="auto" w:fill="auto"/>
            <w:vAlign w:val="center"/>
          </w:tcPr>
          <w:p w14:paraId="5C372A76" w14:textId="77777777" w:rsidR="00C270F2" w:rsidRPr="00980134" w:rsidRDefault="00C270F2"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0.569</w:t>
            </w:r>
          </w:p>
        </w:tc>
        <w:tc>
          <w:tcPr>
            <w:tcW w:w="1129" w:type="dxa"/>
            <w:tcBorders>
              <w:top w:val="single" w:sz="4" w:space="0" w:color="auto"/>
              <w:left w:val="nil"/>
              <w:bottom w:val="nil"/>
              <w:right w:val="nil"/>
            </w:tcBorders>
            <w:shd w:val="clear" w:color="auto" w:fill="auto"/>
            <w:vAlign w:val="center"/>
          </w:tcPr>
          <w:p w14:paraId="4B64D918" w14:textId="15182EAD"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1"/>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1"/>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1"/>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single" w:sz="4" w:space="0" w:color="auto"/>
              <w:left w:val="single" w:sz="8" w:space="0" w:color="auto"/>
              <w:bottom w:val="nil"/>
              <w:right w:val="single" w:sz="4" w:space="0" w:color="auto"/>
            </w:tcBorders>
            <w:shd w:val="clear" w:color="auto" w:fill="auto"/>
            <w:vAlign w:val="center"/>
          </w:tcPr>
          <w:p w14:paraId="76E93A98" w14:textId="371CC358" w:rsidR="00C270F2" w:rsidRPr="00CD1D8E" w:rsidRDefault="00CD1D8E" w:rsidP="00FC3C68">
            <w:pPr>
              <w:keepNext/>
              <w:keepLines/>
              <w:jc w:val="center"/>
              <w:rPr>
                <w:rFonts w:ascii="Arial Narrow" w:hAnsi="Arial Narrow" w:cs="Calibri"/>
                <w:sz w:val="20"/>
                <w:szCs w:val="20"/>
              </w:rPr>
            </w:pPr>
            <w:r w:rsidRPr="00CD1D8E">
              <w:rPr>
                <w:rFonts w:ascii="Arial Narrow" w:hAnsi="Arial Narrow" w:cs="Calibri"/>
                <w:sz w:val="20"/>
                <w:szCs w:val="20"/>
              </w:rPr>
              <w:t>-</w:t>
            </w:r>
            <w:r w:rsidR="00640308">
              <w:rPr>
                <w:rFonts w:ascii="Arial Narrow" w:hAnsi="Arial Narrow" w:cs="Calibri"/>
                <w:sz w:val="20"/>
                <w:szCs w:val="20"/>
              </w:rPr>
              <w:t xml:space="preserve"> </w:t>
            </w:r>
            <w:r w:rsidR="00640308" w:rsidRPr="00640308">
              <w:rPr>
                <w:rFonts w:ascii="Arial Narrow" w:hAnsi="Arial Narrow" w:cs="Calibri"/>
                <w:color w:val="000000"/>
                <w:spacing w:val="174"/>
                <w:sz w:val="20"/>
                <w:szCs w:val="20"/>
                <w:shd w:val="solid" w:color="000000" w:fill="000000"/>
                <w:fitText w:val="260" w:id="-1032110070"/>
                <w14:textFill>
                  <w14:solidFill>
                    <w14:srgbClr w14:val="000000">
                      <w14:alpha w14:val="100000"/>
                    </w14:srgbClr>
                  </w14:solidFill>
                </w14:textFill>
              </w:rPr>
              <w:t>|</w:t>
            </w:r>
            <w:r w:rsidR="00640308" w:rsidRPr="00640308">
              <w:rPr>
                <w:rFonts w:ascii="Arial Narrow" w:hAnsi="Arial Narrow" w:cs="Calibri"/>
                <w:color w:val="000000"/>
                <w:spacing w:val="1"/>
                <w:sz w:val="20"/>
                <w:szCs w:val="20"/>
                <w:shd w:val="solid" w:color="000000" w:fill="000000"/>
                <w:fitText w:val="260" w:id="-1032110070"/>
                <w14:textFill>
                  <w14:solidFill>
                    <w14:srgbClr w14:val="000000">
                      <w14:alpha w14:val="100000"/>
                    </w14:srgbClr>
                  </w14:solidFill>
                </w14:textFill>
              </w:rPr>
              <w:t>|</w:t>
            </w:r>
          </w:p>
        </w:tc>
      </w:tr>
      <w:tr w:rsidR="00C270F2" w:rsidRPr="00980134" w14:paraId="5C176BB7"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15EDC025" w14:textId="77777777" w:rsidR="00C270F2" w:rsidRPr="00980134" w:rsidRDefault="00C270F2" w:rsidP="00FC3C68">
            <w:pPr>
              <w:keepNext/>
              <w:keepLines/>
              <w:jc w:val="left"/>
              <w:rPr>
                <w:rFonts w:ascii="Arial Narrow" w:hAnsi="Arial Narrow" w:cs="Calibri"/>
                <w:color w:val="000000"/>
                <w:sz w:val="20"/>
                <w:szCs w:val="20"/>
              </w:rPr>
            </w:pPr>
            <w:r w:rsidRPr="00980134">
              <w:rPr>
                <w:rFonts w:ascii="Arial Narrow" w:hAnsi="Arial Narrow" w:cs="Calibri"/>
                <w:color w:val="000000"/>
                <w:sz w:val="20"/>
                <w:szCs w:val="20"/>
              </w:rPr>
              <w:t>Time horizon (base case 12 years)</w:t>
            </w:r>
          </w:p>
        </w:tc>
        <w:tc>
          <w:tcPr>
            <w:tcW w:w="1271" w:type="dxa"/>
            <w:tcBorders>
              <w:top w:val="single" w:sz="4" w:space="0" w:color="auto"/>
              <w:left w:val="nil"/>
              <w:bottom w:val="nil"/>
              <w:right w:val="nil"/>
            </w:tcBorders>
            <w:shd w:val="clear" w:color="auto" w:fill="auto"/>
            <w:vAlign w:val="center"/>
            <w:hideMark/>
          </w:tcPr>
          <w:p w14:paraId="5CF10642" w14:textId="77777777" w:rsidR="00C270F2" w:rsidRPr="00980134" w:rsidRDefault="00C270F2" w:rsidP="00FC3C68">
            <w:pPr>
              <w:keepNext/>
              <w:keepLines/>
              <w:jc w:val="center"/>
              <w:rPr>
                <w:rFonts w:ascii="Arial Narrow" w:hAnsi="Arial Narrow" w:cs="Calibri"/>
                <w:color w:val="000000"/>
                <w:sz w:val="20"/>
                <w:szCs w:val="20"/>
              </w:rPr>
            </w:pPr>
          </w:p>
        </w:tc>
        <w:tc>
          <w:tcPr>
            <w:tcW w:w="1139" w:type="dxa"/>
            <w:tcBorders>
              <w:top w:val="single" w:sz="4" w:space="0" w:color="auto"/>
              <w:left w:val="single" w:sz="8" w:space="0" w:color="auto"/>
              <w:bottom w:val="nil"/>
              <w:right w:val="single" w:sz="8" w:space="0" w:color="auto"/>
            </w:tcBorders>
            <w:shd w:val="clear" w:color="auto" w:fill="auto"/>
            <w:vAlign w:val="center"/>
            <w:hideMark/>
          </w:tcPr>
          <w:p w14:paraId="258A025F" w14:textId="77777777" w:rsidR="00C270F2" w:rsidRPr="00980134" w:rsidRDefault="00C270F2" w:rsidP="00FC3C68">
            <w:pPr>
              <w:keepNext/>
              <w:keepLines/>
              <w:jc w:val="center"/>
              <w:rPr>
                <w:rFonts w:ascii="Arial Narrow" w:hAnsi="Arial Narrow" w:cs="Calibri"/>
                <w:color w:val="000000"/>
                <w:sz w:val="20"/>
                <w:szCs w:val="20"/>
              </w:rPr>
            </w:pPr>
          </w:p>
        </w:tc>
        <w:tc>
          <w:tcPr>
            <w:tcW w:w="1129" w:type="dxa"/>
            <w:tcBorders>
              <w:top w:val="single" w:sz="4" w:space="0" w:color="auto"/>
              <w:left w:val="nil"/>
              <w:bottom w:val="nil"/>
              <w:right w:val="nil"/>
            </w:tcBorders>
            <w:shd w:val="clear" w:color="auto" w:fill="auto"/>
            <w:vAlign w:val="center"/>
            <w:hideMark/>
          </w:tcPr>
          <w:p w14:paraId="3A89BBAC" w14:textId="77777777" w:rsidR="00C270F2" w:rsidRPr="00980134" w:rsidRDefault="00C270F2" w:rsidP="00FC3C68">
            <w:pPr>
              <w:keepNext/>
              <w:keepLines/>
              <w:jc w:val="center"/>
              <w:rPr>
                <w:rFonts w:ascii="Arial Narrow" w:hAnsi="Arial Narrow" w:cs="Calibri"/>
                <w:color w:val="000000"/>
                <w:sz w:val="20"/>
                <w:szCs w:val="20"/>
              </w:rPr>
            </w:pPr>
          </w:p>
        </w:tc>
        <w:tc>
          <w:tcPr>
            <w:tcW w:w="937" w:type="dxa"/>
            <w:tcBorders>
              <w:top w:val="single" w:sz="4" w:space="0" w:color="auto"/>
              <w:left w:val="single" w:sz="8" w:space="0" w:color="auto"/>
              <w:bottom w:val="nil"/>
              <w:right w:val="single" w:sz="4" w:space="0" w:color="auto"/>
            </w:tcBorders>
            <w:shd w:val="clear" w:color="auto" w:fill="auto"/>
            <w:vAlign w:val="center"/>
            <w:hideMark/>
          </w:tcPr>
          <w:p w14:paraId="50F1820F" w14:textId="77777777" w:rsidR="00C270F2" w:rsidRPr="00980134" w:rsidRDefault="00C270F2" w:rsidP="00FC3C68">
            <w:pPr>
              <w:keepNext/>
              <w:keepLines/>
              <w:jc w:val="center"/>
              <w:rPr>
                <w:rFonts w:ascii="Arial Narrow" w:hAnsi="Arial Narrow" w:cs="Calibri"/>
                <w:sz w:val="20"/>
                <w:szCs w:val="20"/>
              </w:rPr>
            </w:pPr>
          </w:p>
        </w:tc>
      </w:tr>
      <w:tr w:rsidR="00C270F2" w:rsidRPr="00980134" w14:paraId="17A4FCD4"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hideMark/>
          </w:tcPr>
          <w:p w14:paraId="098C2566" w14:textId="14F25BDC" w:rsidR="00C270F2" w:rsidRPr="00980134" w:rsidRDefault="00C270F2" w:rsidP="00FC3C68">
            <w:pPr>
              <w:keepNext/>
              <w:keepLines/>
              <w:jc w:val="left"/>
              <w:rPr>
                <w:rFonts w:ascii="Symbol" w:hAnsi="Symbol" w:cs="Calibri"/>
                <w:color w:val="000000"/>
                <w:sz w:val="20"/>
                <w:szCs w:val="20"/>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10 years</w:t>
            </w:r>
            <w:r w:rsidR="006277A6" w:rsidRPr="00980134">
              <w:rPr>
                <w:rFonts w:ascii="Arial Narrow" w:hAnsi="Arial Narrow" w:cs="Calibri"/>
                <w:color w:val="000000"/>
                <w:sz w:val="20"/>
                <w:szCs w:val="20"/>
              </w:rPr>
              <w:t xml:space="preserve"> </w:t>
            </w:r>
            <w:r w:rsidR="006277A6" w:rsidRPr="00980134">
              <w:rPr>
                <w:rFonts w:ascii="Arial Narrow" w:hAnsi="Arial Narrow" w:cs="Calibri"/>
                <w:b/>
                <w:bCs/>
                <w:i/>
                <w:iCs/>
                <w:color w:val="000000"/>
                <w:sz w:val="20"/>
                <w:szCs w:val="20"/>
              </w:rPr>
              <w:t>#</w:t>
            </w:r>
            <w:r w:rsidR="00BC1712" w:rsidRPr="00980134">
              <w:rPr>
                <w:rFonts w:ascii="Arial Narrow" w:hAnsi="Arial Narrow" w:cs="Calibri"/>
                <w:b/>
                <w:bCs/>
                <w:i/>
                <w:iCs/>
                <w:color w:val="000000"/>
                <w:sz w:val="20"/>
                <w:szCs w:val="20"/>
              </w:rPr>
              <w:t>7</w:t>
            </w:r>
          </w:p>
        </w:tc>
        <w:tc>
          <w:tcPr>
            <w:tcW w:w="1271" w:type="dxa"/>
            <w:tcBorders>
              <w:top w:val="nil"/>
              <w:left w:val="nil"/>
              <w:bottom w:val="nil"/>
              <w:right w:val="nil"/>
            </w:tcBorders>
            <w:shd w:val="clear" w:color="auto" w:fill="auto"/>
            <w:vAlign w:val="center"/>
            <w:hideMark/>
          </w:tcPr>
          <w:p w14:paraId="60836C54" w14:textId="3830A862"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9"/>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9"/>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9"/>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single" w:sz="8" w:space="0" w:color="auto"/>
              <w:bottom w:val="nil"/>
              <w:right w:val="single" w:sz="8" w:space="0" w:color="auto"/>
            </w:tcBorders>
            <w:shd w:val="clear" w:color="auto" w:fill="auto"/>
            <w:vAlign w:val="center"/>
            <w:hideMark/>
          </w:tcPr>
          <w:p w14:paraId="2CDFCE26" w14:textId="77777777" w:rsidR="00C270F2" w:rsidRPr="00980134" w:rsidRDefault="00C270F2"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0.526</w:t>
            </w:r>
          </w:p>
        </w:tc>
        <w:tc>
          <w:tcPr>
            <w:tcW w:w="1129" w:type="dxa"/>
            <w:tcBorders>
              <w:top w:val="nil"/>
              <w:left w:val="nil"/>
              <w:bottom w:val="nil"/>
              <w:right w:val="nil"/>
            </w:tcBorders>
            <w:shd w:val="clear" w:color="auto" w:fill="auto"/>
            <w:vAlign w:val="center"/>
            <w:hideMark/>
          </w:tcPr>
          <w:p w14:paraId="20F45668" w14:textId="7F39672B"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8"/>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8"/>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8"/>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nil"/>
              <w:left w:val="single" w:sz="8" w:space="0" w:color="auto"/>
              <w:bottom w:val="nil"/>
              <w:right w:val="single" w:sz="4" w:space="0" w:color="auto"/>
            </w:tcBorders>
            <w:shd w:val="clear" w:color="auto" w:fill="auto"/>
            <w:vAlign w:val="center"/>
            <w:hideMark/>
          </w:tcPr>
          <w:p w14:paraId="58A39C03" w14:textId="596C74FF" w:rsidR="00C270F2" w:rsidRPr="00980134" w:rsidRDefault="00640308" w:rsidP="00FC3C68">
            <w:pPr>
              <w:keepNext/>
              <w:keepLines/>
              <w:jc w:val="center"/>
              <w:rPr>
                <w:rFonts w:ascii="Arial Narrow" w:hAnsi="Arial Narrow" w:cs="Calibri"/>
                <w:sz w:val="20"/>
                <w:szCs w:val="20"/>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67"/>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67"/>
                <w14:textFill>
                  <w14:solidFill>
                    <w14:srgbClr w14:val="000000">
                      <w14:alpha w14:val="100000"/>
                    </w14:srgbClr>
                  </w14:solidFill>
                </w14:textFill>
              </w:rPr>
              <w:t>|</w:t>
            </w:r>
            <w:r w:rsidR="00CD1D8E">
              <w:rPr>
                <w:rFonts w:ascii="Arial Narrow" w:hAnsi="Arial Narrow" w:cs="Calibri"/>
                <w:sz w:val="20"/>
                <w:szCs w:val="20"/>
              </w:rPr>
              <w:t xml:space="preserve"> </w:t>
            </w:r>
          </w:p>
        </w:tc>
      </w:tr>
      <w:tr w:rsidR="00C270F2" w:rsidRPr="00980134" w14:paraId="010DBF86"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2F840D69" w14:textId="77777777" w:rsidR="00C270F2" w:rsidRPr="00980134" w:rsidRDefault="00C270F2" w:rsidP="00FC3C68">
            <w:pPr>
              <w:keepNext/>
              <w:keepLines/>
              <w:jc w:val="left"/>
              <w:rPr>
                <w:rFonts w:ascii="Arial Narrow" w:hAnsi="Arial Narrow" w:cs="Calibri"/>
                <w:color w:val="000000"/>
                <w:sz w:val="20"/>
                <w:szCs w:val="20"/>
              </w:rPr>
            </w:pPr>
            <w:r w:rsidRPr="00980134">
              <w:rPr>
                <w:rFonts w:ascii="Arial Narrow" w:hAnsi="Arial Narrow" w:cs="Calibri"/>
                <w:color w:val="000000"/>
                <w:sz w:val="20"/>
                <w:szCs w:val="20"/>
              </w:rPr>
              <w:t>OS parametric extrapolation (base case dependent log-logistic in both arms)</w:t>
            </w:r>
          </w:p>
        </w:tc>
        <w:tc>
          <w:tcPr>
            <w:tcW w:w="1271" w:type="dxa"/>
            <w:tcBorders>
              <w:top w:val="single" w:sz="4" w:space="0" w:color="auto"/>
              <w:left w:val="nil"/>
              <w:bottom w:val="nil"/>
              <w:right w:val="single" w:sz="8" w:space="0" w:color="auto"/>
            </w:tcBorders>
            <w:shd w:val="clear" w:color="auto" w:fill="auto"/>
            <w:vAlign w:val="center"/>
            <w:hideMark/>
          </w:tcPr>
          <w:p w14:paraId="7803380D" w14:textId="77777777" w:rsidR="00C270F2" w:rsidRPr="00980134" w:rsidRDefault="00C270F2" w:rsidP="00FC3C68">
            <w:pPr>
              <w:keepNext/>
              <w:keepLines/>
              <w:jc w:val="center"/>
              <w:rPr>
                <w:rFonts w:ascii="Arial Narrow" w:hAnsi="Arial Narrow" w:cs="Calibri"/>
                <w:color w:val="000000"/>
                <w:sz w:val="20"/>
                <w:szCs w:val="20"/>
              </w:rPr>
            </w:pPr>
          </w:p>
        </w:tc>
        <w:tc>
          <w:tcPr>
            <w:tcW w:w="1139" w:type="dxa"/>
            <w:tcBorders>
              <w:top w:val="single" w:sz="4" w:space="0" w:color="auto"/>
              <w:left w:val="nil"/>
              <w:bottom w:val="nil"/>
              <w:right w:val="nil"/>
            </w:tcBorders>
            <w:shd w:val="clear" w:color="auto" w:fill="auto"/>
            <w:vAlign w:val="center"/>
            <w:hideMark/>
          </w:tcPr>
          <w:p w14:paraId="2E8A52CB" w14:textId="77777777" w:rsidR="00C270F2" w:rsidRPr="00980134" w:rsidRDefault="00C270F2" w:rsidP="00FC3C68">
            <w:pPr>
              <w:keepNext/>
              <w:keepLines/>
              <w:jc w:val="center"/>
              <w:rPr>
                <w:rFonts w:ascii="Arial Narrow" w:hAnsi="Arial Narrow" w:cs="Calibri"/>
                <w:color w:val="000000"/>
                <w:sz w:val="20"/>
                <w:szCs w:val="20"/>
              </w:rPr>
            </w:pPr>
          </w:p>
        </w:tc>
        <w:tc>
          <w:tcPr>
            <w:tcW w:w="1129" w:type="dxa"/>
            <w:tcBorders>
              <w:top w:val="single" w:sz="4" w:space="0" w:color="auto"/>
              <w:left w:val="single" w:sz="8" w:space="0" w:color="auto"/>
              <w:bottom w:val="nil"/>
              <w:right w:val="single" w:sz="8" w:space="0" w:color="auto"/>
            </w:tcBorders>
            <w:shd w:val="clear" w:color="auto" w:fill="auto"/>
            <w:vAlign w:val="center"/>
            <w:hideMark/>
          </w:tcPr>
          <w:p w14:paraId="0B970A32" w14:textId="77777777" w:rsidR="00C270F2" w:rsidRPr="00980134" w:rsidRDefault="00C270F2" w:rsidP="00FC3C68">
            <w:pPr>
              <w:keepNext/>
              <w:keepLines/>
              <w:jc w:val="center"/>
              <w:rPr>
                <w:rFonts w:ascii="Arial Narrow" w:hAnsi="Arial Narrow" w:cs="Calibri"/>
                <w:color w:val="000000"/>
                <w:sz w:val="20"/>
                <w:szCs w:val="20"/>
              </w:rPr>
            </w:pPr>
          </w:p>
        </w:tc>
        <w:tc>
          <w:tcPr>
            <w:tcW w:w="937" w:type="dxa"/>
            <w:tcBorders>
              <w:top w:val="single" w:sz="4" w:space="0" w:color="auto"/>
              <w:left w:val="nil"/>
              <w:bottom w:val="nil"/>
              <w:right w:val="single" w:sz="4" w:space="0" w:color="auto"/>
            </w:tcBorders>
            <w:shd w:val="clear" w:color="auto" w:fill="auto"/>
            <w:vAlign w:val="center"/>
            <w:hideMark/>
          </w:tcPr>
          <w:p w14:paraId="3C6EC87A" w14:textId="77777777" w:rsidR="00C270F2" w:rsidRPr="00980134" w:rsidRDefault="00C270F2" w:rsidP="00FC3C68">
            <w:pPr>
              <w:keepNext/>
              <w:keepLines/>
              <w:jc w:val="center"/>
              <w:rPr>
                <w:rFonts w:ascii="Arial Narrow" w:hAnsi="Arial Narrow" w:cs="Calibri"/>
                <w:sz w:val="20"/>
                <w:szCs w:val="20"/>
              </w:rPr>
            </w:pPr>
          </w:p>
        </w:tc>
      </w:tr>
      <w:tr w:rsidR="00C270F2" w:rsidRPr="00980134" w14:paraId="6B56627E"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tcPr>
          <w:p w14:paraId="07792AEF" w14:textId="4EBCDFCB" w:rsidR="00C270F2" w:rsidRPr="00980134" w:rsidRDefault="00C270F2" w:rsidP="00FC3C68">
            <w:pPr>
              <w:keepNext/>
              <w:keepLines/>
              <w:tabs>
                <w:tab w:val="left" w:pos="168"/>
              </w:tabs>
              <w:jc w:val="left"/>
              <w:rPr>
                <w:rFonts w:ascii="Symbol" w:hAnsi="Symbol" w:cs="Calibri"/>
                <w:color w:val="000000"/>
                <w:sz w:val="20"/>
                <w:szCs w:val="20"/>
              </w:rPr>
            </w:pPr>
            <w:r w:rsidRPr="00980134">
              <w:rPr>
                <w:rFonts w:ascii="Symbol" w:hAnsi="Symbol" w:cs="Calibri"/>
                <w:color w:val="000000"/>
                <w:sz w:val="20"/>
                <w:szCs w:val="20"/>
              </w:rPr>
              <w:t>·</w:t>
            </w:r>
            <w:r w:rsidR="00640308">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Dependent Weibull (PH) in both arms</w:t>
            </w:r>
          </w:p>
        </w:tc>
        <w:tc>
          <w:tcPr>
            <w:tcW w:w="1271" w:type="dxa"/>
            <w:tcBorders>
              <w:top w:val="nil"/>
              <w:left w:val="nil"/>
              <w:bottom w:val="nil"/>
              <w:right w:val="single" w:sz="8" w:space="0" w:color="auto"/>
            </w:tcBorders>
            <w:shd w:val="clear" w:color="auto" w:fill="auto"/>
            <w:vAlign w:val="center"/>
          </w:tcPr>
          <w:p w14:paraId="4E70CF97" w14:textId="5B245E35"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6"/>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6"/>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6"/>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nil"/>
            </w:tcBorders>
            <w:shd w:val="clear" w:color="auto" w:fill="auto"/>
            <w:vAlign w:val="center"/>
          </w:tcPr>
          <w:p w14:paraId="58D8C51C" w14:textId="77777777" w:rsidR="00C270F2" w:rsidRPr="00980134" w:rsidRDefault="00C270F2"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0.429</w:t>
            </w:r>
          </w:p>
        </w:tc>
        <w:tc>
          <w:tcPr>
            <w:tcW w:w="1129" w:type="dxa"/>
            <w:tcBorders>
              <w:top w:val="nil"/>
              <w:left w:val="single" w:sz="8" w:space="0" w:color="auto"/>
              <w:bottom w:val="nil"/>
              <w:right w:val="single" w:sz="8" w:space="0" w:color="auto"/>
            </w:tcBorders>
            <w:shd w:val="clear" w:color="auto" w:fill="auto"/>
            <w:vAlign w:val="center"/>
          </w:tcPr>
          <w:p w14:paraId="0F0E9EE3" w14:textId="641883C4"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5"/>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5"/>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5"/>
                <w14:textFill>
                  <w14:solidFill>
                    <w14:srgbClr w14:val="000000">
                      <w14:alpha w14:val="100000"/>
                    </w14:srgbClr>
                  </w14:solidFill>
                </w14:textFill>
              </w:rPr>
              <w:t xml:space="preserve">　</w:t>
            </w:r>
            <w:r w:rsidR="001D5BE1">
              <w:rPr>
                <w:rFonts w:ascii="Arial Narrow" w:hAnsi="Arial Narrow" w:cs="Calibri"/>
                <w:color w:val="000000"/>
                <w:sz w:val="20"/>
                <w:szCs w:val="20"/>
                <w:vertAlign w:val="superscript"/>
              </w:rPr>
              <w:t>2</w:t>
            </w:r>
          </w:p>
        </w:tc>
        <w:tc>
          <w:tcPr>
            <w:tcW w:w="937" w:type="dxa"/>
            <w:tcBorders>
              <w:top w:val="nil"/>
              <w:left w:val="nil"/>
              <w:bottom w:val="nil"/>
              <w:right w:val="single" w:sz="4" w:space="0" w:color="auto"/>
            </w:tcBorders>
            <w:shd w:val="clear" w:color="auto" w:fill="auto"/>
            <w:vAlign w:val="center"/>
          </w:tcPr>
          <w:p w14:paraId="3EF22A87" w14:textId="7F1AA27C" w:rsidR="00C270F2" w:rsidRPr="001D5BE1" w:rsidRDefault="00640308" w:rsidP="00FC3C68">
            <w:pPr>
              <w:keepNext/>
              <w:keepLines/>
              <w:jc w:val="center"/>
              <w:rPr>
                <w:rFonts w:ascii="Arial Narrow" w:hAnsi="Arial Narrow" w:cs="Calibri"/>
                <w:sz w:val="20"/>
                <w:szCs w:val="20"/>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64"/>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64"/>
                <w14:textFill>
                  <w14:solidFill>
                    <w14:srgbClr w14:val="000000">
                      <w14:alpha w14:val="100000"/>
                    </w14:srgbClr>
                  </w14:solidFill>
                </w14:textFill>
              </w:rPr>
              <w:t>|</w:t>
            </w:r>
          </w:p>
        </w:tc>
      </w:tr>
      <w:tr w:rsidR="00C270F2" w:rsidRPr="00980134" w14:paraId="18C0A3E8"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hideMark/>
          </w:tcPr>
          <w:p w14:paraId="6C0D79BA" w14:textId="7CAA6EAB" w:rsidR="00C270F2" w:rsidRPr="00980134" w:rsidRDefault="00C270F2" w:rsidP="00FC3C68">
            <w:pPr>
              <w:keepNext/>
              <w:keepLines/>
              <w:jc w:val="left"/>
              <w:rPr>
                <w:rFonts w:ascii="Symbol" w:hAnsi="Symbol" w:cs="Calibri"/>
                <w:color w:val="000000"/>
                <w:sz w:val="20"/>
                <w:szCs w:val="20"/>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 xml:space="preserve">Independent Weibull - AFT in both arms </w:t>
            </w:r>
            <w:r w:rsidRPr="00980134">
              <w:rPr>
                <w:rFonts w:ascii="Arial Narrow" w:hAnsi="Arial Narrow" w:cs="Calibri"/>
                <w:b/>
                <w:bCs/>
                <w:color w:val="000000"/>
                <w:sz w:val="20"/>
                <w:szCs w:val="20"/>
              </w:rPr>
              <w:t>#</w:t>
            </w:r>
            <w:r w:rsidR="00BC1712" w:rsidRPr="00980134">
              <w:rPr>
                <w:rFonts w:ascii="Arial Narrow" w:hAnsi="Arial Narrow" w:cs="Calibri"/>
                <w:b/>
                <w:bCs/>
                <w:color w:val="000000"/>
                <w:sz w:val="20"/>
                <w:szCs w:val="20"/>
              </w:rPr>
              <w:t>6</w:t>
            </w:r>
          </w:p>
        </w:tc>
        <w:tc>
          <w:tcPr>
            <w:tcW w:w="1271" w:type="dxa"/>
            <w:tcBorders>
              <w:top w:val="nil"/>
              <w:left w:val="nil"/>
              <w:bottom w:val="nil"/>
              <w:right w:val="single" w:sz="8" w:space="0" w:color="auto"/>
            </w:tcBorders>
            <w:shd w:val="clear" w:color="auto" w:fill="auto"/>
            <w:vAlign w:val="center"/>
            <w:hideMark/>
          </w:tcPr>
          <w:p w14:paraId="5C03BB72" w14:textId="0C6E78E4"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80"/>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80"/>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80"/>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nil"/>
            </w:tcBorders>
            <w:shd w:val="clear" w:color="auto" w:fill="auto"/>
            <w:vAlign w:val="center"/>
            <w:hideMark/>
          </w:tcPr>
          <w:p w14:paraId="163AED64" w14:textId="77777777" w:rsidR="00C270F2" w:rsidRPr="00980134" w:rsidRDefault="00C270F2"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0.415</w:t>
            </w:r>
          </w:p>
        </w:tc>
        <w:tc>
          <w:tcPr>
            <w:tcW w:w="1129" w:type="dxa"/>
            <w:tcBorders>
              <w:top w:val="nil"/>
              <w:left w:val="single" w:sz="8" w:space="0" w:color="auto"/>
              <w:bottom w:val="nil"/>
              <w:right w:val="single" w:sz="8" w:space="0" w:color="auto"/>
            </w:tcBorders>
            <w:shd w:val="clear" w:color="auto" w:fill="auto"/>
            <w:vAlign w:val="center"/>
            <w:hideMark/>
          </w:tcPr>
          <w:p w14:paraId="6DB1DB29" w14:textId="78997F96" w:rsidR="00C270F2"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9"/>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9"/>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9"/>
                <w14:textFill>
                  <w14:solidFill>
                    <w14:srgbClr w14:val="000000">
                      <w14:alpha w14:val="100000"/>
                    </w14:srgbClr>
                  </w14:solidFill>
                </w14:textFill>
              </w:rPr>
              <w:t xml:space="preserve">　</w:t>
            </w:r>
            <w:r w:rsidR="001D5BE1">
              <w:rPr>
                <w:rFonts w:ascii="Arial Narrow" w:hAnsi="Arial Narrow" w:cs="Calibri"/>
                <w:color w:val="000000"/>
                <w:sz w:val="20"/>
                <w:szCs w:val="20"/>
                <w:vertAlign w:val="superscript"/>
              </w:rPr>
              <w:t>3</w:t>
            </w:r>
          </w:p>
        </w:tc>
        <w:tc>
          <w:tcPr>
            <w:tcW w:w="937" w:type="dxa"/>
            <w:tcBorders>
              <w:top w:val="nil"/>
              <w:left w:val="nil"/>
              <w:bottom w:val="nil"/>
              <w:right w:val="single" w:sz="4" w:space="0" w:color="auto"/>
            </w:tcBorders>
            <w:shd w:val="clear" w:color="auto" w:fill="auto"/>
            <w:vAlign w:val="center"/>
            <w:hideMark/>
          </w:tcPr>
          <w:p w14:paraId="5B3198D2" w14:textId="02F59546" w:rsidR="00C270F2" w:rsidRPr="001D5BE1" w:rsidRDefault="00640308" w:rsidP="00FC3C68">
            <w:pPr>
              <w:keepNext/>
              <w:keepLines/>
              <w:jc w:val="center"/>
              <w:rPr>
                <w:rFonts w:ascii="Arial Narrow" w:hAnsi="Arial Narrow" w:cs="Calibri"/>
                <w:sz w:val="20"/>
                <w:szCs w:val="20"/>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78"/>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8"/>
                <w14:textFill>
                  <w14:solidFill>
                    <w14:srgbClr w14:val="000000">
                      <w14:alpha w14:val="100000"/>
                    </w14:srgbClr>
                  </w14:solidFill>
                </w14:textFill>
              </w:rPr>
              <w:t>|</w:t>
            </w:r>
          </w:p>
        </w:tc>
      </w:tr>
      <w:tr w:rsidR="00C270F2" w:rsidRPr="00980134" w14:paraId="79E28A99"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tcPr>
          <w:p w14:paraId="315CB92C" w14:textId="75BECDBC" w:rsidR="0068609D" w:rsidRPr="00980134" w:rsidRDefault="0068609D" w:rsidP="00FC3C68">
            <w:pPr>
              <w:pStyle w:val="ListParagraph"/>
              <w:keepNext/>
              <w:keepLines/>
              <w:numPr>
                <w:ilvl w:val="0"/>
                <w:numId w:val="9"/>
              </w:numPr>
              <w:ind w:left="176" w:hanging="176"/>
              <w:jc w:val="left"/>
              <w:rPr>
                <w:rFonts w:ascii="Symbol" w:hAnsi="Symbol" w:cs="Calibri"/>
                <w:color w:val="000000"/>
                <w:sz w:val="20"/>
                <w:szCs w:val="20"/>
              </w:rPr>
            </w:pPr>
            <w:r w:rsidRPr="00980134">
              <w:rPr>
                <w:rFonts w:ascii="Arial Narrow" w:hAnsi="Arial Narrow" w:cs="Calibri"/>
                <w:color w:val="000000"/>
                <w:sz w:val="20"/>
                <w:szCs w:val="20"/>
              </w:rPr>
              <w:t>Maintaining base case extrapolation function with convergence between 4 and 12 years</w:t>
            </w:r>
          </w:p>
        </w:tc>
        <w:tc>
          <w:tcPr>
            <w:tcW w:w="1271" w:type="dxa"/>
            <w:tcBorders>
              <w:top w:val="nil"/>
              <w:left w:val="nil"/>
              <w:bottom w:val="nil"/>
              <w:right w:val="single" w:sz="8" w:space="0" w:color="auto"/>
            </w:tcBorders>
            <w:shd w:val="clear" w:color="auto" w:fill="auto"/>
            <w:vAlign w:val="center"/>
          </w:tcPr>
          <w:p w14:paraId="4D38A82C" w14:textId="6BB7F5C4" w:rsidR="0068609D"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7"/>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7"/>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7"/>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nil"/>
            </w:tcBorders>
            <w:shd w:val="clear" w:color="auto" w:fill="auto"/>
            <w:vAlign w:val="center"/>
          </w:tcPr>
          <w:p w14:paraId="11987C00" w14:textId="4E47BB65" w:rsidR="0068609D" w:rsidRPr="00980134" w:rsidRDefault="0068609D"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0.493</w:t>
            </w:r>
          </w:p>
        </w:tc>
        <w:tc>
          <w:tcPr>
            <w:tcW w:w="1129" w:type="dxa"/>
            <w:tcBorders>
              <w:top w:val="nil"/>
              <w:left w:val="single" w:sz="8" w:space="0" w:color="auto"/>
              <w:bottom w:val="nil"/>
              <w:right w:val="single" w:sz="8" w:space="0" w:color="auto"/>
            </w:tcBorders>
            <w:shd w:val="clear" w:color="auto" w:fill="auto"/>
            <w:vAlign w:val="center"/>
          </w:tcPr>
          <w:p w14:paraId="21D9C193" w14:textId="2A8A8636" w:rsidR="0068609D"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6"/>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6"/>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6"/>
                <w14:textFill>
                  <w14:solidFill>
                    <w14:srgbClr w14:val="000000">
                      <w14:alpha w14:val="100000"/>
                    </w14:srgbClr>
                  </w14:solidFill>
                </w14:textFill>
              </w:rPr>
              <w:t xml:space="preserve">　</w:t>
            </w:r>
            <w:r w:rsidR="001D5BE1">
              <w:rPr>
                <w:rFonts w:ascii="Arial Narrow" w:hAnsi="Arial Narrow" w:cs="Calibri"/>
                <w:color w:val="000000"/>
                <w:sz w:val="20"/>
                <w:szCs w:val="20"/>
                <w:vertAlign w:val="superscript"/>
              </w:rPr>
              <w:t>2</w:t>
            </w:r>
          </w:p>
        </w:tc>
        <w:tc>
          <w:tcPr>
            <w:tcW w:w="937" w:type="dxa"/>
            <w:tcBorders>
              <w:top w:val="nil"/>
              <w:left w:val="nil"/>
              <w:bottom w:val="nil"/>
              <w:right w:val="single" w:sz="4" w:space="0" w:color="auto"/>
            </w:tcBorders>
            <w:shd w:val="clear" w:color="auto" w:fill="auto"/>
            <w:vAlign w:val="center"/>
          </w:tcPr>
          <w:p w14:paraId="39E3F95F" w14:textId="45F8F4A7" w:rsidR="0068609D" w:rsidRPr="001D5BE1" w:rsidRDefault="00640308" w:rsidP="00FC3C68">
            <w:pPr>
              <w:keepNext/>
              <w:keepLines/>
              <w:jc w:val="center"/>
              <w:rPr>
                <w:rFonts w:ascii="Arial Narrow" w:hAnsi="Arial Narrow" w:cs="Calibri"/>
                <w:color w:val="000000"/>
                <w:sz w:val="20"/>
                <w:szCs w:val="20"/>
                <w:highlight w:val="darkGray"/>
              </w:rPr>
            </w:pPr>
            <w:r w:rsidRPr="00640308">
              <w:rPr>
                <w:rFonts w:ascii="Arial Narrow" w:hAnsi="Arial Narrow" w:cs="Calibri"/>
                <w:color w:val="000000"/>
                <w:sz w:val="20"/>
                <w:szCs w:val="20"/>
              </w:rPr>
              <w:t xml:space="preserve"> </w:t>
            </w:r>
            <w:r w:rsidRPr="00640308">
              <w:rPr>
                <w:rFonts w:ascii="Arial Narrow" w:hAnsi="Arial Narrow" w:cs="Calibri"/>
                <w:color w:val="000000"/>
                <w:spacing w:val="41"/>
                <w:sz w:val="20"/>
                <w:szCs w:val="20"/>
                <w:shd w:val="solid" w:color="000000" w:fill="000000"/>
                <w:fitText w:val="210" w:id="-1032110075"/>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5"/>
                <w14:textFill>
                  <w14:solidFill>
                    <w14:srgbClr w14:val="000000">
                      <w14:alpha w14:val="100000"/>
                    </w14:srgbClr>
                  </w14:solidFill>
                </w14:textFill>
              </w:rPr>
              <w:t>|</w:t>
            </w:r>
          </w:p>
        </w:tc>
      </w:tr>
      <w:tr w:rsidR="00FB771F" w:rsidRPr="00980134" w14:paraId="3CCA5D55"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tcPr>
          <w:p w14:paraId="0DD069BA" w14:textId="3DF14425" w:rsidR="00FB771F" w:rsidRPr="00980134" w:rsidRDefault="00FB771F" w:rsidP="00FC3C68">
            <w:pPr>
              <w:keepNext/>
              <w:keepLines/>
              <w:jc w:val="left"/>
              <w:rPr>
                <w:rFonts w:ascii="Arial Narrow" w:hAnsi="Arial Narrow" w:cs="Calibri"/>
                <w:color w:val="000000"/>
                <w:sz w:val="20"/>
                <w:szCs w:val="20"/>
              </w:rPr>
            </w:pPr>
            <w:r w:rsidRPr="00980134">
              <w:rPr>
                <w:rFonts w:ascii="Arial Narrow" w:hAnsi="Arial Narrow" w:cs="Calibri"/>
                <w:color w:val="000000"/>
                <w:sz w:val="20"/>
                <w:szCs w:val="20"/>
              </w:rPr>
              <w:t>KM data (base case not included)</w:t>
            </w:r>
          </w:p>
        </w:tc>
        <w:tc>
          <w:tcPr>
            <w:tcW w:w="1271" w:type="dxa"/>
            <w:tcBorders>
              <w:top w:val="single" w:sz="4" w:space="0" w:color="auto"/>
              <w:left w:val="nil"/>
              <w:bottom w:val="nil"/>
              <w:right w:val="single" w:sz="8" w:space="0" w:color="auto"/>
            </w:tcBorders>
            <w:shd w:val="clear" w:color="auto" w:fill="auto"/>
            <w:vAlign w:val="center"/>
          </w:tcPr>
          <w:p w14:paraId="0F74C90F" w14:textId="77777777" w:rsidR="00FB771F" w:rsidRPr="00980134" w:rsidRDefault="00FB771F" w:rsidP="00FC3C68">
            <w:pPr>
              <w:keepNext/>
              <w:keepLines/>
              <w:jc w:val="center"/>
              <w:rPr>
                <w:rFonts w:ascii="Arial Narrow" w:hAnsi="Arial Narrow" w:cs="Calibri"/>
                <w:color w:val="000000"/>
                <w:sz w:val="20"/>
                <w:szCs w:val="20"/>
              </w:rPr>
            </w:pPr>
          </w:p>
        </w:tc>
        <w:tc>
          <w:tcPr>
            <w:tcW w:w="1139" w:type="dxa"/>
            <w:tcBorders>
              <w:top w:val="single" w:sz="4" w:space="0" w:color="auto"/>
              <w:left w:val="nil"/>
              <w:bottom w:val="nil"/>
              <w:right w:val="single" w:sz="8" w:space="0" w:color="auto"/>
            </w:tcBorders>
            <w:shd w:val="clear" w:color="auto" w:fill="auto"/>
            <w:vAlign w:val="center"/>
          </w:tcPr>
          <w:p w14:paraId="0E51F8AD" w14:textId="77777777" w:rsidR="00FB771F" w:rsidRPr="00980134" w:rsidRDefault="00FB771F" w:rsidP="00FC3C68">
            <w:pPr>
              <w:keepNext/>
              <w:keepLines/>
              <w:jc w:val="center"/>
              <w:rPr>
                <w:rFonts w:ascii="Arial Narrow" w:hAnsi="Arial Narrow" w:cs="Calibri"/>
                <w:color w:val="000000"/>
                <w:sz w:val="20"/>
                <w:szCs w:val="20"/>
              </w:rPr>
            </w:pPr>
          </w:p>
        </w:tc>
        <w:tc>
          <w:tcPr>
            <w:tcW w:w="1129" w:type="dxa"/>
            <w:tcBorders>
              <w:top w:val="single" w:sz="4" w:space="0" w:color="auto"/>
              <w:left w:val="nil"/>
              <w:bottom w:val="nil"/>
              <w:right w:val="single" w:sz="4" w:space="0" w:color="auto"/>
            </w:tcBorders>
            <w:shd w:val="clear" w:color="auto" w:fill="auto"/>
            <w:vAlign w:val="center"/>
          </w:tcPr>
          <w:p w14:paraId="79BDCF79" w14:textId="77777777" w:rsidR="00FB771F" w:rsidRPr="00980134" w:rsidRDefault="00FB771F" w:rsidP="00FC3C68">
            <w:pPr>
              <w:keepNext/>
              <w:keepLines/>
              <w:jc w:val="center"/>
              <w:rPr>
                <w:rFonts w:ascii="Arial Narrow" w:hAnsi="Arial Narrow" w:cs="Calibri"/>
                <w:color w:val="000000"/>
                <w:sz w:val="20"/>
                <w:szCs w:val="20"/>
              </w:rPr>
            </w:pPr>
          </w:p>
        </w:tc>
        <w:tc>
          <w:tcPr>
            <w:tcW w:w="937" w:type="dxa"/>
            <w:tcBorders>
              <w:top w:val="single" w:sz="4" w:space="0" w:color="auto"/>
              <w:left w:val="single" w:sz="4" w:space="0" w:color="auto"/>
              <w:bottom w:val="nil"/>
              <w:right w:val="single" w:sz="4" w:space="0" w:color="auto"/>
            </w:tcBorders>
            <w:shd w:val="clear" w:color="auto" w:fill="auto"/>
            <w:vAlign w:val="center"/>
          </w:tcPr>
          <w:p w14:paraId="01CD51DE" w14:textId="77777777" w:rsidR="00FB771F" w:rsidRPr="001D5BE1" w:rsidRDefault="00FB771F" w:rsidP="00FC3C68">
            <w:pPr>
              <w:keepNext/>
              <w:keepLines/>
              <w:jc w:val="center"/>
              <w:rPr>
                <w:rFonts w:ascii="Arial Narrow" w:hAnsi="Arial Narrow" w:cs="Calibri"/>
                <w:color w:val="000000"/>
                <w:sz w:val="20"/>
                <w:szCs w:val="20"/>
                <w:highlight w:val="darkGray"/>
              </w:rPr>
            </w:pPr>
          </w:p>
        </w:tc>
      </w:tr>
      <w:tr w:rsidR="00FB771F" w:rsidRPr="00980134" w14:paraId="728EDB88" w14:textId="77777777" w:rsidTr="00480E99">
        <w:trPr>
          <w:cantSplit/>
          <w:trHeight w:val="170"/>
        </w:trPr>
        <w:tc>
          <w:tcPr>
            <w:tcW w:w="4531" w:type="dxa"/>
            <w:tcBorders>
              <w:left w:val="single" w:sz="4" w:space="0" w:color="auto"/>
              <w:bottom w:val="nil"/>
              <w:right w:val="single" w:sz="8" w:space="0" w:color="auto"/>
            </w:tcBorders>
            <w:shd w:val="clear" w:color="auto" w:fill="auto"/>
            <w:vAlign w:val="center"/>
          </w:tcPr>
          <w:p w14:paraId="12388BB8" w14:textId="0C54B9A8" w:rsidR="00FB771F" w:rsidRPr="00980134" w:rsidRDefault="00FB771F" w:rsidP="00FC3C68">
            <w:pPr>
              <w:pStyle w:val="ListParagraph"/>
              <w:keepNext/>
              <w:keepLines/>
              <w:numPr>
                <w:ilvl w:val="0"/>
                <w:numId w:val="9"/>
              </w:numPr>
              <w:ind w:left="164" w:hanging="142"/>
              <w:jc w:val="left"/>
              <w:rPr>
                <w:rFonts w:ascii="Arial Narrow" w:hAnsi="Arial Narrow" w:cs="Calibri"/>
                <w:color w:val="000000"/>
                <w:sz w:val="20"/>
                <w:szCs w:val="20"/>
              </w:rPr>
            </w:pPr>
            <w:r w:rsidRPr="00980134">
              <w:rPr>
                <w:rFonts w:ascii="Arial Narrow" w:hAnsi="Arial Narrow"/>
                <w:color w:val="000000"/>
                <w:sz w:val="20"/>
                <w:szCs w:val="20"/>
              </w:rPr>
              <w:t xml:space="preserve">Included for OS, PFS and </w:t>
            </w:r>
            <w:proofErr w:type="spellStart"/>
            <w:r w:rsidRPr="00980134">
              <w:rPr>
                <w:rFonts w:ascii="Arial Narrow" w:hAnsi="Arial Narrow"/>
                <w:color w:val="000000"/>
                <w:sz w:val="20"/>
                <w:szCs w:val="20"/>
              </w:rPr>
              <w:t>TTD</w:t>
            </w:r>
            <w:r w:rsidRPr="00980134">
              <w:rPr>
                <w:rFonts w:ascii="Arial Narrow" w:hAnsi="Arial Narrow"/>
                <w:color w:val="000000"/>
                <w:sz w:val="20"/>
                <w:szCs w:val="20"/>
                <w:vertAlign w:val="superscript"/>
              </w:rPr>
              <w:t>a</w:t>
            </w:r>
            <w:proofErr w:type="spellEnd"/>
            <w:r w:rsidR="00640308">
              <w:rPr>
                <w:rFonts w:ascii="Arial Narrow" w:hAnsi="Arial Narrow"/>
                <w:color w:val="000000"/>
                <w:sz w:val="20"/>
                <w:szCs w:val="20"/>
                <w:vertAlign w:val="superscript"/>
              </w:rPr>
              <w:t xml:space="preserve"> </w:t>
            </w:r>
            <w:r w:rsidR="006277A6" w:rsidRPr="00980134">
              <w:rPr>
                <w:rFonts w:ascii="Arial Narrow" w:hAnsi="Arial Narrow" w:cs="Calibri"/>
                <w:b/>
                <w:bCs/>
                <w:snapToGrid/>
                <w:color w:val="000000"/>
                <w:sz w:val="20"/>
                <w:szCs w:val="20"/>
              </w:rPr>
              <w:t>#</w:t>
            </w:r>
            <w:r w:rsidR="00BC1712" w:rsidRPr="00980134">
              <w:rPr>
                <w:rFonts w:ascii="Arial Narrow" w:hAnsi="Arial Narrow" w:cs="Calibri"/>
                <w:b/>
                <w:bCs/>
                <w:snapToGrid/>
                <w:color w:val="000000"/>
                <w:sz w:val="20"/>
                <w:szCs w:val="20"/>
              </w:rPr>
              <w:t>5</w:t>
            </w:r>
          </w:p>
        </w:tc>
        <w:tc>
          <w:tcPr>
            <w:tcW w:w="1271" w:type="dxa"/>
            <w:tcBorders>
              <w:top w:val="nil"/>
              <w:left w:val="nil"/>
              <w:bottom w:val="single" w:sz="8" w:space="0" w:color="auto"/>
              <w:right w:val="nil"/>
            </w:tcBorders>
            <w:vAlign w:val="center"/>
          </w:tcPr>
          <w:p w14:paraId="1E54D967" w14:textId="3C6CF155"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4"/>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4"/>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4"/>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single" w:sz="8" w:space="0" w:color="auto"/>
              <w:bottom w:val="single" w:sz="8" w:space="0" w:color="auto"/>
              <w:right w:val="single" w:sz="8" w:space="0" w:color="auto"/>
            </w:tcBorders>
            <w:vAlign w:val="center"/>
          </w:tcPr>
          <w:p w14:paraId="382509CD" w14:textId="53C63638" w:rsidR="00FB771F" w:rsidRPr="00980134" w:rsidRDefault="00FB771F"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0.504</w:t>
            </w:r>
          </w:p>
        </w:tc>
        <w:tc>
          <w:tcPr>
            <w:tcW w:w="1129" w:type="dxa"/>
            <w:tcBorders>
              <w:top w:val="nil"/>
              <w:left w:val="nil"/>
              <w:bottom w:val="single" w:sz="8" w:space="0" w:color="auto"/>
              <w:right w:val="single" w:sz="4" w:space="0" w:color="auto"/>
            </w:tcBorders>
            <w:vAlign w:val="center"/>
          </w:tcPr>
          <w:p w14:paraId="7FF5DEF3" w14:textId="581A5F08"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3"/>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3"/>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3"/>
                <w14:textFill>
                  <w14:solidFill>
                    <w14:srgbClr w14:val="000000">
                      <w14:alpha w14:val="100000"/>
                    </w14:srgbClr>
                  </w14:solidFill>
                </w14:textFill>
              </w:rPr>
              <w:t xml:space="preserve">　</w:t>
            </w:r>
            <w:r w:rsidR="001D5BE1">
              <w:rPr>
                <w:rFonts w:ascii="Arial Narrow" w:hAnsi="Arial Narrow" w:cs="Calibri"/>
                <w:color w:val="000000"/>
                <w:sz w:val="20"/>
                <w:szCs w:val="20"/>
                <w:vertAlign w:val="superscript"/>
              </w:rPr>
              <w:t>2</w:t>
            </w:r>
          </w:p>
        </w:tc>
        <w:tc>
          <w:tcPr>
            <w:tcW w:w="937" w:type="dxa"/>
            <w:tcBorders>
              <w:left w:val="single" w:sz="4" w:space="0" w:color="auto"/>
              <w:bottom w:val="nil"/>
              <w:right w:val="single" w:sz="4" w:space="0" w:color="auto"/>
            </w:tcBorders>
            <w:shd w:val="clear" w:color="auto" w:fill="auto"/>
            <w:vAlign w:val="center"/>
          </w:tcPr>
          <w:p w14:paraId="16771C8C" w14:textId="7AE88606" w:rsidR="00FB771F" w:rsidRPr="001D5BE1" w:rsidRDefault="00640308" w:rsidP="00FC3C68">
            <w:pPr>
              <w:keepNext/>
              <w:keepLines/>
              <w:jc w:val="center"/>
              <w:rPr>
                <w:rFonts w:ascii="Arial Narrow" w:hAnsi="Arial Narrow" w:cs="Calibri"/>
                <w:color w:val="000000"/>
                <w:sz w:val="20"/>
                <w:szCs w:val="20"/>
                <w:highlight w:val="darkGray"/>
              </w:rPr>
            </w:pPr>
            <w:r w:rsidRPr="00640308">
              <w:rPr>
                <w:rFonts w:ascii="Arial Narrow" w:hAnsi="Arial Narrow" w:cs="Calibri"/>
                <w:color w:val="000000"/>
                <w:sz w:val="20"/>
                <w:szCs w:val="20"/>
              </w:rPr>
              <w:t xml:space="preserve"> </w:t>
            </w:r>
            <w:r w:rsidRPr="00640308">
              <w:rPr>
                <w:rFonts w:ascii="Arial Narrow" w:hAnsi="Arial Narrow" w:cs="Calibri"/>
                <w:color w:val="000000"/>
                <w:spacing w:val="41"/>
                <w:sz w:val="20"/>
                <w:szCs w:val="20"/>
                <w:shd w:val="solid" w:color="000000" w:fill="000000"/>
                <w:fitText w:val="210" w:id="-1032110072"/>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2"/>
                <w14:textFill>
                  <w14:solidFill>
                    <w14:srgbClr w14:val="000000">
                      <w14:alpha w14:val="100000"/>
                    </w14:srgbClr>
                  </w14:solidFill>
                </w14:textFill>
              </w:rPr>
              <w:t>|</w:t>
            </w:r>
          </w:p>
        </w:tc>
      </w:tr>
      <w:tr w:rsidR="00FB771F" w:rsidRPr="00980134" w14:paraId="318F3EED"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02EC0EAA" w14:textId="77777777" w:rsidR="00FB771F" w:rsidRPr="00980134" w:rsidRDefault="00FB771F" w:rsidP="00FC3C68">
            <w:pPr>
              <w:keepNext/>
              <w:keepLines/>
              <w:jc w:val="left"/>
              <w:rPr>
                <w:rFonts w:ascii="Arial Narrow" w:hAnsi="Arial Narrow" w:cs="Calibri"/>
                <w:color w:val="000000"/>
                <w:sz w:val="20"/>
                <w:szCs w:val="20"/>
              </w:rPr>
            </w:pPr>
            <w:r w:rsidRPr="00980134">
              <w:rPr>
                <w:rFonts w:ascii="Arial Narrow" w:hAnsi="Arial Narrow" w:cs="Calibri"/>
                <w:color w:val="000000"/>
                <w:sz w:val="20"/>
                <w:szCs w:val="20"/>
              </w:rPr>
              <w:t>Health state utility (base case PF 0.883 for T-</w:t>
            </w:r>
            <w:proofErr w:type="spellStart"/>
            <w:r w:rsidRPr="00980134">
              <w:rPr>
                <w:rFonts w:ascii="Arial Narrow" w:hAnsi="Arial Narrow" w:cs="Calibri"/>
                <w:color w:val="000000"/>
                <w:sz w:val="20"/>
                <w:szCs w:val="20"/>
              </w:rPr>
              <w:t>DXd</w:t>
            </w:r>
            <w:proofErr w:type="spellEnd"/>
            <w:r w:rsidRPr="00980134">
              <w:rPr>
                <w:rFonts w:ascii="Arial Narrow" w:hAnsi="Arial Narrow" w:cs="Calibri"/>
                <w:color w:val="000000"/>
                <w:sz w:val="20"/>
                <w:szCs w:val="20"/>
              </w:rPr>
              <w:t xml:space="preserve"> and 0.873 for TPC, PD 0.875 for T-</w:t>
            </w:r>
            <w:proofErr w:type="spellStart"/>
            <w:r w:rsidRPr="00980134">
              <w:rPr>
                <w:rFonts w:ascii="Arial Narrow" w:hAnsi="Arial Narrow" w:cs="Calibri"/>
                <w:color w:val="000000"/>
                <w:sz w:val="20"/>
                <w:szCs w:val="20"/>
              </w:rPr>
              <w:t>DXd</w:t>
            </w:r>
            <w:proofErr w:type="spellEnd"/>
            <w:r w:rsidRPr="00980134">
              <w:rPr>
                <w:rFonts w:ascii="Arial Narrow" w:hAnsi="Arial Narrow" w:cs="Calibri"/>
                <w:color w:val="000000"/>
                <w:sz w:val="20"/>
                <w:szCs w:val="20"/>
              </w:rPr>
              <w:t xml:space="preserve"> and 0.821 for TPC)</w:t>
            </w:r>
          </w:p>
        </w:tc>
        <w:tc>
          <w:tcPr>
            <w:tcW w:w="1271" w:type="dxa"/>
            <w:tcBorders>
              <w:top w:val="single" w:sz="4" w:space="0" w:color="auto"/>
              <w:left w:val="nil"/>
              <w:bottom w:val="nil"/>
              <w:right w:val="single" w:sz="8" w:space="0" w:color="auto"/>
            </w:tcBorders>
            <w:shd w:val="clear" w:color="auto" w:fill="auto"/>
            <w:vAlign w:val="center"/>
            <w:hideMark/>
          </w:tcPr>
          <w:p w14:paraId="34FB45A2" w14:textId="77777777" w:rsidR="00FB771F" w:rsidRPr="00980134" w:rsidRDefault="00FB771F" w:rsidP="00FC3C68">
            <w:pPr>
              <w:keepNext/>
              <w:keepLines/>
              <w:jc w:val="center"/>
              <w:rPr>
                <w:rFonts w:ascii="Arial Narrow" w:hAnsi="Arial Narrow" w:cs="Calibri"/>
                <w:color w:val="000000"/>
                <w:sz w:val="20"/>
                <w:szCs w:val="20"/>
              </w:rPr>
            </w:pPr>
          </w:p>
        </w:tc>
        <w:tc>
          <w:tcPr>
            <w:tcW w:w="1139" w:type="dxa"/>
            <w:tcBorders>
              <w:top w:val="single" w:sz="4" w:space="0" w:color="auto"/>
              <w:left w:val="nil"/>
              <w:bottom w:val="nil"/>
              <w:right w:val="single" w:sz="8" w:space="0" w:color="auto"/>
            </w:tcBorders>
            <w:shd w:val="clear" w:color="auto" w:fill="auto"/>
            <w:vAlign w:val="center"/>
            <w:hideMark/>
          </w:tcPr>
          <w:p w14:paraId="26AB2256" w14:textId="77777777" w:rsidR="00FB771F" w:rsidRPr="00980134" w:rsidRDefault="00FB771F" w:rsidP="00FC3C68">
            <w:pPr>
              <w:keepNext/>
              <w:keepLines/>
              <w:jc w:val="center"/>
              <w:rPr>
                <w:rFonts w:ascii="Arial Narrow" w:hAnsi="Arial Narrow" w:cs="Calibri"/>
                <w:color w:val="000000"/>
                <w:sz w:val="20"/>
                <w:szCs w:val="20"/>
              </w:rPr>
            </w:pPr>
          </w:p>
        </w:tc>
        <w:tc>
          <w:tcPr>
            <w:tcW w:w="1129" w:type="dxa"/>
            <w:tcBorders>
              <w:top w:val="single" w:sz="4" w:space="0" w:color="auto"/>
              <w:left w:val="nil"/>
              <w:bottom w:val="nil"/>
              <w:right w:val="single" w:sz="8" w:space="0" w:color="auto"/>
            </w:tcBorders>
            <w:shd w:val="clear" w:color="auto" w:fill="auto"/>
            <w:vAlign w:val="center"/>
            <w:hideMark/>
          </w:tcPr>
          <w:p w14:paraId="0E50F67E" w14:textId="77777777" w:rsidR="00FB771F" w:rsidRPr="00980134" w:rsidRDefault="00FB771F" w:rsidP="00FC3C68">
            <w:pPr>
              <w:keepNext/>
              <w:keepLines/>
              <w:jc w:val="center"/>
              <w:rPr>
                <w:rFonts w:ascii="Arial Narrow" w:hAnsi="Arial Narrow" w:cs="Calibri"/>
                <w:color w:val="000000"/>
                <w:sz w:val="20"/>
                <w:szCs w:val="20"/>
              </w:rPr>
            </w:pPr>
          </w:p>
        </w:tc>
        <w:tc>
          <w:tcPr>
            <w:tcW w:w="937" w:type="dxa"/>
            <w:tcBorders>
              <w:top w:val="single" w:sz="4" w:space="0" w:color="auto"/>
              <w:left w:val="nil"/>
              <w:bottom w:val="nil"/>
              <w:right w:val="single" w:sz="4" w:space="0" w:color="auto"/>
            </w:tcBorders>
            <w:shd w:val="clear" w:color="auto" w:fill="auto"/>
            <w:vAlign w:val="center"/>
            <w:hideMark/>
          </w:tcPr>
          <w:p w14:paraId="530CEA8F" w14:textId="77777777" w:rsidR="00FB771F" w:rsidRPr="00980134" w:rsidRDefault="00FB771F" w:rsidP="00FC3C68">
            <w:pPr>
              <w:keepNext/>
              <w:keepLines/>
              <w:jc w:val="center"/>
              <w:rPr>
                <w:rFonts w:ascii="Arial Narrow" w:hAnsi="Arial Narrow" w:cs="Calibri"/>
                <w:color w:val="000000"/>
                <w:sz w:val="20"/>
                <w:szCs w:val="20"/>
              </w:rPr>
            </w:pPr>
          </w:p>
        </w:tc>
      </w:tr>
      <w:tr w:rsidR="00FB771F" w:rsidRPr="00980134" w14:paraId="05F68694"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tcPr>
          <w:p w14:paraId="5F6DCECE" w14:textId="77777777" w:rsidR="00FB771F" w:rsidRPr="00980134" w:rsidRDefault="00FB771F" w:rsidP="00FC3C68">
            <w:pPr>
              <w:pStyle w:val="TableText0"/>
              <w:keepLines/>
              <w:rPr>
                <w:rFonts w:ascii="Symbol" w:hAnsi="Symbol" w:cs="Calibri" w:hint="eastAsia"/>
                <w:color w:val="000000"/>
                <w:szCs w:val="20"/>
              </w:rPr>
            </w:pPr>
            <w:r w:rsidRPr="00980134">
              <w:rPr>
                <w:rFonts w:ascii="Symbol" w:hAnsi="Symbol" w:cs="Calibri"/>
                <w:color w:val="000000"/>
                <w:szCs w:val="20"/>
              </w:rPr>
              <w:t xml:space="preserve">· </w:t>
            </w:r>
            <w:r w:rsidRPr="00980134">
              <w:rPr>
                <w:rFonts w:cs="Calibri"/>
                <w:color w:val="000000"/>
                <w:szCs w:val="20"/>
              </w:rPr>
              <w:t>0.881 for PF and 0.863 for PD in both arms (DB-04 derived pooled utilities)</w:t>
            </w:r>
          </w:p>
        </w:tc>
        <w:tc>
          <w:tcPr>
            <w:tcW w:w="1271" w:type="dxa"/>
            <w:tcBorders>
              <w:top w:val="nil"/>
              <w:left w:val="nil"/>
              <w:bottom w:val="nil"/>
              <w:right w:val="single" w:sz="8" w:space="0" w:color="auto"/>
            </w:tcBorders>
            <w:shd w:val="clear" w:color="auto" w:fill="auto"/>
            <w:vAlign w:val="center"/>
          </w:tcPr>
          <w:p w14:paraId="12A3A455" w14:textId="368FB49E"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1"/>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1"/>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1"/>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single" w:sz="8" w:space="0" w:color="auto"/>
            </w:tcBorders>
            <w:shd w:val="clear" w:color="auto" w:fill="auto"/>
            <w:vAlign w:val="center"/>
          </w:tcPr>
          <w:p w14:paraId="2AE40F25" w14:textId="77777777" w:rsidR="00FB771F" w:rsidRPr="00980134" w:rsidRDefault="00FB771F"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0.534</w:t>
            </w:r>
          </w:p>
        </w:tc>
        <w:tc>
          <w:tcPr>
            <w:tcW w:w="1129" w:type="dxa"/>
            <w:tcBorders>
              <w:top w:val="nil"/>
              <w:left w:val="nil"/>
              <w:bottom w:val="nil"/>
              <w:right w:val="single" w:sz="8" w:space="0" w:color="auto"/>
            </w:tcBorders>
            <w:shd w:val="clear" w:color="auto" w:fill="auto"/>
            <w:vAlign w:val="center"/>
          </w:tcPr>
          <w:p w14:paraId="0A25D61C" w14:textId="6312620A"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0"/>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0"/>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0"/>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2</w:t>
            </w:r>
          </w:p>
        </w:tc>
        <w:tc>
          <w:tcPr>
            <w:tcW w:w="937" w:type="dxa"/>
            <w:tcBorders>
              <w:top w:val="nil"/>
              <w:left w:val="nil"/>
              <w:bottom w:val="nil"/>
              <w:right w:val="single" w:sz="4" w:space="0" w:color="auto"/>
            </w:tcBorders>
            <w:shd w:val="clear" w:color="auto" w:fill="auto"/>
            <w:vAlign w:val="center"/>
          </w:tcPr>
          <w:p w14:paraId="6893B794" w14:textId="669E580D" w:rsidR="00FB771F" w:rsidRPr="001D5BE1" w:rsidRDefault="00640308" w:rsidP="00FC3C68">
            <w:pPr>
              <w:keepNext/>
              <w:keepLines/>
              <w:jc w:val="center"/>
              <w:rPr>
                <w:rFonts w:ascii="Arial Narrow" w:hAnsi="Arial Narrow" w:cs="Calibri"/>
                <w:color w:val="000000"/>
                <w:sz w:val="20"/>
                <w:szCs w:val="20"/>
                <w:highlight w:val="darkGray"/>
              </w:rPr>
            </w:pPr>
            <w:r w:rsidRPr="00640308">
              <w:rPr>
                <w:rFonts w:ascii="Arial Narrow" w:hAnsi="Arial Narrow" w:cs="Calibri"/>
                <w:color w:val="000000"/>
                <w:sz w:val="20"/>
                <w:szCs w:val="20"/>
              </w:rPr>
              <w:t xml:space="preserve"> </w:t>
            </w:r>
            <w:r w:rsidRPr="00640308">
              <w:rPr>
                <w:rFonts w:ascii="Arial Narrow" w:hAnsi="Arial Narrow" w:cs="Calibri"/>
                <w:color w:val="000000"/>
                <w:spacing w:val="41"/>
                <w:sz w:val="20"/>
                <w:szCs w:val="20"/>
                <w:shd w:val="solid" w:color="000000" w:fill="000000"/>
                <w:fitText w:val="210" w:id="-1032110069"/>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69"/>
                <w14:textFill>
                  <w14:solidFill>
                    <w14:srgbClr w14:val="000000">
                      <w14:alpha w14:val="100000"/>
                    </w14:srgbClr>
                  </w14:solidFill>
                </w14:textFill>
              </w:rPr>
              <w:t>|</w:t>
            </w:r>
          </w:p>
        </w:tc>
      </w:tr>
      <w:tr w:rsidR="00FB771F" w:rsidRPr="00980134" w14:paraId="64D68191"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hideMark/>
          </w:tcPr>
          <w:p w14:paraId="5D959F20" w14:textId="347A68BA" w:rsidR="00FB771F" w:rsidRPr="00980134" w:rsidRDefault="00FB771F" w:rsidP="00FC3C68">
            <w:pPr>
              <w:keepNext/>
              <w:keepLines/>
              <w:jc w:val="left"/>
              <w:rPr>
                <w:rFonts w:ascii="Arial Narrow" w:hAnsi="Arial Narrow" w:cs="Calibri"/>
                <w:color w:val="000000"/>
                <w:sz w:val="20"/>
                <w:szCs w:val="20"/>
              </w:rPr>
            </w:pPr>
            <w:r w:rsidRPr="00980134">
              <w:rPr>
                <w:rFonts w:ascii="Symbol" w:hAnsi="Symbol" w:cs="Calibri"/>
                <w:color w:val="000000"/>
                <w:sz w:val="20"/>
                <w:szCs w:val="20"/>
              </w:rPr>
              <w:t xml:space="preserve">· </w:t>
            </w:r>
            <w:r w:rsidRPr="00980134">
              <w:rPr>
                <w:rFonts w:ascii="Arial Narrow" w:hAnsi="Arial Narrow" w:cs="Calibri"/>
                <w:color w:val="000000"/>
                <w:sz w:val="20"/>
                <w:szCs w:val="20"/>
              </w:rPr>
              <w:t>0.881 for PF (DB-04 derived pooled PF utility) and 0.609 for PD in both arms (derived from Lloyd et al.'s algorithm)</w:t>
            </w:r>
            <w:r w:rsidRPr="00980134">
              <w:rPr>
                <w:rFonts w:ascii="Arial Narrow" w:hAnsi="Arial Narrow" w:cs="Calibri"/>
                <w:color w:val="000000"/>
                <w:sz w:val="20"/>
                <w:szCs w:val="20"/>
                <w:vertAlign w:val="superscript"/>
              </w:rPr>
              <w:t>b</w:t>
            </w:r>
            <w:r w:rsidRPr="00980134">
              <w:rPr>
                <w:rFonts w:ascii="Arial Narrow" w:hAnsi="Arial Narrow" w:cs="Calibri"/>
                <w:color w:val="000000"/>
                <w:sz w:val="20"/>
                <w:szCs w:val="20"/>
              </w:rPr>
              <w:t xml:space="preserve"> </w:t>
            </w:r>
            <w:r w:rsidRPr="00980134">
              <w:rPr>
                <w:rFonts w:ascii="Arial Narrow" w:hAnsi="Arial Narrow" w:cs="Calibri"/>
                <w:b/>
                <w:bCs/>
                <w:color w:val="000000"/>
                <w:sz w:val="20"/>
                <w:szCs w:val="20"/>
              </w:rPr>
              <w:t>#</w:t>
            </w:r>
            <w:r w:rsidR="00BC1712" w:rsidRPr="00980134">
              <w:rPr>
                <w:rFonts w:ascii="Arial Narrow" w:hAnsi="Arial Narrow" w:cs="Calibri"/>
                <w:b/>
                <w:bCs/>
                <w:color w:val="000000"/>
                <w:sz w:val="20"/>
                <w:szCs w:val="20"/>
              </w:rPr>
              <w:t>4</w:t>
            </w:r>
          </w:p>
        </w:tc>
        <w:tc>
          <w:tcPr>
            <w:tcW w:w="1271" w:type="dxa"/>
            <w:tcBorders>
              <w:top w:val="nil"/>
              <w:left w:val="nil"/>
              <w:bottom w:val="nil"/>
              <w:right w:val="single" w:sz="8" w:space="0" w:color="auto"/>
            </w:tcBorders>
            <w:shd w:val="clear" w:color="auto" w:fill="auto"/>
            <w:vAlign w:val="center"/>
            <w:hideMark/>
          </w:tcPr>
          <w:p w14:paraId="500673C7" w14:textId="446152C4"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8"/>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8"/>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8"/>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single" w:sz="8" w:space="0" w:color="auto"/>
            </w:tcBorders>
            <w:shd w:val="clear" w:color="auto" w:fill="auto"/>
            <w:vAlign w:val="center"/>
            <w:hideMark/>
          </w:tcPr>
          <w:p w14:paraId="22947B60" w14:textId="77777777" w:rsidR="00FB771F" w:rsidRPr="00980134" w:rsidRDefault="00FB771F" w:rsidP="00FC3C68">
            <w:pPr>
              <w:keepNext/>
              <w:keepLines/>
              <w:jc w:val="center"/>
              <w:rPr>
                <w:rFonts w:ascii="Arial Narrow" w:hAnsi="Arial Narrow" w:cs="Calibri"/>
                <w:color w:val="000000"/>
                <w:sz w:val="20"/>
                <w:szCs w:val="20"/>
              </w:rPr>
            </w:pPr>
            <w:r w:rsidRPr="00980134">
              <w:rPr>
                <w:rFonts w:ascii="Arial Narrow" w:hAnsi="Arial Narrow" w:cs="Calibri"/>
                <w:color w:val="000000"/>
                <w:sz w:val="20"/>
                <w:szCs w:val="20"/>
              </w:rPr>
              <w:t>0.534</w:t>
            </w:r>
          </w:p>
        </w:tc>
        <w:tc>
          <w:tcPr>
            <w:tcW w:w="1129" w:type="dxa"/>
            <w:tcBorders>
              <w:top w:val="nil"/>
              <w:left w:val="nil"/>
              <w:bottom w:val="nil"/>
              <w:right w:val="single" w:sz="8" w:space="0" w:color="auto"/>
            </w:tcBorders>
            <w:shd w:val="clear" w:color="auto" w:fill="auto"/>
            <w:vAlign w:val="center"/>
            <w:hideMark/>
          </w:tcPr>
          <w:p w14:paraId="354DE2CC" w14:textId="26ACC467" w:rsidR="00FB771F" w:rsidRPr="00980134" w:rsidRDefault="00640308" w:rsidP="00FC3C68">
            <w:pPr>
              <w:keepNext/>
              <w:keepLines/>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7"/>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7"/>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7"/>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2</w:t>
            </w:r>
          </w:p>
        </w:tc>
        <w:tc>
          <w:tcPr>
            <w:tcW w:w="937" w:type="dxa"/>
            <w:tcBorders>
              <w:top w:val="nil"/>
              <w:left w:val="nil"/>
              <w:bottom w:val="nil"/>
              <w:right w:val="single" w:sz="4" w:space="0" w:color="auto"/>
            </w:tcBorders>
            <w:shd w:val="clear" w:color="auto" w:fill="auto"/>
            <w:vAlign w:val="center"/>
            <w:hideMark/>
          </w:tcPr>
          <w:p w14:paraId="08028C8C" w14:textId="5234037C" w:rsidR="00FB771F" w:rsidRPr="001D5BE1" w:rsidRDefault="00640308" w:rsidP="00FC3C68">
            <w:pPr>
              <w:keepNext/>
              <w:keepLines/>
              <w:jc w:val="center"/>
              <w:rPr>
                <w:rFonts w:ascii="Arial Narrow" w:hAnsi="Arial Narrow" w:cs="Calibri"/>
                <w:color w:val="000000"/>
                <w:sz w:val="20"/>
                <w:szCs w:val="20"/>
                <w:highlight w:val="darkGray"/>
              </w:rPr>
            </w:pPr>
            <w:r w:rsidRPr="00640308">
              <w:rPr>
                <w:rFonts w:ascii="Arial Narrow" w:hAnsi="Arial Narrow" w:cs="Calibri"/>
                <w:color w:val="000000"/>
                <w:sz w:val="20"/>
                <w:szCs w:val="20"/>
              </w:rPr>
              <w:t xml:space="preserve"> </w:t>
            </w:r>
            <w:r w:rsidRPr="00640308">
              <w:rPr>
                <w:rFonts w:ascii="Arial Narrow" w:hAnsi="Arial Narrow" w:cs="Calibri"/>
                <w:color w:val="000000"/>
                <w:spacing w:val="41"/>
                <w:sz w:val="20"/>
                <w:szCs w:val="20"/>
                <w:shd w:val="solid" w:color="000000" w:fill="000000"/>
                <w:fitText w:val="210" w:id="-1032110066"/>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66"/>
                <w14:textFill>
                  <w14:solidFill>
                    <w14:srgbClr w14:val="000000">
                      <w14:alpha w14:val="100000"/>
                    </w14:srgbClr>
                  </w14:solidFill>
                </w14:textFill>
              </w:rPr>
              <w:t>|</w:t>
            </w:r>
          </w:p>
        </w:tc>
      </w:tr>
      <w:tr w:rsidR="00FB771F" w:rsidRPr="00980134" w14:paraId="7B645850"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1435860C" w14:textId="77777777" w:rsidR="00FB771F" w:rsidRPr="00980134" w:rsidRDefault="00FB771F" w:rsidP="00CD7C80">
            <w:pPr>
              <w:jc w:val="left"/>
              <w:rPr>
                <w:rFonts w:ascii="Arial Narrow" w:hAnsi="Arial Narrow" w:cs="Calibri"/>
                <w:color w:val="000000"/>
                <w:sz w:val="20"/>
                <w:szCs w:val="20"/>
              </w:rPr>
            </w:pPr>
            <w:r w:rsidRPr="00980134">
              <w:rPr>
                <w:rFonts w:ascii="Arial Narrow" w:hAnsi="Arial Narrow" w:cs="Calibri"/>
                <w:color w:val="000000"/>
                <w:sz w:val="20"/>
                <w:szCs w:val="20"/>
              </w:rPr>
              <w:t>RDI of T-</w:t>
            </w:r>
            <w:proofErr w:type="spellStart"/>
            <w:r w:rsidRPr="00980134">
              <w:rPr>
                <w:rFonts w:ascii="Arial Narrow" w:hAnsi="Arial Narrow" w:cs="Calibri"/>
                <w:color w:val="000000"/>
                <w:sz w:val="20"/>
                <w:szCs w:val="20"/>
              </w:rPr>
              <w:t>DXd</w:t>
            </w:r>
            <w:proofErr w:type="spellEnd"/>
            <w:r w:rsidRPr="00980134">
              <w:rPr>
                <w:rFonts w:ascii="Arial Narrow" w:hAnsi="Arial Narrow" w:cs="Calibri"/>
                <w:color w:val="000000"/>
                <w:sz w:val="20"/>
                <w:szCs w:val="20"/>
              </w:rPr>
              <w:t xml:space="preserve"> (base case: 90%)</w:t>
            </w:r>
          </w:p>
        </w:tc>
        <w:tc>
          <w:tcPr>
            <w:tcW w:w="1271" w:type="dxa"/>
            <w:tcBorders>
              <w:top w:val="single" w:sz="4" w:space="0" w:color="auto"/>
              <w:left w:val="nil"/>
              <w:bottom w:val="nil"/>
              <w:right w:val="single" w:sz="8" w:space="0" w:color="auto"/>
            </w:tcBorders>
            <w:shd w:val="clear" w:color="auto" w:fill="auto"/>
            <w:vAlign w:val="center"/>
            <w:hideMark/>
          </w:tcPr>
          <w:p w14:paraId="64644330"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nil"/>
              <w:bottom w:val="nil"/>
              <w:right w:val="single" w:sz="8" w:space="0" w:color="auto"/>
            </w:tcBorders>
            <w:shd w:val="clear" w:color="auto" w:fill="auto"/>
            <w:vAlign w:val="center"/>
            <w:hideMark/>
          </w:tcPr>
          <w:p w14:paraId="7572778E"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nil"/>
              <w:bottom w:val="nil"/>
              <w:right w:val="single" w:sz="8" w:space="0" w:color="auto"/>
            </w:tcBorders>
            <w:shd w:val="clear" w:color="auto" w:fill="auto"/>
            <w:vAlign w:val="center"/>
            <w:hideMark/>
          </w:tcPr>
          <w:p w14:paraId="43616ABD" w14:textId="77777777" w:rsidR="00FB771F" w:rsidRPr="00980134" w:rsidRDefault="00FB771F" w:rsidP="00FB771F">
            <w:pPr>
              <w:keepNext/>
              <w:jc w:val="center"/>
              <w:rPr>
                <w:rFonts w:ascii="Arial Narrow" w:hAnsi="Arial Narrow" w:cs="Calibri"/>
                <w:color w:val="000000"/>
                <w:sz w:val="20"/>
                <w:szCs w:val="20"/>
              </w:rPr>
            </w:pPr>
          </w:p>
        </w:tc>
        <w:tc>
          <w:tcPr>
            <w:tcW w:w="937" w:type="dxa"/>
            <w:tcBorders>
              <w:top w:val="single" w:sz="4" w:space="0" w:color="auto"/>
              <w:left w:val="nil"/>
              <w:bottom w:val="nil"/>
              <w:right w:val="single" w:sz="4" w:space="0" w:color="auto"/>
            </w:tcBorders>
            <w:shd w:val="clear" w:color="auto" w:fill="auto"/>
            <w:vAlign w:val="center"/>
            <w:hideMark/>
          </w:tcPr>
          <w:p w14:paraId="0B489AB9" w14:textId="77777777" w:rsidR="00FB771F" w:rsidRPr="001D5BE1" w:rsidRDefault="00FB771F" w:rsidP="00FB771F">
            <w:pPr>
              <w:keepNext/>
              <w:jc w:val="center"/>
              <w:rPr>
                <w:rFonts w:ascii="Arial Narrow" w:hAnsi="Arial Narrow" w:cs="Calibri"/>
                <w:sz w:val="20"/>
                <w:szCs w:val="20"/>
                <w:highlight w:val="darkGray"/>
              </w:rPr>
            </w:pPr>
          </w:p>
        </w:tc>
      </w:tr>
      <w:tr w:rsidR="00FB771F" w:rsidRPr="00980134" w14:paraId="13368194"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hideMark/>
          </w:tcPr>
          <w:p w14:paraId="539CDC3D" w14:textId="77777777" w:rsidR="00FB771F" w:rsidRPr="00980134" w:rsidRDefault="00FB771F" w:rsidP="00CD7C80">
            <w:pPr>
              <w:jc w:val="left"/>
              <w:rPr>
                <w:rFonts w:ascii="Symbol" w:hAnsi="Symbol" w:cs="Calibri"/>
                <w:color w:val="000000"/>
                <w:sz w:val="20"/>
                <w:szCs w:val="20"/>
                <w:vertAlign w:val="superscript"/>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99.8% (mean RDI reported in DB-04)</w:t>
            </w:r>
            <w:r w:rsidRPr="00980134">
              <w:rPr>
                <w:rFonts w:ascii="Arial Narrow" w:hAnsi="Arial Narrow" w:cs="Calibri"/>
                <w:color w:val="000000"/>
                <w:sz w:val="20"/>
                <w:szCs w:val="20"/>
                <w:vertAlign w:val="superscript"/>
              </w:rPr>
              <w:t>c</w:t>
            </w:r>
          </w:p>
        </w:tc>
        <w:tc>
          <w:tcPr>
            <w:tcW w:w="1271" w:type="dxa"/>
            <w:tcBorders>
              <w:top w:val="nil"/>
              <w:left w:val="nil"/>
              <w:bottom w:val="nil"/>
              <w:right w:val="single" w:sz="8" w:space="0" w:color="auto"/>
            </w:tcBorders>
            <w:shd w:val="clear" w:color="auto" w:fill="auto"/>
            <w:vAlign w:val="center"/>
            <w:hideMark/>
          </w:tcPr>
          <w:p w14:paraId="43B9EEA5" w14:textId="66C8D49B"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5"/>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5"/>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5"/>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nil"/>
              <w:right w:val="single" w:sz="8" w:space="0" w:color="auto"/>
            </w:tcBorders>
            <w:shd w:val="clear" w:color="auto" w:fill="auto"/>
            <w:vAlign w:val="center"/>
            <w:hideMark/>
          </w:tcPr>
          <w:p w14:paraId="4F050BA7"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nil"/>
              <w:left w:val="nil"/>
              <w:bottom w:val="nil"/>
              <w:right w:val="single" w:sz="8" w:space="0" w:color="auto"/>
            </w:tcBorders>
            <w:shd w:val="clear" w:color="auto" w:fill="auto"/>
            <w:vAlign w:val="center"/>
            <w:hideMark/>
          </w:tcPr>
          <w:p w14:paraId="0F9CEC19" w14:textId="320C7CB8"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4"/>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4"/>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4"/>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2</w:t>
            </w:r>
          </w:p>
        </w:tc>
        <w:tc>
          <w:tcPr>
            <w:tcW w:w="937" w:type="dxa"/>
            <w:tcBorders>
              <w:top w:val="nil"/>
              <w:left w:val="nil"/>
              <w:bottom w:val="nil"/>
              <w:right w:val="single" w:sz="4" w:space="0" w:color="auto"/>
            </w:tcBorders>
            <w:shd w:val="clear" w:color="auto" w:fill="auto"/>
            <w:vAlign w:val="center"/>
            <w:hideMark/>
          </w:tcPr>
          <w:p w14:paraId="121A3A2D" w14:textId="5A763D10" w:rsidR="00FB771F" w:rsidRPr="001D5BE1" w:rsidRDefault="00640308" w:rsidP="00FB771F">
            <w:pPr>
              <w:keepNext/>
              <w:jc w:val="center"/>
              <w:rPr>
                <w:rFonts w:ascii="Arial Narrow" w:hAnsi="Arial Narrow" w:cs="Calibri"/>
                <w:sz w:val="20"/>
                <w:szCs w:val="20"/>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80"/>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80"/>
                <w14:textFill>
                  <w14:solidFill>
                    <w14:srgbClr w14:val="000000">
                      <w14:alpha w14:val="100000"/>
                    </w14:srgbClr>
                  </w14:solidFill>
                </w14:textFill>
              </w:rPr>
              <w:t>|</w:t>
            </w:r>
          </w:p>
        </w:tc>
      </w:tr>
      <w:tr w:rsidR="00FB771F" w:rsidRPr="00980134" w14:paraId="0B74B317" w14:textId="77777777" w:rsidTr="00480E99">
        <w:trPr>
          <w:cantSplit/>
          <w:trHeight w:val="170"/>
        </w:trPr>
        <w:tc>
          <w:tcPr>
            <w:tcW w:w="4531" w:type="dxa"/>
            <w:tcBorders>
              <w:top w:val="nil"/>
              <w:left w:val="single" w:sz="4" w:space="0" w:color="auto"/>
              <w:bottom w:val="single" w:sz="4" w:space="0" w:color="auto"/>
              <w:right w:val="single" w:sz="8" w:space="0" w:color="auto"/>
            </w:tcBorders>
            <w:shd w:val="clear" w:color="auto" w:fill="auto"/>
            <w:vAlign w:val="center"/>
            <w:hideMark/>
          </w:tcPr>
          <w:p w14:paraId="2D15CB35" w14:textId="739E07DA" w:rsidR="00FB771F" w:rsidRPr="00980134" w:rsidRDefault="00FB771F" w:rsidP="00CD7C80">
            <w:pPr>
              <w:jc w:val="left"/>
              <w:rPr>
                <w:rFonts w:ascii="Symbol" w:hAnsi="Symbol" w:cs="Calibri"/>
                <w:color w:val="000000"/>
                <w:sz w:val="20"/>
                <w:szCs w:val="20"/>
                <w:vertAlign w:val="superscript"/>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94% (RDI based on Australian dosing regimen)</w:t>
            </w:r>
            <w:r w:rsidRPr="00980134">
              <w:rPr>
                <w:rFonts w:ascii="Arial Narrow" w:hAnsi="Arial Narrow" w:cs="Calibri"/>
                <w:color w:val="000000"/>
                <w:sz w:val="20"/>
                <w:szCs w:val="20"/>
                <w:vertAlign w:val="superscript"/>
              </w:rPr>
              <w:t xml:space="preserve">c </w:t>
            </w:r>
            <w:r w:rsidRPr="00980134">
              <w:rPr>
                <w:rFonts w:ascii="Arial Narrow" w:hAnsi="Arial Narrow" w:cs="Calibri"/>
                <w:b/>
                <w:bCs/>
                <w:color w:val="000000"/>
                <w:sz w:val="20"/>
                <w:szCs w:val="20"/>
              </w:rPr>
              <w:t>#</w:t>
            </w:r>
            <w:r w:rsidR="00BC1712" w:rsidRPr="00980134">
              <w:rPr>
                <w:rFonts w:ascii="Arial Narrow" w:hAnsi="Arial Narrow" w:cs="Calibri"/>
                <w:b/>
                <w:bCs/>
                <w:color w:val="000000"/>
                <w:sz w:val="20"/>
                <w:szCs w:val="20"/>
              </w:rPr>
              <w:t>1</w:t>
            </w:r>
          </w:p>
        </w:tc>
        <w:tc>
          <w:tcPr>
            <w:tcW w:w="1271" w:type="dxa"/>
            <w:tcBorders>
              <w:top w:val="nil"/>
              <w:left w:val="nil"/>
              <w:bottom w:val="single" w:sz="4" w:space="0" w:color="auto"/>
              <w:right w:val="single" w:sz="8" w:space="0" w:color="auto"/>
            </w:tcBorders>
            <w:shd w:val="clear" w:color="auto" w:fill="auto"/>
            <w:vAlign w:val="center"/>
            <w:hideMark/>
          </w:tcPr>
          <w:p w14:paraId="38216BD3" w14:textId="7ED0A242"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9"/>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9"/>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9"/>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single" w:sz="4" w:space="0" w:color="auto"/>
              <w:right w:val="single" w:sz="8" w:space="0" w:color="auto"/>
            </w:tcBorders>
            <w:shd w:val="clear" w:color="auto" w:fill="auto"/>
            <w:vAlign w:val="center"/>
            <w:hideMark/>
          </w:tcPr>
          <w:p w14:paraId="753240A3"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nil"/>
              <w:left w:val="nil"/>
              <w:bottom w:val="single" w:sz="4" w:space="0" w:color="auto"/>
              <w:right w:val="single" w:sz="8" w:space="0" w:color="auto"/>
            </w:tcBorders>
            <w:shd w:val="clear" w:color="auto" w:fill="auto"/>
            <w:vAlign w:val="center"/>
            <w:hideMark/>
          </w:tcPr>
          <w:p w14:paraId="23E695E4" w14:textId="0498C5A4"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8"/>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8"/>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8"/>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nil"/>
              <w:left w:val="nil"/>
              <w:bottom w:val="single" w:sz="4" w:space="0" w:color="auto"/>
              <w:right w:val="single" w:sz="4" w:space="0" w:color="auto"/>
            </w:tcBorders>
            <w:shd w:val="clear" w:color="auto" w:fill="auto"/>
            <w:vAlign w:val="center"/>
            <w:hideMark/>
          </w:tcPr>
          <w:p w14:paraId="60111C39" w14:textId="501D8E9F" w:rsidR="00FB771F" w:rsidRPr="001D5BE1" w:rsidRDefault="00640308" w:rsidP="00FB771F">
            <w:pPr>
              <w:keepNext/>
              <w:jc w:val="center"/>
              <w:rPr>
                <w:rFonts w:ascii="Arial Narrow" w:hAnsi="Arial Narrow" w:cs="Calibri"/>
                <w:sz w:val="20"/>
                <w:szCs w:val="20"/>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77"/>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7"/>
                <w14:textFill>
                  <w14:solidFill>
                    <w14:srgbClr w14:val="000000">
                      <w14:alpha w14:val="100000"/>
                    </w14:srgbClr>
                  </w14:solidFill>
                </w14:textFill>
              </w:rPr>
              <w:t>|</w:t>
            </w:r>
          </w:p>
        </w:tc>
      </w:tr>
      <w:tr w:rsidR="00FB771F" w:rsidRPr="00980134" w14:paraId="4CC0ED1F" w14:textId="77777777" w:rsidTr="00480E99">
        <w:trPr>
          <w:cantSplit/>
          <w:trHeight w:val="170"/>
        </w:trPr>
        <w:tc>
          <w:tcPr>
            <w:tcW w:w="4531" w:type="dxa"/>
            <w:tcBorders>
              <w:top w:val="single" w:sz="4" w:space="0" w:color="auto"/>
              <w:left w:val="single" w:sz="8" w:space="0" w:color="auto"/>
              <w:bottom w:val="nil"/>
              <w:right w:val="single" w:sz="8" w:space="0" w:color="auto"/>
            </w:tcBorders>
            <w:shd w:val="clear" w:color="auto" w:fill="auto"/>
            <w:vAlign w:val="center"/>
            <w:hideMark/>
          </w:tcPr>
          <w:p w14:paraId="170740EA" w14:textId="77777777" w:rsidR="00FB771F" w:rsidRPr="00980134" w:rsidRDefault="00FB771F" w:rsidP="00CD7C80">
            <w:pPr>
              <w:jc w:val="left"/>
              <w:rPr>
                <w:rFonts w:ascii="Arial Narrow" w:hAnsi="Arial Narrow" w:cs="Calibri"/>
                <w:color w:val="000000"/>
                <w:sz w:val="20"/>
                <w:szCs w:val="20"/>
              </w:rPr>
            </w:pPr>
            <w:r w:rsidRPr="00980134">
              <w:rPr>
                <w:rFonts w:ascii="Arial Narrow" w:hAnsi="Arial Narrow" w:cs="Calibri"/>
                <w:color w:val="000000"/>
                <w:sz w:val="20"/>
                <w:szCs w:val="20"/>
              </w:rPr>
              <w:t>Vial sharing/wastage for T-</w:t>
            </w:r>
            <w:proofErr w:type="spellStart"/>
            <w:r w:rsidRPr="00980134">
              <w:rPr>
                <w:rFonts w:ascii="Arial Narrow" w:hAnsi="Arial Narrow" w:cs="Calibri"/>
                <w:color w:val="000000"/>
                <w:sz w:val="20"/>
                <w:szCs w:val="20"/>
              </w:rPr>
              <w:t>DXd</w:t>
            </w:r>
            <w:proofErr w:type="spellEnd"/>
            <w:r w:rsidRPr="00980134">
              <w:rPr>
                <w:rFonts w:ascii="Arial Narrow" w:hAnsi="Arial Narrow" w:cs="Calibri"/>
                <w:color w:val="000000"/>
                <w:sz w:val="20"/>
                <w:szCs w:val="20"/>
              </w:rPr>
              <w:t xml:space="preserve"> (base case vial sharing) </w:t>
            </w:r>
          </w:p>
        </w:tc>
        <w:tc>
          <w:tcPr>
            <w:tcW w:w="1271" w:type="dxa"/>
            <w:tcBorders>
              <w:top w:val="single" w:sz="4" w:space="0" w:color="auto"/>
              <w:left w:val="nil"/>
              <w:bottom w:val="nil"/>
              <w:right w:val="single" w:sz="8" w:space="0" w:color="auto"/>
            </w:tcBorders>
            <w:shd w:val="clear" w:color="auto" w:fill="auto"/>
            <w:vAlign w:val="center"/>
            <w:hideMark/>
          </w:tcPr>
          <w:p w14:paraId="0C521665"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nil"/>
              <w:bottom w:val="nil"/>
              <w:right w:val="nil"/>
            </w:tcBorders>
            <w:shd w:val="clear" w:color="auto" w:fill="auto"/>
            <w:vAlign w:val="center"/>
            <w:hideMark/>
          </w:tcPr>
          <w:p w14:paraId="4431DBCF"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single" w:sz="8" w:space="0" w:color="auto"/>
              <w:bottom w:val="nil"/>
              <w:right w:val="single" w:sz="8" w:space="0" w:color="auto"/>
            </w:tcBorders>
            <w:shd w:val="clear" w:color="auto" w:fill="auto"/>
            <w:vAlign w:val="center"/>
            <w:hideMark/>
          </w:tcPr>
          <w:p w14:paraId="47CA7A1A" w14:textId="77777777" w:rsidR="00FB771F" w:rsidRPr="00980134" w:rsidRDefault="00FB771F" w:rsidP="00FB771F">
            <w:pPr>
              <w:keepNext/>
              <w:jc w:val="center"/>
              <w:rPr>
                <w:rFonts w:cs="Calibri"/>
                <w:color w:val="000000"/>
                <w:sz w:val="22"/>
                <w:szCs w:val="22"/>
              </w:rPr>
            </w:pPr>
          </w:p>
        </w:tc>
        <w:tc>
          <w:tcPr>
            <w:tcW w:w="937" w:type="dxa"/>
            <w:tcBorders>
              <w:top w:val="single" w:sz="4" w:space="0" w:color="auto"/>
              <w:left w:val="nil"/>
              <w:bottom w:val="nil"/>
              <w:right w:val="single" w:sz="8" w:space="0" w:color="auto"/>
            </w:tcBorders>
            <w:shd w:val="clear" w:color="auto" w:fill="auto"/>
            <w:vAlign w:val="center"/>
            <w:hideMark/>
          </w:tcPr>
          <w:p w14:paraId="3DBB127C" w14:textId="77777777" w:rsidR="00FB771F" w:rsidRPr="001D5BE1" w:rsidRDefault="00FB771F" w:rsidP="00FB771F">
            <w:pPr>
              <w:keepNext/>
              <w:jc w:val="center"/>
              <w:rPr>
                <w:rFonts w:cs="Calibri"/>
                <w:sz w:val="22"/>
                <w:szCs w:val="22"/>
                <w:highlight w:val="darkGray"/>
              </w:rPr>
            </w:pPr>
          </w:p>
        </w:tc>
      </w:tr>
      <w:tr w:rsidR="00FB771F" w:rsidRPr="00980134" w14:paraId="2B18EE2A" w14:textId="77777777" w:rsidTr="00480E99">
        <w:trPr>
          <w:cantSplit/>
          <w:trHeight w:val="170"/>
        </w:trPr>
        <w:tc>
          <w:tcPr>
            <w:tcW w:w="4531" w:type="dxa"/>
            <w:tcBorders>
              <w:top w:val="nil"/>
              <w:left w:val="single" w:sz="8" w:space="0" w:color="auto"/>
              <w:bottom w:val="single" w:sz="4" w:space="0" w:color="auto"/>
              <w:right w:val="single" w:sz="8" w:space="0" w:color="auto"/>
            </w:tcBorders>
            <w:shd w:val="clear" w:color="auto" w:fill="auto"/>
            <w:vAlign w:val="center"/>
            <w:hideMark/>
          </w:tcPr>
          <w:p w14:paraId="2055A271" w14:textId="222CA3E4" w:rsidR="00FB771F" w:rsidRPr="00980134" w:rsidRDefault="00FB771F" w:rsidP="00CD7C80">
            <w:pPr>
              <w:jc w:val="left"/>
              <w:rPr>
                <w:rFonts w:ascii="Arial Narrow" w:hAnsi="Arial Narrow" w:cs="Calibri"/>
                <w:b/>
                <w:bCs/>
                <w:color w:val="000000"/>
                <w:sz w:val="20"/>
                <w:szCs w:val="20"/>
              </w:rPr>
            </w:pPr>
            <w:r w:rsidRPr="00980134">
              <w:rPr>
                <w:rFonts w:ascii="Symbol" w:hAnsi="Symbol" w:cs="Calibri"/>
                <w:color w:val="000000"/>
                <w:sz w:val="20"/>
                <w:szCs w:val="20"/>
              </w:rPr>
              <w:t>·</w:t>
            </w:r>
            <w:r w:rsidRPr="00980134">
              <w:rPr>
                <w:rFonts w:ascii="Arial Narrow" w:hAnsi="Arial Narrow" w:cs="Calibri"/>
                <w:color w:val="000000"/>
                <w:sz w:val="20"/>
                <w:szCs w:val="20"/>
              </w:rPr>
              <w:t xml:space="preserve"> No vial sharing, evaluation's </w:t>
            </w:r>
            <w:proofErr w:type="spellStart"/>
            <w:r w:rsidRPr="00980134">
              <w:rPr>
                <w:rFonts w:ascii="Arial Narrow" w:hAnsi="Arial Narrow" w:cs="Calibri"/>
                <w:color w:val="000000"/>
                <w:sz w:val="20"/>
                <w:szCs w:val="20"/>
              </w:rPr>
              <w:t>approach</w:t>
            </w:r>
            <w:r w:rsidRPr="00980134">
              <w:rPr>
                <w:rFonts w:ascii="Arial Narrow" w:hAnsi="Arial Narrow" w:cs="Calibri"/>
                <w:color w:val="000000"/>
                <w:sz w:val="20"/>
                <w:szCs w:val="20"/>
                <w:vertAlign w:val="superscript"/>
              </w:rPr>
              <w:t>d</w:t>
            </w:r>
            <w:proofErr w:type="spellEnd"/>
            <w:r w:rsidRPr="00980134">
              <w:rPr>
                <w:rFonts w:ascii="Arial Narrow" w:hAnsi="Arial Narrow" w:cs="Calibri"/>
                <w:b/>
                <w:bCs/>
                <w:color w:val="000000"/>
                <w:sz w:val="20"/>
                <w:szCs w:val="20"/>
              </w:rPr>
              <w:t xml:space="preserve"> #</w:t>
            </w:r>
            <w:r w:rsidR="00BC1712" w:rsidRPr="00980134">
              <w:rPr>
                <w:rFonts w:ascii="Arial Narrow" w:hAnsi="Arial Narrow" w:cs="Calibri"/>
                <w:b/>
                <w:bCs/>
                <w:color w:val="000000"/>
                <w:sz w:val="20"/>
                <w:szCs w:val="20"/>
              </w:rPr>
              <w:t>3</w:t>
            </w:r>
          </w:p>
        </w:tc>
        <w:tc>
          <w:tcPr>
            <w:tcW w:w="1271" w:type="dxa"/>
            <w:tcBorders>
              <w:top w:val="nil"/>
              <w:left w:val="nil"/>
              <w:bottom w:val="single" w:sz="4" w:space="0" w:color="auto"/>
              <w:right w:val="single" w:sz="8" w:space="0" w:color="auto"/>
            </w:tcBorders>
            <w:shd w:val="clear" w:color="auto" w:fill="auto"/>
            <w:vAlign w:val="center"/>
            <w:hideMark/>
          </w:tcPr>
          <w:p w14:paraId="10459D46" w14:textId="5EC91D78"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6"/>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6"/>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6"/>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single" w:sz="4" w:space="0" w:color="auto"/>
              <w:right w:val="nil"/>
            </w:tcBorders>
            <w:shd w:val="clear" w:color="auto" w:fill="auto"/>
            <w:vAlign w:val="center"/>
            <w:hideMark/>
          </w:tcPr>
          <w:p w14:paraId="59AF4033"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333EC017" w14:textId="7C8A0867"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5"/>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5"/>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5"/>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2</w:t>
            </w:r>
          </w:p>
        </w:tc>
        <w:tc>
          <w:tcPr>
            <w:tcW w:w="937" w:type="dxa"/>
            <w:tcBorders>
              <w:top w:val="nil"/>
              <w:left w:val="nil"/>
              <w:bottom w:val="single" w:sz="4" w:space="0" w:color="auto"/>
              <w:right w:val="single" w:sz="8" w:space="0" w:color="auto"/>
            </w:tcBorders>
            <w:shd w:val="clear" w:color="auto" w:fill="auto"/>
            <w:vAlign w:val="center"/>
            <w:hideMark/>
          </w:tcPr>
          <w:p w14:paraId="095C0AD9" w14:textId="277A007F" w:rsidR="00FB771F" w:rsidRPr="001D5BE1" w:rsidRDefault="00640308" w:rsidP="00FB771F">
            <w:pPr>
              <w:keepNext/>
              <w:jc w:val="center"/>
              <w:rPr>
                <w:rFonts w:cs="Calibri"/>
                <w:sz w:val="22"/>
                <w:szCs w:val="22"/>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74"/>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4"/>
                <w14:textFill>
                  <w14:solidFill>
                    <w14:srgbClr w14:val="000000">
                      <w14:alpha w14:val="100000"/>
                    </w14:srgbClr>
                  </w14:solidFill>
                </w14:textFill>
              </w:rPr>
              <w:t>|</w:t>
            </w:r>
          </w:p>
        </w:tc>
      </w:tr>
      <w:tr w:rsidR="00FB771F" w:rsidRPr="00980134" w14:paraId="60BF134C"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76759819" w14:textId="77777777" w:rsidR="00FB771F" w:rsidRPr="00980134" w:rsidRDefault="00FB771F" w:rsidP="00CD7C80">
            <w:pPr>
              <w:jc w:val="left"/>
              <w:rPr>
                <w:rFonts w:ascii="Arial Narrow" w:hAnsi="Arial Narrow" w:cs="Calibri"/>
                <w:color w:val="000000"/>
                <w:sz w:val="20"/>
                <w:szCs w:val="20"/>
              </w:rPr>
            </w:pPr>
            <w:r w:rsidRPr="00980134">
              <w:rPr>
                <w:rFonts w:ascii="Arial Narrow" w:hAnsi="Arial Narrow" w:cs="Calibri"/>
                <w:color w:val="000000"/>
                <w:sz w:val="20"/>
                <w:szCs w:val="20"/>
              </w:rPr>
              <w:t>T-</w:t>
            </w:r>
            <w:proofErr w:type="spellStart"/>
            <w:r w:rsidRPr="00980134">
              <w:rPr>
                <w:rFonts w:ascii="Arial Narrow" w:hAnsi="Arial Narrow" w:cs="Calibri"/>
                <w:color w:val="000000"/>
                <w:sz w:val="20"/>
                <w:szCs w:val="20"/>
              </w:rPr>
              <w:t>DXd</w:t>
            </w:r>
            <w:proofErr w:type="spellEnd"/>
            <w:r w:rsidRPr="00980134">
              <w:rPr>
                <w:rFonts w:ascii="Arial Narrow" w:hAnsi="Arial Narrow" w:cs="Calibri"/>
                <w:color w:val="000000"/>
                <w:sz w:val="20"/>
                <w:szCs w:val="20"/>
              </w:rPr>
              <w:t xml:space="preserve"> TTD parametric extrapolation (base case independent gamma)</w:t>
            </w:r>
          </w:p>
        </w:tc>
        <w:tc>
          <w:tcPr>
            <w:tcW w:w="1271" w:type="dxa"/>
            <w:tcBorders>
              <w:top w:val="single" w:sz="4" w:space="0" w:color="auto"/>
              <w:left w:val="nil"/>
              <w:bottom w:val="nil"/>
              <w:right w:val="single" w:sz="8" w:space="0" w:color="auto"/>
            </w:tcBorders>
            <w:shd w:val="clear" w:color="auto" w:fill="auto"/>
            <w:vAlign w:val="center"/>
            <w:hideMark/>
          </w:tcPr>
          <w:p w14:paraId="1858E4EE"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nil"/>
              <w:bottom w:val="nil"/>
              <w:right w:val="nil"/>
            </w:tcBorders>
            <w:shd w:val="clear" w:color="auto" w:fill="auto"/>
            <w:vAlign w:val="center"/>
            <w:hideMark/>
          </w:tcPr>
          <w:p w14:paraId="25533D07"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single" w:sz="8" w:space="0" w:color="auto"/>
              <w:bottom w:val="nil"/>
              <w:right w:val="single" w:sz="8" w:space="0" w:color="auto"/>
            </w:tcBorders>
            <w:shd w:val="clear" w:color="auto" w:fill="auto"/>
            <w:vAlign w:val="center"/>
            <w:hideMark/>
          </w:tcPr>
          <w:p w14:paraId="055902B9" w14:textId="77777777" w:rsidR="00FB771F" w:rsidRPr="00980134" w:rsidRDefault="00FB771F" w:rsidP="00FB771F">
            <w:pPr>
              <w:keepNext/>
              <w:jc w:val="center"/>
              <w:rPr>
                <w:rFonts w:ascii="Arial Narrow" w:hAnsi="Arial Narrow" w:cs="Calibri"/>
                <w:color w:val="000000"/>
                <w:sz w:val="20"/>
                <w:szCs w:val="20"/>
              </w:rPr>
            </w:pPr>
          </w:p>
        </w:tc>
        <w:tc>
          <w:tcPr>
            <w:tcW w:w="937" w:type="dxa"/>
            <w:tcBorders>
              <w:top w:val="single" w:sz="4" w:space="0" w:color="auto"/>
              <w:left w:val="nil"/>
              <w:bottom w:val="nil"/>
              <w:right w:val="single" w:sz="4" w:space="0" w:color="auto"/>
            </w:tcBorders>
            <w:shd w:val="clear" w:color="auto" w:fill="auto"/>
            <w:vAlign w:val="center"/>
            <w:hideMark/>
          </w:tcPr>
          <w:p w14:paraId="42CA2A21" w14:textId="77777777" w:rsidR="00FB771F" w:rsidRPr="001D5BE1" w:rsidRDefault="00FB771F" w:rsidP="00FB771F">
            <w:pPr>
              <w:keepNext/>
              <w:jc w:val="center"/>
              <w:rPr>
                <w:rFonts w:ascii="Arial Narrow" w:hAnsi="Arial Narrow" w:cs="Calibri"/>
                <w:sz w:val="20"/>
                <w:szCs w:val="20"/>
                <w:highlight w:val="darkGray"/>
              </w:rPr>
            </w:pPr>
          </w:p>
        </w:tc>
      </w:tr>
      <w:tr w:rsidR="00FB771F" w:rsidRPr="00980134" w14:paraId="11C66D3A" w14:textId="77777777" w:rsidTr="00480E99">
        <w:trPr>
          <w:cantSplit/>
          <w:trHeight w:val="170"/>
        </w:trPr>
        <w:tc>
          <w:tcPr>
            <w:tcW w:w="4531" w:type="dxa"/>
            <w:tcBorders>
              <w:top w:val="nil"/>
              <w:left w:val="single" w:sz="4" w:space="0" w:color="auto"/>
              <w:bottom w:val="single" w:sz="4" w:space="0" w:color="auto"/>
              <w:right w:val="single" w:sz="8" w:space="0" w:color="auto"/>
            </w:tcBorders>
            <w:shd w:val="clear" w:color="auto" w:fill="auto"/>
            <w:vAlign w:val="center"/>
            <w:hideMark/>
          </w:tcPr>
          <w:p w14:paraId="1D542640" w14:textId="371BFE17" w:rsidR="00FB771F" w:rsidRPr="00980134" w:rsidRDefault="00FB771F" w:rsidP="00CD7C80">
            <w:pPr>
              <w:jc w:val="left"/>
              <w:rPr>
                <w:rFonts w:ascii="Symbol" w:hAnsi="Symbol" w:cs="Calibri"/>
                <w:color w:val="000000"/>
                <w:sz w:val="20"/>
                <w:szCs w:val="20"/>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 xml:space="preserve">Independent generalised gamma </w:t>
            </w:r>
          </w:p>
        </w:tc>
        <w:tc>
          <w:tcPr>
            <w:tcW w:w="1271" w:type="dxa"/>
            <w:tcBorders>
              <w:top w:val="nil"/>
              <w:left w:val="nil"/>
              <w:bottom w:val="single" w:sz="4" w:space="0" w:color="auto"/>
              <w:right w:val="single" w:sz="8" w:space="0" w:color="auto"/>
            </w:tcBorders>
            <w:shd w:val="clear" w:color="auto" w:fill="auto"/>
            <w:vAlign w:val="center"/>
            <w:hideMark/>
          </w:tcPr>
          <w:p w14:paraId="404C1E58" w14:textId="31E981D6"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3"/>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3"/>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3"/>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single" w:sz="4" w:space="0" w:color="auto"/>
              <w:right w:val="nil"/>
            </w:tcBorders>
            <w:shd w:val="clear" w:color="auto" w:fill="auto"/>
            <w:vAlign w:val="center"/>
            <w:hideMark/>
          </w:tcPr>
          <w:p w14:paraId="4334FF8B"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633C4EB6" w14:textId="2937CB80"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2"/>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2"/>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2"/>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nil"/>
              <w:left w:val="nil"/>
              <w:bottom w:val="single" w:sz="4" w:space="0" w:color="auto"/>
              <w:right w:val="single" w:sz="4" w:space="0" w:color="auto"/>
            </w:tcBorders>
            <w:shd w:val="clear" w:color="auto" w:fill="auto"/>
            <w:vAlign w:val="center"/>
            <w:hideMark/>
          </w:tcPr>
          <w:p w14:paraId="1BA48671" w14:textId="57DA7BDF" w:rsidR="00FB771F" w:rsidRPr="001D5BE1" w:rsidRDefault="00640308" w:rsidP="00FB771F">
            <w:pPr>
              <w:keepNext/>
              <w:jc w:val="center"/>
              <w:rPr>
                <w:rFonts w:ascii="Arial Narrow" w:hAnsi="Arial Narrow" w:cs="Calibri"/>
                <w:sz w:val="20"/>
                <w:szCs w:val="20"/>
                <w:highlight w:val="darkGray"/>
              </w:rPr>
            </w:pPr>
            <w:r w:rsidRPr="00640308">
              <w:rPr>
                <w:rFonts w:ascii="Arial Narrow" w:hAnsi="Arial Narrow" w:cs="Calibri"/>
                <w:sz w:val="20"/>
                <w:szCs w:val="20"/>
              </w:rPr>
              <w:t xml:space="preserve"> </w:t>
            </w:r>
            <w:r w:rsidRPr="00640308">
              <w:rPr>
                <w:rFonts w:ascii="Arial Narrow" w:hAnsi="Arial Narrow" w:cs="Calibri"/>
                <w:color w:val="000000"/>
                <w:spacing w:val="41"/>
                <w:sz w:val="20"/>
                <w:szCs w:val="20"/>
                <w:shd w:val="solid" w:color="000000" w:fill="000000"/>
                <w:fitText w:val="210" w:id="-1032110071"/>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71"/>
                <w14:textFill>
                  <w14:solidFill>
                    <w14:srgbClr w14:val="000000">
                      <w14:alpha w14:val="100000"/>
                    </w14:srgbClr>
                  </w14:solidFill>
                </w14:textFill>
              </w:rPr>
              <w:t>|</w:t>
            </w:r>
          </w:p>
        </w:tc>
      </w:tr>
      <w:tr w:rsidR="00FB771F" w:rsidRPr="00980134" w14:paraId="17CD1097" w14:textId="77777777" w:rsidTr="00480E99">
        <w:trPr>
          <w:cantSplit/>
          <w:trHeight w:val="170"/>
        </w:trPr>
        <w:tc>
          <w:tcPr>
            <w:tcW w:w="4531" w:type="dxa"/>
            <w:tcBorders>
              <w:top w:val="single" w:sz="4" w:space="0" w:color="auto"/>
              <w:left w:val="single" w:sz="4" w:space="0" w:color="auto"/>
              <w:bottom w:val="nil"/>
              <w:right w:val="single" w:sz="8" w:space="0" w:color="auto"/>
            </w:tcBorders>
            <w:shd w:val="clear" w:color="auto" w:fill="auto"/>
            <w:vAlign w:val="center"/>
            <w:hideMark/>
          </w:tcPr>
          <w:p w14:paraId="04590B30" w14:textId="77777777" w:rsidR="00FB771F" w:rsidRPr="00980134" w:rsidRDefault="00FB771F" w:rsidP="00CD7C80">
            <w:pPr>
              <w:jc w:val="left"/>
              <w:rPr>
                <w:rFonts w:ascii="Arial Narrow" w:hAnsi="Arial Narrow" w:cs="Calibri"/>
                <w:color w:val="000000"/>
                <w:sz w:val="20"/>
                <w:szCs w:val="20"/>
              </w:rPr>
            </w:pPr>
            <w:r w:rsidRPr="00980134">
              <w:rPr>
                <w:rFonts w:ascii="Arial Narrow" w:hAnsi="Arial Narrow" w:cs="Calibri"/>
                <w:color w:val="000000"/>
                <w:sz w:val="20"/>
                <w:szCs w:val="20"/>
              </w:rPr>
              <w:t xml:space="preserve">RDI of TPC (base case: 114% capecitabine; 99% </w:t>
            </w:r>
            <w:proofErr w:type="spellStart"/>
            <w:r w:rsidRPr="00980134">
              <w:rPr>
                <w:rFonts w:ascii="Arial Narrow" w:hAnsi="Arial Narrow" w:cs="Calibri"/>
                <w:color w:val="000000"/>
                <w:sz w:val="20"/>
                <w:szCs w:val="20"/>
              </w:rPr>
              <w:t>eribulin</w:t>
            </w:r>
            <w:proofErr w:type="spellEnd"/>
            <w:r w:rsidRPr="00980134">
              <w:rPr>
                <w:rFonts w:ascii="Arial Narrow" w:hAnsi="Arial Narrow" w:cs="Calibri"/>
                <w:color w:val="000000"/>
                <w:sz w:val="20"/>
                <w:szCs w:val="20"/>
              </w:rPr>
              <w:t>; 100% gemcitabine; 100% nab-paclitaxel; 101% paclitaxel)</w:t>
            </w:r>
          </w:p>
        </w:tc>
        <w:tc>
          <w:tcPr>
            <w:tcW w:w="1271" w:type="dxa"/>
            <w:tcBorders>
              <w:top w:val="single" w:sz="4" w:space="0" w:color="auto"/>
              <w:left w:val="nil"/>
              <w:bottom w:val="nil"/>
              <w:right w:val="nil"/>
            </w:tcBorders>
            <w:shd w:val="clear" w:color="auto" w:fill="auto"/>
            <w:vAlign w:val="center"/>
            <w:hideMark/>
          </w:tcPr>
          <w:p w14:paraId="670EDDFE"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single" w:sz="8" w:space="0" w:color="auto"/>
              <w:bottom w:val="nil"/>
              <w:right w:val="single" w:sz="8" w:space="0" w:color="auto"/>
            </w:tcBorders>
            <w:shd w:val="clear" w:color="auto" w:fill="auto"/>
            <w:vAlign w:val="center"/>
            <w:hideMark/>
          </w:tcPr>
          <w:p w14:paraId="406743E6"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nil"/>
              <w:bottom w:val="nil"/>
              <w:right w:val="nil"/>
            </w:tcBorders>
            <w:shd w:val="clear" w:color="auto" w:fill="auto"/>
            <w:vAlign w:val="center"/>
            <w:hideMark/>
          </w:tcPr>
          <w:p w14:paraId="54A4943D" w14:textId="77777777" w:rsidR="00FB771F" w:rsidRPr="00980134" w:rsidRDefault="00FB771F" w:rsidP="00FB771F">
            <w:pPr>
              <w:keepNext/>
              <w:jc w:val="center"/>
              <w:rPr>
                <w:rFonts w:ascii="Arial Narrow" w:hAnsi="Arial Narrow" w:cs="Calibri"/>
                <w:color w:val="000000"/>
                <w:sz w:val="20"/>
                <w:szCs w:val="20"/>
              </w:rPr>
            </w:pPr>
          </w:p>
        </w:tc>
        <w:tc>
          <w:tcPr>
            <w:tcW w:w="937" w:type="dxa"/>
            <w:tcBorders>
              <w:top w:val="single" w:sz="4" w:space="0" w:color="auto"/>
              <w:left w:val="single" w:sz="8" w:space="0" w:color="auto"/>
              <w:bottom w:val="nil"/>
              <w:right w:val="single" w:sz="4" w:space="0" w:color="auto"/>
            </w:tcBorders>
            <w:shd w:val="clear" w:color="auto" w:fill="auto"/>
            <w:vAlign w:val="center"/>
            <w:hideMark/>
          </w:tcPr>
          <w:p w14:paraId="48D7BF27" w14:textId="77777777" w:rsidR="00FB771F" w:rsidRPr="001D5BE1" w:rsidRDefault="00FB771F" w:rsidP="00FB771F">
            <w:pPr>
              <w:keepNext/>
              <w:jc w:val="center"/>
              <w:rPr>
                <w:rFonts w:ascii="Arial Narrow" w:hAnsi="Arial Narrow" w:cs="Calibri"/>
                <w:sz w:val="20"/>
                <w:szCs w:val="20"/>
                <w:highlight w:val="darkGray"/>
              </w:rPr>
            </w:pPr>
          </w:p>
        </w:tc>
      </w:tr>
      <w:tr w:rsidR="00FB771F" w:rsidRPr="00980134" w14:paraId="442D6C54" w14:textId="77777777" w:rsidTr="00480E99">
        <w:trPr>
          <w:cantSplit/>
          <w:trHeight w:val="170"/>
        </w:trPr>
        <w:tc>
          <w:tcPr>
            <w:tcW w:w="4531" w:type="dxa"/>
            <w:tcBorders>
              <w:top w:val="nil"/>
              <w:left w:val="single" w:sz="4" w:space="0" w:color="auto"/>
              <w:bottom w:val="nil"/>
              <w:right w:val="single" w:sz="8" w:space="0" w:color="auto"/>
            </w:tcBorders>
            <w:shd w:val="clear" w:color="auto" w:fill="auto"/>
            <w:vAlign w:val="center"/>
            <w:hideMark/>
          </w:tcPr>
          <w:p w14:paraId="31022708" w14:textId="12A622DA" w:rsidR="00FB771F" w:rsidRPr="00980134" w:rsidRDefault="00FB771F" w:rsidP="00CD7C80">
            <w:pPr>
              <w:jc w:val="left"/>
              <w:rPr>
                <w:rFonts w:ascii="Symbol" w:hAnsi="Symbol" w:cs="Calibri"/>
                <w:b/>
                <w:bCs/>
                <w:color w:val="000000"/>
                <w:sz w:val="20"/>
                <w:szCs w:val="20"/>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 xml:space="preserve">77% capecitabine; 82% </w:t>
            </w:r>
            <w:proofErr w:type="spellStart"/>
            <w:r w:rsidRPr="00980134">
              <w:rPr>
                <w:rFonts w:ascii="Arial Narrow" w:hAnsi="Arial Narrow" w:cs="Calibri"/>
                <w:color w:val="000000"/>
                <w:sz w:val="20"/>
                <w:szCs w:val="20"/>
              </w:rPr>
              <w:t>eribulin</w:t>
            </w:r>
            <w:proofErr w:type="spellEnd"/>
            <w:r w:rsidRPr="00980134">
              <w:rPr>
                <w:rFonts w:ascii="Arial Narrow" w:hAnsi="Arial Narrow" w:cs="Calibri"/>
                <w:color w:val="000000"/>
                <w:sz w:val="20"/>
                <w:szCs w:val="20"/>
              </w:rPr>
              <w:t>; 81% gemcitabine;</w:t>
            </w:r>
            <w:r w:rsidR="00980134">
              <w:rPr>
                <w:rFonts w:ascii="Arial Narrow" w:hAnsi="Arial Narrow" w:cs="Calibri"/>
                <w:color w:val="000000"/>
                <w:sz w:val="20"/>
                <w:szCs w:val="20"/>
              </w:rPr>
              <w:t xml:space="preserve"> </w:t>
            </w:r>
            <w:r w:rsidRPr="00980134">
              <w:rPr>
                <w:rFonts w:ascii="Arial Narrow" w:hAnsi="Arial Narrow" w:cs="Calibri"/>
                <w:color w:val="000000"/>
                <w:sz w:val="20"/>
                <w:szCs w:val="20"/>
              </w:rPr>
              <w:t xml:space="preserve">90% nab-paclitaxel; 105% </w:t>
            </w:r>
            <w:proofErr w:type="spellStart"/>
            <w:r w:rsidRPr="00980134">
              <w:rPr>
                <w:rFonts w:ascii="Arial Narrow" w:hAnsi="Arial Narrow" w:cs="Calibri"/>
                <w:color w:val="000000"/>
                <w:sz w:val="20"/>
                <w:szCs w:val="20"/>
              </w:rPr>
              <w:t>paclitaxel</w:t>
            </w:r>
            <w:r w:rsidRPr="00980134">
              <w:rPr>
                <w:rFonts w:ascii="Arial Narrow" w:hAnsi="Arial Narrow" w:cs="Calibri"/>
                <w:color w:val="000000"/>
                <w:sz w:val="20"/>
                <w:szCs w:val="20"/>
                <w:vertAlign w:val="superscript"/>
              </w:rPr>
              <w:t>b</w:t>
            </w:r>
            <w:proofErr w:type="spellEnd"/>
            <w:r w:rsidRPr="00980134">
              <w:rPr>
                <w:rFonts w:ascii="Arial Narrow" w:hAnsi="Arial Narrow" w:cs="Calibri"/>
                <w:color w:val="000000"/>
                <w:sz w:val="20"/>
                <w:szCs w:val="20"/>
                <w:vertAlign w:val="superscript"/>
              </w:rPr>
              <w:t xml:space="preserve"> </w:t>
            </w:r>
            <w:r w:rsidRPr="00980134">
              <w:rPr>
                <w:rFonts w:ascii="Arial Narrow" w:hAnsi="Arial Narrow" w:cs="Calibri"/>
                <w:b/>
                <w:bCs/>
                <w:color w:val="000000"/>
                <w:sz w:val="20"/>
                <w:szCs w:val="20"/>
              </w:rPr>
              <w:t>#</w:t>
            </w:r>
            <w:r w:rsidR="00BC1712" w:rsidRPr="00980134">
              <w:rPr>
                <w:rFonts w:ascii="Arial Narrow" w:hAnsi="Arial Narrow" w:cs="Calibri"/>
                <w:b/>
                <w:bCs/>
                <w:color w:val="000000"/>
                <w:sz w:val="20"/>
                <w:szCs w:val="20"/>
              </w:rPr>
              <w:t>1</w:t>
            </w:r>
          </w:p>
        </w:tc>
        <w:tc>
          <w:tcPr>
            <w:tcW w:w="1271" w:type="dxa"/>
            <w:tcBorders>
              <w:top w:val="nil"/>
              <w:left w:val="nil"/>
              <w:bottom w:val="nil"/>
              <w:right w:val="nil"/>
            </w:tcBorders>
            <w:shd w:val="clear" w:color="auto" w:fill="auto"/>
            <w:vAlign w:val="center"/>
            <w:hideMark/>
          </w:tcPr>
          <w:p w14:paraId="3AA01DE5" w14:textId="3D898A54"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0"/>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0"/>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0"/>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single" w:sz="8" w:space="0" w:color="auto"/>
              <w:bottom w:val="nil"/>
              <w:right w:val="single" w:sz="8" w:space="0" w:color="auto"/>
            </w:tcBorders>
            <w:shd w:val="clear" w:color="auto" w:fill="auto"/>
            <w:vAlign w:val="center"/>
            <w:hideMark/>
          </w:tcPr>
          <w:p w14:paraId="2BA7B8AD"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0.534</w:t>
            </w:r>
          </w:p>
        </w:tc>
        <w:tc>
          <w:tcPr>
            <w:tcW w:w="1129" w:type="dxa"/>
            <w:tcBorders>
              <w:top w:val="nil"/>
              <w:left w:val="nil"/>
              <w:bottom w:val="nil"/>
              <w:right w:val="nil"/>
            </w:tcBorders>
            <w:shd w:val="clear" w:color="auto" w:fill="auto"/>
            <w:vAlign w:val="center"/>
            <w:hideMark/>
          </w:tcPr>
          <w:p w14:paraId="5C64A08F" w14:textId="3EEDA6F1"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9"/>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9"/>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9"/>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nil"/>
              <w:left w:val="single" w:sz="8" w:space="0" w:color="auto"/>
              <w:bottom w:val="nil"/>
              <w:right w:val="single" w:sz="4" w:space="0" w:color="auto"/>
            </w:tcBorders>
            <w:shd w:val="clear" w:color="auto" w:fill="auto"/>
            <w:vAlign w:val="center"/>
            <w:hideMark/>
          </w:tcPr>
          <w:p w14:paraId="1B707461" w14:textId="6EACB8CD" w:rsidR="00FB771F" w:rsidRPr="001D5BE1" w:rsidRDefault="00640308" w:rsidP="00FB771F">
            <w:pPr>
              <w:keepNext/>
              <w:jc w:val="center"/>
              <w:rPr>
                <w:rFonts w:ascii="Arial Narrow" w:hAnsi="Arial Narrow" w:cs="Calibri"/>
                <w:sz w:val="20"/>
                <w:szCs w:val="20"/>
                <w:highlight w:val="darkGray"/>
              </w:rPr>
            </w:pPr>
            <w:r w:rsidRPr="00640308">
              <w:rPr>
                <w:rFonts w:ascii="Arial Narrow" w:hAnsi="Arial Narrow" w:cs="Calibri"/>
                <w:color w:val="000000"/>
                <w:sz w:val="20"/>
                <w:szCs w:val="20"/>
              </w:rPr>
              <w:t xml:space="preserve"> </w:t>
            </w:r>
            <w:r w:rsidRPr="00640308">
              <w:rPr>
                <w:rFonts w:ascii="Arial Narrow" w:hAnsi="Arial Narrow" w:cs="Calibri"/>
                <w:color w:val="000000"/>
                <w:spacing w:val="41"/>
                <w:sz w:val="20"/>
                <w:szCs w:val="20"/>
                <w:shd w:val="solid" w:color="000000" w:fill="000000"/>
                <w:fitText w:val="210" w:id="-1032110068"/>
                <w14:textFill>
                  <w14:solidFill>
                    <w14:srgbClr w14:val="000000">
                      <w14:alpha w14:val="100000"/>
                    </w14:srgbClr>
                  </w14:solidFill>
                </w14:textFill>
              </w:rPr>
              <w:t>||</w:t>
            </w:r>
            <w:r w:rsidRPr="00640308">
              <w:rPr>
                <w:rFonts w:ascii="Arial Narrow" w:hAnsi="Arial Narrow" w:cs="Calibri"/>
                <w:color w:val="000000"/>
                <w:spacing w:val="1"/>
                <w:sz w:val="20"/>
                <w:szCs w:val="20"/>
                <w:shd w:val="solid" w:color="000000" w:fill="000000"/>
                <w:fitText w:val="210" w:id="-1032110068"/>
                <w14:textFill>
                  <w14:solidFill>
                    <w14:srgbClr w14:val="000000">
                      <w14:alpha w14:val="100000"/>
                    </w14:srgbClr>
                  </w14:solidFill>
                </w14:textFill>
              </w:rPr>
              <w:t>|</w:t>
            </w:r>
          </w:p>
        </w:tc>
      </w:tr>
      <w:tr w:rsidR="00FB771F" w:rsidRPr="00980134" w14:paraId="4B79820F" w14:textId="77777777" w:rsidTr="00480E99">
        <w:trPr>
          <w:cantSplit/>
          <w:trHeight w:val="170"/>
        </w:trPr>
        <w:tc>
          <w:tcPr>
            <w:tcW w:w="4531" w:type="dxa"/>
            <w:tcBorders>
              <w:top w:val="single" w:sz="4" w:space="0" w:color="auto"/>
              <w:left w:val="single" w:sz="8" w:space="0" w:color="auto"/>
              <w:bottom w:val="nil"/>
              <w:right w:val="single" w:sz="8" w:space="0" w:color="auto"/>
            </w:tcBorders>
            <w:shd w:val="clear" w:color="auto" w:fill="auto"/>
            <w:vAlign w:val="center"/>
            <w:hideMark/>
          </w:tcPr>
          <w:p w14:paraId="1DA1AA1C" w14:textId="77777777" w:rsidR="00FB771F" w:rsidRPr="00980134" w:rsidRDefault="00FB771F" w:rsidP="00CD7C80">
            <w:pPr>
              <w:jc w:val="left"/>
              <w:rPr>
                <w:rFonts w:ascii="Arial Narrow" w:hAnsi="Arial Narrow" w:cs="Calibri"/>
                <w:color w:val="000000"/>
                <w:sz w:val="20"/>
                <w:szCs w:val="20"/>
              </w:rPr>
            </w:pPr>
            <w:r w:rsidRPr="00980134">
              <w:rPr>
                <w:rFonts w:ascii="Arial Narrow" w:hAnsi="Arial Narrow" w:cs="Calibri"/>
                <w:color w:val="000000"/>
                <w:sz w:val="20"/>
                <w:szCs w:val="20"/>
              </w:rPr>
              <w:t>Vial sharing/wastage for TPC (base case: vial sharing)</w:t>
            </w:r>
          </w:p>
        </w:tc>
        <w:tc>
          <w:tcPr>
            <w:tcW w:w="1271" w:type="dxa"/>
            <w:tcBorders>
              <w:top w:val="single" w:sz="4" w:space="0" w:color="auto"/>
              <w:left w:val="nil"/>
              <w:bottom w:val="nil"/>
              <w:right w:val="single" w:sz="8" w:space="0" w:color="auto"/>
            </w:tcBorders>
            <w:shd w:val="clear" w:color="auto" w:fill="auto"/>
            <w:vAlign w:val="center"/>
            <w:hideMark/>
          </w:tcPr>
          <w:p w14:paraId="5E07B49C"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nil"/>
              <w:bottom w:val="nil"/>
              <w:right w:val="single" w:sz="8" w:space="0" w:color="auto"/>
            </w:tcBorders>
            <w:shd w:val="clear" w:color="auto" w:fill="auto"/>
            <w:vAlign w:val="center"/>
            <w:hideMark/>
          </w:tcPr>
          <w:p w14:paraId="68A8A69A"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nil"/>
              <w:bottom w:val="nil"/>
              <w:right w:val="single" w:sz="8" w:space="0" w:color="auto"/>
            </w:tcBorders>
            <w:shd w:val="clear" w:color="auto" w:fill="auto"/>
            <w:vAlign w:val="center"/>
            <w:hideMark/>
          </w:tcPr>
          <w:p w14:paraId="290C4B4C" w14:textId="77777777" w:rsidR="00FB771F" w:rsidRPr="00980134" w:rsidRDefault="00FB771F" w:rsidP="00FB771F">
            <w:pPr>
              <w:keepNext/>
              <w:jc w:val="center"/>
              <w:rPr>
                <w:rFonts w:ascii="Arial Narrow" w:hAnsi="Arial Narrow" w:cs="Calibri"/>
                <w:color w:val="000000"/>
                <w:sz w:val="20"/>
                <w:szCs w:val="20"/>
              </w:rPr>
            </w:pPr>
          </w:p>
        </w:tc>
        <w:tc>
          <w:tcPr>
            <w:tcW w:w="937" w:type="dxa"/>
            <w:tcBorders>
              <w:top w:val="single" w:sz="4" w:space="0" w:color="auto"/>
              <w:left w:val="nil"/>
              <w:bottom w:val="nil"/>
              <w:right w:val="single" w:sz="8" w:space="0" w:color="auto"/>
            </w:tcBorders>
            <w:shd w:val="clear" w:color="auto" w:fill="auto"/>
            <w:vAlign w:val="center"/>
            <w:hideMark/>
          </w:tcPr>
          <w:p w14:paraId="57B164EB" w14:textId="77777777" w:rsidR="00FB771F" w:rsidRPr="00980134" w:rsidRDefault="00FB771F" w:rsidP="00FB771F">
            <w:pPr>
              <w:keepNext/>
              <w:jc w:val="center"/>
              <w:rPr>
                <w:rFonts w:ascii="Arial Narrow" w:hAnsi="Arial Narrow" w:cs="Calibri"/>
                <w:sz w:val="20"/>
                <w:szCs w:val="20"/>
              </w:rPr>
            </w:pPr>
          </w:p>
        </w:tc>
      </w:tr>
      <w:tr w:rsidR="00FB771F" w:rsidRPr="00980134" w14:paraId="642CC5FC" w14:textId="77777777" w:rsidTr="00480E99">
        <w:trPr>
          <w:cantSplit/>
          <w:trHeight w:val="170"/>
        </w:trPr>
        <w:tc>
          <w:tcPr>
            <w:tcW w:w="4531" w:type="dxa"/>
            <w:tcBorders>
              <w:top w:val="nil"/>
              <w:left w:val="single" w:sz="8" w:space="0" w:color="auto"/>
              <w:bottom w:val="single" w:sz="4" w:space="0" w:color="auto"/>
              <w:right w:val="single" w:sz="8" w:space="0" w:color="auto"/>
            </w:tcBorders>
            <w:shd w:val="clear" w:color="auto" w:fill="auto"/>
            <w:vAlign w:val="center"/>
            <w:hideMark/>
          </w:tcPr>
          <w:p w14:paraId="0F7F4880" w14:textId="181D35CA" w:rsidR="00FB771F" w:rsidRPr="00980134" w:rsidRDefault="00FB771F" w:rsidP="00CD7C80">
            <w:pPr>
              <w:jc w:val="left"/>
              <w:rPr>
                <w:rFonts w:ascii="Symbol" w:hAnsi="Symbol" w:cs="Calibri"/>
                <w:b/>
                <w:bCs/>
                <w:color w:val="000000"/>
                <w:sz w:val="20"/>
                <w:szCs w:val="20"/>
              </w:rPr>
            </w:pPr>
            <w:r w:rsidRPr="00980134">
              <w:rPr>
                <w:rFonts w:ascii="Symbol" w:hAnsi="Symbol" w:cs="Calibri"/>
                <w:color w:val="000000"/>
                <w:sz w:val="20"/>
                <w:szCs w:val="20"/>
              </w:rPr>
              <w:t></w:t>
            </w:r>
            <w:r w:rsidRPr="00980134">
              <w:rPr>
                <w:rFonts w:ascii="Times New Roman" w:hAnsi="Times New Roman" w:cs="Times New Roman"/>
                <w:color w:val="000000"/>
                <w:sz w:val="14"/>
                <w:szCs w:val="14"/>
              </w:rPr>
              <w:t xml:space="preserve"> </w:t>
            </w:r>
            <w:r w:rsidRPr="00980134">
              <w:rPr>
                <w:rFonts w:ascii="Arial Narrow" w:hAnsi="Arial Narrow" w:cs="Calibri"/>
                <w:color w:val="000000"/>
                <w:sz w:val="20"/>
                <w:szCs w:val="20"/>
              </w:rPr>
              <w:t xml:space="preserve">No vial sharing, evaluation’s </w:t>
            </w:r>
            <w:proofErr w:type="spellStart"/>
            <w:r w:rsidRPr="00980134">
              <w:rPr>
                <w:rFonts w:ascii="Arial Narrow" w:hAnsi="Arial Narrow" w:cs="Calibri"/>
                <w:color w:val="000000"/>
                <w:sz w:val="20"/>
                <w:szCs w:val="20"/>
              </w:rPr>
              <w:t>approach</w:t>
            </w:r>
            <w:r w:rsidRPr="00980134">
              <w:rPr>
                <w:rFonts w:ascii="Arial Narrow" w:hAnsi="Arial Narrow" w:cs="Calibri"/>
                <w:color w:val="000000"/>
                <w:sz w:val="20"/>
                <w:szCs w:val="20"/>
                <w:vertAlign w:val="superscript"/>
              </w:rPr>
              <w:t>d</w:t>
            </w:r>
            <w:proofErr w:type="spellEnd"/>
            <w:r w:rsidRPr="00980134">
              <w:rPr>
                <w:rFonts w:ascii="Arial Narrow" w:hAnsi="Arial Narrow" w:cs="Calibri"/>
                <w:color w:val="000000"/>
                <w:sz w:val="20"/>
                <w:szCs w:val="20"/>
              </w:rPr>
              <w:t xml:space="preserve"> </w:t>
            </w:r>
            <w:r w:rsidRPr="00980134">
              <w:rPr>
                <w:rFonts w:ascii="Arial Narrow" w:hAnsi="Arial Narrow" w:cs="Calibri"/>
                <w:b/>
                <w:bCs/>
                <w:color w:val="000000"/>
                <w:sz w:val="20"/>
                <w:szCs w:val="20"/>
              </w:rPr>
              <w:t>#</w:t>
            </w:r>
            <w:r w:rsidR="00BC1712" w:rsidRPr="00980134">
              <w:rPr>
                <w:rFonts w:ascii="Arial Narrow" w:hAnsi="Arial Narrow" w:cs="Calibri"/>
                <w:b/>
                <w:bCs/>
                <w:color w:val="000000"/>
                <w:sz w:val="20"/>
                <w:szCs w:val="20"/>
              </w:rPr>
              <w:t>3</w:t>
            </w:r>
          </w:p>
        </w:tc>
        <w:tc>
          <w:tcPr>
            <w:tcW w:w="1271" w:type="dxa"/>
            <w:tcBorders>
              <w:top w:val="nil"/>
              <w:left w:val="nil"/>
              <w:bottom w:val="single" w:sz="4" w:space="0" w:color="auto"/>
              <w:right w:val="single" w:sz="8" w:space="0" w:color="auto"/>
            </w:tcBorders>
            <w:shd w:val="clear" w:color="auto" w:fill="auto"/>
            <w:vAlign w:val="center"/>
            <w:hideMark/>
          </w:tcPr>
          <w:p w14:paraId="210D222E" w14:textId="0A7354A8"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7"/>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7"/>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7"/>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nil"/>
              <w:left w:val="nil"/>
              <w:bottom w:val="single" w:sz="4" w:space="0" w:color="auto"/>
              <w:right w:val="single" w:sz="8" w:space="0" w:color="auto"/>
            </w:tcBorders>
            <w:shd w:val="clear" w:color="auto" w:fill="auto"/>
            <w:vAlign w:val="center"/>
            <w:hideMark/>
          </w:tcPr>
          <w:p w14:paraId="0FE503B9" w14:textId="77777777" w:rsidR="00FB771F" w:rsidRPr="00980134" w:rsidRDefault="00FB771F" w:rsidP="00FB771F">
            <w:pPr>
              <w:keepNext/>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nil"/>
              <w:left w:val="nil"/>
              <w:bottom w:val="single" w:sz="4" w:space="0" w:color="auto"/>
              <w:right w:val="single" w:sz="8" w:space="0" w:color="auto"/>
            </w:tcBorders>
            <w:shd w:val="clear" w:color="auto" w:fill="auto"/>
            <w:vAlign w:val="center"/>
            <w:hideMark/>
          </w:tcPr>
          <w:p w14:paraId="5FCC8ED8" w14:textId="5A7D2213" w:rsidR="00FB771F" w:rsidRPr="00980134" w:rsidRDefault="00640308" w:rsidP="00FB771F">
            <w:pPr>
              <w:keepNext/>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6"/>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6"/>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6"/>
                <w14:textFill>
                  <w14:solidFill>
                    <w14:srgbClr w14:val="000000">
                      <w14:alpha w14:val="100000"/>
                    </w14:srgbClr>
                  </w14:solidFill>
                </w14:textFill>
              </w:rPr>
              <w:t xml:space="preserve">　</w:t>
            </w:r>
            <w:r w:rsidR="00163DB0">
              <w:rPr>
                <w:rFonts w:ascii="Arial Narrow" w:hAnsi="Arial Narrow" w:cs="Calibri"/>
                <w:b/>
                <w:bCs/>
                <w:color w:val="000000"/>
                <w:sz w:val="20"/>
                <w:szCs w:val="20"/>
                <w:vertAlign w:val="superscript"/>
              </w:rPr>
              <w:t>1</w:t>
            </w:r>
          </w:p>
        </w:tc>
        <w:tc>
          <w:tcPr>
            <w:tcW w:w="937" w:type="dxa"/>
            <w:tcBorders>
              <w:top w:val="nil"/>
              <w:left w:val="nil"/>
              <w:bottom w:val="single" w:sz="4" w:space="0" w:color="auto"/>
              <w:right w:val="single" w:sz="8" w:space="0" w:color="auto"/>
            </w:tcBorders>
            <w:shd w:val="clear" w:color="auto" w:fill="auto"/>
            <w:vAlign w:val="center"/>
            <w:hideMark/>
          </w:tcPr>
          <w:p w14:paraId="4590EEFA" w14:textId="33FB34BC" w:rsidR="00FB771F" w:rsidRPr="00980134" w:rsidRDefault="00FB771F" w:rsidP="00FB771F">
            <w:pPr>
              <w:keepNext/>
              <w:jc w:val="center"/>
              <w:rPr>
                <w:rFonts w:ascii="Arial Narrow" w:hAnsi="Arial Narrow" w:cs="Calibri"/>
                <w:sz w:val="20"/>
                <w:szCs w:val="20"/>
              </w:rPr>
            </w:pPr>
            <w:r w:rsidRPr="00980134">
              <w:rPr>
                <w:rFonts w:ascii="Arial Narrow" w:hAnsi="Arial Narrow" w:cs="Calibri"/>
                <w:sz w:val="20"/>
                <w:szCs w:val="20"/>
              </w:rPr>
              <w:t>-</w:t>
            </w:r>
            <w:r w:rsidR="00640308" w:rsidRPr="00640308">
              <w:rPr>
                <w:rFonts w:ascii="Arial Narrow" w:hAnsi="Arial Narrow" w:cs="Calibri"/>
                <w:sz w:val="20"/>
                <w:szCs w:val="20"/>
              </w:rPr>
              <w:t xml:space="preserve"> </w:t>
            </w:r>
            <w:r w:rsidR="00640308" w:rsidRPr="00640308">
              <w:rPr>
                <w:rFonts w:ascii="Arial Narrow" w:hAnsi="Arial Narrow" w:cs="Calibri"/>
                <w:color w:val="000000"/>
                <w:spacing w:val="154"/>
                <w:sz w:val="20"/>
                <w:szCs w:val="20"/>
                <w:shd w:val="solid" w:color="000000" w:fill="000000"/>
                <w:fitText w:val="240" w:id="-1032110065"/>
                <w14:textFill>
                  <w14:solidFill>
                    <w14:srgbClr w14:val="000000">
                      <w14:alpha w14:val="100000"/>
                    </w14:srgbClr>
                  </w14:solidFill>
                </w14:textFill>
              </w:rPr>
              <w:t>|</w:t>
            </w:r>
            <w:r w:rsidR="00640308" w:rsidRPr="00640308">
              <w:rPr>
                <w:rFonts w:ascii="Arial Narrow" w:hAnsi="Arial Narrow" w:cs="Calibri"/>
                <w:color w:val="000000"/>
                <w:spacing w:val="1"/>
                <w:sz w:val="20"/>
                <w:szCs w:val="20"/>
                <w:shd w:val="solid" w:color="000000" w:fill="000000"/>
                <w:fitText w:val="240" w:id="-1032110065"/>
                <w14:textFill>
                  <w14:solidFill>
                    <w14:srgbClr w14:val="000000">
                      <w14:alpha w14:val="100000"/>
                    </w14:srgbClr>
                  </w14:solidFill>
                </w14:textFill>
              </w:rPr>
              <w:t>|</w:t>
            </w:r>
          </w:p>
        </w:tc>
      </w:tr>
      <w:tr w:rsidR="00FB771F" w:rsidRPr="00980134" w14:paraId="63ADFD5C" w14:textId="77777777" w:rsidTr="00480E99">
        <w:trPr>
          <w:cantSplit/>
          <w:trHeight w:val="170"/>
        </w:trPr>
        <w:tc>
          <w:tcPr>
            <w:tcW w:w="4531" w:type="dxa"/>
            <w:tcBorders>
              <w:top w:val="single" w:sz="4" w:space="0" w:color="auto"/>
              <w:left w:val="single" w:sz="8" w:space="0" w:color="auto"/>
              <w:bottom w:val="nil"/>
              <w:right w:val="single" w:sz="8" w:space="0" w:color="auto"/>
            </w:tcBorders>
            <w:shd w:val="clear" w:color="auto" w:fill="auto"/>
            <w:vAlign w:val="center"/>
            <w:hideMark/>
          </w:tcPr>
          <w:p w14:paraId="24B4343B" w14:textId="77777777" w:rsidR="00FB771F" w:rsidRPr="003B0AA5" w:rsidRDefault="00FB771F" w:rsidP="00CD7C80">
            <w:pPr>
              <w:jc w:val="left"/>
              <w:rPr>
                <w:rFonts w:ascii="Arial Narrow" w:hAnsi="Arial Narrow" w:cs="Calibri"/>
                <w:color w:val="000000"/>
                <w:sz w:val="20"/>
                <w:szCs w:val="20"/>
              </w:rPr>
            </w:pPr>
            <w:r w:rsidRPr="003B0AA5">
              <w:rPr>
                <w:rFonts w:ascii="Arial Narrow" w:hAnsi="Arial Narrow" w:cs="Calibri"/>
                <w:color w:val="000000"/>
                <w:sz w:val="20"/>
                <w:szCs w:val="20"/>
              </w:rPr>
              <w:t>Subsequent treatments (base case: $265 per cycle following T-</w:t>
            </w:r>
            <w:proofErr w:type="spellStart"/>
            <w:r w:rsidRPr="003B0AA5">
              <w:rPr>
                <w:rFonts w:ascii="Arial Narrow" w:hAnsi="Arial Narrow" w:cs="Calibri"/>
                <w:color w:val="000000"/>
                <w:sz w:val="20"/>
                <w:szCs w:val="20"/>
              </w:rPr>
              <w:t>DXd</w:t>
            </w:r>
            <w:proofErr w:type="spellEnd"/>
            <w:r w:rsidRPr="003B0AA5">
              <w:rPr>
                <w:rFonts w:ascii="Arial Narrow" w:hAnsi="Arial Narrow" w:cs="Calibri"/>
                <w:color w:val="000000"/>
                <w:sz w:val="20"/>
                <w:szCs w:val="20"/>
              </w:rPr>
              <w:t xml:space="preserve"> and $428 following TPC, assumes 63% and 76% of T-</w:t>
            </w:r>
            <w:proofErr w:type="spellStart"/>
            <w:r w:rsidRPr="003B0AA5">
              <w:rPr>
                <w:rFonts w:ascii="Arial Narrow" w:hAnsi="Arial Narrow" w:cs="Calibri"/>
                <w:color w:val="000000"/>
                <w:sz w:val="20"/>
                <w:szCs w:val="20"/>
              </w:rPr>
              <w:t>DXd</w:t>
            </w:r>
            <w:proofErr w:type="spellEnd"/>
            <w:r w:rsidRPr="003B0AA5">
              <w:rPr>
                <w:rFonts w:ascii="Arial Narrow" w:hAnsi="Arial Narrow" w:cs="Calibri"/>
                <w:color w:val="000000"/>
                <w:sz w:val="20"/>
                <w:szCs w:val="20"/>
              </w:rPr>
              <w:t xml:space="preserve"> and TPC patients receive subsequent therapy, respectively until death and vial sharing).</w:t>
            </w:r>
            <w:proofErr w:type="spellStart"/>
            <w:r w:rsidRPr="003B0AA5">
              <w:rPr>
                <w:rFonts w:ascii="Arial Narrow" w:hAnsi="Arial Narrow" w:cs="Calibri"/>
                <w:color w:val="000000"/>
                <w:sz w:val="20"/>
                <w:szCs w:val="20"/>
                <w:vertAlign w:val="superscript"/>
              </w:rPr>
              <w:t>d,e</w:t>
            </w:r>
            <w:proofErr w:type="spellEnd"/>
          </w:p>
        </w:tc>
        <w:tc>
          <w:tcPr>
            <w:tcW w:w="1271" w:type="dxa"/>
            <w:tcBorders>
              <w:top w:val="single" w:sz="4" w:space="0" w:color="auto"/>
              <w:left w:val="nil"/>
              <w:bottom w:val="nil"/>
              <w:right w:val="single" w:sz="8" w:space="0" w:color="auto"/>
            </w:tcBorders>
            <w:shd w:val="clear" w:color="auto" w:fill="auto"/>
            <w:vAlign w:val="center"/>
            <w:hideMark/>
          </w:tcPr>
          <w:p w14:paraId="3044938D" w14:textId="77777777" w:rsidR="00FB771F" w:rsidRPr="00980134" w:rsidRDefault="00FB771F" w:rsidP="00FB771F">
            <w:pPr>
              <w:keepNext/>
              <w:jc w:val="center"/>
              <w:rPr>
                <w:rFonts w:ascii="Arial Narrow" w:hAnsi="Arial Narrow" w:cs="Calibri"/>
                <w:color w:val="000000"/>
                <w:sz w:val="20"/>
                <w:szCs w:val="20"/>
              </w:rPr>
            </w:pPr>
          </w:p>
        </w:tc>
        <w:tc>
          <w:tcPr>
            <w:tcW w:w="1139" w:type="dxa"/>
            <w:tcBorders>
              <w:top w:val="single" w:sz="4" w:space="0" w:color="auto"/>
              <w:left w:val="nil"/>
              <w:bottom w:val="nil"/>
              <w:right w:val="single" w:sz="8" w:space="0" w:color="auto"/>
            </w:tcBorders>
            <w:shd w:val="clear" w:color="auto" w:fill="auto"/>
            <w:vAlign w:val="center"/>
            <w:hideMark/>
          </w:tcPr>
          <w:p w14:paraId="51DD5313" w14:textId="77777777" w:rsidR="00FB771F" w:rsidRPr="00980134" w:rsidRDefault="00FB771F" w:rsidP="00FB771F">
            <w:pPr>
              <w:keepNext/>
              <w:jc w:val="center"/>
              <w:rPr>
                <w:rFonts w:ascii="Arial Narrow" w:hAnsi="Arial Narrow" w:cs="Calibri"/>
                <w:color w:val="000000"/>
                <w:sz w:val="20"/>
                <w:szCs w:val="20"/>
              </w:rPr>
            </w:pPr>
          </w:p>
        </w:tc>
        <w:tc>
          <w:tcPr>
            <w:tcW w:w="1129" w:type="dxa"/>
            <w:tcBorders>
              <w:top w:val="single" w:sz="4" w:space="0" w:color="auto"/>
              <w:left w:val="nil"/>
              <w:bottom w:val="nil"/>
              <w:right w:val="single" w:sz="8" w:space="0" w:color="auto"/>
            </w:tcBorders>
            <w:shd w:val="clear" w:color="auto" w:fill="auto"/>
            <w:vAlign w:val="center"/>
            <w:hideMark/>
          </w:tcPr>
          <w:p w14:paraId="32C8EB5A" w14:textId="77777777" w:rsidR="00FB771F" w:rsidRPr="00980134" w:rsidRDefault="00FB771F" w:rsidP="00FB771F">
            <w:pPr>
              <w:keepNext/>
              <w:jc w:val="center"/>
              <w:rPr>
                <w:rFonts w:ascii="Arial Narrow" w:hAnsi="Arial Narrow" w:cs="Calibri"/>
                <w:color w:val="000000"/>
                <w:sz w:val="20"/>
                <w:szCs w:val="20"/>
              </w:rPr>
            </w:pPr>
          </w:p>
        </w:tc>
        <w:tc>
          <w:tcPr>
            <w:tcW w:w="937" w:type="dxa"/>
            <w:tcBorders>
              <w:top w:val="single" w:sz="4" w:space="0" w:color="auto"/>
              <w:left w:val="nil"/>
              <w:bottom w:val="nil"/>
              <w:right w:val="single" w:sz="8" w:space="0" w:color="auto"/>
            </w:tcBorders>
            <w:shd w:val="clear" w:color="auto" w:fill="auto"/>
            <w:vAlign w:val="center"/>
            <w:hideMark/>
          </w:tcPr>
          <w:p w14:paraId="60F9A14D" w14:textId="77777777" w:rsidR="00FB771F" w:rsidRPr="00980134" w:rsidRDefault="00FB771F" w:rsidP="00FB771F">
            <w:pPr>
              <w:keepNext/>
              <w:jc w:val="center"/>
              <w:rPr>
                <w:rFonts w:ascii="Arial Narrow" w:hAnsi="Arial Narrow" w:cs="Calibri"/>
                <w:sz w:val="20"/>
                <w:szCs w:val="20"/>
              </w:rPr>
            </w:pPr>
          </w:p>
        </w:tc>
      </w:tr>
      <w:tr w:rsidR="00FB771F" w:rsidRPr="00980134" w14:paraId="6868F767" w14:textId="77777777" w:rsidTr="00480E99">
        <w:trPr>
          <w:cantSplit/>
          <w:trHeight w:val="170"/>
        </w:trPr>
        <w:tc>
          <w:tcPr>
            <w:tcW w:w="4531" w:type="dxa"/>
            <w:tcBorders>
              <w:top w:val="nil"/>
              <w:left w:val="single" w:sz="8" w:space="0" w:color="auto"/>
              <w:bottom w:val="nil"/>
              <w:right w:val="single" w:sz="8" w:space="0" w:color="auto"/>
            </w:tcBorders>
            <w:shd w:val="clear" w:color="auto" w:fill="auto"/>
            <w:vAlign w:val="center"/>
          </w:tcPr>
          <w:p w14:paraId="24DD8BF7" w14:textId="66D0E7F2" w:rsidR="00FB771F" w:rsidRPr="003B0AA5" w:rsidRDefault="00FB771F" w:rsidP="00CD7C80">
            <w:pPr>
              <w:jc w:val="left"/>
              <w:rPr>
                <w:rFonts w:ascii="Symbol" w:hAnsi="Symbol" w:cs="Calibri"/>
                <w:color w:val="000000"/>
                <w:sz w:val="20"/>
                <w:szCs w:val="20"/>
              </w:rPr>
            </w:pPr>
            <w:r w:rsidRPr="003B0AA5">
              <w:rPr>
                <w:rFonts w:ascii="Symbol" w:hAnsi="Symbol" w:cs="Calibri"/>
                <w:color w:val="000000"/>
                <w:sz w:val="20"/>
                <w:szCs w:val="20"/>
              </w:rPr>
              <w:t>·</w:t>
            </w:r>
            <w:r w:rsidRPr="003B0AA5">
              <w:rPr>
                <w:rFonts w:ascii="Times New Roman" w:hAnsi="Times New Roman" w:cs="Times New Roman"/>
                <w:color w:val="000000"/>
                <w:sz w:val="14"/>
                <w:szCs w:val="14"/>
              </w:rPr>
              <w:t xml:space="preserve"> </w:t>
            </w:r>
            <w:r w:rsidRPr="003B0AA5">
              <w:rPr>
                <w:rFonts w:ascii="Arial Narrow" w:hAnsi="Arial Narrow" w:cs="Calibri"/>
                <w:color w:val="000000"/>
                <w:sz w:val="20"/>
                <w:szCs w:val="20"/>
              </w:rPr>
              <w:t>$611 per cycle following T-</w:t>
            </w:r>
            <w:proofErr w:type="spellStart"/>
            <w:r w:rsidRPr="003B0AA5">
              <w:rPr>
                <w:rFonts w:ascii="Arial Narrow" w:hAnsi="Arial Narrow" w:cs="Calibri"/>
                <w:color w:val="000000"/>
                <w:sz w:val="20"/>
                <w:szCs w:val="20"/>
              </w:rPr>
              <w:t>DXd</w:t>
            </w:r>
            <w:proofErr w:type="spellEnd"/>
            <w:r w:rsidRPr="003B0AA5">
              <w:rPr>
                <w:rFonts w:ascii="Arial Narrow" w:hAnsi="Arial Narrow" w:cs="Calibri"/>
                <w:color w:val="000000"/>
                <w:sz w:val="20"/>
                <w:szCs w:val="20"/>
              </w:rPr>
              <w:t xml:space="preserve"> and $602 following TPC (all patients receive subsequent therapy upon progression, distribution of patients receiving each subsequent therapy based on the number of patients receiving subsequent therapy and inclusion of wastage and fixed EFC fees)</w:t>
            </w:r>
            <w:proofErr w:type="spellStart"/>
            <w:r w:rsidRPr="003B0AA5">
              <w:rPr>
                <w:rFonts w:ascii="Arial Narrow" w:hAnsi="Arial Narrow" w:cs="Calibri"/>
                <w:color w:val="000000"/>
                <w:sz w:val="20"/>
                <w:szCs w:val="20"/>
                <w:vertAlign w:val="superscript"/>
              </w:rPr>
              <w:t>e,d,f</w:t>
            </w:r>
            <w:proofErr w:type="spellEnd"/>
            <w:r w:rsidRPr="003B0AA5">
              <w:rPr>
                <w:rFonts w:ascii="Arial Narrow" w:hAnsi="Arial Narrow" w:cs="Calibri"/>
                <w:color w:val="000000"/>
                <w:sz w:val="20"/>
                <w:szCs w:val="20"/>
                <w:vertAlign w:val="superscript"/>
              </w:rPr>
              <w:t xml:space="preserve"> </w:t>
            </w:r>
            <w:r w:rsidRPr="003B0AA5">
              <w:rPr>
                <w:rFonts w:ascii="Arial Narrow" w:hAnsi="Arial Narrow" w:cs="Calibri"/>
                <w:b/>
                <w:bCs/>
                <w:color w:val="000000"/>
                <w:sz w:val="20"/>
                <w:szCs w:val="20"/>
              </w:rPr>
              <w:t>#</w:t>
            </w:r>
            <w:r w:rsidR="00BC1712" w:rsidRPr="003B0AA5">
              <w:rPr>
                <w:rFonts w:ascii="Arial Narrow" w:hAnsi="Arial Narrow" w:cs="Calibri"/>
                <w:b/>
                <w:bCs/>
                <w:color w:val="000000"/>
                <w:sz w:val="20"/>
                <w:szCs w:val="20"/>
              </w:rPr>
              <w:t>2</w:t>
            </w:r>
          </w:p>
        </w:tc>
        <w:tc>
          <w:tcPr>
            <w:tcW w:w="1271" w:type="dxa"/>
            <w:tcBorders>
              <w:top w:val="nil"/>
              <w:left w:val="nil"/>
              <w:bottom w:val="nil"/>
              <w:right w:val="single" w:sz="8" w:space="0" w:color="auto"/>
            </w:tcBorders>
            <w:shd w:val="clear" w:color="auto" w:fill="auto"/>
            <w:vAlign w:val="center"/>
          </w:tcPr>
          <w:p w14:paraId="624F3887" w14:textId="40AD2432" w:rsidR="00FB771F" w:rsidRPr="00980134" w:rsidRDefault="00640308" w:rsidP="00FB771F">
            <w:pPr>
              <w:pStyle w:val="TableText0"/>
              <w:jc w:val="center"/>
            </w:pPr>
            <w:r w:rsidRPr="00640308">
              <w:t xml:space="preserve"> </w:t>
            </w:r>
            <w:r w:rsidRPr="00640308">
              <w:rPr>
                <w:rFonts w:hint="eastAsia"/>
                <w:color w:val="000000"/>
                <w:w w:val="15"/>
                <w:shd w:val="solid" w:color="000000" w:fill="000000"/>
                <w:fitText w:val="40" w:id="-1032110064"/>
                <w14:textFill>
                  <w14:solidFill>
                    <w14:srgbClr w14:val="000000">
                      <w14:alpha w14:val="100000"/>
                    </w14:srgbClr>
                  </w14:solidFill>
                </w14:textFill>
              </w:rPr>
              <w:t xml:space="preserve">　</w:t>
            </w:r>
            <w:r w:rsidRPr="00640308">
              <w:rPr>
                <w:color w:val="000000"/>
                <w:w w:val="15"/>
                <w:shd w:val="solid" w:color="000000" w:fill="000000"/>
                <w:fitText w:val="40" w:id="-1032110064"/>
                <w14:textFill>
                  <w14:solidFill>
                    <w14:srgbClr w14:val="000000">
                      <w14:alpha w14:val="100000"/>
                    </w14:srgbClr>
                  </w14:solidFill>
                </w14:textFill>
              </w:rPr>
              <w:t>|</w:t>
            </w:r>
            <w:r w:rsidRPr="00640308">
              <w:rPr>
                <w:rFonts w:hint="eastAsia"/>
                <w:color w:val="000000"/>
                <w:spacing w:val="-25"/>
                <w:w w:val="15"/>
                <w:shd w:val="solid" w:color="000000" w:fill="000000"/>
                <w:fitText w:val="40" w:id="-1032110064"/>
                <w14:textFill>
                  <w14:solidFill>
                    <w14:srgbClr w14:val="000000">
                      <w14:alpha w14:val="100000"/>
                    </w14:srgbClr>
                  </w14:solidFill>
                </w14:textFill>
              </w:rPr>
              <w:t xml:space="preserve">　</w:t>
            </w:r>
            <w:r w:rsidR="006062AB">
              <w:t xml:space="preserve"> </w:t>
            </w:r>
          </w:p>
        </w:tc>
        <w:tc>
          <w:tcPr>
            <w:tcW w:w="1139" w:type="dxa"/>
            <w:tcBorders>
              <w:top w:val="nil"/>
              <w:left w:val="nil"/>
              <w:bottom w:val="nil"/>
              <w:right w:val="single" w:sz="8" w:space="0" w:color="auto"/>
            </w:tcBorders>
            <w:shd w:val="clear" w:color="auto" w:fill="auto"/>
            <w:vAlign w:val="center"/>
          </w:tcPr>
          <w:p w14:paraId="14387CEB" w14:textId="77777777" w:rsidR="00FB771F" w:rsidRPr="00980134" w:rsidRDefault="00FB771F" w:rsidP="00FB771F">
            <w:pPr>
              <w:pStyle w:val="TableText0"/>
              <w:jc w:val="center"/>
            </w:pPr>
            <w:r w:rsidRPr="00980134">
              <w:t>0.534</w:t>
            </w:r>
          </w:p>
        </w:tc>
        <w:tc>
          <w:tcPr>
            <w:tcW w:w="1129" w:type="dxa"/>
            <w:tcBorders>
              <w:top w:val="nil"/>
              <w:left w:val="nil"/>
              <w:bottom w:val="nil"/>
              <w:right w:val="single" w:sz="8" w:space="0" w:color="auto"/>
            </w:tcBorders>
            <w:shd w:val="clear" w:color="auto" w:fill="auto"/>
            <w:vAlign w:val="center"/>
          </w:tcPr>
          <w:p w14:paraId="561D1019" w14:textId="0E0C15C2" w:rsidR="00FB771F" w:rsidRPr="00980134" w:rsidRDefault="00640308" w:rsidP="00FB771F">
            <w:pPr>
              <w:pStyle w:val="TableText0"/>
              <w:jc w:val="center"/>
            </w:pPr>
            <w:r w:rsidRPr="00640308">
              <w:t xml:space="preserve"> </w:t>
            </w:r>
            <w:r w:rsidRPr="00640308">
              <w:rPr>
                <w:rFonts w:hint="eastAsia"/>
                <w:color w:val="000000"/>
                <w:w w:val="31"/>
                <w:shd w:val="solid" w:color="000000" w:fill="000000"/>
                <w:fitText w:val="140" w:id="-1032110080"/>
                <w14:textFill>
                  <w14:solidFill>
                    <w14:srgbClr w14:val="000000">
                      <w14:alpha w14:val="100000"/>
                    </w14:srgbClr>
                  </w14:solidFill>
                </w14:textFill>
              </w:rPr>
              <w:t xml:space="preserve">　</w:t>
            </w:r>
            <w:r w:rsidRPr="00640308">
              <w:rPr>
                <w:color w:val="000000"/>
                <w:w w:val="31"/>
                <w:shd w:val="solid" w:color="000000" w:fill="000000"/>
                <w:fitText w:val="140" w:id="-1032110080"/>
                <w14:textFill>
                  <w14:solidFill>
                    <w14:srgbClr w14:val="000000">
                      <w14:alpha w14:val="100000"/>
                    </w14:srgbClr>
                  </w14:solidFill>
                </w14:textFill>
              </w:rPr>
              <w:t>|</w:t>
            </w:r>
            <w:r w:rsidRPr="00640308">
              <w:rPr>
                <w:rFonts w:hint="eastAsia"/>
                <w:color w:val="000000"/>
                <w:spacing w:val="4"/>
                <w:w w:val="31"/>
                <w:shd w:val="solid" w:color="000000" w:fill="000000"/>
                <w:fitText w:val="140" w:id="-1032110080"/>
                <w14:textFill>
                  <w14:solidFill>
                    <w14:srgbClr w14:val="000000">
                      <w14:alpha w14:val="100000"/>
                    </w14:srgbClr>
                  </w14:solidFill>
                </w14:textFill>
              </w:rPr>
              <w:t xml:space="preserve">　</w:t>
            </w:r>
            <w:r w:rsidR="00163DB0">
              <w:rPr>
                <w:rFonts w:cs="Calibri"/>
                <w:b/>
                <w:bCs w:val="0"/>
                <w:color w:val="000000"/>
                <w:szCs w:val="20"/>
                <w:vertAlign w:val="superscript"/>
              </w:rPr>
              <w:t>1</w:t>
            </w:r>
          </w:p>
        </w:tc>
        <w:tc>
          <w:tcPr>
            <w:tcW w:w="937" w:type="dxa"/>
            <w:tcBorders>
              <w:top w:val="nil"/>
              <w:left w:val="nil"/>
              <w:bottom w:val="nil"/>
              <w:right w:val="single" w:sz="8" w:space="0" w:color="auto"/>
            </w:tcBorders>
            <w:shd w:val="clear" w:color="auto" w:fill="auto"/>
            <w:vAlign w:val="center"/>
          </w:tcPr>
          <w:p w14:paraId="33FF68EC" w14:textId="6068470F" w:rsidR="00FB771F" w:rsidRPr="001D5BE1" w:rsidRDefault="00640308" w:rsidP="00FB771F">
            <w:pPr>
              <w:pStyle w:val="TableText0"/>
              <w:jc w:val="center"/>
              <w:rPr>
                <w:highlight w:val="darkGray"/>
              </w:rPr>
            </w:pPr>
            <w:r w:rsidRPr="00640308">
              <w:t xml:space="preserve"> </w:t>
            </w:r>
            <w:r w:rsidRPr="00640308">
              <w:rPr>
                <w:color w:val="000000"/>
                <w:spacing w:val="41"/>
                <w:shd w:val="solid" w:color="000000" w:fill="000000"/>
                <w:fitText w:val="210" w:id="-1032110079"/>
                <w14:textFill>
                  <w14:solidFill>
                    <w14:srgbClr w14:val="000000">
                      <w14:alpha w14:val="100000"/>
                    </w14:srgbClr>
                  </w14:solidFill>
                </w14:textFill>
              </w:rPr>
              <w:t>||</w:t>
            </w:r>
            <w:r w:rsidRPr="00640308">
              <w:rPr>
                <w:color w:val="000000"/>
                <w:spacing w:val="1"/>
                <w:shd w:val="solid" w:color="000000" w:fill="000000"/>
                <w:fitText w:val="210" w:id="-1032110079"/>
                <w14:textFill>
                  <w14:solidFill>
                    <w14:srgbClr w14:val="000000">
                      <w14:alpha w14:val="100000"/>
                    </w14:srgbClr>
                  </w14:solidFill>
                </w14:textFill>
              </w:rPr>
              <w:t>|</w:t>
            </w:r>
          </w:p>
        </w:tc>
      </w:tr>
      <w:tr w:rsidR="00FB771F" w:rsidRPr="00980134" w14:paraId="6EA6A835" w14:textId="77777777" w:rsidTr="00D82A73">
        <w:trPr>
          <w:cantSplit/>
          <w:trHeight w:val="80"/>
        </w:trPr>
        <w:tc>
          <w:tcPr>
            <w:tcW w:w="90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E82A2C" w14:textId="77777777" w:rsidR="00FB771F" w:rsidRPr="00980134" w:rsidRDefault="00FB771F"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t>Multivariate Analyses</w:t>
            </w:r>
          </w:p>
        </w:tc>
      </w:tr>
      <w:tr w:rsidR="00482936" w:rsidRPr="00980134" w14:paraId="5A6CC43E" w14:textId="77777777" w:rsidTr="00480E99">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89703A4" w14:textId="6E127DAF" w:rsidR="00482936" w:rsidRPr="00980134" w:rsidRDefault="00482936"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t>#1, #2, #3</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54739E6B" w14:textId="439A33AF" w:rsidR="00482936" w:rsidRPr="00980134" w:rsidRDefault="00640308" w:rsidP="006277A6">
            <w:pPr>
              <w:pStyle w:val="TableText0"/>
              <w:jc w:val="center"/>
            </w:pPr>
            <w:r w:rsidRPr="00640308">
              <w:t xml:space="preserve"> </w:t>
            </w:r>
            <w:r w:rsidRPr="00640308">
              <w:rPr>
                <w:rFonts w:hint="eastAsia"/>
                <w:color w:val="000000"/>
                <w:w w:val="15"/>
                <w:shd w:val="solid" w:color="000000" w:fill="000000"/>
                <w:fitText w:val="40" w:id="-1032110078"/>
                <w14:textFill>
                  <w14:solidFill>
                    <w14:srgbClr w14:val="000000">
                      <w14:alpha w14:val="100000"/>
                    </w14:srgbClr>
                  </w14:solidFill>
                </w14:textFill>
              </w:rPr>
              <w:t xml:space="preserve">　</w:t>
            </w:r>
            <w:r w:rsidRPr="00640308">
              <w:rPr>
                <w:color w:val="000000"/>
                <w:w w:val="15"/>
                <w:shd w:val="solid" w:color="000000" w:fill="000000"/>
                <w:fitText w:val="40" w:id="-1032110078"/>
                <w14:textFill>
                  <w14:solidFill>
                    <w14:srgbClr w14:val="000000">
                      <w14:alpha w14:val="100000"/>
                    </w14:srgbClr>
                  </w14:solidFill>
                </w14:textFill>
              </w:rPr>
              <w:t>|</w:t>
            </w:r>
            <w:r w:rsidRPr="00640308">
              <w:rPr>
                <w:rFonts w:hint="eastAsia"/>
                <w:color w:val="000000"/>
                <w:spacing w:val="-25"/>
                <w:w w:val="15"/>
                <w:shd w:val="solid" w:color="000000" w:fill="000000"/>
                <w:fitText w:val="40" w:id="-1032110078"/>
                <w14:textFill>
                  <w14:solidFill>
                    <w14:srgbClr w14:val="000000">
                      <w14:alpha w14:val="100000"/>
                    </w14:srgbClr>
                  </w14:solidFill>
                </w14:textFill>
              </w:rPr>
              <w:t xml:space="preserve">　</w:t>
            </w:r>
            <w:r w:rsidR="006062AB">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41D0" w14:textId="587AE7EC" w:rsidR="00482936" w:rsidRPr="00980134" w:rsidRDefault="00482936" w:rsidP="00482936">
            <w:pPr>
              <w:jc w:val="center"/>
              <w:rPr>
                <w:rFonts w:ascii="Arial Narrow" w:hAnsi="Arial Narrow" w:cs="Calibri"/>
                <w:color w:val="000000"/>
                <w:sz w:val="20"/>
                <w:szCs w:val="20"/>
              </w:rPr>
            </w:pPr>
            <w:r w:rsidRPr="00980134">
              <w:rPr>
                <w:rFonts w:ascii="Arial Narrow" w:hAnsi="Arial Narrow" w:cs="Calibri"/>
                <w:color w:val="000000"/>
                <w:sz w:val="20"/>
                <w:szCs w:val="20"/>
              </w:rPr>
              <w:t>0.541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996CBB0" w14:textId="6F5DC4DD" w:rsidR="00482936"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7"/>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7"/>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7"/>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3</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3910F3FB" w14:textId="40F22BD3" w:rsidR="00482936" w:rsidRPr="001D5BE1" w:rsidRDefault="00640308" w:rsidP="006277A6">
            <w:pPr>
              <w:pStyle w:val="TableText0"/>
              <w:jc w:val="center"/>
              <w:rPr>
                <w:szCs w:val="20"/>
                <w:highlight w:val="darkGray"/>
              </w:rPr>
            </w:pPr>
            <w:r w:rsidRPr="00640308">
              <w:rPr>
                <w:szCs w:val="20"/>
              </w:rPr>
              <w:t xml:space="preserve"> </w:t>
            </w:r>
            <w:r w:rsidRPr="00640308">
              <w:rPr>
                <w:color w:val="000000"/>
                <w:spacing w:val="41"/>
                <w:szCs w:val="20"/>
                <w:shd w:val="solid" w:color="000000" w:fill="000000"/>
                <w:fitText w:val="210" w:id="-1032110076"/>
                <w14:textFill>
                  <w14:solidFill>
                    <w14:srgbClr w14:val="000000">
                      <w14:alpha w14:val="100000"/>
                    </w14:srgbClr>
                  </w14:solidFill>
                </w14:textFill>
              </w:rPr>
              <w:t>||</w:t>
            </w:r>
            <w:r w:rsidRPr="00640308">
              <w:rPr>
                <w:color w:val="000000"/>
                <w:spacing w:val="1"/>
                <w:szCs w:val="20"/>
                <w:shd w:val="solid" w:color="000000" w:fill="000000"/>
                <w:fitText w:val="210" w:id="-1032110076"/>
                <w14:textFill>
                  <w14:solidFill>
                    <w14:srgbClr w14:val="000000">
                      <w14:alpha w14:val="100000"/>
                    </w14:srgbClr>
                  </w14:solidFill>
                </w14:textFill>
              </w:rPr>
              <w:t>|</w:t>
            </w:r>
          </w:p>
        </w:tc>
      </w:tr>
      <w:tr w:rsidR="001A0079" w:rsidRPr="00980134" w14:paraId="152975A5" w14:textId="77777777" w:rsidTr="00480E99">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3D5F627" w14:textId="145B403A" w:rsidR="001A0079" w:rsidRPr="00980134" w:rsidRDefault="00BC1712"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t>#1, #2, #3, #4</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250ECF0" w14:textId="72900800" w:rsidR="001A0079"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5"/>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5"/>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5"/>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59EAAEC" w14:textId="2A6EAE3A" w:rsidR="001A0079" w:rsidRPr="00980134" w:rsidRDefault="00482936" w:rsidP="00482936">
            <w:pPr>
              <w:jc w:val="center"/>
              <w:rPr>
                <w:rFonts w:ascii="Arial Narrow" w:hAnsi="Arial Narrow" w:cs="Calibri"/>
                <w:color w:val="000000"/>
                <w:sz w:val="20"/>
                <w:szCs w:val="20"/>
              </w:rPr>
            </w:pPr>
            <w:r w:rsidRPr="00980134">
              <w:rPr>
                <w:rFonts w:ascii="Arial Narrow" w:hAnsi="Arial Narrow" w:cs="Calibri"/>
                <w:color w:val="000000"/>
                <w:sz w:val="20"/>
                <w:szCs w:val="20"/>
              </w:rPr>
              <w:t>0.489</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310039D" w14:textId="69830C2D" w:rsidR="001A0079"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4"/>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4"/>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4"/>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3</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8677CBE" w14:textId="7B95D6B4" w:rsidR="001A0079" w:rsidRPr="001D5BE1" w:rsidRDefault="00640308" w:rsidP="006277A6">
            <w:pPr>
              <w:pStyle w:val="TableText0"/>
              <w:jc w:val="center"/>
              <w:rPr>
                <w:szCs w:val="20"/>
                <w:highlight w:val="darkGray"/>
              </w:rPr>
            </w:pPr>
            <w:r w:rsidRPr="00640308">
              <w:rPr>
                <w:szCs w:val="20"/>
              </w:rPr>
              <w:t xml:space="preserve"> </w:t>
            </w:r>
            <w:r w:rsidRPr="00640308">
              <w:rPr>
                <w:color w:val="000000"/>
                <w:spacing w:val="41"/>
                <w:szCs w:val="20"/>
                <w:shd w:val="solid" w:color="000000" w:fill="000000"/>
                <w:fitText w:val="210" w:id="-1032110073"/>
                <w14:textFill>
                  <w14:solidFill>
                    <w14:srgbClr w14:val="000000">
                      <w14:alpha w14:val="100000"/>
                    </w14:srgbClr>
                  </w14:solidFill>
                </w14:textFill>
              </w:rPr>
              <w:t>||</w:t>
            </w:r>
            <w:r w:rsidRPr="00640308">
              <w:rPr>
                <w:color w:val="000000"/>
                <w:spacing w:val="1"/>
                <w:szCs w:val="20"/>
                <w:shd w:val="solid" w:color="000000" w:fill="000000"/>
                <w:fitText w:val="210" w:id="-1032110073"/>
                <w14:textFill>
                  <w14:solidFill>
                    <w14:srgbClr w14:val="000000">
                      <w14:alpha w14:val="100000"/>
                    </w14:srgbClr>
                  </w14:solidFill>
                </w14:textFill>
              </w:rPr>
              <w:t>|</w:t>
            </w:r>
          </w:p>
        </w:tc>
      </w:tr>
      <w:tr w:rsidR="00BC1712" w:rsidRPr="00980134" w14:paraId="087B837B" w14:textId="77777777" w:rsidTr="00480E99">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1978212" w14:textId="0D2F1094" w:rsidR="00BC1712" w:rsidRPr="00980134" w:rsidRDefault="00BC1712"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t>#1, #2, #3, #4, #5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C65C09C" w14:textId="05FCA88C"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72"/>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72"/>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72"/>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9AF2DD" w14:textId="1957E288" w:rsidR="00BC1712" w:rsidRPr="00980134" w:rsidRDefault="00482936" w:rsidP="00482936">
            <w:pPr>
              <w:jc w:val="center"/>
              <w:rPr>
                <w:rFonts w:ascii="Arial Narrow" w:hAnsi="Arial Narrow" w:cs="Calibri"/>
                <w:color w:val="000000"/>
                <w:sz w:val="20"/>
                <w:szCs w:val="20"/>
              </w:rPr>
            </w:pPr>
            <w:r w:rsidRPr="00980134">
              <w:rPr>
                <w:rFonts w:ascii="Arial Narrow" w:hAnsi="Arial Narrow" w:cs="Calibri"/>
                <w:color w:val="000000"/>
                <w:sz w:val="20"/>
                <w:szCs w:val="20"/>
              </w:rPr>
              <w:t>0.465</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31641274" w14:textId="71062026"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71"/>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71"/>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71"/>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4</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724C3E1" w14:textId="0087F6CD" w:rsidR="00BC1712" w:rsidRPr="001D5BE1" w:rsidRDefault="00640308" w:rsidP="00BC1712">
            <w:pPr>
              <w:pStyle w:val="TableText0"/>
              <w:jc w:val="center"/>
              <w:rPr>
                <w:szCs w:val="20"/>
                <w:highlight w:val="darkGray"/>
              </w:rPr>
            </w:pPr>
            <w:r w:rsidRPr="00640308">
              <w:rPr>
                <w:szCs w:val="20"/>
              </w:rPr>
              <w:t xml:space="preserve"> </w:t>
            </w:r>
            <w:r w:rsidRPr="00640308">
              <w:rPr>
                <w:color w:val="000000"/>
                <w:spacing w:val="41"/>
                <w:szCs w:val="20"/>
                <w:shd w:val="solid" w:color="000000" w:fill="000000"/>
                <w:fitText w:val="210" w:id="-1032110070"/>
                <w14:textFill>
                  <w14:solidFill>
                    <w14:srgbClr w14:val="000000">
                      <w14:alpha w14:val="100000"/>
                    </w14:srgbClr>
                  </w14:solidFill>
                </w14:textFill>
              </w:rPr>
              <w:t>||</w:t>
            </w:r>
            <w:r w:rsidRPr="00640308">
              <w:rPr>
                <w:color w:val="000000"/>
                <w:spacing w:val="1"/>
                <w:szCs w:val="20"/>
                <w:shd w:val="solid" w:color="000000" w:fill="000000"/>
                <w:fitText w:val="210" w:id="-1032110070"/>
                <w14:textFill>
                  <w14:solidFill>
                    <w14:srgbClr w14:val="000000">
                      <w14:alpha w14:val="100000"/>
                    </w14:srgbClr>
                  </w14:solidFill>
                </w14:textFill>
              </w:rPr>
              <w:t>|</w:t>
            </w:r>
          </w:p>
        </w:tc>
      </w:tr>
      <w:tr w:rsidR="00BC1712" w:rsidRPr="00980134" w14:paraId="19F42261" w14:textId="77777777" w:rsidTr="00480E99">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6D9883BE" w14:textId="619BB8E2" w:rsidR="00BC1712" w:rsidRPr="00980134" w:rsidRDefault="00BC1712"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t xml:space="preserve">#1, #2, #3, #4, #5, #6 </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F030B95" w14:textId="2660E987"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9"/>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9"/>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9"/>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2E01AD7" w14:textId="2B2AB80A" w:rsidR="00BC1712" w:rsidRPr="00980134" w:rsidRDefault="00482936" w:rsidP="00482936">
            <w:pPr>
              <w:jc w:val="center"/>
              <w:rPr>
                <w:rFonts w:ascii="Arial Narrow" w:hAnsi="Arial Narrow" w:cs="Calibri"/>
                <w:color w:val="000000"/>
                <w:sz w:val="20"/>
                <w:szCs w:val="20"/>
              </w:rPr>
            </w:pPr>
            <w:r w:rsidRPr="00980134">
              <w:rPr>
                <w:rFonts w:ascii="Arial Narrow" w:hAnsi="Arial Narrow" w:cs="Calibri"/>
                <w:color w:val="000000"/>
                <w:sz w:val="20"/>
                <w:szCs w:val="20"/>
              </w:rPr>
              <w:t>0.411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A72570F" w14:textId="12983232"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8"/>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8"/>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8"/>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5</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3F82DA0E" w14:textId="793E35FA" w:rsidR="00BC1712" w:rsidRPr="001D5BE1" w:rsidRDefault="00640308" w:rsidP="00BC1712">
            <w:pPr>
              <w:pStyle w:val="TableText0"/>
              <w:jc w:val="center"/>
              <w:rPr>
                <w:rFonts w:eastAsia="Times New Roman" w:cs="Calibri"/>
                <w:bCs w:val="0"/>
                <w:color w:val="000000"/>
                <w:szCs w:val="20"/>
                <w:highlight w:val="darkGray"/>
              </w:rPr>
            </w:pPr>
            <w:r w:rsidRPr="00640308">
              <w:rPr>
                <w:rFonts w:eastAsia="Times New Roman" w:cs="Calibri"/>
                <w:bCs w:val="0"/>
                <w:color w:val="000000"/>
                <w:szCs w:val="20"/>
              </w:rPr>
              <w:t xml:space="preserve"> </w:t>
            </w:r>
            <w:r w:rsidRPr="00640308">
              <w:rPr>
                <w:rFonts w:eastAsia="Times New Roman" w:cs="Calibri"/>
                <w:bCs w:val="0"/>
                <w:color w:val="000000"/>
                <w:spacing w:val="41"/>
                <w:szCs w:val="20"/>
                <w:shd w:val="solid" w:color="000000" w:fill="000000"/>
                <w:fitText w:val="210" w:id="-1032110067"/>
                <w14:textFill>
                  <w14:solidFill>
                    <w14:srgbClr w14:val="000000">
                      <w14:alpha w14:val="100000"/>
                    </w14:srgbClr>
                  </w14:solidFill>
                </w14:textFill>
              </w:rPr>
              <w:t>||</w:t>
            </w:r>
            <w:r w:rsidRPr="00640308">
              <w:rPr>
                <w:rFonts w:eastAsia="Times New Roman" w:cs="Calibri"/>
                <w:bCs w:val="0"/>
                <w:color w:val="000000"/>
                <w:spacing w:val="1"/>
                <w:szCs w:val="20"/>
                <w:shd w:val="solid" w:color="000000" w:fill="000000"/>
                <w:fitText w:val="210" w:id="-1032110067"/>
                <w14:textFill>
                  <w14:solidFill>
                    <w14:srgbClr w14:val="000000">
                      <w14:alpha w14:val="100000"/>
                    </w14:srgbClr>
                  </w14:solidFill>
                </w14:textFill>
              </w:rPr>
              <w:t>|</w:t>
            </w:r>
          </w:p>
        </w:tc>
      </w:tr>
      <w:tr w:rsidR="00BC1712" w:rsidRPr="00980134" w14:paraId="7AC979BF" w14:textId="77777777" w:rsidTr="00480E99">
        <w:trPr>
          <w:cantSplit/>
          <w:trHeight w:val="17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2C013554" w14:textId="2E109C01" w:rsidR="00BC1712" w:rsidRPr="00980134" w:rsidRDefault="00BC1712" w:rsidP="00CD7C80">
            <w:pPr>
              <w:jc w:val="left"/>
              <w:rPr>
                <w:rFonts w:ascii="Arial Narrow" w:hAnsi="Arial Narrow" w:cs="Calibri"/>
                <w:b/>
                <w:bCs/>
                <w:color w:val="000000"/>
                <w:sz w:val="20"/>
                <w:szCs w:val="20"/>
              </w:rPr>
            </w:pPr>
            <w:r w:rsidRPr="00980134">
              <w:rPr>
                <w:rFonts w:ascii="Arial Narrow" w:hAnsi="Arial Narrow" w:cs="Calibri"/>
                <w:b/>
                <w:bCs/>
                <w:color w:val="000000"/>
                <w:sz w:val="20"/>
                <w:szCs w:val="20"/>
              </w:rPr>
              <w:lastRenderedPageBreak/>
              <w:t>#1, #2, #3, #4, #5, #6, #7</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567AA63" w14:textId="1F5727E4"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15"/>
                <w:sz w:val="20"/>
                <w:szCs w:val="20"/>
                <w:shd w:val="solid" w:color="000000" w:fill="000000"/>
                <w:fitText w:val="40" w:id="-1032110066"/>
                <w14:textFill>
                  <w14:solidFill>
                    <w14:srgbClr w14:val="000000">
                      <w14:alpha w14:val="100000"/>
                    </w14:srgbClr>
                  </w14:solidFill>
                </w14:textFill>
              </w:rPr>
              <w:t xml:space="preserve">　</w:t>
            </w:r>
            <w:r w:rsidRPr="00640308">
              <w:rPr>
                <w:rFonts w:ascii="Arial Narrow" w:hAnsi="Arial Narrow" w:cs="Calibri"/>
                <w:color w:val="000000"/>
                <w:w w:val="15"/>
                <w:sz w:val="20"/>
                <w:szCs w:val="20"/>
                <w:shd w:val="solid" w:color="000000" w:fill="000000"/>
                <w:fitText w:val="40" w:id="-1032110066"/>
                <w14:textFill>
                  <w14:solidFill>
                    <w14:srgbClr w14:val="000000">
                      <w14:alpha w14:val="100000"/>
                    </w14:srgbClr>
                  </w14:solidFill>
                </w14:textFill>
              </w:rPr>
              <w:t>|</w:t>
            </w:r>
            <w:r w:rsidRPr="00640308">
              <w:rPr>
                <w:rFonts w:ascii="Arial Narrow" w:hAnsi="Arial Narrow" w:cs="Calibri" w:hint="eastAsia"/>
                <w:color w:val="000000"/>
                <w:spacing w:val="-25"/>
                <w:w w:val="15"/>
                <w:sz w:val="20"/>
                <w:szCs w:val="20"/>
                <w:shd w:val="solid" w:color="000000" w:fill="000000"/>
                <w:fitText w:val="40" w:id="-1032110066"/>
                <w14:textFill>
                  <w14:solidFill>
                    <w14:srgbClr w14:val="000000">
                      <w14:alpha w14:val="100000"/>
                    </w14:srgbClr>
                  </w14:solidFill>
                </w14:textFill>
              </w:rPr>
              <w:t xml:space="preserve">　</w:t>
            </w:r>
            <w:r w:rsidR="006062AB">
              <w:rPr>
                <w:rFonts w:ascii="Arial Narrow" w:hAnsi="Arial Narrow" w:cs="Calibri"/>
                <w:color w:val="000000"/>
                <w:sz w:val="20"/>
                <w:szCs w:val="20"/>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5006DC2" w14:textId="07E8BE44" w:rsidR="00BC1712" w:rsidRPr="00980134" w:rsidRDefault="00482936" w:rsidP="00482936">
            <w:pPr>
              <w:jc w:val="center"/>
              <w:rPr>
                <w:rFonts w:ascii="Arial Narrow" w:hAnsi="Arial Narrow" w:cs="Calibri"/>
                <w:color w:val="000000"/>
                <w:sz w:val="20"/>
                <w:szCs w:val="20"/>
              </w:rPr>
            </w:pPr>
            <w:r w:rsidRPr="00980134">
              <w:rPr>
                <w:rFonts w:ascii="Arial Narrow" w:hAnsi="Arial Narrow" w:cs="Calibri"/>
                <w:color w:val="000000"/>
                <w:sz w:val="20"/>
                <w:szCs w:val="20"/>
              </w:rPr>
              <w:t>0.411</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6C7F847D" w14:textId="7B0083AD" w:rsidR="00BC1712" w:rsidRPr="00980134" w:rsidRDefault="00640308" w:rsidP="00482936">
            <w:pPr>
              <w:jc w:val="center"/>
              <w:rPr>
                <w:rFonts w:ascii="Arial Narrow" w:hAnsi="Arial Narrow" w:cs="Calibri"/>
                <w:color w:val="000000"/>
                <w:sz w:val="20"/>
                <w:szCs w:val="20"/>
              </w:rPr>
            </w:pPr>
            <w:r w:rsidRPr="00640308">
              <w:rPr>
                <w:rFonts w:ascii="Arial Narrow" w:hAnsi="Arial Narrow" w:cs="Calibri"/>
                <w:color w:val="000000"/>
                <w:sz w:val="20"/>
                <w:szCs w:val="20"/>
              </w:rPr>
              <w:t xml:space="preserve"> </w:t>
            </w:r>
            <w:r w:rsidRPr="00640308">
              <w:rPr>
                <w:rFonts w:ascii="Arial Narrow" w:hAnsi="Arial Narrow" w:cs="Calibri" w:hint="eastAsia"/>
                <w:color w:val="000000"/>
                <w:w w:val="31"/>
                <w:sz w:val="20"/>
                <w:szCs w:val="20"/>
                <w:shd w:val="solid" w:color="000000" w:fill="000000"/>
                <w:fitText w:val="140" w:id="-1032110065"/>
                <w14:textFill>
                  <w14:solidFill>
                    <w14:srgbClr w14:val="000000">
                      <w14:alpha w14:val="100000"/>
                    </w14:srgbClr>
                  </w14:solidFill>
                </w14:textFill>
              </w:rPr>
              <w:t xml:space="preserve">　</w:t>
            </w:r>
            <w:r w:rsidRPr="00640308">
              <w:rPr>
                <w:rFonts w:ascii="Arial Narrow" w:hAnsi="Arial Narrow" w:cs="Calibri"/>
                <w:color w:val="000000"/>
                <w:w w:val="31"/>
                <w:sz w:val="20"/>
                <w:szCs w:val="20"/>
                <w:shd w:val="solid" w:color="000000" w:fill="000000"/>
                <w:fitText w:val="140" w:id="-1032110065"/>
                <w14:textFill>
                  <w14:solidFill>
                    <w14:srgbClr w14:val="000000">
                      <w14:alpha w14:val="100000"/>
                    </w14:srgbClr>
                  </w14:solidFill>
                </w14:textFill>
              </w:rPr>
              <w:t>|</w:t>
            </w:r>
            <w:r w:rsidRPr="00640308">
              <w:rPr>
                <w:rFonts w:ascii="Arial Narrow" w:hAnsi="Arial Narrow" w:cs="Calibri" w:hint="eastAsia"/>
                <w:color w:val="000000"/>
                <w:spacing w:val="4"/>
                <w:w w:val="31"/>
                <w:sz w:val="20"/>
                <w:szCs w:val="20"/>
                <w:shd w:val="solid" w:color="000000" w:fill="000000"/>
                <w:fitText w:val="140" w:id="-1032110065"/>
                <w14:textFill>
                  <w14:solidFill>
                    <w14:srgbClr w14:val="000000">
                      <w14:alpha w14:val="100000"/>
                    </w14:srgbClr>
                  </w14:solidFill>
                </w14:textFill>
              </w:rPr>
              <w:t xml:space="preserve">　</w:t>
            </w:r>
            <w:r w:rsidR="00163DB0">
              <w:rPr>
                <w:rFonts w:ascii="Arial Narrow" w:hAnsi="Arial Narrow" w:cs="Calibri"/>
                <w:color w:val="000000"/>
                <w:sz w:val="20"/>
                <w:szCs w:val="20"/>
                <w:vertAlign w:val="superscript"/>
              </w:rPr>
              <w:t>5</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30AA784" w14:textId="44EDD46E" w:rsidR="00BC1712" w:rsidRPr="001D5BE1" w:rsidRDefault="00640308" w:rsidP="00BC1712">
            <w:pPr>
              <w:pStyle w:val="TableText0"/>
              <w:jc w:val="center"/>
              <w:rPr>
                <w:rFonts w:eastAsia="Times New Roman" w:cs="Calibri"/>
                <w:bCs w:val="0"/>
                <w:color w:val="000000"/>
                <w:szCs w:val="20"/>
                <w:highlight w:val="darkGray"/>
              </w:rPr>
            </w:pPr>
            <w:r w:rsidRPr="00640308">
              <w:rPr>
                <w:rFonts w:eastAsia="Times New Roman" w:cs="Calibri"/>
                <w:bCs w:val="0"/>
                <w:color w:val="000000"/>
                <w:szCs w:val="20"/>
              </w:rPr>
              <w:t xml:space="preserve"> </w:t>
            </w:r>
            <w:r w:rsidRPr="00640308">
              <w:rPr>
                <w:rFonts w:eastAsia="Times New Roman" w:cs="Calibri"/>
                <w:bCs w:val="0"/>
                <w:color w:val="000000"/>
                <w:spacing w:val="41"/>
                <w:szCs w:val="20"/>
                <w:shd w:val="solid" w:color="000000" w:fill="000000"/>
                <w:fitText w:val="210" w:id="-1032110064"/>
                <w14:textFill>
                  <w14:solidFill>
                    <w14:srgbClr w14:val="000000">
                      <w14:alpha w14:val="100000"/>
                    </w14:srgbClr>
                  </w14:solidFill>
                </w14:textFill>
              </w:rPr>
              <w:t>||</w:t>
            </w:r>
            <w:r w:rsidRPr="00640308">
              <w:rPr>
                <w:rFonts w:eastAsia="Times New Roman" w:cs="Calibri"/>
                <w:bCs w:val="0"/>
                <w:color w:val="000000"/>
                <w:spacing w:val="1"/>
                <w:szCs w:val="20"/>
                <w:shd w:val="solid" w:color="000000" w:fill="000000"/>
                <w:fitText w:val="210" w:id="-1032110064"/>
                <w14:textFill>
                  <w14:solidFill>
                    <w14:srgbClr w14:val="000000">
                      <w14:alpha w14:val="100000"/>
                    </w14:srgbClr>
                  </w14:solidFill>
                </w14:textFill>
              </w:rPr>
              <w:t>|</w:t>
            </w:r>
          </w:p>
        </w:tc>
      </w:tr>
    </w:tbl>
    <w:p w14:paraId="5F21411B" w14:textId="77777777" w:rsidR="00C270F2" w:rsidRPr="00980134" w:rsidRDefault="00C270F2" w:rsidP="00C270F2">
      <w:pPr>
        <w:pStyle w:val="TableFooter"/>
      </w:pPr>
      <w:r w:rsidRPr="00980134">
        <w:t xml:space="preserve">Source: Constructed during the evaluation, based on the “T-DXd_HER2-low 2L 3L </w:t>
      </w:r>
      <w:proofErr w:type="spellStart"/>
      <w:r w:rsidRPr="00980134">
        <w:t>mBC</w:t>
      </w:r>
      <w:proofErr w:type="spellEnd"/>
      <w:r w:rsidRPr="00980134">
        <w:t xml:space="preserve"> July 2023 CUA” Excel workbook included with the submission.</w:t>
      </w:r>
    </w:p>
    <w:p w14:paraId="19CB7F21" w14:textId="77777777" w:rsidR="00C270F2" w:rsidRPr="00980134" w:rsidRDefault="00C270F2" w:rsidP="00C270F2">
      <w:pPr>
        <w:pStyle w:val="FooterTableFigure"/>
      </w:pPr>
      <w:r w:rsidRPr="00980134">
        <w:t>AE = adverse events; AFT = accelerated failure time; DB-04 = Destiny Breast-04; EFC = Efficient Funding of Chemotherapies; ICER = incremental cost effectiveness ratio; ILD = interstitial lung disease; OS = overall survival; PD = progressed disease; PF = progression-free; PFS = progression-free survival; PH = proportional hazards; PI = Product Information; QALY = quality-adjusted life year; RDI = relative dose intensity; T-</w:t>
      </w:r>
      <w:proofErr w:type="spellStart"/>
      <w:r w:rsidRPr="00980134">
        <w:t>DXd</w:t>
      </w:r>
      <w:proofErr w:type="spellEnd"/>
      <w:r w:rsidRPr="00980134">
        <w:t xml:space="preserve"> = trastuzumab </w:t>
      </w:r>
      <w:proofErr w:type="spellStart"/>
      <w:r w:rsidRPr="00980134">
        <w:t>deruxtecan</w:t>
      </w:r>
      <w:proofErr w:type="spellEnd"/>
      <w:r w:rsidRPr="00980134">
        <w:t>; TPC = treatment of physician’s choice; TTD = time to treatment discontinuation; UK = United Kingdom.</w:t>
      </w:r>
    </w:p>
    <w:p w14:paraId="2ED8D20E" w14:textId="53F24559" w:rsidR="00C270F2" w:rsidRPr="00980134" w:rsidRDefault="00C270F2" w:rsidP="00C270F2">
      <w:pPr>
        <w:pStyle w:val="FooterTableFigure"/>
      </w:pPr>
      <w:r w:rsidRPr="00980134">
        <w:rPr>
          <w:vertAlign w:val="superscript"/>
        </w:rPr>
        <w:t xml:space="preserve">a </w:t>
      </w:r>
      <w:r w:rsidRPr="00980134">
        <w:t>KM data truncated (and followed by bae case parametric extrapolation) when it is no longer reliable (due to low numbers at risk)</w:t>
      </w:r>
      <w:r w:rsidR="000751E3" w:rsidRPr="00980134">
        <w:t xml:space="preserve">. </w:t>
      </w:r>
      <w:r w:rsidR="000751E3" w:rsidRPr="00980134">
        <w:rPr>
          <w:color w:val="000000"/>
          <w:szCs w:val="18"/>
        </w:rPr>
        <w:t>OS KM data truncated at 34 months for T-</w:t>
      </w:r>
      <w:proofErr w:type="spellStart"/>
      <w:r w:rsidR="000751E3" w:rsidRPr="00980134">
        <w:rPr>
          <w:color w:val="000000"/>
          <w:szCs w:val="18"/>
        </w:rPr>
        <w:t>DXd</w:t>
      </w:r>
      <w:proofErr w:type="spellEnd"/>
      <w:r w:rsidR="000751E3" w:rsidRPr="00980134">
        <w:rPr>
          <w:color w:val="000000"/>
          <w:szCs w:val="18"/>
        </w:rPr>
        <w:t xml:space="preserve"> and 30 months for TPC. PFS KM data truncated at 20 months for T-</w:t>
      </w:r>
      <w:proofErr w:type="spellStart"/>
      <w:r w:rsidR="000751E3" w:rsidRPr="00980134">
        <w:rPr>
          <w:color w:val="000000"/>
          <w:szCs w:val="18"/>
        </w:rPr>
        <w:t>DXd</w:t>
      </w:r>
      <w:proofErr w:type="spellEnd"/>
      <w:r w:rsidR="000751E3" w:rsidRPr="00980134">
        <w:rPr>
          <w:color w:val="000000"/>
          <w:szCs w:val="18"/>
        </w:rPr>
        <w:t xml:space="preserve"> and 16 months for TPC. TTD KM data truncated at 28 months for T-</w:t>
      </w:r>
      <w:proofErr w:type="spellStart"/>
      <w:r w:rsidR="000751E3" w:rsidRPr="00980134">
        <w:rPr>
          <w:color w:val="000000"/>
          <w:szCs w:val="18"/>
        </w:rPr>
        <w:t>DXd</w:t>
      </w:r>
      <w:proofErr w:type="spellEnd"/>
      <w:r w:rsidR="000751E3" w:rsidRPr="00980134">
        <w:rPr>
          <w:color w:val="000000"/>
          <w:szCs w:val="18"/>
        </w:rPr>
        <w:t xml:space="preserve"> and 18 months for TPC.</w:t>
      </w:r>
    </w:p>
    <w:p w14:paraId="4EFF3E59" w14:textId="77777777" w:rsidR="00C270F2" w:rsidRPr="00980134" w:rsidRDefault="00C270F2" w:rsidP="00C270F2">
      <w:pPr>
        <w:pStyle w:val="FooterTableFigure"/>
      </w:pPr>
      <w:r w:rsidRPr="00980134">
        <w:rPr>
          <w:vertAlign w:val="superscript"/>
        </w:rPr>
        <w:t>b</w:t>
      </w:r>
      <w:r w:rsidRPr="00980134">
        <w:t xml:space="preserve"> Lloyd et al. suggests a utility decrement of -0.272 from the PF to the PD health state.</w:t>
      </w:r>
    </w:p>
    <w:p w14:paraId="3107BF50" w14:textId="77777777" w:rsidR="00C270F2" w:rsidRPr="00980134" w:rsidRDefault="00C270F2" w:rsidP="00C270F2">
      <w:pPr>
        <w:pStyle w:val="FooterTableFigure"/>
      </w:pPr>
      <w:r w:rsidRPr="00980134">
        <w:rPr>
          <w:vertAlign w:val="superscript"/>
        </w:rPr>
        <w:t>c</w:t>
      </w:r>
      <w:r w:rsidRPr="00980134">
        <w:t xml:space="preserve"> RDI reported in the DB-04 CSR was based on compliance to the planned dose intensity which differed from the dosing regimen outlined in the Australian PIs. An RDI based on the planned dose intensity (which had almost 100% compliance) to the recommended dose in the Australian PI was calculated during the evaluation.</w:t>
      </w:r>
    </w:p>
    <w:p w14:paraId="114337E2" w14:textId="77777777" w:rsidR="00C270F2" w:rsidRPr="00980134" w:rsidRDefault="00C270F2" w:rsidP="00C270F2">
      <w:pPr>
        <w:pStyle w:val="FooterTableFigure"/>
      </w:pPr>
      <w:r w:rsidRPr="00980134">
        <w:rPr>
          <w:vertAlign w:val="superscript"/>
        </w:rPr>
        <w:t>d</w:t>
      </w:r>
      <w:r w:rsidRPr="00980134">
        <w:t xml:space="preserve"> The submission assumed EFC fees were proportional to the amount of drug dispensed. The evaluation’s approach applies fixed EFC fees (for EFC drugs), regardless of the amount of drug dispensed.</w:t>
      </w:r>
    </w:p>
    <w:p w14:paraId="5AC38815" w14:textId="77777777" w:rsidR="00C270F2" w:rsidRPr="00980134" w:rsidRDefault="00C270F2" w:rsidP="00C270F2">
      <w:pPr>
        <w:pStyle w:val="FooterTableFigure"/>
      </w:pPr>
      <w:r w:rsidRPr="00980134">
        <w:rPr>
          <w:vertAlign w:val="superscript"/>
        </w:rPr>
        <w:t>e</w:t>
      </w:r>
      <w:r w:rsidRPr="00980134">
        <w:t xml:space="preserve"> Changes in subsequent therapy costs also impact terminal care costs as 6 months’ worth of subsequent therapy costs are removed from terminal care costs. </w:t>
      </w:r>
    </w:p>
    <w:p w14:paraId="1A486333" w14:textId="0DED4C8B" w:rsidR="00C270F2" w:rsidRDefault="00C270F2" w:rsidP="00C270F2">
      <w:pPr>
        <w:pStyle w:val="FooterTableFigure"/>
      </w:pPr>
      <w:proofErr w:type="spellStart"/>
      <w:r w:rsidRPr="00980134">
        <w:rPr>
          <w:vertAlign w:val="superscript"/>
        </w:rPr>
        <w:t>f</w:t>
      </w:r>
      <w:proofErr w:type="spellEnd"/>
      <w:r w:rsidRPr="00980134">
        <w:rPr>
          <w:vertAlign w:val="superscript"/>
        </w:rPr>
        <w:t xml:space="preserve"> </w:t>
      </w:r>
      <w:r w:rsidRPr="00980134">
        <w:t>This was the accepted approach by the PBAC and the sponsor in the previous T-</w:t>
      </w:r>
      <w:proofErr w:type="spellStart"/>
      <w:r w:rsidRPr="00980134">
        <w:t>DXd</w:t>
      </w:r>
      <w:proofErr w:type="spellEnd"/>
      <w:r w:rsidRPr="00980134">
        <w:t xml:space="preserve"> submission for HER2 positive breast cancer (para 7.9, Trastuzumab </w:t>
      </w:r>
      <w:proofErr w:type="spellStart"/>
      <w:r w:rsidRPr="00980134">
        <w:t>deruxtecan</w:t>
      </w:r>
      <w:proofErr w:type="spellEnd"/>
      <w:r w:rsidRPr="00980134">
        <w:t xml:space="preserve"> PSD, July 2022 PBAC Meeting). </w:t>
      </w:r>
    </w:p>
    <w:p w14:paraId="16D60471" w14:textId="77777777" w:rsidR="003F7061" w:rsidRPr="003F7061" w:rsidRDefault="003F7061" w:rsidP="003F7061">
      <w:pPr>
        <w:pStyle w:val="FooterTableFigure"/>
        <w:rPr>
          <w:i/>
          <w:iCs/>
        </w:rPr>
      </w:pPr>
      <w:bookmarkStart w:id="83" w:name="_Hlk155170071"/>
      <w:r w:rsidRPr="003F7061">
        <w:rPr>
          <w:i/>
          <w:iCs/>
        </w:rPr>
        <w:t>The redacted values correspond to the following ranges:</w:t>
      </w:r>
    </w:p>
    <w:p w14:paraId="0313A024" w14:textId="677EAA16" w:rsidR="003F7061" w:rsidRPr="003F7061" w:rsidRDefault="00163DB0" w:rsidP="003F7061">
      <w:pPr>
        <w:pStyle w:val="FooterTableFigure"/>
        <w:rPr>
          <w:i/>
          <w:iCs/>
        </w:rPr>
      </w:pPr>
      <w:r>
        <w:rPr>
          <w:i/>
          <w:iCs/>
          <w:vertAlign w:val="superscript"/>
        </w:rPr>
        <w:t>1</w:t>
      </w:r>
      <w:r w:rsidR="00480E99">
        <w:rPr>
          <w:i/>
          <w:iCs/>
          <w:vertAlign w:val="superscript"/>
        </w:rPr>
        <w:t xml:space="preserve"> </w:t>
      </w:r>
      <w:r w:rsidR="003F7061" w:rsidRPr="003F7061">
        <w:rPr>
          <w:i/>
          <w:iCs/>
        </w:rPr>
        <w:t>$75,000 to &lt; $95,000</w:t>
      </w:r>
    </w:p>
    <w:p w14:paraId="22F33A81" w14:textId="1E030619" w:rsidR="003F7061" w:rsidRPr="003F7061" w:rsidRDefault="00163DB0" w:rsidP="003F7061">
      <w:pPr>
        <w:pStyle w:val="FooterTableFigure"/>
        <w:rPr>
          <w:i/>
          <w:iCs/>
        </w:rPr>
      </w:pPr>
      <w:r w:rsidRPr="00163DB0">
        <w:rPr>
          <w:i/>
          <w:iCs/>
          <w:vertAlign w:val="superscript"/>
        </w:rPr>
        <w:t>2</w:t>
      </w:r>
      <w:r>
        <w:rPr>
          <w:i/>
          <w:iCs/>
        </w:rPr>
        <w:t xml:space="preserve"> </w:t>
      </w:r>
      <w:r w:rsidR="003F7061" w:rsidRPr="003F7061">
        <w:rPr>
          <w:i/>
          <w:iCs/>
        </w:rPr>
        <w:t xml:space="preserve">$95,000 to &lt; $115,000 </w:t>
      </w:r>
    </w:p>
    <w:p w14:paraId="68182DE5" w14:textId="0EFE0580" w:rsidR="003F7061" w:rsidRPr="003F7061" w:rsidRDefault="00163DB0" w:rsidP="003F7061">
      <w:pPr>
        <w:pStyle w:val="FooterTableFigure"/>
        <w:rPr>
          <w:i/>
          <w:iCs/>
        </w:rPr>
      </w:pPr>
      <w:r>
        <w:rPr>
          <w:i/>
          <w:iCs/>
          <w:vertAlign w:val="superscript"/>
        </w:rPr>
        <w:t xml:space="preserve">3 </w:t>
      </w:r>
      <w:r w:rsidR="003F7061" w:rsidRPr="003F7061">
        <w:rPr>
          <w:i/>
          <w:iCs/>
        </w:rPr>
        <w:t>$115,000 to &lt; $135,000</w:t>
      </w:r>
    </w:p>
    <w:p w14:paraId="5A8DA9DD" w14:textId="3E73A4A4" w:rsidR="003F7061" w:rsidRPr="003F7061" w:rsidRDefault="00163DB0" w:rsidP="003F7061">
      <w:pPr>
        <w:pStyle w:val="FooterTableFigure"/>
        <w:rPr>
          <w:i/>
          <w:iCs/>
        </w:rPr>
      </w:pPr>
      <w:r w:rsidRPr="00163DB0">
        <w:rPr>
          <w:i/>
          <w:iCs/>
          <w:vertAlign w:val="superscript"/>
        </w:rPr>
        <w:t>4</w:t>
      </w:r>
      <w:r>
        <w:rPr>
          <w:i/>
          <w:iCs/>
        </w:rPr>
        <w:t xml:space="preserve"> </w:t>
      </w:r>
      <w:r w:rsidR="003F7061" w:rsidRPr="003F7061">
        <w:rPr>
          <w:i/>
          <w:iCs/>
        </w:rPr>
        <w:t>$135,000 to &lt; $155,000</w:t>
      </w:r>
    </w:p>
    <w:p w14:paraId="25C81CE1" w14:textId="59E2963A" w:rsidR="003F7061" w:rsidRPr="003F7061" w:rsidRDefault="00163DB0" w:rsidP="00CD1D8E">
      <w:pPr>
        <w:pStyle w:val="FooterTableFigure"/>
        <w:contextualSpacing w:val="0"/>
        <w:rPr>
          <w:i/>
          <w:iCs/>
        </w:rPr>
      </w:pPr>
      <w:r>
        <w:rPr>
          <w:i/>
          <w:iCs/>
          <w:vertAlign w:val="superscript"/>
        </w:rPr>
        <w:t>5</w:t>
      </w:r>
      <w:r w:rsidR="00480E99">
        <w:rPr>
          <w:i/>
          <w:iCs/>
          <w:vertAlign w:val="superscript"/>
        </w:rPr>
        <w:t xml:space="preserve"> </w:t>
      </w:r>
      <w:r w:rsidR="003F7061" w:rsidRPr="003F7061">
        <w:rPr>
          <w:i/>
          <w:iCs/>
        </w:rPr>
        <w:t>$155,000</w:t>
      </w:r>
      <w:r w:rsidR="000528BF">
        <w:rPr>
          <w:i/>
          <w:iCs/>
        </w:rPr>
        <w:t xml:space="preserve"> </w:t>
      </w:r>
      <w:r w:rsidR="003F7061" w:rsidRPr="003F7061">
        <w:rPr>
          <w:i/>
          <w:iCs/>
        </w:rPr>
        <w:t>to</w:t>
      </w:r>
      <w:r w:rsidR="000528BF">
        <w:rPr>
          <w:i/>
          <w:iCs/>
        </w:rPr>
        <w:t xml:space="preserve"> </w:t>
      </w:r>
      <w:r w:rsidR="003F7061" w:rsidRPr="003F7061">
        <w:rPr>
          <w:i/>
          <w:iCs/>
        </w:rPr>
        <w:t>&lt; $255,000</w:t>
      </w:r>
    </w:p>
    <w:bookmarkEnd w:id="83"/>
    <w:p w14:paraId="50781005" w14:textId="4BC8BB81" w:rsidR="000751E3" w:rsidRPr="00980134" w:rsidRDefault="00BD28F0" w:rsidP="000751E3">
      <w:pPr>
        <w:pStyle w:val="3-BodyText"/>
      </w:pPr>
      <w:r w:rsidRPr="00980134">
        <w:t>E</w:t>
      </w:r>
      <w:r w:rsidR="00C270F2" w:rsidRPr="00980134">
        <w:t xml:space="preserve">ven after the stepped multivariate analysis, </w:t>
      </w:r>
      <w:r w:rsidR="00CC743F" w:rsidRPr="00980134">
        <w:t xml:space="preserve">the evaluation noted </w:t>
      </w:r>
      <w:r w:rsidR="00C270F2" w:rsidRPr="00980134">
        <w:t>there was still substantial uncertainty as the PF utility values are implausibly high</w:t>
      </w:r>
      <w:r w:rsidR="00CC743F" w:rsidRPr="00980134">
        <w:t xml:space="preserve"> (as discussed in paragraph </w:t>
      </w:r>
      <w:r w:rsidR="00CC743F" w:rsidRPr="00980134">
        <w:fldChar w:fldCharType="begin" w:fldLock="1"/>
      </w:r>
      <w:r w:rsidR="00CC743F" w:rsidRPr="00980134">
        <w:instrText xml:space="preserve"> REF _Ref148344060 \r \h  \* MERGEFORMAT </w:instrText>
      </w:r>
      <w:r w:rsidR="00CC743F" w:rsidRPr="00980134">
        <w:fldChar w:fldCharType="separate"/>
      </w:r>
      <w:r w:rsidR="00DF66B3">
        <w:t>6.47</w:t>
      </w:r>
      <w:r w:rsidR="00CC743F" w:rsidRPr="00980134">
        <w:fldChar w:fldCharType="end"/>
      </w:r>
      <w:r w:rsidR="00CC743F" w:rsidRPr="00980134">
        <w:t>)</w:t>
      </w:r>
      <w:r w:rsidR="00C270F2" w:rsidRPr="00980134">
        <w:t xml:space="preserve">. </w:t>
      </w:r>
      <w:r w:rsidR="000751E3" w:rsidRPr="00980134">
        <w:t xml:space="preserve">The PSCR stated the proposed method used in the multivariate analysis ignores the QoL results from the large pivotal DB-04 trial and is not consistent with HTA principles and recent recommendations by the PBAC. The ESC noted the proposed method includes health state utility values derived from DB-04 QoL data for the PF health state, </w:t>
      </w:r>
      <w:proofErr w:type="gramStart"/>
      <w:r w:rsidR="000751E3" w:rsidRPr="00980134">
        <w:t>however</w:t>
      </w:r>
      <w:proofErr w:type="gramEnd"/>
      <w:r w:rsidR="000751E3" w:rsidRPr="00980134">
        <w:t xml:space="preserve"> has derived PD health state utilities through external studies as there was insufficient QoL data collection for PD patients in the DB-04 trial</w:t>
      </w:r>
      <w:r w:rsidR="009C378C" w:rsidRPr="00980134">
        <w:t>, and</w:t>
      </w:r>
      <w:r w:rsidR="00405509" w:rsidRPr="00980134">
        <w:t xml:space="preserve"> utility</w:t>
      </w:r>
      <w:r w:rsidR="009C378C" w:rsidRPr="00980134">
        <w:t xml:space="preserve"> values appeared implausibly high</w:t>
      </w:r>
      <w:r w:rsidR="000751E3" w:rsidRPr="00980134">
        <w:t xml:space="preserve">. The </w:t>
      </w:r>
      <w:r w:rsidR="00816122" w:rsidRPr="00980134">
        <w:t xml:space="preserve">ESC </w:t>
      </w:r>
      <w:r w:rsidR="00CC743F" w:rsidRPr="00980134">
        <w:t xml:space="preserve">noted the uncertainties regarding utilities but considered that, on balance, </w:t>
      </w:r>
      <w:r w:rsidR="000751E3" w:rsidRPr="00980134">
        <w:t xml:space="preserve">it was reasonable to assume a </w:t>
      </w:r>
      <w:r w:rsidR="009E0562" w:rsidRPr="00980134">
        <w:t xml:space="preserve">pooled </w:t>
      </w:r>
      <w:r w:rsidR="00C40DA2" w:rsidRPr="00980134">
        <w:t xml:space="preserve">DB-04 trial </w:t>
      </w:r>
      <w:r w:rsidR="000751E3" w:rsidRPr="00980134">
        <w:t>utility of 0.881 for the PF health state and 0.609 (i.e., 0.881 – 0.272) for the PD health state</w:t>
      </w:r>
      <w:r w:rsidR="00980134">
        <w:t xml:space="preserve">. </w:t>
      </w:r>
    </w:p>
    <w:p w14:paraId="5C04F9CD" w14:textId="2D41A1E0" w:rsidR="00BC1712" w:rsidRPr="00980134" w:rsidRDefault="00BC1712" w:rsidP="00BC1712">
      <w:pPr>
        <w:pStyle w:val="3-BodyText"/>
      </w:pPr>
      <w:bookmarkStart w:id="84" w:name="_Ref148467204"/>
      <w:r w:rsidRPr="00980134">
        <w:t>The ESC advised that a respecified base case would be informative for decision making, incorporating (</w:t>
      </w:r>
      <w:proofErr w:type="spellStart"/>
      <w:r w:rsidRPr="00980134">
        <w:t>i</w:t>
      </w:r>
      <w:proofErr w:type="spellEnd"/>
      <w:r w:rsidRPr="00980134">
        <w:t>) adjusted RDIs for T-</w:t>
      </w:r>
      <w:proofErr w:type="spellStart"/>
      <w:r w:rsidRPr="00980134">
        <w:t>DXd</w:t>
      </w:r>
      <w:proofErr w:type="spellEnd"/>
      <w:r w:rsidRPr="00980134">
        <w:t xml:space="preserve"> and TPC to reflect actual dosing regimens; (ii) adjustments to subsequent treatment costs as specified in the evaluation; (iii) removal of vial sharing; (iv) application of DB-4 pooled utility estimates for PF and the Lloyd et al utility decrement for PD (v) the use of DB-04 KM data in modelling PFS, OS and TTD (vi) use of independent Weibull parametric functions to extrapolate OS (which results in convergence of curves by approximately 6.5 years); and (vii) a 10 year time horizon. The ESC noted this resulted in an ICER of $</w:t>
      </w:r>
      <w:r w:rsidR="00826854" w:rsidRPr="00826854">
        <w:t>155,000 to &lt; $255,000</w:t>
      </w:r>
      <w:r w:rsidRPr="00980134">
        <w:t xml:space="preserve"> per QALY</w:t>
      </w:r>
      <w:bookmarkEnd w:id="84"/>
      <w:r w:rsidR="00980134">
        <w:t xml:space="preserve">. </w:t>
      </w:r>
    </w:p>
    <w:p w14:paraId="5152DF43" w14:textId="77777777" w:rsidR="00C95EEE" w:rsidRPr="00980134" w:rsidRDefault="00C95EEE" w:rsidP="00C95EEE">
      <w:pPr>
        <w:pStyle w:val="4-SubsectionHeading"/>
      </w:pPr>
      <w:bookmarkStart w:id="85" w:name="_Toc22897646"/>
      <w:bookmarkStart w:id="86" w:name="_Toc142092394"/>
      <w:bookmarkStart w:id="87" w:name="_Toc145452643"/>
      <w:bookmarkStart w:id="88" w:name="_Toc142092400"/>
      <w:r w:rsidRPr="00980134">
        <w:lastRenderedPageBreak/>
        <w:t>Drug cost/patient/course</w:t>
      </w:r>
      <w:bookmarkEnd w:id="85"/>
      <w:bookmarkEnd w:id="86"/>
      <w:bookmarkEnd w:id="87"/>
    </w:p>
    <w:p w14:paraId="734BE65A" w14:textId="0F9DE7F4" w:rsidR="00C95EEE" w:rsidRPr="00980134" w:rsidRDefault="00C95EEE" w:rsidP="00C95EEE">
      <w:pPr>
        <w:pStyle w:val="3-BodyText"/>
      </w:pPr>
      <w:r w:rsidRPr="00980134">
        <w:fldChar w:fldCharType="begin" w:fldLock="1"/>
      </w:r>
      <w:r w:rsidRPr="00980134">
        <w:instrText xml:space="preserve"> REF _Ref142065545 \h </w:instrText>
      </w:r>
      <w:r w:rsidRPr="00980134">
        <w:fldChar w:fldCharType="separate"/>
      </w:r>
      <w:r w:rsidR="00DF66B3" w:rsidRPr="00980134">
        <w:t xml:space="preserve">Table </w:t>
      </w:r>
      <w:r w:rsidR="00DF66B3">
        <w:rPr>
          <w:noProof/>
        </w:rPr>
        <w:t>13</w:t>
      </w:r>
      <w:r w:rsidRPr="00980134">
        <w:fldChar w:fldCharType="end"/>
      </w:r>
      <w:r w:rsidRPr="00980134">
        <w:t xml:space="preserve"> presents the cost per patient per course for the HR positive population. </w:t>
      </w:r>
      <w:r w:rsidR="0073682B" w:rsidRPr="00980134">
        <w:t>The PBAC noted the cost per patient per course for the HR negative population would be less as the treatment duration is</w:t>
      </w:r>
      <w:r w:rsidR="00874955" w:rsidRPr="00980134">
        <w:t xml:space="preserve"> shorter</w:t>
      </w:r>
      <w:r w:rsidR="0073682B" w:rsidRPr="00980134">
        <w:t xml:space="preserve"> (7.65 months compared to 10.96 months). </w:t>
      </w:r>
    </w:p>
    <w:p w14:paraId="41D102CE" w14:textId="00C40173" w:rsidR="00C95EEE" w:rsidRPr="00980134" w:rsidRDefault="00C95EEE" w:rsidP="00C95EEE">
      <w:pPr>
        <w:pStyle w:val="Caption"/>
      </w:pPr>
      <w:bookmarkStart w:id="89" w:name="_Ref142065545"/>
      <w:r w:rsidRPr="00980134">
        <w:t xml:space="preserve">Table </w:t>
      </w:r>
      <w:r w:rsidR="006E03AE">
        <w:fldChar w:fldCharType="begin" w:fldLock="1"/>
      </w:r>
      <w:r w:rsidR="006E03AE">
        <w:instrText xml:space="preserve"> SEQ</w:instrText>
      </w:r>
      <w:r w:rsidR="006E03AE">
        <w:instrText xml:space="preserve"> Table \* ARABIC </w:instrText>
      </w:r>
      <w:r w:rsidR="006E03AE">
        <w:fldChar w:fldCharType="separate"/>
      </w:r>
      <w:r w:rsidR="00DF66B3">
        <w:rPr>
          <w:noProof/>
        </w:rPr>
        <w:t>13</w:t>
      </w:r>
      <w:r w:rsidR="006E03AE">
        <w:rPr>
          <w:noProof/>
        </w:rPr>
        <w:fldChar w:fldCharType="end"/>
      </w:r>
      <w:bookmarkEnd w:id="89"/>
      <w:r w:rsidRPr="00980134">
        <w:t>: Drug costs per patient per course for T-</w:t>
      </w:r>
      <w:proofErr w:type="spellStart"/>
      <w:r w:rsidRPr="00980134">
        <w:t>DXd</w:t>
      </w:r>
      <w:proofErr w:type="spellEnd"/>
      <w:r w:rsidRPr="00980134">
        <w:t xml:space="preserve"> and TPC (for HR positive/HER2 low patients)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5"/>
        <w:gridCol w:w="1143"/>
        <w:gridCol w:w="1143"/>
        <w:gridCol w:w="1434"/>
        <w:gridCol w:w="1145"/>
        <w:gridCol w:w="1147"/>
        <w:gridCol w:w="1430"/>
      </w:tblGrid>
      <w:tr w:rsidR="00C95EEE" w:rsidRPr="00980134" w14:paraId="0E9232E7" w14:textId="77777777" w:rsidTr="00876CCE">
        <w:trPr>
          <w:cantSplit/>
          <w:tblHeader/>
          <w:jc w:val="center"/>
        </w:trPr>
        <w:tc>
          <w:tcPr>
            <w:tcW w:w="873" w:type="pct"/>
            <w:shd w:val="clear" w:color="auto" w:fill="auto"/>
            <w:vAlign w:val="center"/>
          </w:tcPr>
          <w:p w14:paraId="0A657946" w14:textId="77777777" w:rsidR="00C95EEE" w:rsidRPr="00980134" w:rsidRDefault="00C95EEE">
            <w:pPr>
              <w:pStyle w:val="In-tableHeading"/>
              <w:jc w:val="center"/>
              <w:rPr>
                <w:lang w:val="en-AU"/>
              </w:rPr>
            </w:pPr>
            <w:bookmarkStart w:id="90" w:name="_Ref104805102"/>
          </w:p>
        </w:tc>
        <w:tc>
          <w:tcPr>
            <w:tcW w:w="2063" w:type="pct"/>
            <w:gridSpan w:val="3"/>
            <w:shd w:val="clear" w:color="auto" w:fill="auto"/>
            <w:vAlign w:val="center"/>
          </w:tcPr>
          <w:p w14:paraId="71EA1D23" w14:textId="77777777" w:rsidR="00C95EEE" w:rsidRPr="00980134" w:rsidRDefault="00C95EEE">
            <w:pPr>
              <w:pStyle w:val="In-tableHeading"/>
              <w:jc w:val="center"/>
              <w:rPr>
                <w:lang w:val="en-AU"/>
              </w:rPr>
            </w:pPr>
            <w:r w:rsidRPr="00980134">
              <w:rPr>
                <w:lang w:val="en-AU"/>
              </w:rPr>
              <w:t>T-</w:t>
            </w:r>
            <w:proofErr w:type="spellStart"/>
            <w:r w:rsidRPr="00980134">
              <w:rPr>
                <w:lang w:val="en-AU"/>
              </w:rPr>
              <w:t>DXd</w:t>
            </w:r>
            <w:proofErr w:type="spellEnd"/>
          </w:p>
        </w:tc>
        <w:tc>
          <w:tcPr>
            <w:tcW w:w="2064" w:type="pct"/>
            <w:gridSpan w:val="3"/>
            <w:shd w:val="clear" w:color="auto" w:fill="auto"/>
            <w:vAlign w:val="center"/>
          </w:tcPr>
          <w:p w14:paraId="3D6CB616" w14:textId="77777777" w:rsidR="00C95EEE" w:rsidRPr="00980134" w:rsidRDefault="00C95EEE">
            <w:pPr>
              <w:pStyle w:val="In-tableHeading"/>
              <w:jc w:val="center"/>
              <w:rPr>
                <w:lang w:val="en-AU"/>
              </w:rPr>
            </w:pPr>
            <w:r w:rsidRPr="00980134">
              <w:rPr>
                <w:lang w:val="en-AU"/>
              </w:rPr>
              <w:t>TPC</w:t>
            </w:r>
          </w:p>
        </w:tc>
      </w:tr>
      <w:tr w:rsidR="00C95EEE" w:rsidRPr="00980134" w14:paraId="5F4D4712" w14:textId="77777777" w:rsidTr="00876CCE">
        <w:trPr>
          <w:cantSplit/>
          <w:tblHeader/>
          <w:jc w:val="center"/>
        </w:trPr>
        <w:tc>
          <w:tcPr>
            <w:tcW w:w="873" w:type="pct"/>
            <w:shd w:val="clear" w:color="auto" w:fill="auto"/>
            <w:vAlign w:val="center"/>
          </w:tcPr>
          <w:p w14:paraId="19B77148" w14:textId="77777777" w:rsidR="00C95EEE" w:rsidRPr="00980134" w:rsidRDefault="00C95EEE">
            <w:pPr>
              <w:pStyle w:val="In-tableHeading"/>
              <w:jc w:val="center"/>
              <w:rPr>
                <w:lang w:val="en-AU"/>
              </w:rPr>
            </w:pPr>
          </w:p>
        </w:tc>
        <w:tc>
          <w:tcPr>
            <w:tcW w:w="634" w:type="pct"/>
            <w:shd w:val="clear" w:color="auto" w:fill="auto"/>
            <w:vAlign w:val="center"/>
          </w:tcPr>
          <w:p w14:paraId="2D8194D3" w14:textId="77777777" w:rsidR="00C95EEE" w:rsidRPr="00980134" w:rsidRDefault="00C95EEE">
            <w:pPr>
              <w:pStyle w:val="In-tableHeading"/>
              <w:jc w:val="center"/>
              <w:rPr>
                <w:lang w:val="en-AU"/>
              </w:rPr>
            </w:pPr>
            <w:r w:rsidRPr="00980134">
              <w:rPr>
                <w:lang w:val="en-AU"/>
              </w:rPr>
              <w:t>DB-04</w:t>
            </w:r>
          </w:p>
        </w:tc>
        <w:tc>
          <w:tcPr>
            <w:tcW w:w="634" w:type="pct"/>
            <w:shd w:val="clear" w:color="auto" w:fill="auto"/>
            <w:vAlign w:val="center"/>
          </w:tcPr>
          <w:p w14:paraId="5F3728EF" w14:textId="77777777" w:rsidR="00C95EEE" w:rsidRPr="00980134" w:rsidRDefault="00C95EEE">
            <w:pPr>
              <w:pStyle w:val="In-tableHeading"/>
              <w:jc w:val="center"/>
              <w:rPr>
                <w:lang w:val="en-AU"/>
              </w:rPr>
            </w:pPr>
            <w:r w:rsidRPr="00980134">
              <w:rPr>
                <w:lang w:val="en-AU"/>
              </w:rPr>
              <w:t>Economic Model</w:t>
            </w:r>
          </w:p>
        </w:tc>
        <w:tc>
          <w:tcPr>
            <w:tcW w:w="795" w:type="pct"/>
            <w:shd w:val="clear" w:color="auto" w:fill="auto"/>
            <w:vAlign w:val="center"/>
          </w:tcPr>
          <w:p w14:paraId="622A4133" w14:textId="77777777" w:rsidR="00C95EEE" w:rsidRPr="00980134" w:rsidRDefault="00C95EEE">
            <w:pPr>
              <w:pStyle w:val="In-tableHeading"/>
              <w:jc w:val="center"/>
              <w:rPr>
                <w:lang w:val="en-AU"/>
              </w:rPr>
            </w:pPr>
            <w:r w:rsidRPr="00980134">
              <w:rPr>
                <w:lang w:val="en-AU"/>
              </w:rPr>
              <w:t>Financial Estimates</w:t>
            </w:r>
          </w:p>
        </w:tc>
        <w:tc>
          <w:tcPr>
            <w:tcW w:w="635" w:type="pct"/>
            <w:shd w:val="clear" w:color="auto" w:fill="auto"/>
            <w:vAlign w:val="center"/>
          </w:tcPr>
          <w:p w14:paraId="0A141C58" w14:textId="77777777" w:rsidR="00C95EEE" w:rsidRPr="00980134" w:rsidRDefault="00C95EEE">
            <w:pPr>
              <w:pStyle w:val="In-tableHeading"/>
              <w:jc w:val="center"/>
              <w:rPr>
                <w:vertAlign w:val="superscript"/>
                <w:lang w:val="en-AU"/>
              </w:rPr>
            </w:pPr>
            <w:r w:rsidRPr="00980134">
              <w:rPr>
                <w:lang w:val="en-AU"/>
              </w:rPr>
              <w:t>DB-04</w:t>
            </w:r>
          </w:p>
        </w:tc>
        <w:tc>
          <w:tcPr>
            <w:tcW w:w="636" w:type="pct"/>
            <w:shd w:val="clear" w:color="auto" w:fill="auto"/>
            <w:vAlign w:val="center"/>
          </w:tcPr>
          <w:p w14:paraId="40901524" w14:textId="77777777" w:rsidR="00C95EEE" w:rsidRPr="00980134" w:rsidRDefault="00C95EEE">
            <w:pPr>
              <w:pStyle w:val="In-tableHeading"/>
              <w:jc w:val="center"/>
              <w:rPr>
                <w:vertAlign w:val="superscript"/>
                <w:lang w:val="en-AU"/>
              </w:rPr>
            </w:pPr>
            <w:r w:rsidRPr="00980134">
              <w:rPr>
                <w:lang w:val="en-AU"/>
              </w:rPr>
              <w:t>Economic Model</w:t>
            </w:r>
          </w:p>
        </w:tc>
        <w:tc>
          <w:tcPr>
            <w:tcW w:w="794" w:type="pct"/>
          </w:tcPr>
          <w:p w14:paraId="7287D041" w14:textId="77777777" w:rsidR="00C95EEE" w:rsidRPr="00980134" w:rsidRDefault="00C95EEE">
            <w:pPr>
              <w:pStyle w:val="In-tableHeading"/>
              <w:jc w:val="center"/>
              <w:rPr>
                <w:lang w:val="en-AU"/>
              </w:rPr>
            </w:pPr>
            <w:r w:rsidRPr="00980134">
              <w:rPr>
                <w:lang w:val="en-AU"/>
              </w:rPr>
              <w:t>Financial Estimates</w:t>
            </w:r>
          </w:p>
        </w:tc>
      </w:tr>
      <w:tr w:rsidR="00C95EEE" w:rsidRPr="00980134" w14:paraId="6036A929" w14:textId="77777777" w:rsidTr="00876CCE">
        <w:trPr>
          <w:cantSplit/>
          <w:trHeight w:val="1037"/>
          <w:jc w:val="center"/>
        </w:trPr>
        <w:tc>
          <w:tcPr>
            <w:tcW w:w="873" w:type="pct"/>
            <w:shd w:val="clear" w:color="auto" w:fill="auto"/>
            <w:vAlign w:val="center"/>
          </w:tcPr>
          <w:p w14:paraId="32AC6850" w14:textId="77777777" w:rsidR="00C95EEE" w:rsidRPr="00980134" w:rsidRDefault="00C95EEE">
            <w:pPr>
              <w:pStyle w:val="TableText0"/>
            </w:pPr>
            <w:r w:rsidRPr="00980134">
              <w:t>Mean dose per administration (mg)</w:t>
            </w:r>
          </w:p>
        </w:tc>
        <w:tc>
          <w:tcPr>
            <w:tcW w:w="634" w:type="pct"/>
            <w:shd w:val="clear" w:color="auto" w:fill="auto"/>
            <w:vAlign w:val="center"/>
          </w:tcPr>
          <w:p w14:paraId="1B2A98AF" w14:textId="77777777" w:rsidR="00C95EEE" w:rsidRPr="00980134" w:rsidRDefault="00C95EEE">
            <w:pPr>
              <w:pStyle w:val="TableText0"/>
              <w:jc w:val="center"/>
              <w:rPr>
                <w:bCs w:val="0"/>
                <w:vertAlign w:val="superscript"/>
              </w:rPr>
            </w:pPr>
            <w:r w:rsidRPr="00980134">
              <w:rPr>
                <w:bCs w:val="0"/>
              </w:rPr>
              <w:t>323</w:t>
            </w:r>
            <w:r w:rsidRPr="00980134">
              <w:rPr>
                <w:bCs w:val="0"/>
                <w:vertAlign w:val="superscript"/>
              </w:rPr>
              <w:t>a</w:t>
            </w:r>
          </w:p>
          <w:p w14:paraId="4C304053" w14:textId="77777777" w:rsidR="00C95EEE" w:rsidRPr="00980134" w:rsidRDefault="00C95EEE">
            <w:pPr>
              <w:pStyle w:val="TableText0"/>
              <w:jc w:val="center"/>
              <w:rPr>
                <w:bCs w:val="0"/>
              </w:rPr>
            </w:pPr>
            <w:r w:rsidRPr="00980134">
              <w:rPr>
                <w:bCs w:val="0"/>
              </w:rPr>
              <w:t>(3.23 vials) (assuming vial sharing)</w:t>
            </w:r>
          </w:p>
        </w:tc>
        <w:tc>
          <w:tcPr>
            <w:tcW w:w="634" w:type="pct"/>
            <w:shd w:val="clear" w:color="auto" w:fill="auto"/>
            <w:vAlign w:val="center"/>
          </w:tcPr>
          <w:p w14:paraId="72208651" w14:textId="77777777" w:rsidR="00C95EEE" w:rsidRPr="00980134" w:rsidRDefault="00C95EEE">
            <w:pPr>
              <w:pStyle w:val="TableText0"/>
              <w:jc w:val="center"/>
              <w:rPr>
                <w:bCs w:val="0"/>
              </w:rPr>
            </w:pPr>
            <w:r w:rsidRPr="00980134">
              <w:rPr>
                <w:bCs w:val="0"/>
              </w:rPr>
              <w:t>331</w:t>
            </w:r>
            <w:r w:rsidRPr="00980134">
              <w:rPr>
                <w:bCs w:val="0"/>
                <w:vertAlign w:val="superscript"/>
              </w:rPr>
              <w:t>b</w:t>
            </w:r>
          </w:p>
          <w:p w14:paraId="64CDCD48" w14:textId="77777777" w:rsidR="00C95EEE" w:rsidRPr="00980134" w:rsidRDefault="00C95EEE">
            <w:pPr>
              <w:pStyle w:val="TableText0"/>
              <w:jc w:val="center"/>
              <w:rPr>
                <w:bCs w:val="0"/>
              </w:rPr>
            </w:pPr>
            <w:r w:rsidRPr="00980134">
              <w:rPr>
                <w:bCs w:val="0"/>
              </w:rPr>
              <w:t>(3.31 vials) (assuming vial sharing)</w:t>
            </w:r>
          </w:p>
        </w:tc>
        <w:tc>
          <w:tcPr>
            <w:tcW w:w="795" w:type="pct"/>
            <w:shd w:val="clear" w:color="auto" w:fill="auto"/>
            <w:vAlign w:val="center"/>
          </w:tcPr>
          <w:p w14:paraId="464926BC" w14:textId="77777777" w:rsidR="00C95EEE" w:rsidRPr="00980134" w:rsidRDefault="00C95EEE">
            <w:pPr>
              <w:jc w:val="center"/>
              <w:rPr>
                <w:rFonts w:ascii="Arial Narrow" w:hAnsi="Arial Narrow" w:cs="Times New Roman"/>
                <w:sz w:val="20"/>
                <w:szCs w:val="20"/>
                <w:bdr w:val="none" w:sz="0" w:space="0" w:color="auto" w:frame="1"/>
                <w:vertAlign w:val="superscript"/>
              </w:rPr>
            </w:pPr>
            <w:r w:rsidRPr="00980134">
              <w:rPr>
                <w:rFonts w:ascii="Arial Narrow" w:hAnsi="Arial Narrow" w:cs="Times New Roman"/>
                <w:sz w:val="20"/>
                <w:szCs w:val="20"/>
                <w:bdr w:val="none" w:sz="0" w:space="0" w:color="auto" w:frame="1"/>
              </w:rPr>
              <w:t>368</w:t>
            </w:r>
            <w:r w:rsidRPr="00980134">
              <w:rPr>
                <w:rFonts w:ascii="Arial Narrow" w:hAnsi="Arial Narrow" w:cs="Times New Roman"/>
                <w:sz w:val="20"/>
                <w:szCs w:val="20"/>
                <w:bdr w:val="none" w:sz="0" w:space="0" w:color="auto" w:frame="1"/>
                <w:vertAlign w:val="superscript"/>
              </w:rPr>
              <w:t>d</w:t>
            </w:r>
          </w:p>
          <w:p w14:paraId="7F5FE37E" w14:textId="77777777" w:rsidR="00C95EEE" w:rsidRPr="00980134" w:rsidRDefault="00C95EEE">
            <w:pPr>
              <w:pStyle w:val="TableText0"/>
              <w:jc w:val="center"/>
              <w:rPr>
                <w:bCs w:val="0"/>
              </w:rPr>
            </w:pPr>
            <w:r w:rsidRPr="00980134">
              <w:rPr>
                <w:rFonts w:cs="Times New Roman"/>
                <w:szCs w:val="20"/>
                <w:bdr w:val="none" w:sz="0" w:space="0" w:color="auto" w:frame="1"/>
              </w:rPr>
              <w:t>(4 vials) (assuming no vial sharing)</w:t>
            </w:r>
          </w:p>
        </w:tc>
        <w:tc>
          <w:tcPr>
            <w:tcW w:w="635" w:type="pct"/>
            <w:shd w:val="clear" w:color="auto" w:fill="auto"/>
            <w:vAlign w:val="center"/>
          </w:tcPr>
          <w:p w14:paraId="1CA759E1" w14:textId="77777777" w:rsidR="00C95EEE" w:rsidRPr="00980134" w:rsidRDefault="00C95EEE">
            <w:pPr>
              <w:pStyle w:val="TableText0"/>
              <w:jc w:val="center"/>
              <w:rPr>
                <w:bCs w:val="0"/>
                <w:vertAlign w:val="superscript"/>
              </w:rPr>
            </w:pPr>
            <w:r w:rsidRPr="00980134">
              <w:rPr>
                <w:bCs w:val="0"/>
              </w:rPr>
              <w:t>E: 2</w:t>
            </w:r>
            <w:r w:rsidRPr="00980134">
              <w:rPr>
                <w:bCs w:val="0"/>
                <w:vertAlign w:val="superscript"/>
              </w:rPr>
              <w:t>i</w:t>
            </w:r>
          </w:p>
          <w:p w14:paraId="5B2FBF04" w14:textId="77777777" w:rsidR="00C95EEE" w:rsidRPr="00980134" w:rsidRDefault="00C95EEE">
            <w:pPr>
              <w:pStyle w:val="TableText0"/>
              <w:jc w:val="center"/>
              <w:rPr>
                <w:bCs w:val="0"/>
                <w:vertAlign w:val="superscript"/>
              </w:rPr>
            </w:pPr>
            <w:r w:rsidRPr="00980134">
              <w:rPr>
                <w:bCs w:val="0"/>
              </w:rPr>
              <w:t>G: 1690</w:t>
            </w:r>
            <w:r w:rsidRPr="00980134">
              <w:rPr>
                <w:bCs w:val="0"/>
                <w:vertAlign w:val="superscript"/>
              </w:rPr>
              <w:t>i</w:t>
            </w:r>
          </w:p>
          <w:p w14:paraId="51BFD1B9" w14:textId="77777777" w:rsidR="00C95EEE" w:rsidRPr="00980134" w:rsidRDefault="00C95EEE">
            <w:pPr>
              <w:pStyle w:val="TableText0"/>
              <w:jc w:val="center"/>
              <w:rPr>
                <w:bCs w:val="0"/>
                <w:vertAlign w:val="superscript"/>
              </w:rPr>
            </w:pPr>
            <w:r w:rsidRPr="00980134">
              <w:rPr>
                <w:bCs w:val="0"/>
              </w:rPr>
              <w:t>P: 306</w:t>
            </w:r>
            <w:r w:rsidRPr="00980134">
              <w:rPr>
                <w:bCs w:val="0"/>
                <w:vertAlign w:val="superscript"/>
              </w:rPr>
              <w:t>i</w:t>
            </w:r>
          </w:p>
          <w:p w14:paraId="46DD74CF" w14:textId="77777777" w:rsidR="00C95EEE" w:rsidRPr="00980134" w:rsidRDefault="00C95EEE">
            <w:pPr>
              <w:pStyle w:val="TableText0"/>
              <w:jc w:val="center"/>
              <w:rPr>
                <w:bCs w:val="0"/>
                <w:vertAlign w:val="superscript"/>
              </w:rPr>
            </w:pPr>
            <w:r w:rsidRPr="00980134">
              <w:rPr>
                <w:bCs w:val="0"/>
              </w:rPr>
              <w:t>N: 391</w:t>
            </w:r>
            <w:r w:rsidRPr="00980134">
              <w:rPr>
                <w:bCs w:val="0"/>
                <w:vertAlign w:val="superscript"/>
              </w:rPr>
              <w:t>i</w:t>
            </w:r>
          </w:p>
          <w:p w14:paraId="38D6F16E" w14:textId="77777777" w:rsidR="00C95EEE" w:rsidRPr="00980134" w:rsidRDefault="00C95EEE">
            <w:pPr>
              <w:pStyle w:val="TableText0"/>
              <w:jc w:val="center"/>
              <w:rPr>
                <w:bCs w:val="0"/>
                <w:vertAlign w:val="superscript"/>
              </w:rPr>
            </w:pPr>
            <w:r w:rsidRPr="00980134">
              <w:rPr>
                <w:bCs w:val="0"/>
              </w:rPr>
              <w:t>C:</w:t>
            </w:r>
            <w:r w:rsidRPr="00980134">
              <w:t xml:space="preserve"> </w:t>
            </w:r>
            <w:r w:rsidRPr="00980134">
              <w:rPr>
                <w:bCs w:val="0"/>
              </w:rPr>
              <w:t>1613</w:t>
            </w:r>
            <w:r w:rsidRPr="00980134">
              <w:rPr>
                <w:bCs w:val="0"/>
                <w:vertAlign w:val="superscript"/>
              </w:rPr>
              <w:t>i</w:t>
            </w:r>
          </w:p>
        </w:tc>
        <w:tc>
          <w:tcPr>
            <w:tcW w:w="636" w:type="pct"/>
            <w:shd w:val="clear" w:color="auto" w:fill="auto"/>
            <w:vAlign w:val="center"/>
          </w:tcPr>
          <w:p w14:paraId="28F8E6B3" w14:textId="77777777" w:rsidR="00C95EEE" w:rsidRPr="00980134" w:rsidRDefault="00C95EEE">
            <w:pPr>
              <w:pStyle w:val="TableText0"/>
              <w:jc w:val="center"/>
              <w:rPr>
                <w:bCs w:val="0"/>
                <w:vertAlign w:val="superscript"/>
              </w:rPr>
            </w:pPr>
            <w:r w:rsidRPr="00980134">
              <w:rPr>
                <w:bCs w:val="0"/>
              </w:rPr>
              <w:t>E: 2</w:t>
            </w:r>
            <w:r w:rsidRPr="00980134">
              <w:rPr>
                <w:bCs w:val="0"/>
                <w:vertAlign w:val="superscript"/>
              </w:rPr>
              <w:t>i</w:t>
            </w:r>
          </w:p>
          <w:p w14:paraId="6FB71D6B" w14:textId="77777777" w:rsidR="00C95EEE" w:rsidRPr="00980134" w:rsidRDefault="00C95EEE">
            <w:pPr>
              <w:pStyle w:val="TableText0"/>
              <w:jc w:val="center"/>
              <w:rPr>
                <w:bCs w:val="0"/>
                <w:vertAlign w:val="superscript"/>
              </w:rPr>
            </w:pPr>
            <w:r w:rsidRPr="00980134">
              <w:rPr>
                <w:bCs w:val="0"/>
              </w:rPr>
              <w:t>G: 2099</w:t>
            </w:r>
            <w:r w:rsidRPr="00980134">
              <w:rPr>
                <w:bCs w:val="0"/>
                <w:vertAlign w:val="superscript"/>
              </w:rPr>
              <w:t>i</w:t>
            </w:r>
          </w:p>
          <w:p w14:paraId="5EF07B25" w14:textId="77777777" w:rsidR="00C95EEE" w:rsidRPr="00980134" w:rsidRDefault="00C95EEE">
            <w:pPr>
              <w:pStyle w:val="TableText0"/>
              <w:jc w:val="center"/>
              <w:rPr>
                <w:bCs w:val="0"/>
                <w:vertAlign w:val="superscript"/>
              </w:rPr>
            </w:pPr>
            <w:r w:rsidRPr="00980134">
              <w:rPr>
                <w:bCs w:val="0"/>
              </w:rPr>
              <w:t>P: 295</w:t>
            </w:r>
            <w:r w:rsidRPr="00980134">
              <w:rPr>
                <w:bCs w:val="0"/>
                <w:vertAlign w:val="superscript"/>
              </w:rPr>
              <w:t>i</w:t>
            </w:r>
          </w:p>
          <w:p w14:paraId="4AB11C39" w14:textId="77777777" w:rsidR="00C95EEE" w:rsidRPr="00980134" w:rsidRDefault="00C95EEE">
            <w:pPr>
              <w:pStyle w:val="TableText0"/>
              <w:jc w:val="center"/>
              <w:rPr>
                <w:bCs w:val="0"/>
                <w:vertAlign w:val="superscript"/>
              </w:rPr>
            </w:pPr>
            <w:r w:rsidRPr="00980134">
              <w:rPr>
                <w:bCs w:val="0"/>
              </w:rPr>
              <w:t>N: 438</w:t>
            </w:r>
            <w:r w:rsidRPr="00980134">
              <w:rPr>
                <w:bCs w:val="0"/>
                <w:vertAlign w:val="superscript"/>
              </w:rPr>
              <w:t>i</w:t>
            </w:r>
          </w:p>
          <w:p w14:paraId="07949220" w14:textId="77777777" w:rsidR="00C95EEE" w:rsidRPr="00980134" w:rsidRDefault="00C95EEE">
            <w:pPr>
              <w:pStyle w:val="TableText0"/>
              <w:jc w:val="center"/>
              <w:rPr>
                <w:bCs w:val="0"/>
                <w:vertAlign w:val="superscript"/>
              </w:rPr>
            </w:pPr>
            <w:r w:rsidRPr="00980134">
              <w:rPr>
                <w:bCs w:val="0"/>
              </w:rPr>
              <w:t>C: 2390</w:t>
            </w:r>
            <w:r w:rsidRPr="00980134">
              <w:rPr>
                <w:bCs w:val="0"/>
                <w:vertAlign w:val="superscript"/>
              </w:rPr>
              <w:t>i</w:t>
            </w:r>
          </w:p>
        </w:tc>
        <w:tc>
          <w:tcPr>
            <w:tcW w:w="794" w:type="pct"/>
          </w:tcPr>
          <w:p w14:paraId="69B679D0" w14:textId="77777777" w:rsidR="00C95EEE" w:rsidRPr="00980134" w:rsidRDefault="00C95EEE">
            <w:pPr>
              <w:jc w:val="center"/>
              <w:rPr>
                <w:rFonts w:ascii="Arial Narrow" w:hAnsi="Arial Narrow" w:cs="Times New Roman"/>
                <w:sz w:val="20"/>
                <w:szCs w:val="20"/>
                <w:vertAlign w:val="superscript"/>
              </w:rPr>
            </w:pPr>
            <w:r w:rsidRPr="00980134">
              <w:rPr>
                <w:rFonts w:ascii="Arial Narrow" w:hAnsi="Arial Narrow" w:cs="Times New Roman"/>
                <w:sz w:val="20"/>
                <w:szCs w:val="20"/>
                <w:bdr w:val="none" w:sz="0" w:space="0" w:color="auto" w:frame="1"/>
              </w:rPr>
              <w:t>E: 3</w:t>
            </w:r>
            <w:r w:rsidRPr="00980134">
              <w:rPr>
                <w:rFonts w:ascii="Arial Narrow" w:hAnsi="Arial Narrow" w:cs="Times New Roman"/>
                <w:sz w:val="20"/>
                <w:szCs w:val="20"/>
                <w:bdr w:val="none" w:sz="0" w:space="0" w:color="auto" w:frame="1"/>
                <w:vertAlign w:val="superscript"/>
              </w:rPr>
              <w:t>f</w:t>
            </w:r>
          </w:p>
          <w:p w14:paraId="186C1681" w14:textId="77777777" w:rsidR="00C95EEE" w:rsidRPr="00980134" w:rsidRDefault="00C95EEE">
            <w:pPr>
              <w:jc w:val="center"/>
              <w:rPr>
                <w:rFonts w:ascii="Arial Narrow" w:hAnsi="Arial Narrow" w:cs="Times New Roman"/>
                <w:sz w:val="20"/>
                <w:szCs w:val="20"/>
                <w:vertAlign w:val="superscript"/>
              </w:rPr>
            </w:pPr>
            <w:r w:rsidRPr="00980134">
              <w:rPr>
                <w:rFonts w:ascii="Arial Narrow" w:hAnsi="Arial Narrow" w:cs="Times New Roman"/>
                <w:sz w:val="20"/>
                <w:szCs w:val="20"/>
                <w:bdr w:val="none" w:sz="0" w:space="0" w:color="auto" w:frame="1"/>
              </w:rPr>
              <w:t>G: 3,000</w:t>
            </w:r>
            <w:r w:rsidRPr="00980134">
              <w:rPr>
                <w:rFonts w:ascii="Arial Narrow" w:hAnsi="Arial Narrow" w:cs="Times New Roman"/>
                <w:sz w:val="20"/>
                <w:szCs w:val="20"/>
                <w:bdr w:val="none" w:sz="0" w:space="0" w:color="auto" w:frame="1"/>
                <w:vertAlign w:val="superscript"/>
              </w:rPr>
              <w:t>f</w:t>
            </w:r>
          </w:p>
          <w:p w14:paraId="05A80299" w14:textId="77777777" w:rsidR="00C95EEE" w:rsidRPr="00980134" w:rsidRDefault="00C95EEE">
            <w:pPr>
              <w:jc w:val="center"/>
              <w:rPr>
                <w:rFonts w:ascii="Arial Narrow" w:hAnsi="Arial Narrow" w:cs="Times New Roman"/>
                <w:sz w:val="20"/>
                <w:szCs w:val="20"/>
                <w:vertAlign w:val="superscript"/>
              </w:rPr>
            </w:pPr>
            <w:r w:rsidRPr="00980134">
              <w:rPr>
                <w:rFonts w:ascii="Arial Narrow" w:hAnsi="Arial Narrow" w:cs="Times New Roman"/>
                <w:sz w:val="20"/>
                <w:szCs w:val="20"/>
                <w:bdr w:val="none" w:sz="0" w:space="0" w:color="auto" w:frame="1"/>
              </w:rPr>
              <w:t>P: 450</w:t>
            </w:r>
            <w:r w:rsidRPr="00980134">
              <w:rPr>
                <w:rFonts w:ascii="Arial Narrow" w:hAnsi="Arial Narrow" w:cs="Times New Roman"/>
                <w:sz w:val="20"/>
                <w:szCs w:val="20"/>
                <w:bdr w:val="none" w:sz="0" w:space="0" w:color="auto" w:frame="1"/>
                <w:vertAlign w:val="superscript"/>
              </w:rPr>
              <w:t>f</w:t>
            </w:r>
          </w:p>
          <w:p w14:paraId="19784FBF" w14:textId="77777777" w:rsidR="00C95EEE" w:rsidRPr="00980134" w:rsidRDefault="00C95EEE">
            <w:pPr>
              <w:jc w:val="center"/>
              <w:rPr>
                <w:rFonts w:ascii="Arial Narrow" w:hAnsi="Arial Narrow" w:cs="Times New Roman"/>
                <w:sz w:val="20"/>
                <w:szCs w:val="20"/>
                <w:vertAlign w:val="superscript"/>
              </w:rPr>
            </w:pPr>
            <w:r w:rsidRPr="00980134">
              <w:rPr>
                <w:rFonts w:ascii="Arial Narrow" w:hAnsi="Arial Narrow" w:cs="Times New Roman"/>
                <w:sz w:val="20"/>
                <w:szCs w:val="20"/>
                <w:bdr w:val="none" w:sz="0" w:space="0" w:color="auto" w:frame="1"/>
              </w:rPr>
              <w:t>N: 580</w:t>
            </w:r>
            <w:r w:rsidRPr="00980134">
              <w:rPr>
                <w:rFonts w:ascii="Arial Narrow" w:hAnsi="Arial Narrow" w:cs="Times New Roman"/>
                <w:sz w:val="20"/>
                <w:szCs w:val="20"/>
                <w:bdr w:val="none" w:sz="0" w:space="0" w:color="auto" w:frame="1"/>
                <w:vertAlign w:val="superscript"/>
              </w:rPr>
              <w:t>f</w:t>
            </w:r>
          </w:p>
          <w:p w14:paraId="379813A6" w14:textId="77777777" w:rsidR="00C95EEE" w:rsidRPr="00980134" w:rsidRDefault="00C95EEE">
            <w:pPr>
              <w:pStyle w:val="TableText0"/>
              <w:jc w:val="center"/>
              <w:rPr>
                <w:bCs w:val="0"/>
              </w:rPr>
            </w:pPr>
            <w:r w:rsidRPr="00980134">
              <w:rPr>
                <w:rFonts w:cs="Times New Roman"/>
                <w:szCs w:val="20"/>
                <w:bdr w:val="none" w:sz="0" w:space="0" w:color="auto" w:frame="1"/>
              </w:rPr>
              <w:t>C: 500</w:t>
            </w:r>
            <w:r w:rsidRPr="00980134">
              <w:rPr>
                <w:rFonts w:cs="Times New Roman"/>
                <w:szCs w:val="20"/>
                <w:bdr w:val="none" w:sz="0" w:space="0" w:color="auto" w:frame="1"/>
                <w:vertAlign w:val="superscript"/>
              </w:rPr>
              <w:t>f</w:t>
            </w:r>
          </w:p>
        </w:tc>
      </w:tr>
      <w:tr w:rsidR="00C95EEE" w:rsidRPr="00980134" w14:paraId="0B43C81A" w14:textId="77777777" w:rsidTr="00876CCE">
        <w:trPr>
          <w:cantSplit/>
          <w:jc w:val="center"/>
        </w:trPr>
        <w:tc>
          <w:tcPr>
            <w:tcW w:w="873" w:type="pct"/>
            <w:shd w:val="clear" w:color="auto" w:fill="auto"/>
            <w:vAlign w:val="center"/>
          </w:tcPr>
          <w:p w14:paraId="2C046C47" w14:textId="77777777" w:rsidR="00C95EEE" w:rsidRPr="00980134" w:rsidRDefault="00C95EEE">
            <w:pPr>
              <w:pStyle w:val="TableText0"/>
            </w:pPr>
            <w:r w:rsidRPr="00980134">
              <w:t>Mean duration (months)</w:t>
            </w:r>
          </w:p>
        </w:tc>
        <w:tc>
          <w:tcPr>
            <w:tcW w:w="634" w:type="pct"/>
            <w:shd w:val="clear" w:color="auto" w:fill="auto"/>
            <w:vAlign w:val="center"/>
          </w:tcPr>
          <w:p w14:paraId="40BAA63A" w14:textId="77777777" w:rsidR="00C95EEE" w:rsidRPr="00980134" w:rsidRDefault="00C95EEE">
            <w:pPr>
              <w:pStyle w:val="TableText0"/>
              <w:jc w:val="center"/>
              <w:rPr>
                <w:bCs w:val="0"/>
                <w:vertAlign w:val="superscript"/>
              </w:rPr>
            </w:pPr>
            <w:r w:rsidRPr="00980134">
              <w:rPr>
                <w:bCs w:val="0"/>
              </w:rPr>
              <w:t>9.2</w:t>
            </w:r>
            <w:r w:rsidRPr="00980134">
              <w:rPr>
                <w:bCs w:val="0"/>
                <w:vertAlign w:val="superscript"/>
              </w:rPr>
              <w:t>c</w:t>
            </w:r>
          </w:p>
        </w:tc>
        <w:tc>
          <w:tcPr>
            <w:tcW w:w="634" w:type="pct"/>
            <w:shd w:val="clear" w:color="auto" w:fill="auto"/>
            <w:vAlign w:val="center"/>
          </w:tcPr>
          <w:p w14:paraId="5387CF05" w14:textId="77777777" w:rsidR="00C95EEE" w:rsidRPr="00980134" w:rsidRDefault="00C95EEE">
            <w:pPr>
              <w:pStyle w:val="TableText0"/>
              <w:jc w:val="center"/>
              <w:rPr>
                <w:bCs w:val="0"/>
              </w:rPr>
            </w:pPr>
            <w:r w:rsidRPr="00980134">
              <w:rPr>
                <w:bCs w:val="0"/>
              </w:rPr>
              <w:t>11.0</w:t>
            </w:r>
          </w:p>
        </w:tc>
        <w:tc>
          <w:tcPr>
            <w:tcW w:w="795" w:type="pct"/>
            <w:shd w:val="clear" w:color="auto" w:fill="auto"/>
            <w:vAlign w:val="center"/>
          </w:tcPr>
          <w:p w14:paraId="1C1DC564" w14:textId="77777777" w:rsidR="00C95EEE" w:rsidRPr="00980134" w:rsidRDefault="00C95EEE">
            <w:pPr>
              <w:pStyle w:val="TableText0"/>
              <w:jc w:val="center"/>
              <w:rPr>
                <w:rFonts w:cs="Times New Roman"/>
                <w:szCs w:val="20"/>
                <w:bdr w:val="none" w:sz="0" w:space="0" w:color="auto" w:frame="1"/>
                <w:vertAlign w:val="superscript"/>
              </w:rPr>
            </w:pPr>
            <w:r w:rsidRPr="00980134">
              <w:rPr>
                <w:rFonts w:cs="Times New Roman"/>
                <w:szCs w:val="20"/>
                <w:bdr w:val="none" w:sz="0" w:space="0" w:color="auto" w:frame="1"/>
              </w:rPr>
              <w:t>9.9</w:t>
            </w:r>
            <w:r w:rsidRPr="00980134">
              <w:rPr>
                <w:rFonts w:cs="Times New Roman"/>
                <w:szCs w:val="20"/>
                <w:bdr w:val="none" w:sz="0" w:space="0" w:color="auto" w:frame="1"/>
                <w:vertAlign w:val="superscript"/>
              </w:rPr>
              <w:t>e</w:t>
            </w:r>
          </w:p>
        </w:tc>
        <w:tc>
          <w:tcPr>
            <w:tcW w:w="635" w:type="pct"/>
            <w:shd w:val="clear" w:color="auto" w:fill="auto"/>
            <w:vAlign w:val="center"/>
          </w:tcPr>
          <w:p w14:paraId="3D2A4740" w14:textId="77777777" w:rsidR="00C95EEE" w:rsidRPr="00980134" w:rsidRDefault="00C95EEE">
            <w:pPr>
              <w:pStyle w:val="TableText0"/>
              <w:jc w:val="center"/>
              <w:rPr>
                <w:bCs w:val="0"/>
                <w:vertAlign w:val="superscript"/>
              </w:rPr>
            </w:pPr>
            <w:r w:rsidRPr="00980134">
              <w:rPr>
                <w:bCs w:val="0"/>
              </w:rPr>
              <w:t>4.4</w:t>
            </w:r>
            <w:r w:rsidRPr="00980134">
              <w:rPr>
                <w:bCs w:val="0"/>
                <w:vertAlign w:val="superscript"/>
              </w:rPr>
              <w:t>c</w:t>
            </w:r>
          </w:p>
        </w:tc>
        <w:tc>
          <w:tcPr>
            <w:tcW w:w="636" w:type="pct"/>
            <w:shd w:val="clear" w:color="auto" w:fill="auto"/>
            <w:vAlign w:val="center"/>
          </w:tcPr>
          <w:p w14:paraId="19FC2563" w14:textId="77777777" w:rsidR="00C95EEE" w:rsidRPr="00980134" w:rsidRDefault="00C95EEE">
            <w:pPr>
              <w:pStyle w:val="TableText0"/>
              <w:jc w:val="center"/>
              <w:rPr>
                <w:bCs w:val="0"/>
              </w:rPr>
            </w:pPr>
            <w:r w:rsidRPr="00980134">
              <w:rPr>
                <w:bCs w:val="0"/>
              </w:rPr>
              <w:t>5.9</w:t>
            </w:r>
          </w:p>
        </w:tc>
        <w:tc>
          <w:tcPr>
            <w:tcW w:w="794" w:type="pct"/>
            <w:vAlign w:val="center"/>
          </w:tcPr>
          <w:p w14:paraId="79331736" w14:textId="77777777" w:rsidR="00C95EEE" w:rsidRPr="00980134" w:rsidRDefault="00C95EEE">
            <w:pPr>
              <w:pStyle w:val="TableText0"/>
              <w:jc w:val="center"/>
              <w:rPr>
                <w:rFonts w:cs="Times New Roman"/>
                <w:szCs w:val="20"/>
                <w:bdr w:val="none" w:sz="0" w:space="0" w:color="auto" w:frame="1"/>
                <w:vertAlign w:val="superscript"/>
              </w:rPr>
            </w:pPr>
            <w:r w:rsidRPr="00980134">
              <w:rPr>
                <w:rFonts w:cs="Times New Roman"/>
                <w:szCs w:val="20"/>
                <w:bdr w:val="none" w:sz="0" w:space="0" w:color="auto" w:frame="1"/>
              </w:rPr>
              <w:t>E: 4.3</w:t>
            </w:r>
            <w:r w:rsidRPr="00980134">
              <w:rPr>
                <w:rFonts w:cs="Times New Roman"/>
                <w:szCs w:val="20"/>
                <w:bdr w:val="none" w:sz="0" w:space="0" w:color="auto" w:frame="1"/>
                <w:vertAlign w:val="superscript"/>
              </w:rPr>
              <w:t>c</w:t>
            </w:r>
          </w:p>
          <w:p w14:paraId="380E6110" w14:textId="77777777" w:rsidR="00C95EEE" w:rsidRPr="00980134" w:rsidRDefault="00C95EEE">
            <w:pPr>
              <w:pStyle w:val="TableText0"/>
              <w:jc w:val="center"/>
              <w:rPr>
                <w:bdr w:val="none" w:sz="0" w:space="0" w:color="auto" w:frame="1"/>
                <w:vertAlign w:val="superscript"/>
              </w:rPr>
            </w:pPr>
            <w:r w:rsidRPr="00980134">
              <w:rPr>
                <w:bdr w:val="none" w:sz="0" w:space="0" w:color="auto" w:frame="1"/>
              </w:rPr>
              <w:t>G: 2.6</w:t>
            </w:r>
            <w:r w:rsidRPr="00980134">
              <w:rPr>
                <w:bdr w:val="none" w:sz="0" w:space="0" w:color="auto" w:frame="1"/>
                <w:vertAlign w:val="superscript"/>
              </w:rPr>
              <w:t>c</w:t>
            </w:r>
          </w:p>
          <w:p w14:paraId="1AAE72C3" w14:textId="77777777" w:rsidR="00C95EEE" w:rsidRPr="00980134" w:rsidRDefault="00C95EEE">
            <w:pPr>
              <w:pStyle w:val="TableText0"/>
              <w:jc w:val="center"/>
              <w:rPr>
                <w:bdr w:val="none" w:sz="0" w:space="0" w:color="auto" w:frame="1"/>
              </w:rPr>
            </w:pPr>
            <w:r w:rsidRPr="00980134">
              <w:rPr>
                <w:bdr w:val="none" w:sz="0" w:space="0" w:color="auto" w:frame="1"/>
              </w:rPr>
              <w:t>P: 4.3</w:t>
            </w:r>
            <w:r w:rsidRPr="00980134">
              <w:rPr>
                <w:bdr w:val="none" w:sz="0" w:space="0" w:color="auto" w:frame="1"/>
                <w:vertAlign w:val="superscript"/>
              </w:rPr>
              <w:t>c</w:t>
            </w:r>
            <w:r w:rsidRPr="00980134">
              <w:rPr>
                <w:bdr w:val="none" w:sz="0" w:space="0" w:color="auto" w:frame="1"/>
              </w:rPr>
              <w:t xml:space="preserve"> </w:t>
            </w:r>
          </w:p>
          <w:p w14:paraId="31757569" w14:textId="77777777" w:rsidR="00C95EEE" w:rsidRPr="00980134" w:rsidRDefault="00C95EEE">
            <w:pPr>
              <w:pStyle w:val="TableText0"/>
              <w:jc w:val="center"/>
              <w:rPr>
                <w:vertAlign w:val="superscript"/>
              </w:rPr>
            </w:pPr>
            <w:r w:rsidRPr="00980134">
              <w:t>N: 3.9</w:t>
            </w:r>
            <w:r w:rsidRPr="00980134">
              <w:rPr>
                <w:vertAlign w:val="superscript"/>
              </w:rPr>
              <w:t>c</w:t>
            </w:r>
          </w:p>
          <w:p w14:paraId="02261D6E" w14:textId="77777777" w:rsidR="00C95EEE" w:rsidRPr="00980134" w:rsidRDefault="00C95EEE">
            <w:pPr>
              <w:pStyle w:val="TableText0"/>
              <w:jc w:val="center"/>
              <w:rPr>
                <w:bCs w:val="0"/>
              </w:rPr>
            </w:pPr>
            <w:r w:rsidRPr="00980134">
              <w:t>C: 5.8</w:t>
            </w:r>
            <w:r w:rsidRPr="00980134">
              <w:rPr>
                <w:vertAlign w:val="superscript"/>
              </w:rPr>
              <w:t>c</w:t>
            </w:r>
          </w:p>
        </w:tc>
      </w:tr>
      <w:tr w:rsidR="00C95EEE" w:rsidRPr="00980134" w14:paraId="74303E17" w14:textId="77777777" w:rsidTr="00876CCE">
        <w:trPr>
          <w:cantSplit/>
          <w:jc w:val="center"/>
        </w:trPr>
        <w:tc>
          <w:tcPr>
            <w:tcW w:w="873" w:type="pct"/>
            <w:shd w:val="clear" w:color="auto" w:fill="auto"/>
            <w:vAlign w:val="center"/>
          </w:tcPr>
          <w:p w14:paraId="42603755" w14:textId="0B6D5324" w:rsidR="00C95EEE" w:rsidRPr="00980134" w:rsidRDefault="00C95EEE">
            <w:pPr>
              <w:pStyle w:val="TableText0"/>
            </w:pPr>
            <w:r w:rsidRPr="00980134">
              <w:t>Cost/patient/month</w:t>
            </w:r>
            <w:r w:rsidR="00574012">
              <w:t xml:space="preserve"> ($)</w:t>
            </w:r>
          </w:p>
        </w:tc>
        <w:tc>
          <w:tcPr>
            <w:tcW w:w="634" w:type="pct"/>
            <w:shd w:val="clear" w:color="auto" w:fill="auto"/>
            <w:vAlign w:val="center"/>
          </w:tcPr>
          <w:p w14:paraId="003796F5" w14:textId="4A67259D" w:rsidR="00C95EEE" w:rsidRPr="00A21C73" w:rsidRDefault="00640308">
            <w:pPr>
              <w:pStyle w:val="TableText0"/>
              <w:jc w:val="center"/>
              <w:rPr>
                <w:bCs w:val="0"/>
                <w:highlight w:val="darkGray"/>
              </w:rPr>
            </w:pPr>
            <w:r w:rsidRPr="00640308">
              <w:rPr>
                <w:rFonts w:cs="Calibri"/>
                <w:color w:val="000000"/>
                <w:szCs w:val="20"/>
              </w:rPr>
              <w:t xml:space="preserve"> </w:t>
            </w:r>
            <w:r w:rsidRPr="00640308">
              <w:rPr>
                <w:rFonts w:cs="Calibri" w:hint="eastAsia"/>
                <w:color w:val="000000"/>
                <w:w w:val="15"/>
                <w:szCs w:val="20"/>
                <w:shd w:val="solid" w:color="000000" w:fill="000000"/>
                <w:fitText w:val="30" w:id="-1032110080"/>
                <w14:textFill>
                  <w14:solidFill>
                    <w14:srgbClr w14:val="000000">
                      <w14:alpha w14:val="100000"/>
                    </w14:srgbClr>
                  </w14:solidFill>
                </w14:textFill>
              </w:rPr>
              <w:t xml:space="preserve">　</w:t>
            </w:r>
            <w:r w:rsidRPr="00640308">
              <w:rPr>
                <w:rFonts w:cs="Calibri"/>
                <w:color w:val="000000"/>
                <w:w w:val="15"/>
                <w:szCs w:val="20"/>
                <w:shd w:val="solid" w:color="000000" w:fill="000000"/>
                <w:fitText w:val="30" w:id="-1032110080"/>
                <w14:textFill>
                  <w14:solidFill>
                    <w14:srgbClr w14:val="000000">
                      <w14:alpha w14:val="100000"/>
                    </w14:srgbClr>
                  </w14:solidFill>
                </w14:textFill>
              </w:rPr>
              <w:t>|</w:t>
            </w:r>
            <w:r w:rsidRPr="00640308">
              <w:rPr>
                <w:rFonts w:cs="Calibri" w:hint="eastAsia"/>
                <w:color w:val="000000"/>
                <w:spacing w:val="-35"/>
                <w:w w:val="15"/>
                <w:szCs w:val="20"/>
                <w:shd w:val="solid" w:color="000000" w:fill="000000"/>
                <w:fitText w:val="30" w:id="-1032110080"/>
                <w14:textFill>
                  <w14:solidFill>
                    <w14:srgbClr w14:val="000000">
                      <w14:alpha w14:val="100000"/>
                    </w14:srgbClr>
                  </w14:solidFill>
                </w14:textFill>
              </w:rPr>
              <w:t xml:space="preserve">　</w:t>
            </w:r>
            <w:r w:rsidRPr="00640308">
              <w:rPr>
                <w:rFonts w:cs="Calibri"/>
                <w:color w:val="000000"/>
                <w:szCs w:val="20"/>
              </w:rPr>
              <w:t xml:space="preserve"> </w:t>
            </w:r>
          </w:p>
        </w:tc>
        <w:tc>
          <w:tcPr>
            <w:tcW w:w="634" w:type="pct"/>
            <w:shd w:val="clear" w:color="auto" w:fill="auto"/>
            <w:vAlign w:val="center"/>
          </w:tcPr>
          <w:p w14:paraId="6FA6EC73" w14:textId="71086125" w:rsidR="00C95EEE" w:rsidRPr="00A21C73" w:rsidRDefault="00640308">
            <w:pPr>
              <w:pStyle w:val="TableText0"/>
              <w:jc w:val="center"/>
              <w:rPr>
                <w:bCs w:val="0"/>
                <w:highlight w:val="darkGray"/>
              </w:rPr>
            </w:pPr>
            <w:r w:rsidRPr="00640308">
              <w:rPr>
                <w:rFonts w:cs="Calibri"/>
                <w:color w:val="000000"/>
                <w:szCs w:val="20"/>
              </w:rPr>
              <w:t xml:space="preserve"> </w:t>
            </w:r>
            <w:r w:rsidRPr="00640308">
              <w:rPr>
                <w:rFonts w:cs="Calibri" w:hint="eastAsia"/>
                <w:color w:val="000000"/>
                <w:w w:val="15"/>
                <w:szCs w:val="20"/>
                <w:shd w:val="solid" w:color="000000" w:fill="000000"/>
                <w:fitText w:val="30" w:id="-1032110079"/>
                <w14:textFill>
                  <w14:solidFill>
                    <w14:srgbClr w14:val="000000">
                      <w14:alpha w14:val="100000"/>
                    </w14:srgbClr>
                  </w14:solidFill>
                </w14:textFill>
              </w:rPr>
              <w:t xml:space="preserve">　</w:t>
            </w:r>
            <w:r w:rsidRPr="00640308">
              <w:rPr>
                <w:rFonts w:cs="Calibri"/>
                <w:color w:val="000000"/>
                <w:w w:val="15"/>
                <w:szCs w:val="20"/>
                <w:shd w:val="solid" w:color="000000" w:fill="000000"/>
                <w:fitText w:val="30" w:id="-1032110079"/>
                <w14:textFill>
                  <w14:solidFill>
                    <w14:srgbClr w14:val="000000">
                      <w14:alpha w14:val="100000"/>
                    </w14:srgbClr>
                  </w14:solidFill>
                </w14:textFill>
              </w:rPr>
              <w:t>|</w:t>
            </w:r>
            <w:r w:rsidRPr="00640308">
              <w:rPr>
                <w:rFonts w:cs="Calibri" w:hint="eastAsia"/>
                <w:color w:val="000000"/>
                <w:spacing w:val="-35"/>
                <w:w w:val="15"/>
                <w:szCs w:val="20"/>
                <w:shd w:val="solid" w:color="000000" w:fill="000000"/>
                <w:fitText w:val="30" w:id="-1032110079"/>
                <w14:textFill>
                  <w14:solidFill>
                    <w14:srgbClr w14:val="000000">
                      <w14:alpha w14:val="100000"/>
                    </w14:srgbClr>
                  </w14:solidFill>
                </w14:textFill>
              </w:rPr>
              <w:t xml:space="preserve">　</w:t>
            </w:r>
            <w:r w:rsidRPr="00640308">
              <w:rPr>
                <w:rFonts w:cs="Calibri"/>
                <w:color w:val="000000"/>
                <w:szCs w:val="20"/>
              </w:rPr>
              <w:t xml:space="preserve"> </w:t>
            </w:r>
          </w:p>
        </w:tc>
        <w:tc>
          <w:tcPr>
            <w:tcW w:w="795" w:type="pct"/>
            <w:shd w:val="clear" w:color="auto" w:fill="auto"/>
            <w:vAlign w:val="center"/>
          </w:tcPr>
          <w:p w14:paraId="71C9E180" w14:textId="590C1019" w:rsidR="00C95EEE" w:rsidRPr="00A21C73" w:rsidRDefault="00640308">
            <w:pPr>
              <w:pStyle w:val="TableText0"/>
              <w:jc w:val="center"/>
              <w:rPr>
                <w:bCs w:val="0"/>
                <w:highlight w:val="darkGray"/>
              </w:rPr>
            </w:pPr>
            <w:r>
              <w:rPr>
                <w:rFonts w:cs="Times New Roman"/>
                <w:szCs w:val="20"/>
                <w:bdr w:val="none" w:sz="0" w:space="0" w:color="auto" w:frame="1"/>
              </w:rPr>
              <w:t xml:space="preserve"> </w:t>
            </w:r>
            <w:r w:rsidRPr="00640308">
              <w:rPr>
                <w:rFonts w:cs="Times New Roman"/>
                <w:color w:val="000000"/>
                <w:szCs w:val="20"/>
                <w:shd w:val="solid" w:color="000000" w:fill="000000"/>
                <w14:textFill>
                  <w14:solidFill>
                    <w14:srgbClr w14:val="000000">
                      <w14:alpha w14:val="100000"/>
                    </w14:srgbClr>
                  </w14:solidFill>
                </w14:textFill>
              </w:rPr>
              <w:t>|</w:t>
            </w:r>
            <w:r w:rsidRPr="00640308">
              <w:rPr>
                <w:rFonts w:cs="Times New Roman"/>
                <w:szCs w:val="20"/>
                <w:bdr w:val="none" w:sz="0" w:space="0" w:color="auto" w:frame="1"/>
              </w:rPr>
              <w:t xml:space="preserve"> </w:t>
            </w:r>
          </w:p>
        </w:tc>
        <w:tc>
          <w:tcPr>
            <w:tcW w:w="635" w:type="pct"/>
            <w:shd w:val="clear" w:color="auto" w:fill="auto"/>
            <w:vAlign w:val="center"/>
          </w:tcPr>
          <w:p w14:paraId="68DCDF1D" w14:textId="77777777" w:rsidR="00C95EEE" w:rsidRPr="00980134" w:rsidRDefault="00C95EEE">
            <w:pPr>
              <w:pStyle w:val="TableText0"/>
              <w:jc w:val="center"/>
              <w:rPr>
                <w:bCs w:val="0"/>
              </w:rPr>
            </w:pPr>
            <w:r w:rsidRPr="00980134">
              <w:rPr>
                <w:rFonts w:cs="Calibri"/>
                <w:color w:val="000000"/>
                <w:szCs w:val="20"/>
              </w:rPr>
              <w:t>$1,049</w:t>
            </w:r>
          </w:p>
        </w:tc>
        <w:tc>
          <w:tcPr>
            <w:tcW w:w="636" w:type="pct"/>
            <w:shd w:val="clear" w:color="auto" w:fill="auto"/>
            <w:vAlign w:val="center"/>
          </w:tcPr>
          <w:p w14:paraId="7C683FDC" w14:textId="77777777" w:rsidR="00C95EEE" w:rsidRPr="00980134" w:rsidRDefault="00C95EEE">
            <w:pPr>
              <w:pStyle w:val="TableText0"/>
              <w:jc w:val="center"/>
              <w:rPr>
                <w:bCs w:val="0"/>
              </w:rPr>
            </w:pPr>
            <w:r w:rsidRPr="00980134">
              <w:rPr>
                <w:rFonts w:cs="Calibri"/>
                <w:color w:val="000000"/>
                <w:szCs w:val="20"/>
              </w:rPr>
              <w:t>$1,249</w:t>
            </w:r>
          </w:p>
        </w:tc>
        <w:tc>
          <w:tcPr>
            <w:tcW w:w="794" w:type="pct"/>
          </w:tcPr>
          <w:p w14:paraId="4666E371" w14:textId="77777777" w:rsidR="00C95EEE" w:rsidRPr="00980134" w:rsidRDefault="00C95EEE">
            <w:pPr>
              <w:pStyle w:val="TableText0"/>
              <w:jc w:val="center"/>
              <w:rPr>
                <w:bCs w:val="0"/>
              </w:rPr>
            </w:pPr>
            <w:r w:rsidRPr="00980134">
              <w:rPr>
                <w:rFonts w:cs="Times New Roman"/>
                <w:szCs w:val="20"/>
                <w:bdr w:val="none" w:sz="0" w:space="0" w:color="auto" w:frame="1"/>
              </w:rPr>
              <w:t>Varied across regimens </w:t>
            </w:r>
          </w:p>
        </w:tc>
      </w:tr>
      <w:tr w:rsidR="00C95EEE" w:rsidRPr="00980134" w14:paraId="0100B8E9" w14:textId="77777777" w:rsidTr="00876CCE">
        <w:trPr>
          <w:cantSplit/>
          <w:jc w:val="center"/>
        </w:trPr>
        <w:tc>
          <w:tcPr>
            <w:tcW w:w="873" w:type="pct"/>
            <w:shd w:val="clear" w:color="auto" w:fill="auto"/>
            <w:vAlign w:val="center"/>
          </w:tcPr>
          <w:p w14:paraId="79CAE29A" w14:textId="2C5DA266" w:rsidR="00C95EEE" w:rsidRPr="00980134" w:rsidRDefault="00C95EEE">
            <w:pPr>
              <w:pStyle w:val="TableText0"/>
            </w:pPr>
            <w:r w:rsidRPr="00980134">
              <w:t>Cost/patient/course</w:t>
            </w:r>
            <w:r w:rsidR="00574012">
              <w:t xml:space="preserve"> ($)</w:t>
            </w:r>
          </w:p>
        </w:tc>
        <w:tc>
          <w:tcPr>
            <w:tcW w:w="634" w:type="pct"/>
            <w:shd w:val="clear" w:color="auto" w:fill="auto"/>
            <w:vAlign w:val="center"/>
          </w:tcPr>
          <w:p w14:paraId="77641DA9" w14:textId="3FD42CFE" w:rsidR="00C95EEE" w:rsidRPr="00A21C73" w:rsidRDefault="00640308">
            <w:pPr>
              <w:pStyle w:val="TableText0"/>
              <w:jc w:val="center"/>
              <w:rPr>
                <w:bCs w:val="0"/>
                <w:highlight w:val="darkGray"/>
              </w:rPr>
            </w:pPr>
            <w:r w:rsidRPr="00640308">
              <w:rPr>
                <w:rFonts w:cs="Calibri"/>
                <w:color w:val="000000"/>
                <w:szCs w:val="20"/>
              </w:rPr>
              <w:t xml:space="preserve"> </w:t>
            </w:r>
            <w:r w:rsidRPr="00640308">
              <w:rPr>
                <w:rFonts w:cs="Calibri" w:hint="eastAsia"/>
                <w:color w:val="000000"/>
                <w:w w:val="15"/>
                <w:szCs w:val="20"/>
                <w:shd w:val="solid" w:color="000000" w:fill="000000"/>
                <w:fitText w:val="30" w:id="-1032110078"/>
                <w14:textFill>
                  <w14:solidFill>
                    <w14:srgbClr w14:val="000000">
                      <w14:alpha w14:val="100000"/>
                    </w14:srgbClr>
                  </w14:solidFill>
                </w14:textFill>
              </w:rPr>
              <w:t xml:space="preserve">　</w:t>
            </w:r>
            <w:r w:rsidRPr="00640308">
              <w:rPr>
                <w:rFonts w:cs="Calibri"/>
                <w:color w:val="000000"/>
                <w:w w:val="15"/>
                <w:szCs w:val="20"/>
                <w:shd w:val="solid" w:color="000000" w:fill="000000"/>
                <w:fitText w:val="30" w:id="-1032110078"/>
                <w14:textFill>
                  <w14:solidFill>
                    <w14:srgbClr w14:val="000000">
                      <w14:alpha w14:val="100000"/>
                    </w14:srgbClr>
                  </w14:solidFill>
                </w14:textFill>
              </w:rPr>
              <w:t>|</w:t>
            </w:r>
            <w:r w:rsidRPr="00640308">
              <w:rPr>
                <w:rFonts w:cs="Calibri" w:hint="eastAsia"/>
                <w:color w:val="000000"/>
                <w:spacing w:val="-35"/>
                <w:w w:val="15"/>
                <w:szCs w:val="20"/>
                <w:shd w:val="solid" w:color="000000" w:fill="000000"/>
                <w:fitText w:val="30" w:id="-1032110078"/>
                <w14:textFill>
                  <w14:solidFill>
                    <w14:srgbClr w14:val="000000">
                      <w14:alpha w14:val="100000"/>
                    </w14:srgbClr>
                  </w14:solidFill>
                </w14:textFill>
              </w:rPr>
              <w:t xml:space="preserve">　</w:t>
            </w:r>
            <w:r w:rsidRPr="00640308">
              <w:rPr>
                <w:rFonts w:cs="Calibri"/>
                <w:color w:val="000000"/>
                <w:szCs w:val="20"/>
              </w:rPr>
              <w:t xml:space="preserve"> </w:t>
            </w:r>
          </w:p>
        </w:tc>
        <w:tc>
          <w:tcPr>
            <w:tcW w:w="634" w:type="pct"/>
            <w:shd w:val="clear" w:color="auto" w:fill="auto"/>
            <w:vAlign w:val="center"/>
          </w:tcPr>
          <w:p w14:paraId="56D2D601" w14:textId="6BA8AED0" w:rsidR="00C95EEE" w:rsidRPr="00A21C73" w:rsidRDefault="00640308">
            <w:pPr>
              <w:pStyle w:val="TableText0"/>
              <w:jc w:val="center"/>
              <w:rPr>
                <w:bCs w:val="0"/>
                <w:highlight w:val="darkGray"/>
              </w:rPr>
            </w:pPr>
            <w:r w:rsidRPr="00640308">
              <w:rPr>
                <w:rFonts w:cs="Calibri"/>
                <w:color w:val="000000"/>
                <w:szCs w:val="20"/>
              </w:rPr>
              <w:t xml:space="preserve"> </w:t>
            </w:r>
            <w:r w:rsidRPr="00640308">
              <w:rPr>
                <w:rFonts w:cs="Calibri" w:hint="eastAsia"/>
                <w:color w:val="000000"/>
                <w:w w:val="15"/>
                <w:szCs w:val="20"/>
                <w:shd w:val="solid" w:color="000000" w:fill="000000"/>
                <w:fitText w:val="30" w:id="-1032110077"/>
                <w14:textFill>
                  <w14:solidFill>
                    <w14:srgbClr w14:val="000000">
                      <w14:alpha w14:val="100000"/>
                    </w14:srgbClr>
                  </w14:solidFill>
                </w14:textFill>
              </w:rPr>
              <w:t xml:space="preserve">　</w:t>
            </w:r>
            <w:r w:rsidRPr="00640308">
              <w:rPr>
                <w:rFonts w:cs="Calibri"/>
                <w:color w:val="000000"/>
                <w:w w:val="15"/>
                <w:szCs w:val="20"/>
                <w:shd w:val="solid" w:color="000000" w:fill="000000"/>
                <w:fitText w:val="30" w:id="-1032110077"/>
                <w14:textFill>
                  <w14:solidFill>
                    <w14:srgbClr w14:val="000000">
                      <w14:alpha w14:val="100000"/>
                    </w14:srgbClr>
                  </w14:solidFill>
                </w14:textFill>
              </w:rPr>
              <w:t>|</w:t>
            </w:r>
            <w:r w:rsidRPr="00640308">
              <w:rPr>
                <w:rFonts w:cs="Calibri" w:hint="eastAsia"/>
                <w:color w:val="000000"/>
                <w:spacing w:val="-35"/>
                <w:w w:val="15"/>
                <w:szCs w:val="20"/>
                <w:shd w:val="solid" w:color="000000" w:fill="000000"/>
                <w:fitText w:val="30" w:id="-1032110077"/>
                <w14:textFill>
                  <w14:solidFill>
                    <w14:srgbClr w14:val="000000">
                      <w14:alpha w14:val="100000"/>
                    </w14:srgbClr>
                  </w14:solidFill>
                </w14:textFill>
              </w:rPr>
              <w:t xml:space="preserve">　</w:t>
            </w:r>
            <w:r w:rsidRPr="00640308">
              <w:rPr>
                <w:rFonts w:cs="Calibri"/>
                <w:color w:val="000000"/>
                <w:szCs w:val="20"/>
              </w:rPr>
              <w:t xml:space="preserve"> </w:t>
            </w:r>
          </w:p>
        </w:tc>
        <w:tc>
          <w:tcPr>
            <w:tcW w:w="795" w:type="pct"/>
            <w:shd w:val="clear" w:color="auto" w:fill="auto"/>
            <w:vAlign w:val="center"/>
          </w:tcPr>
          <w:p w14:paraId="7168B6B5" w14:textId="264B0875" w:rsidR="00C95EEE" w:rsidRPr="00A21C73" w:rsidRDefault="00640308">
            <w:pPr>
              <w:pStyle w:val="TableText0"/>
              <w:ind w:left="-57" w:right="-57"/>
              <w:jc w:val="center"/>
              <w:rPr>
                <w:rFonts w:cs="Times New Roman"/>
                <w:szCs w:val="20"/>
                <w:highlight w:val="darkGray"/>
                <w:bdr w:val="none" w:sz="0" w:space="0" w:color="auto" w:frame="1"/>
                <w:vertAlign w:val="superscript"/>
              </w:rPr>
            </w:pPr>
            <w:r w:rsidRPr="00640308">
              <w:rPr>
                <w:rFonts w:cs="Times New Roman"/>
                <w:szCs w:val="20"/>
                <w:bdr w:val="none" w:sz="0" w:space="0" w:color="auto" w:frame="1"/>
              </w:rPr>
              <w:t xml:space="preserve"> </w:t>
            </w:r>
            <w:r w:rsidRPr="00640308">
              <w:rPr>
                <w:rFonts w:cs="Times New Roman"/>
                <w:color w:val="000000"/>
                <w:szCs w:val="20"/>
                <w:shd w:val="solid" w:color="000000" w:fill="000000"/>
                <w14:textFill>
                  <w14:solidFill>
                    <w14:srgbClr w14:val="000000">
                      <w14:alpha w14:val="100000"/>
                    </w14:srgbClr>
                  </w14:solidFill>
                </w14:textFill>
              </w:rPr>
              <w:t>|</w:t>
            </w:r>
            <w:r w:rsidRPr="00640308">
              <w:rPr>
                <w:rFonts w:cs="Times New Roman"/>
                <w:szCs w:val="20"/>
                <w:bdr w:val="none" w:sz="0" w:space="0" w:color="auto" w:frame="1"/>
              </w:rPr>
              <w:t xml:space="preserve"> </w:t>
            </w:r>
          </w:p>
        </w:tc>
        <w:tc>
          <w:tcPr>
            <w:tcW w:w="635" w:type="pct"/>
            <w:shd w:val="clear" w:color="auto" w:fill="auto"/>
            <w:vAlign w:val="center"/>
          </w:tcPr>
          <w:p w14:paraId="59362F7E" w14:textId="77777777" w:rsidR="00C95EEE" w:rsidRPr="00980134" w:rsidRDefault="00C95EEE">
            <w:pPr>
              <w:pStyle w:val="TableText0"/>
              <w:ind w:left="-57" w:right="-57"/>
              <w:jc w:val="center"/>
              <w:rPr>
                <w:bCs w:val="0"/>
              </w:rPr>
            </w:pPr>
            <w:r w:rsidRPr="00980134">
              <w:rPr>
                <w:rFonts w:cs="Calibri"/>
                <w:color w:val="000000"/>
                <w:szCs w:val="20"/>
              </w:rPr>
              <w:t>$4,616</w:t>
            </w:r>
          </w:p>
        </w:tc>
        <w:tc>
          <w:tcPr>
            <w:tcW w:w="636" w:type="pct"/>
            <w:shd w:val="clear" w:color="auto" w:fill="auto"/>
            <w:vAlign w:val="center"/>
          </w:tcPr>
          <w:p w14:paraId="0EC8EACA" w14:textId="77777777" w:rsidR="00C95EEE" w:rsidRPr="00980134" w:rsidRDefault="00C95EEE">
            <w:pPr>
              <w:pStyle w:val="TableText0"/>
              <w:ind w:left="-57" w:right="-57"/>
              <w:jc w:val="center"/>
              <w:rPr>
                <w:bCs w:val="0"/>
              </w:rPr>
            </w:pPr>
            <w:r w:rsidRPr="00980134">
              <w:rPr>
                <w:rFonts w:cs="Calibri"/>
                <w:color w:val="000000"/>
                <w:szCs w:val="20"/>
              </w:rPr>
              <w:t>$7,399</w:t>
            </w:r>
          </w:p>
        </w:tc>
        <w:tc>
          <w:tcPr>
            <w:tcW w:w="794" w:type="pct"/>
            <w:vAlign w:val="center"/>
          </w:tcPr>
          <w:p w14:paraId="4CE3FE14" w14:textId="77777777" w:rsidR="00C95EEE" w:rsidRPr="001D5BE1" w:rsidRDefault="00C95EEE">
            <w:pPr>
              <w:pStyle w:val="TableText0"/>
              <w:ind w:left="-57" w:right="-57"/>
              <w:jc w:val="center"/>
              <w:rPr>
                <w:rFonts w:cs="Times New Roman"/>
                <w:szCs w:val="20"/>
                <w:bdr w:val="none" w:sz="0" w:space="0" w:color="auto" w:frame="1"/>
                <w:vertAlign w:val="superscript"/>
              </w:rPr>
            </w:pPr>
            <w:r w:rsidRPr="001D5BE1">
              <w:rPr>
                <w:rFonts w:cs="Times New Roman"/>
                <w:szCs w:val="20"/>
                <w:bdr w:val="none" w:sz="0" w:space="0" w:color="auto" w:frame="1"/>
              </w:rPr>
              <w:t>$9,313</w:t>
            </w:r>
          </w:p>
          <w:p w14:paraId="61973608" w14:textId="77777777" w:rsidR="00C95EEE" w:rsidRPr="00980134" w:rsidRDefault="00C95EEE">
            <w:pPr>
              <w:pStyle w:val="TableText0"/>
              <w:ind w:left="-57" w:right="-57"/>
              <w:jc w:val="center"/>
              <w:rPr>
                <w:bCs w:val="0"/>
                <w:vertAlign w:val="superscript"/>
              </w:rPr>
            </w:pPr>
            <w:r w:rsidRPr="001D5BE1">
              <w:t>Revised: $5,484</w:t>
            </w:r>
            <w:r w:rsidRPr="001D5BE1">
              <w:rPr>
                <w:vertAlign w:val="superscript"/>
              </w:rPr>
              <w:t>g</w:t>
            </w:r>
          </w:p>
        </w:tc>
      </w:tr>
    </w:tbl>
    <w:p w14:paraId="13C27A9E" w14:textId="77777777" w:rsidR="00C95EEE" w:rsidRPr="00980134" w:rsidRDefault="00C95EEE" w:rsidP="00C95EEE">
      <w:pPr>
        <w:pStyle w:val="TableFooter"/>
      </w:pPr>
      <w:r w:rsidRPr="00980134">
        <w:t xml:space="preserve">Source: Constructed during the evaluation, based on the “T-DXd_HER2-low 2L 3L </w:t>
      </w:r>
      <w:proofErr w:type="spellStart"/>
      <w:r w:rsidRPr="00980134">
        <w:t>mBC</w:t>
      </w:r>
      <w:proofErr w:type="spellEnd"/>
      <w:r w:rsidRPr="00980134">
        <w:t xml:space="preserve"> July 2023 CUA” Excel workbook and Table 14.1.5.1.1 of “Attachment 2.8 DB04 tables and figures” Attachment provided with the submission.</w:t>
      </w:r>
    </w:p>
    <w:p w14:paraId="26E6CD2D" w14:textId="77777777" w:rsidR="00C95EEE" w:rsidRPr="00980134" w:rsidRDefault="00C95EEE" w:rsidP="00C95EEE">
      <w:pPr>
        <w:pStyle w:val="TableFooter"/>
      </w:pPr>
      <w:r w:rsidRPr="00980134">
        <w:t xml:space="preserve">C = capecitabine; DB04 = Destiny Breast-04; E = </w:t>
      </w:r>
      <w:proofErr w:type="spellStart"/>
      <w:r w:rsidRPr="00980134">
        <w:t>eribulin</w:t>
      </w:r>
      <w:proofErr w:type="spellEnd"/>
      <w:r w:rsidRPr="00980134">
        <w:t>; G = gemcitabine; HER = human epidermal growth factor receptor; HR = hormone receptor; N = nab-paclitaxel; P = paclitaxel; T-</w:t>
      </w:r>
      <w:proofErr w:type="spellStart"/>
      <w:r w:rsidRPr="00980134">
        <w:t>DXd</w:t>
      </w:r>
      <w:proofErr w:type="spellEnd"/>
      <w:r w:rsidRPr="00980134">
        <w:t xml:space="preserve"> = trastuzumab </w:t>
      </w:r>
      <w:proofErr w:type="spellStart"/>
      <w:r w:rsidRPr="00980134">
        <w:t>deruxtecan</w:t>
      </w:r>
      <w:proofErr w:type="spellEnd"/>
      <w:r w:rsidRPr="00980134">
        <w:t>; TPC = treatment of physician’s choice.</w:t>
      </w:r>
    </w:p>
    <w:p w14:paraId="7F5A0B27" w14:textId="77777777" w:rsidR="00C95EEE" w:rsidRPr="00980134" w:rsidRDefault="00C95EEE" w:rsidP="00C95EEE">
      <w:pPr>
        <w:pStyle w:val="TableFooter"/>
      </w:pPr>
      <w:proofErr w:type="spellStart"/>
      <w:proofErr w:type="gramStart"/>
      <w:r w:rsidRPr="00980134">
        <w:rPr>
          <w:vertAlign w:val="superscript"/>
        </w:rPr>
        <w:t>a</w:t>
      </w:r>
      <w:proofErr w:type="spellEnd"/>
      <w:proofErr w:type="gramEnd"/>
      <w:r w:rsidRPr="00980134">
        <w:t xml:space="preserve"> Actual dose intensity reported in CSR × 63.5 kg (mean weight of DB04 patients) for T-</w:t>
      </w:r>
      <w:proofErr w:type="spellStart"/>
      <w:r w:rsidRPr="00980134">
        <w:t>DXd</w:t>
      </w:r>
      <w:proofErr w:type="spellEnd"/>
      <w:r w:rsidRPr="00980134">
        <w:t xml:space="preserve"> or 1.7 m</w:t>
      </w:r>
      <w:r w:rsidRPr="00980134">
        <w:rPr>
          <w:vertAlign w:val="superscript"/>
        </w:rPr>
        <w:t xml:space="preserve">2 </w:t>
      </w:r>
      <w:r w:rsidRPr="00980134">
        <w:t>(mean BSA of DB04 patients) for TPC drugs, assuming vial sharing.</w:t>
      </w:r>
    </w:p>
    <w:p w14:paraId="3C6ACA85" w14:textId="77777777" w:rsidR="00C95EEE" w:rsidRPr="00980134" w:rsidRDefault="00C95EEE" w:rsidP="00C95EEE">
      <w:pPr>
        <w:pStyle w:val="TableFooter"/>
      </w:pPr>
      <w:r w:rsidRPr="00980134">
        <w:rPr>
          <w:vertAlign w:val="superscript"/>
        </w:rPr>
        <w:t>b</w:t>
      </w:r>
      <w:r w:rsidRPr="00980134">
        <w:t xml:space="preserve"> 5.4 mg/kg × 68.2 kg (mean weight of Australian women) × 90% RDI, assuming vial sharing.</w:t>
      </w:r>
    </w:p>
    <w:p w14:paraId="67E82F66" w14:textId="77777777" w:rsidR="00C95EEE" w:rsidRPr="00980134" w:rsidRDefault="00C95EEE" w:rsidP="00C95EEE">
      <w:pPr>
        <w:pStyle w:val="TableFooter"/>
      </w:pPr>
      <w:r w:rsidRPr="00980134">
        <w:rPr>
          <w:vertAlign w:val="superscript"/>
        </w:rPr>
        <w:t xml:space="preserve">c </w:t>
      </w:r>
      <w:r w:rsidRPr="00980134">
        <w:t>Treatment duration of T-</w:t>
      </w:r>
      <w:proofErr w:type="spellStart"/>
      <w:r w:rsidRPr="00980134">
        <w:t>DXd</w:t>
      </w:r>
      <w:proofErr w:type="spellEnd"/>
      <w:r w:rsidRPr="00980134">
        <w:t xml:space="preserve"> in the all treated population in the DB-04 trial. </w:t>
      </w:r>
    </w:p>
    <w:p w14:paraId="516F4926" w14:textId="77777777" w:rsidR="00C95EEE" w:rsidRPr="00980134" w:rsidRDefault="00C95EEE" w:rsidP="00C95EEE">
      <w:pPr>
        <w:pStyle w:val="TableFooter"/>
      </w:pPr>
      <w:r w:rsidRPr="00980134">
        <w:rPr>
          <w:vertAlign w:val="superscript"/>
        </w:rPr>
        <w:t xml:space="preserve">d </w:t>
      </w:r>
      <w:r w:rsidRPr="00980134">
        <w:t>Assuming no vial sharing</w:t>
      </w:r>
    </w:p>
    <w:p w14:paraId="355622A1" w14:textId="77777777" w:rsidR="00C95EEE" w:rsidRPr="00980134" w:rsidRDefault="00C95EEE" w:rsidP="00C95EEE">
      <w:pPr>
        <w:pStyle w:val="TableFooter"/>
      </w:pPr>
      <w:r w:rsidRPr="00980134">
        <w:rPr>
          <w:vertAlign w:val="superscript"/>
        </w:rPr>
        <w:t>e</w:t>
      </w:r>
      <w:r w:rsidRPr="00980134">
        <w:t xml:space="preserve"> T-</w:t>
      </w:r>
      <w:proofErr w:type="spellStart"/>
      <w:r w:rsidRPr="00980134">
        <w:t>DXd</w:t>
      </w:r>
      <w:proofErr w:type="spellEnd"/>
      <w:r w:rsidRPr="00980134">
        <w:t xml:space="preserve"> treatment duration is 10.96 months for HR positive/HER2 low population. Treatment compliance of 90% was applied to the treatment duration.</w:t>
      </w:r>
    </w:p>
    <w:p w14:paraId="447B3C93" w14:textId="77777777" w:rsidR="00C95EEE" w:rsidRPr="00980134" w:rsidRDefault="00C95EEE" w:rsidP="00C95EEE">
      <w:pPr>
        <w:pStyle w:val="TableFooter"/>
      </w:pPr>
      <w:r w:rsidRPr="00980134">
        <w:rPr>
          <w:vertAlign w:val="superscript"/>
        </w:rPr>
        <w:t xml:space="preserve">f </w:t>
      </w:r>
      <w:r w:rsidRPr="00980134">
        <w:t xml:space="preserve">The mean dose for each TPC agent as used in the submission was not consistent with the dose regimen recommended in respective product information. The dose frequency as estimated in the financial analysis was twice per 21-cycle for </w:t>
      </w:r>
      <w:proofErr w:type="spellStart"/>
      <w:r w:rsidRPr="00980134">
        <w:t>eribulin</w:t>
      </w:r>
      <w:proofErr w:type="spellEnd"/>
      <w:r w:rsidRPr="00980134">
        <w:t xml:space="preserve"> and gemcitabine, per week for paclitaxel and nab-paclitaxel, and twice daily for 2 weeks followed by 1-week rest period for capecitabine. </w:t>
      </w:r>
    </w:p>
    <w:p w14:paraId="1FEEEF13" w14:textId="22EB1FC9" w:rsidR="00063856" w:rsidRPr="00980134" w:rsidRDefault="00C95EEE" w:rsidP="00CD1D8E">
      <w:pPr>
        <w:pStyle w:val="TableFooter"/>
      </w:pPr>
      <w:r w:rsidRPr="00980134">
        <w:rPr>
          <w:vertAlign w:val="superscript"/>
        </w:rPr>
        <w:t xml:space="preserve">g </w:t>
      </w:r>
      <w:r w:rsidRPr="00980134">
        <w:t>The revised TPC cost was calculated after revising the number of scripts and dispensed cost per administration for each TPC agent based on the recommended dose regimen, the distribution of body surface and the relative dose intensity observed in DB-04.</w:t>
      </w:r>
    </w:p>
    <w:p w14:paraId="6A890E55" w14:textId="77777777" w:rsidR="00C95EEE" w:rsidRPr="00980134" w:rsidRDefault="00C95EEE" w:rsidP="00C95EEE">
      <w:pPr>
        <w:pStyle w:val="4-SubsectionHeading"/>
      </w:pPr>
      <w:bookmarkStart w:id="91" w:name="_Toc22897647"/>
      <w:bookmarkStart w:id="92" w:name="_Toc142092395"/>
      <w:bookmarkStart w:id="93" w:name="_Toc145452644"/>
      <w:bookmarkEnd w:id="90"/>
      <w:r w:rsidRPr="00980134">
        <w:t>Estimated PBS usage &amp; financial implications</w:t>
      </w:r>
      <w:bookmarkEnd w:id="91"/>
      <w:bookmarkEnd w:id="92"/>
      <w:bookmarkEnd w:id="93"/>
    </w:p>
    <w:p w14:paraId="14555E8C" w14:textId="3D411780" w:rsidR="00A30A62" w:rsidRPr="00980134" w:rsidRDefault="00A30A62" w:rsidP="00A30A62">
      <w:pPr>
        <w:pStyle w:val="3-BodyText"/>
        <w:rPr>
          <w:rFonts w:ascii="Arial Narrow" w:hAnsi="Arial Narrow"/>
          <w:sz w:val="20"/>
        </w:rPr>
      </w:pPr>
      <w:bookmarkStart w:id="94" w:name="_Ref142060666"/>
      <w:bookmarkStart w:id="95" w:name="_Toc22897648"/>
      <w:bookmarkStart w:id="96" w:name="_Toc142092396"/>
      <w:bookmarkStart w:id="97" w:name="_Toc142576852"/>
      <w:bookmarkStart w:id="98" w:name="_Toc22897650"/>
      <w:bookmarkStart w:id="99" w:name="_Toc142092398"/>
      <w:r w:rsidRPr="00980134">
        <w:t>This submission was considered by DUSC</w:t>
      </w:r>
      <w:r w:rsidRPr="00980134">
        <w:rPr>
          <w:color w:val="0070C0"/>
        </w:rPr>
        <w:t xml:space="preserve">. </w:t>
      </w:r>
      <w:bookmarkStart w:id="100" w:name="_Ref104805262"/>
      <w:r w:rsidRPr="00980134">
        <w:t>The submission utilised an epidemiological approach to estimate the extent of use of T-</w:t>
      </w:r>
      <w:proofErr w:type="spellStart"/>
      <w:r w:rsidRPr="00980134">
        <w:t>DXd</w:t>
      </w:r>
      <w:proofErr w:type="spellEnd"/>
      <w:r w:rsidRPr="00980134">
        <w:t xml:space="preserve"> and the financial impact of listing on the PBS. The key inputs for the financial analysis are summarised </w:t>
      </w:r>
      <w:bookmarkEnd w:id="100"/>
      <w:r w:rsidRPr="00980134">
        <w:t xml:space="preserve">in </w:t>
      </w:r>
      <w:r w:rsidR="00611941">
        <w:fldChar w:fldCharType="begin" w:fldLock="1"/>
      </w:r>
      <w:r w:rsidR="00611941">
        <w:instrText xml:space="preserve"> REF _Ref152165518 \h  \* MERGEFORMAT </w:instrText>
      </w:r>
      <w:r w:rsidR="00611941">
        <w:fldChar w:fldCharType="separate"/>
      </w:r>
      <w:r w:rsidR="00DF66B3" w:rsidRPr="00DF66B3">
        <w:t>Table 14</w:t>
      </w:r>
      <w:r w:rsidR="00611941">
        <w:fldChar w:fldCharType="end"/>
      </w:r>
      <w:r w:rsidR="00611941">
        <w:t>.</w:t>
      </w:r>
    </w:p>
    <w:p w14:paraId="2A18ED37" w14:textId="1ED98F9A" w:rsidR="00A30A62" w:rsidRPr="00980134" w:rsidRDefault="00A30A62" w:rsidP="008A159D">
      <w:pPr>
        <w:keepNext/>
        <w:keepLines/>
        <w:rPr>
          <w:rFonts w:ascii="Arial Narrow" w:hAnsi="Arial Narrow"/>
          <w:b/>
          <w:bCs/>
          <w:sz w:val="20"/>
          <w:szCs w:val="20"/>
        </w:rPr>
      </w:pPr>
      <w:bookmarkStart w:id="101" w:name="_Ref152165518"/>
      <w:r w:rsidRPr="00980134">
        <w:rPr>
          <w:rFonts w:ascii="Arial Narrow" w:hAnsi="Arial Narrow"/>
          <w:b/>
          <w:bCs/>
          <w:sz w:val="20"/>
          <w:szCs w:val="18"/>
        </w:rPr>
        <w:lastRenderedPageBreak/>
        <w:t xml:space="preserve">Table </w:t>
      </w:r>
      <w:r w:rsidRPr="00980134">
        <w:rPr>
          <w:rFonts w:ascii="Arial Narrow" w:hAnsi="Arial Narrow"/>
          <w:b/>
          <w:bCs/>
          <w:sz w:val="20"/>
          <w:szCs w:val="18"/>
        </w:rPr>
        <w:fldChar w:fldCharType="begin" w:fldLock="1"/>
      </w:r>
      <w:r w:rsidRPr="00980134">
        <w:rPr>
          <w:rFonts w:ascii="Arial Narrow" w:hAnsi="Arial Narrow"/>
          <w:b/>
          <w:bCs/>
          <w:sz w:val="20"/>
          <w:szCs w:val="18"/>
        </w:rPr>
        <w:instrText xml:space="preserve"> SEQ Table \* ARABIC </w:instrText>
      </w:r>
      <w:r w:rsidRPr="00980134">
        <w:rPr>
          <w:rFonts w:ascii="Arial Narrow" w:hAnsi="Arial Narrow"/>
          <w:b/>
          <w:bCs/>
          <w:sz w:val="20"/>
          <w:szCs w:val="18"/>
        </w:rPr>
        <w:fldChar w:fldCharType="separate"/>
      </w:r>
      <w:r w:rsidR="00DF66B3">
        <w:rPr>
          <w:rFonts w:ascii="Arial Narrow" w:hAnsi="Arial Narrow"/>
          <w:b/>
          <w:bCs/>
          <w:noProof/>
          <w:sz w:val="20"/>
          <w:szCs w:val="18"/>
        </w:rPr>
        <w:t>14</w:t>
      </w:r>
      <w:r w:rsidRPr="00980134">
        <w:rPr>
          <w:rFonts w:ascii="Arial Narrow" w:hAnsi="Arial Narrow"/>
          <w:b/>
          <w:bCs/>
          <w:sz w:val="20"/>
          <w:szCs w:val="18"/>
        </w:rPr>
        <w:fldChar w:fldCharType="end"/>
      </w:r>
      <w:bookmarkEnd w:id="101"/>
      <w:r w:rsidRPr="00980134">
        <w:rPr>
          <w:rFonts w:ascii="Arial Narrow" w:hAnsi="Arial Narrow"/>
          <w:b/>
          <w:bCs/>
          <w:sz w:val="20"/>
          <w:szCs w:val="18"/>
        </w:rPr>
        <w:t>: Key inputs for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984"/>
        <w:gridCol w:w="3686"/>
      </w:tblGrid>
      <w:tr w:rsidR="00A30A62" w:rsidRPr="00980134" w14:paraId="1F5A7590" w14:textId="77777777" w:rsidTr="00E51C5C">
        <w:trPr>
          <w:tblHeader/>
        </w:trPr>
        <w:tc>
          <w:tcPr>
            <w:tcW w:w="1696" w:type="dxa"/>
            <w:vAlign w:val="center"/>
          </w:tcPr>
          <w:p w14:paraId="19510DFB" w14:textId="77777777" w:rsidR="00A30A62" w:rsidRPr="00980134" w:rsidRDefault="00A30A62" w:rsidP="008A159D">
            <w:pPr>
              <w:keepNext/>
              <w:keepLines/>
              <w:widowControl w:val="0"/>
              <w:jc w:val="center"/>
              <w:rPr>
                <w:rFonts w:ascii="Arial Narrow" w:eastAsiaTheme="majorEastAsia" w:hAnsi="Arial Narrow" w:cs="Times New Roman"/>
                <w:b/>
                <w:sz w:val="20"/>
              </w:rPr>
            </w:pPr>
            <w:r w:rsidRPr="00980134">
              <w:rPr>
                <w:rFonts w:ascii="Arial Narrow" w:eastAsiaTheme="majorEastAsia" w:hAnsi="Arial Narrow" w:cs="Times New Roman"/>
                <w:b/>
                <w:sz w:val="20"/>
              </w:rPr>
              <w:t>Data</w:t>
            </w:r>
          </w:p>
        </w:tc>
        <w:tc>
          <w:tcPr>
            <w:tcW w:w="1701" w:type="dxa"/>
            <w:vAlign w:val="center"/>
          </w:tcPr>
          <w:p w14:paraId="55921619" w14:textId="77777777" w:rsidR="00A30A62" w:rsidRPr="00980134" w:rsidRDefault="00A30A62" w:rsidP="008A159D">
            <w:pPr>
              <w:keepNext/>
              <w:keepLines/>
              <w:widowControl w:val="0"/>
              <w:jc w:val="center"/>
              <w:rPr>
                <w:rFonts w:ascii="Arial Narrow" w:eastAsiaTheme="majorEastAsia" w:hAnsi="Arial Narrow" w:cs="Times New Roman"/>
                <w:b/>
                <w:sz w:val="20"/>
              </w:rPr>
            </w:pPr>
            <w:r w:rsidRPr="00980134">
              <w:rPr>
                <w:rFonts w:ascii="Arial Narrow" w:eastAsiaTheme="majorEastAsia" w:hAnsi="Arial Narrow" w:cs="Times New Roman"/>
                <w:b/>
                <w:sz w:val="20"/>
              </w:rPr>
              <w:t>Value</w:t>
            </w:r>
          </w:p>
        </w:tc>
        <w:tc>
          <w:tcPr>
            <w:tcW w:w="1984" w:type="dxa"/>
            <w:vAlign w:val="center"/>
          </w:tcPr>
          <w:p w14:paraId="60669499" w14:textId="77777777" w:rsidR="00A30A62" w:rsidRPr="00980134" w:rsidRDefault="00A30A62" w:rsidP="008A159D">
            <w:pPr>
              <w:keepNext/>
              <w:keepLines/>
              <w:widowControl w:val="0"/>
              <w:jc w:val="center"/>
              <w:rPr>
                <w:rFonts w:ascii="Arial Narrow" w:eastAsiaTheme="majorEastAsia" w:hAnsi="Arial Narrow" w:cs="Times New Roman"/>
                <w:b/>
                <w:sz w:val="20"/>
              </w:rPr>
            </w:pPr>
            <w:r w:rsidRPr="00980134">
              <w:rPr>
                <w:rFonts w:ascii="Arial Narrow" w:eastAsiaTheme="majorEastAsia" w:hAnsi="Arial Narrow" w:cs="Times New Roman"/>
                <w:b/>
                <w:sz w:val="20"/>
              </w:rPr>
              <w:t>Source</w:t>
            </w:r>
          </w:p>
        </w:tc>
        <w:tc>
          <w:tcPr>
            <w:tcW w:w="3686" w:type="dxa"/>
            <w:vAlign w:val="center"/>
          </w:tcPr>
          <w:p w14:paraId="5A5F916A" w14:textId="77777777" w:rsidR="00A30A62" w:rsidRPr="00980134" w:rsidRDefault="00A30A62" w:rsidP="008A159D">
            <w:pPr>
              <w:keepNext/>
              <w:keepLines/>
              <w:widowControl w:val="0"/>
              <w:jc w:val="center"/>
              <w:rPr>
                <w:rFonts w:ascii="Arial Narrow" w:eastAsiaTheme="majorEastAsia" w:hAnsi="Arial Narrow" w:cs="Times New Roman"/>
                <w:b/>
                <w:sz w:val="20"/>
              </w:rPr>
            </w:pPr>
            <w:r w:rsidRPr="00980134">
              <w:rPr>
                <w:rFonts w:ascii="Arial Narrow" w:eastAsiaTheme="majorEastAsia" w:hAnsi="Arial Narrow" w:cs="Times New Roman"/>
                <w:b/>
                <w:sz w:val="20"/>
              </w:rPr>
              <w:t>Comment</w:t>
            </w:r>
          </w:p>
        </w:tc>
      </w:tr>
      <w:tr w:rsidR="00A30A62" w:rsidRPr="00980134" w14:paraId="40D464EE" w14:textId="77777777" w:rsidTr="00C144F5">
        <w:tc>
          <w:tcPr>
            <w:tcW w:w="9067" w:type="dxa"/>
            <w:gridSpan w:val="4"/>
            <w:vAlign w:val="center"/>
          </w:tcPr>
          <w:p w14:paraId="6C5CD7EC" w14:textId="77777777" w:rsidR="00A30A62" w:rsidRPr="00980134" w:rsidRDefault="00A30A62" w:rsidP="008A159D">
            <w:pPr>
              <w:keepNext/>
              <w:keepLines/>
              <w:widowControl w:val="0"/>
              <w:jc w:val="left"/>
              <w:rPr>
                <w:rFonts w:ascii="Arial Narrow" w:eastAsiaTheme="majorEastAsia" w:hAnsi="Arial Narrow" w:cs="Times New Roman"/>
                <w:b/>
                <w:sz w:val="20"/>
              </w:rPr>
            </w:pPr>
            <w:r w:rsidRPr="00980134">
              <w:rPr>
                <w:rFonts w:ascii="Arial Narrow" w:eastAsiaTheme="majorEastAsia" w:hAnsi="Arial Narrow" w:cs="Times New Roman"/>
                <w:b/>
                <w:sz w:val="20"/>
              </w:rPr>
              <w:t>Eligible population</w:t>
            </w:r>
          </w:p>
        </w:tc>
      </w:tr>
      <w:tr w:rsidR="00A30A62" w:rsidRPr="00980134" w14:paraId="0B586EAD" w14:textId="77777777" w:rsidTr="00E51C5C">
        <w:tc>
          <w:tcPr>
            <w:tcW w:w="1696" w:type="dxa"/>
            <w:vAlign w:val="center"/>
          </w:tcPr>
          <w:p w14:paraId="2F30E364" w14:textId="77777777" w:rsidR="00A30A62" w:rsidRPr="00980134" w:rsidRDefault="00A30A62" w:rsidP="008A159D">
            <w:pPr>
              <w:keepNext/>
              <w:keepLines/>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Incident patients</w:t>
            </w:r>
          </w:p>
        </w:tc>
        <w:tc>
          <w:tcPr>
            <w:tcW w:w="1701" w:type="dxa"/>
            <w:vAlign w:val="center"/>
          </w:tcPr>
          <w:p w14:paraId="01904082" w14:textId="77777777" w:rsidR="00A30A62" w:rsidRPr="00980134" w:rsidRDefault="00A30A62" w:rsidP="008A159D">
            <w:pPr>
              <w:keepNext/>
              <w:keepLines/>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22,189 in Year 1, increasing to 25,085 in Year 6. </w:t>
            </w:r>
          </w:p>
        </w:tc>
        <w:tc>
          <w:tcPr>
            <w:tcW w:w="1984" w:type="dxa"/>
            <w:vAlign w:val="center"/>
          </w:tcPr>
          <w:p w14:paraId="16077227" w14:textId="77777777" w:rsidR="00A30A62" w:rsidRPr="00980134" w:rsidRDefault="00A30A62" w:rsidP="008A159D">
            <w:pPr>
              <w:keepNext/>
              <w:keepLines/>
              <w:widowControl w:val="0"/>
              <w:jc w:val="left"/>
              <w:rPr>
                <w:rFonts w:ascii="Arial Narrow" w:eastAsiaTheme="majorEastAsia" w:hAnsi="Arial Narrow" w:cstheme="majorBidi"/>
                <w:bCs/>
                <w:sz w:val="20"/>
              </w:rPr>
            </w:pPr>
            <w:r w:rsidRPr="00980134">
              <w:rPr>
                <w:rFonts w:ascii="Arial Narrow" w:eastAsiaTheme="majorEastAsia" w:hAnsi="Arial Narrow"/>
                <w:bCs/>
                <w:sz w:val="20"/>
                <w:szCs w:val="20"/>
                <w:lang w:bidi="en-US"/>
              </w:rPr>
              <w:t>AIHW all age-specific incidence rate data with growth based on linear regression, applied to the ABS population.</w:t>
            </w:r>
          </w:p>
        </w:tc>
        <w:tc>
          <w:tcPr>
            <w:tcW w:w="3686" w:type="dxa"/>
            <w:vAlign w:val="center"/>
          </w:tcPr>
          <w:p w14:paraId="36B2FB1E" w14:textId="4373E4F2" w:rsidR="00A30A62" w:rsidRPr="00980134" w:rsidRDefault="00590DE7" w:rsidP="008A159D">
            <w:pPr>
              <w:keepNext/>
              <w:keepLines/>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DUSC considered that </w:t>
            </w:r>
            <w:r w:rsidRPr="00590DE7">
              <w:rPr>
                <w:rFonts w:ascii="Arial Narrow" w:eastAsiaTheme="majorEastAsia" w:hAnsi="Arial Narrow" w:cstheme="majorBidi"/>
                <w:bCs/>
                <w:sz w:val="20"/>
              </w:rPr>
              <w:t>epidemiologically it would be more appropriate to use the number of incident breast cancer cases per year</w:t>
            </w:r>
            <w:r>
              <w:rPr>
                <w:rFonts w:ascii="Arial Narrow" w:eastAsiaTheme="majorEastAsia" w:hAnsi="Arial Narrow" w:cstheme="majorBidi"/>
                <w:bCs/>
                <w:sz w:val="20"/>
              </w:rPr>
              <w:t>.</w:t>
            </w:r>
            <w:r w:rsidR="00640308">
              <w:rPr>
                <w:rFonts w:ascii="Arial Narrow" w:eastAsiaTheme="majorEastAsia" w:hAnsi="Arial Narrow" w:cstheme="majorBidi"/>
                <w:bCs/>
                <w:sz w:val="20"/>
              </w:rPr>
              <w:t xml:space="preserve"> </w:t>
            </w:r>
            <w:r w:rsidR="00AD4786" w:rsidRPr="00980134">
              <w:rPr>
                <w:rFonts w:ascii="Arial Narrow" w:eastAsiaTheme="majorEastAsia" w:hAnsi="Arial Narrow" w:cstheme="majorBidi"/>
                <w:bCs/>
                <w:sz w:val="20"/>
              </w:rPr>
              <w:t>apply a linear projection</w:t>
            </w:r>
            <w:r w:rsidR="00BC4CED">
              <w:rPr>
                <w:rFonts w:ascii="Arial Narrow" w:eastAsiaTheme="majorEastAsia" w:hAnsi="Arial Narrow" w:cstheme="majorBidi"/>
                <w:bCs/>
                <w:sz w:val="20"/>
              </w:rPr>
              <w:t xml:space="preserve"> to the number of incident cases</w:t>
            </w:r>
            <w:r w:rsidR="00AD4786" w:rsidRPr="00980134">
              <w:rPr>
                <w:rFonts w:ascii="Arial Narrow" w:eastAsiaTheme="majorEastAsia" w:hAnsi="Arial Narrow" w:cstheme="majorBidi"/>
                <w:bCs/>
                <w:sz w:val="20"/>
              </w:rPr>
              <w:t xml:space="preserve">. </w:t>
            </w:r>
            <w:r w:rsidR="00BC4CED">
              <w:rPr>
                <w:rFonts w:ascii="Arial Narrow" w:eastAsiaTheme="majorEastAsia" w:hAnsi="Arial Narrow" w:cstheme="majorBidi"/>
                <w:bCs/>
                <w:sz w:val="20"/>
              </w:rPr>
              <w:t>The PBAC noted this resulted in a small reduction in the number of incident cases (i.e., 22,189 vs 21,638 in Year 1)</w:t>
            </w:r>
          </w:p>
        </w:tc>
      </w:tr>
      <w:tr w:rsidR="00A30A62" w:rsidRPr="00980134" w14:paraId="7A90BCC6" w14:textId="77777777" w:rsidTr="00C144F5">
        <w:tc>
          <w:tcPr>
            <w:tcW w:w="9067" w:type="dxa"/>
            <w:gridSpan w:val="4"/>
            <w:vAlign w:val="center"/>
          </w:tcPr>
          <w:p w14:paraId="5A9AAAA1"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Population 1a: HR positive/HER2 low patients</w:t>
            </w:r>
          </w:p>
        </w:tc>
      </w:tr>
      <w:tr w:rsidR="00A30A62" w:rsidRPr="00980134" w14:paraId="27259036" w14:textId="77777777" w:rsidTr="00E51C5C">
        <w:tc>
          <w:tcPr>
            <w:tcW w:w="1696" w:type="dxa"/>
            <w:vAlign w:val="center"/>
          </w:tcPr>
          <w:p w14:paraId="1DA6F36A"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BC with HR positive/HER2 negative</w:t>
            </w:r>
          </w:p>
        </w:tc>
        <w:tc>
          <w:tcPr>
            <w:tcW w:w="1701" w:type="dxa"/>
            <w:vAlign w:val="center"/>
          </w:tcPr>
          <w:p w14:paraId="28D4EA2C"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68%</w:t>
            </w:r>
          </w:p>
        </w:tc>
        <w:tc>
          <w:tcPr>
            <w:tcW w:w="1984" w:type="dxa"/>
            <w:vAlign w:val="center"/>
          </w:tcPr>
          <w:p w14:paraId="0B286A76"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cstheme="majorBidi"/>
                <w:bCs/>
                <w:sz w:val="20"/>
              </w:rPr>
              <w:t xml:space="preserve">SEER data. </w:t>
            </w:r>
            <w:hyperlink r:id="rId18" w:history="1">
              <w:r w:rsidRPr="00982113">
                <w:rPr>
                  <w:rFonts w:ascii="Arial Narrow" w:eastAsiaTheme="majorEastAsia" w:hAnsi="Arial Narrow"/>
                  <w:bCs/>
                  <w:sz w:val="20"/>
                  <w:szCs w:val="20"/>
                  <w:u w:val="single"/>
                  <w:lang w:bidi="en-US"/>
                </w:rPr>
                <w:t>https://seer.cancer.gov/statfacts/html/breast-subtypes.html</w:t>
              </w:r>
            </w:hyperlink>
            <w:r w:rsidRPr="00982113">
              <w:rPr>
                <w:rFonts w:ascii="Arial Narrow" w:eastAsiaTheme="majorEastAsia" w:hAnsi="Arial Narrow"/>
                <w:bCs/>
                <w:sz w:val="20"/>
                <w:szCs w:val="20"/>
                <w:lang w:bidi="en-US"/>
              </w:rPr>
              <w:t xml:space="preserve"> </w:t>
            </w:r>
            <w:r w:rsidRPr="00980134">
              <w:rPr>
                <w:rFonts w:ascii="Arial Narrow" w:eastAsiaTheme="majorEastAsia" w:hAnsi="Arial Narrow"/>
                <w:bCs/>
                <w:sz w:val="20"/>
                <w:szCs w:val="20"/>
                <w:lang w:bidi="en-US"/>
              </w:rPr>
              <w:t>(accessed May 2023)</w:t>
            </w:r>
          </w:p>
        </w:tc>
        <w:tc>
          <w:tcPr>
            <w:tcW w:w="3686" w:type="dxa"/>
            <w:vAlign w:val="center"/>
          </w:tcPr>
          <w:p w14:paraId="2888E77E" w14:textId="336018E2"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This was largely consistent with previous submissions to the PBAC (</w:t>
            </w:r>
            <w:proofErr w:type="spellStart"/>
            <w:r w:rsidR="002A6F0C" w:rsidRPr="00980134">
              <w:rPr>
                <w:rFonts w:ascii="Arial Narrow" w:eastAsiaTheme="majorEastAsia" w:hAnsi="Arial Narrow" w:cstheme="majorBidi"/>
                <w:bCs/>
                <w:sz w:val="20"/>
              </w:rPr>
              <w:t>a</w:t>
            </w:r>
            <w:r w:rsidRPr="00980134">
              <w:rPr>
                <w:rFonts w:ascii="Arial Narrow" w:eastAsiaTheme="majorEastAsia" w:hAnsi="Arial Narrow" w:cstheme="majorBidi"/>
                <w:bCs/>
                <w:sz w:val="20"/>
              </w:rPr>
              <w:t>bemaciclib</w:t>
            </w:r>
            <w:proofErr w:type="spellEnd"/>
            <w:r w:rsidRPr="00980134">
              <w:rPr>
                <w:rFonts w:ascii="Arial Narrow" w:eastAsiaTheme="majorEastAsia" w:hAnsi="Arial Narrow" w:cstheme="majorBidi"/>
                <w:bCs/>
                <w:sz w:val="20"/>
              </w:rPr>
              <w:t xml:space="preserve"> PSD, March 2022 PBAC meeting; </w:t>
            </w:r>
            <w:proofErr w:type="spellStart"/>
            <w:r w:rsidR="002A6F0C" w:rsidRPr="00980134">
              <w:rPr>
                <w:rFonts w:ascii="Arial Narrow" w:eastAsiaTheme="majorEastAsia" w:hAnsi="Arial Narrow" w:cstheme="majorBidi"/>
                <w:bCs/>
                <w:sz w:val="20"/>
              </w:rPr>
              <w:t>s</w:t>
            </w:r>
            <w:r w:rsidRPr="00980134">
              <w:rPr>
                <w:rFonts w:ascii="Arial Narrow" w:eastAsiaTheme="majorEastAsia" w:hAnsi="Arial Narrow" w:cstheme="majorBidi"/>
                <w:bCs/>
                <w:sz w:val="20"/>
              </w:rPr>
              <w:t>acituzumab</w:t>
            </w:r>
            <w:proofErr w:type="spellEnd"/>
            <w:r w:rsidRPr="00980134">
              <w:rPr>
                <w:rFonts w:ascii="Arial Narrow" w:eastAsiaTheme="majorEastAsia" w:hAnsi="Arial Narrow" w:cstheme="majorBidi"/>
                <w:bCs/>
                <w:sz w:val="20"/>
              </w:rPr>
              <w:t xml:space="preserve"> </w:t>
            </w:r>
            <w:proofErr w:type="spellStart"/>
            <w:r w:rsidRPr="00980134">
              <w:rPr>
                <w:rFonts w:ascii="Arial Narrow" w:eastAsiaTheme="majorEastAsia" w:hAnsi="Arial Narrow" w:cstheme="majorBidi"/>
                <w:bCs/>
                <w:sz w:val="20"/>
              </w:rPr>
              <w:t>govitecan</w:t>
            </w:r>
            <w:proofErr w:type="spellEnd"/>
            <w:r w:rsidRPr="00980134">
              <w:rPr>
                <w:rFonts w:ascii="Arial Narrow" w:eastAsiaTheme="majorEastAsia" w:hAnsi="Arial Narrow" w:cstheme="majorBidi"/>
                <w:bCs/>
                <w:sz w:val="20"/>
              </w:rPr>
              <w:t xml:space="preserve"> PSD, November 2021 PBAC meeting)</w:t>
            </w:r>
            <w:r w:rsidR="00980134">
              <w:rPr>
                <w:rFonts w:ascii="Arial Narrow" w:eastAsiaTheme="majorEastAsia" w:hAnsi="Arial Narrow" w:cstheme="majorBidi"/>
                <w:bCs/>
                <w:sz w:val="20"/>
              </w:rPr>
              <w:t xml:space="preserve">. </w:t>
            </w:r>
          </w:p>
        </w:tc>
      </w:tr>
      <w:tr w:rsidR="00A30A62" w:rsidRPr="00980134" w14:paraId="4DDB3B32" w14:textId="77777777" w:rsidTr="00E51C5C">
        <w:tc>
          <w:tcPr>
            <w:tcW w:w="1696" w:type="dxa"/>
            <w:vAlign w:val="center"/>
          </w:tcPr>
          <w:p w14:paraId="671A2D60"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HR positive/HER2 negative BC with HER2 low</w:t>
            </w:r>
          </w:p>
        </w:tc>
        <w:tc>
          <w:tcPr>
            <w:tcW w:w="1701" w:type="dxa"/>
            <w:vAlign w:val="center"/>
          </w:tcPr>
          <w:p w14:paraId="724B99D5"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80.27%</w:t>
            </w:r>
          </w:p>
        </w:tc>
        <w:tc>
          <w:tcPr>
            <w:tcW w:w="1984" w:type="dxa"/>
            <w:vAlign w:val="center"/>
          </w:tcPr>
          <w:p w14:paraId="5959780A"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Shang et al 2023</w:t>
            </w:r>
          </w:p>
        </w:tc>
        <w:tc>
          <w:tcPr>
            <w:tcW w:w="3686" w:type="dxa"/>
            <w:vAlign w:val="center"/>
          </w:tcPr>
          <w:p w14:paraId="585EF49E" w14:textId="355CFD1A" w:rsidR="00A30A62"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DUSC considered this to be overestimated. DUSC noted that the differences in proportions in these studies are likely reflective of the heterogeneity of the populations and the unassessed influence of prior treatment on HER2 expression. DUSC noted the recently published study by </w:t>
            </w:r>
            <w:proofErr w:type="spellStart"/>
            <w:r w:rsidRPr="00980134">
              <w:rPr>
                <w:rFonts w:ascii="Arial Narrow" w:eastAsiaTheme="majorEastAsia" w:hAnsi="Arial Narrow" w:cstheme="majorBidi"/>
                <w:bCs/>
                <w:sz w:val="20"/>
              </w:rPr>
              <w:t>Viale</w:t>
            </w:r>
            <w:proofErr w:type="spellEnd"/>
            <w:r w:rsidRPr="00980134">
              <w:rPr>
                <w:rFonts w:ascii="Arial Narrow" w:eastAsiaTheme="majorEastAsia" w:hAnsi="Arial Narrow" w:cstheme="majorBidi"/>
                <w:bCs/>
                <w:sz w:val="20"/>
              </w:rPr>
              <w:t xml:space="preserve"> et al (2023) captures the Australian population and the value of 63.6% in the HR positive population and other estimates from </w:t>
            </w:r>
            <w:proofErr w:type="spellStart"/>
            <w:r w:rsidRPr="00980134">
              <w:rPr>
                <w:rFonts w:ascii="Arial Narrow" w:eastAsiaTheme="majorEastAsia" w:hAnsi="Arial Narrow" w:cstheme="majorBidi"/>
                <w:bCs/>
                <w:sz w:val="20"/>
              </w:rPr>
              <w:t>Shettini</w:t>
            </w:r>
            <w:proofErr w:type="spellEnd"/>
            <w:r w:rsidRPr="00980134">
              <w:rPr>
                <w:rFonts w:ascii="Arial Narrow" w:eastAsiaTheme="majorEastAsia" w:hAnsi="Arial Narrow" w:cstheme="majorBidi"/>
                <w:bCs/>
                <w:sz w:val="20"/>
              </w:rPr>
              <w:t xml:space="preserve"> et al (2021) at 65.4% and TROPiCs-02 at 56.6%. DUSC noted Shang et al (2023) may be an outlier and considered 61% would be </w:t>
            </w:r>
            <w:r w:rsidR="002A6F0C" w:rsidRPr="00980134">
              <w:rPr>
                <w:rFonts w:ascii="Arial Narrow" w:eastAsiaTheme="majorEastAsia" w:hAnsi="Arial Narrow" w:cstheme="majorBidi"/>
                <w:bCs/>
                <w:sz w:val="20"/>
              </w:rPr>
              <w:t xml:space="preserve">a </w:t>
            </w:r>
            <w:r w:rsidRPr="00980134">
              <w:rPr>
                <w:rFonts w:ascii="Arial Narrow" w:eastAsiaTheme="majorEastAsia" w:hAnsi="Arial Narrow" w:cstheme="majorBidi"/>
                <w:bCs/>
                <w:sz w:val="20"/>
              </w:rPr>
              <w:t xml:space="preserve">more appropriate </w:t>
            </w:r>
            <w:r w:rsidR="002A6F0C" w:rsidRPr="00980134">
              <w:rPr>
                <w:rFonts w:ascii="Arial Narrow" w:eastAsiaTheme="majorEastAsia" w:hAnsi="Arial Narrow" w:cstheme="majorBidi"/>
                <w:bCs/>
                <w:sz w:val="20"/>
              </w:rPr>
              <w:t>assumption</w:t>
            </w:r>
            <w:r w:rsidRPr="00980134">
              <w:rPr>
                <w:rFonts w:ascii="Arial Narrow" w:eastAsiaTheme="majorEastAsia" w:hAnsi="Arial Narrow" w:cstheme="majorBidi"/>
                <w:bCs/>
                <w:sz w:val="20"/>
              </w:rPr>
              <w:t xml:space="preserve">. </w:t>
            </w:r>
          </w:p>
        </w:tc>
      </w:tr>
      <w:tr w:rsidR="00A30A62" w:rsidRPr="00980134" w14:paraId="5F1F2733" w14:textId="77777777" w:rsidTr="00E51C5C">
        <w:tc>
          <w:tcPr>
            <w:tcW w:w="1696" w:type="dxa"/>
            <w:vAlign w:val="center"/>
          </w:tcPr>
          <w:p w14:paraId="6E7AD948"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Proportion with </w:t>
            </w:r>
            <w:proofErr w:type="spellStart"/>
            <w:r w:rsidRPr="00980134">
              <w:rPr>
                <w:rFonts w:ascii="Arial Narrow" w:eastAsiaTheme="majorEastAsia" w:hAnsi="Arial Narrow" w:cstheme="majorBidi"/>
                <w:bCs/>
                <w:sz w:val="20"/>
              </w:rPr>
              <w:t>uBC</w:t>
            </w:r>
            <w:proofErr w:type="spellEnd"/>
            <w:r w:rsidRPr="00980134">
              <w:rPr>
                <w:rFonts w:ascii="Arial Narrow" w:eastAsiaTheme="majorEastAsia" w:hAnsi="Arial Narrow" w:cstheme="majorBidi"/>
                <w:bCs/>
                <w:sz w:val="20"/>
              </w:rPr>
              <w:t>/</w:t>
            </w:r>
            <w:proofErr w:type="spellStart"/>
            <w:r w:rsidRPr="00980134">
              <w:rPr>
                <w:rFonts w:ascii="Arial Narrow" w:eastAsiaTheme="majorEastAsia" w:hAnsi="Arial Narrow" w:cstheme="majorBidi"/>
                <w:bCs/>
                <w:sz w:val="20"/>
              </w:rPr>
              <w:t>mBC</w:t>
            </w:r>
            <w:proofErr w:type="spellEnd"/>
            <w:r w:rsidRPr="00980134">
              <w:rPr>
                <w:rFonts w:ascii="Arial Narrow" w:eastAsiaTheme="majorEastAsia" w:hAnsi="Arial Narrow" w:cstheme="majorBidi"/>
                <w:bCs/>
                <w:sz w:val="20"/>
              </w:rPr>
              <w:t xml:space="preserve"> </w:t>
            </w:r>
          </w:p>
        </w:tc>
        <w:tc>
          <w:tcPr>
            <w:tcW w:w="1701" w:type="dxa"/>
            <w:vAlign w:val="center"/>
          </w:tcPr>
          <w:p w14:paraId="79EEA37A"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34%</w:t>
            </w:r>
          </w:p>
        </w:tc>
        <w:tc>
          <w:tcPr>
            <w:tcW w:w="1984" w:type="dxa"/>
            <w:vAlign w:val="center"/>
          </w:tcPr>
          <w:p w14:paraId="53027721"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 xml:space="preserve">IPSOS Sept 2022 (Commissioned data) </w:t>
            </w:r>
          </w:p>
        </w:tc>
        <w:tc>
          <w:tcPr>
            <w:tcW w:w="3686" w:type="dxa"/>
            <w:vAlign w:val="center"/>
          </w:tcPr>
          <w:p w14:paraId="20A117EA" w14:textId="03D5E010" w:rsidR="00AD4786"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DUSC agreed with the</w:t>
            </w:r>
            <w:r w:rsidR="002A6F0C" w:rsidRPr="00980134">
              <w:rPr>
                <w:rFonts w:ascii="Arial Narrow" w:eastAsiaTheme="majorEastAsia" w:hAnsi="Arial Narrow" w:cstheme="majorBidi"/>
                <w:bCs/>
                <w:sz w:val="20"/>
              </w:rPr>
              <w:t xml:space="preserve"> evaluation</w:t>
            </w:r>
            <w:r w:rsidRPr="00980134">
              <w:rPr>
                <w:rFonts w:ascii="Arial Narrow" w:eastAsiaTheme="majorEastAsia" w:hAnsi="Arial Narrow" w:cstheme="majorBidi"/>
                <w:bCs/>
                <w:sz w:val="20"/>
              </w:rPr>
              <w:t xml:space="preserve"> that there is considerable uncertainty in this input as it is unclear how this number has been calculated and more information is required to judge its suitability given that there is no currently available literature discussing the number of HER2</w:t>
            </w:r>
            <w:r w:rsidR="00F262CA" w:rsidRPr="00980134">
              <w:rPr>
                <w:rFonts w:ascii="Arial Narrow" w:eastAsiaTheme="majorEastAsia" w:hAnsi="Arial Narrow" w:cstheme="majorBidi"/>
                <w:bCs/>
                <w:sz w:val="20"/>
              </w:rPr>
              <w:t xml:space="preserve"> </w:t>
            </w:r>
            <w:r w:rsidRPr="00980134">
              <w:rPr>
                <w:rFonts w:ascii="Arial Narrow" w:eastAsiaTheme="majorEastAsia" w:hAnsi="Arial Narrow" w:cstheme="majorBidi"/>
                <w:bCs/>
                <w:sz w:val="20"/>
              </w:rPr>
              <w:t>low patients with metastatic disease.</w:t>
            </w:r>
            <w:r w:rsidR="002A6F0C" w:rsidRPr="00980134">
              <w:rPr>
                <w:rFonts w:ascii="Arial Narrow" w:eastAsiaTheme="majorEastAsia" w:hAnsi="Arial Narrow" w:cstheme="majorBidi"/>
                <w:bCs/>
                <w:sz w:val="20"/>
              </w:rPr>
              <w:t xml:space="preserve"> The PBAC considered this was too high</w:t>
            </w:r>
            <w:r w:rsidR="00980134">
              <w:rPr>
                <w:rFonts w:ascii="Arial Narrow" w:eastAsiaTheme="majorEastAsia" w:hAnsi="Arial Narrow" w:cstheme="majorBidi"/>
                <w:bCs/>
                <w:sz w:val="20"/>
              </w:rPr>
              <w:t xml:space="preserve">. </w:t>
            </w:r>
          </w:p>
        </w:tc>
      </w:tr>
      <w:tr w:rsidR="00A30A62" w:rsidRPr="00980134" w14:paraId="4BB8162A" w14:textId="77777777" w:rsidTr="00E51C5C">
        <w:tc>
          <w:tcPr>
            <w:tcW w:w="1696" w:type="dxa"/>
            <w:vAlign w:val="center"/>
          </w:tcPr>
          <w:p w14:paraId="492FBC66"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patients for whom T</w:t>
            </w:r>
            <w:r w:rsidRPr="00980134">
              <w:rPr>
                <w:rFonts w:ascii="Arial Narrow" w:eastAsiaTheme="majorEastAsia" w:hAnsi="Arial Narrow" w:cstheme="majorBidi"/>
                <w:bCs/>
                <w:sz w:val="20"/>
              </w:rPr>
              <w:noBreakHyphen/>
            </w:r>
            <w:proofErr w:type="spellStart"/>
            <w:r w:rsidRPr="00980134">
              <w:rPr>
                <w:rFonts w:ascii="Arial Narrow" w:eastAsiaTheme="majorEastAsia" w:hAnsi="Arial Narrow" w:cstheme="majorBidi"/>
                <w:bCs/>
                <w:sz w:val="20"/>
              </w:rPr>
              <w:t>DXd</w:t>
            </w:r>
            <w:proofErr w:type="spellEnd"/>
            <w:r w:rsidRPr="00980134">
              <w:rPr>
                <w:rFonts w:ascii="Arial Narrow" w:eastAsiaTheme="majorEastAsia" w:hAnsi="Arial Narrow" w:cstheme="majorBidi"/>
                <w:bCs/>
                <w:sz w:val="20"/>
              </w:rPr>
              <w:t xml:space="preserve"> is clinically appropriate</w:t>
            </w:r>
          </w:p>
        </w:tc>
        <w:tc>
          <w:tcPr>
            <w:tcW w:w="1701" w:type="dxa"/>
            <w:vAlign w:val="center"/>
          </w:tcPr>
          <w:p w14:paraId="475B6BF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80%</w:t>
            </w:r>
          </w:p>
        </w:tc>
        <w:tc>
          <w:tcPr>
            <w:tcW w:w="1984" w:type="dxa"/>
            <w:vAlign w:val="center"/>
          </w:tcPr>
          <w:p w14:paraId="1949FDE9"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Estimate based on expert opinion</w:t>
            </w:r>
          </w:p>
        </w:tc>
        <w:tc>
          <w:tcPr>
            <w:tcW w:w="3686" w:type="dxa"/>
            <w:vAlign w:val="center"/>
          </w:tcPr>
          <w:p w14:paraId="469E8DF0" w14:textId="13325364" w:rsidR="00AD4786"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DUSC considered that this is a reasonable estimate that is consistent with the proportion of patients who failed screening in the DB-04 trial (156 of 713 patients, 22%). </w:t>
            </w:r>
          </w:p>
        </w:tc>
      </w:tr>
      <w:tr w:rsidR="00A30A62" w:rsidRPr="00980134" w14:paraId="0F8399A9" w14:textId="77777777" w:rsidTr="00C144F5">
        <w:tc>
          <w:tcPr>
            <w:tcW w:w="9067" w:type="dxa"/>
            <w:gridSpan w:val="4"/>
            <w:vAlign w:val="center"/>
          </w:tcPr>
          <w:p w14:paraId="70372B43"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Population 1b: HR negative/HER2 low patients</w:t>
            </w:r>
          </w:p>
        </w:tc>
      </w:tr>
      <w:tr w:rsidR="00A30A62" w:rsidRPr="00980134" w14:paraId="042D6DE5" w14:textId="77777777" w:rsidTr="00E51C5C">
        <w:tc>
          <w:tcPr>
            <w:tcW w:w="1696" w:type="dxa"/>
            <w:vAlign w:val="center"/>
          </w:tcPr>
          <w:p w14:paraId="46AAA6A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BC with HR negative/HER2 negative</w:t>
            </w:r>
          </w:p>
        </w:tc>
        <w:tc>
          <w:tcPr>
            <w:tcW w:w="1701" w:type="dxa"/>
            <w:vAlign w:val="center"/>
          </w:tcPr>
          <w:p w14:paraId="1BC87910"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15%</w:t>
            </w:r>
          </w:p>
        </w:tc>
        <w:tc>
          <w:tcPr>
            <w:tcW w:w="1984" w:type="dxa"/>
            <w:vAlign w:val="center"/>
          </w:tcPr>
          <w:p w14:paraId="74D92237"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 xml:space="preserve">Sacituzumab </w:t>
            </w:r>
            <w:proofErr w:type="spellStart"/>
            <w:r w:rsidRPr="00980134">
              <w:rPr>
                <w:rFonts w:ascii="Arial Narrow" w:eastAsiaTheme="majorEastAsia" w:hAnsi="Arial Narrow"/>
                <w:bCs/>
                <w:sz w:val="20"/>
                <w:szCs w:val="20"/>
                <w:lang w:bidi="en-US"/>
              </w:rPr>
              <w:t>govitecan</w:t>
            </w:r>
            <w:proofErr w:type="spellEnd"/>
            <w:r w:rsidRPr="00980134">
              <w:rPr>
                <w:rFonts w:ascii="Arial Narrow" w:eastAsiaTheme="majorEastAsia" w:hAnsi="Arial Narrow"/>
                <w:bCs/>
                <w:sz w:val="20"/>
                <w:szCs w:val="20"/>
                <w:lang w:bidi="en-US"/>
              </w:rPr>
              <w:t xml:space="preserve"> PSD, November 2021 PBAC meeting</w:t>
            </w:r>
          </w:p>
        </w:tc>
        <w:tc>
          <w:tcPr>
            <w:tcW w:w="3686" w:type="dxa"/>
            <w:vAlign w:val="center"/>
          </w:tcPr>
          <w:p w14:paraId="49029C27" w14:textId="1D6330B3"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This is reasonable</w:t>
            </w:r>
            <w:r w:rsidR="00980134">
              <w:rPr>
                <w:rFonts w:ascii="Arial Narrow" w:eastAsiaTheme="majorEastAsia" w:hAnsi="Arial Narrow" w:cstheme="majorBidi"/>
                <w:bCs/>
                <w:sz w:val="20"/>
              </w:rPr>
              <w:t xml:space="preserve">. </w:t>
            </w:r>
          </w:p>
        </w:tc>
      </w:tr>
      <w:tr w:rsidR="00A30A62" w:rsidRPr="00980134" w14:paraId="6870DD05" w14:textId="77777777" w:rsidTr="00D9521F">
        <w:trPr>
          <w:cantSplit/>
        </w:trPr>
        <w:tc>
          <w:tcPr>
            <w:tcW w:w="1696" w:type="dxa"/>
            <w:vAlign w:val="center"/>
          </w:tcPr>
          <w:p w14:paraId="5DDDA8FB"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lastRenderedPageBreak/>
              <w:t xml:space="preserve">Proportion with </w:t>
            </w:r>
            <w:proofErr w:type="spellStart"/>
            <w:r w:rsidRPr="00980134">
              <w:rPr>
                <w:rFonts w:ascii="Arial Narrow" w:eastAsiaTheme="majorEastAsia" w:hAnsi="Arial Narrow" w:cstheme="majorBidi"/>
                <w:bCs/>
                <w:sz w:val="20"/>
              </w:rPr>
              <w:t>uBC</w:t>
            </w:r>
            <w:proofErr w:type="spellEnd"/>
            <w:r w:rsidRPr="00980134">
              <w:rPr>
                <w:rFonts w:ascii="Arial Narrow" w:eastAsiaTheme="majorEastAsia" w:hAnsi="Arial Narrow" w:cstheme="majorBidi"/>
                <w:bCs/>
                <w:sz w:val="20"/>
              </w:rPr>
              <w:t>/</w:t>
            </w:r>
            <w:proofErr w:type="spellStart"/>
            <w:r w:rsidRPr="00980134">
              <w:rPr>
                <w:rFonts w:ascii="Arial Narrow" w:eastAsiaTheme="majorEastAsia" w:hAnsi="Arial Narrow" w:cstheme="majorBidi"/>
                <w:bCs/>
                <w:sz w:val="20"/>
              </w:rPr>
              <w:t>mBC</w:t>
            </w:r>
            <w:proofErr w:type="spellEnd"/>
          </w:p>
        </w:tc>
        <w:tc>
          <w:tcPr>
            <w:tcW w:w="1701" w:type="dxa"/>
            <w:vAlign w:val="center"/>
          </w:tcPr>
          <w:p w14:paraId="1BA88744"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54.80%</w:t>
            </w:r>
          </w:p>
        </w:tc>
        <w:tc>
          <w:tcPr>
            <w:tcW w:w="1984" w:type="dxa"/>
            <w:vAlign w:val="center"/>
          </w:tcPr>
          <w:p w14:paraId="2B5A0CA1"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 xml:space="preserve">Sacituzumab </w:t>
            </w:r>
            <w:proofErr w:type="spellStart"/>
            <w:r w:rsidRPr="00980134">
              <w:rPr>
                <w:rFonts w:ascii="Arial Narrow" w:eastAsiaTheme="majorEastAsia" w:hAnsi="Arial Narrow"/>
                <w:bCs/>
                <w:sz w:val="20"/>
                <w:szCs w:val="20"/>
                <w:lang w:bidi="en-US"/>
              </w:rPr>
              <w:t>govitecan</w:t>
            </w:r>
            <w:proofErr w:type="spellEnd"/>
            <w:r w:rsidRPr="00980134">
              <w:rPr>
                <w:rFonts w:ascii="Arial Narrow" w:eastAsiaTheme="majorEastAsia" w:hAnsi="Arial Narrow"/>
                <w:bCs/>
                <w:sz w:val="20"/>
                <w:szCs w:val="20"/>
                <w:lang w:bidi="en-US"/>
              </w:rPr>
              <w:t xml:space="preserve"> PSD, November 2021 PBAC meeting</w:t>
            </w:r>
          </w:p>
        </w:tc>
        <w:tc>
          <w:tcPr>
            <w:tcW w:w="3686" w:type="dxa"/>
            <w:vAlign w:val="center"/>
          </w:tcPr>
          <w:p w14:paraId="38A3368F" w14:textId="5506902A" w:rsidR="00AD4786"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sz w:val="20"/>
              </w:rPr>
              <w:t>DUSC agree</w:t>
            </w:r>
            <w:r w:rsidR="002A6F0C" w:rsidRPr="00980134">
              <w:rPr>
                <w:rFonts w:ascii="Arial Narrow" w:eastAsiaTheme="majorEastAsia" w:hAnsi="Arial Narrow" w:cstheme="majorBidi"/>
                <w:sz w:val="20"/>
              </w:rPr>
              <w:t>d</w:t>
            </w:r>
            <w:r w:rsidRPr="00980134">
              <w:rPr>
                <w:rFonts w:ascii="Arial Narrow" w:eastAsiaTheme="majorEastAsia" w:hAnsi="Arial Narrow" w:cstheme="majorBidi"/>
                <w:sz w:val="20"/>
              </w:rPr>
              <w:t xml:space="preserve"> with the </w:t>
            </w:r>
            <w:r w:rsidR="002A6F0C" w:rsidRPr="00980134">
              <w:rPr>
                <w:rFonts w:ascii="Arial Narrow" w:eastAsiaTheme="majorEastAsia" w:hAnsi="Arial Narrow" w:cstheme="majorBidi"/>
                <w:sz w:val="20"/>
              </w:rPr>
              <w:t xml:space="preserve">evaluation </w:t>
            </w:r>
            <w:r w:rsidRPr="00980134">
              <w:rPr>
                <w:rFonts w:ascii="Arial Narrow" w:eastAsiaTheme="majorEastAsia" w:hAnsi="Arial Narrow" w:cstheme="majorBidi"/>
                <w:sz w:val="20"/>
              </w:rPr>
              <w:t xml:space="preserve">that this is likely an overestimate. However, DUSC noted that this employs similar rationale to other submissions (atezolizumab March 2020 and SG for triple negative breast cancer). </w:t>
            </w:r>
            <w:r w:rsidR="00BF0F88" w:rsidRPr="00980134">
              <w:rPr>
                <w:rFonts w:ascii="Arial Narrow" w:eastAsiaTheme="majorEastAsia" w:hAnsi="Arial Narrow" w:cstheme="majorBidi"/>
                <w:sz w:val="20"/>
              </w:rPr>
              <w:t>P</w:t>
            </w:r>
            <w:r w:rsidRPr="00980134">
              <w:rPr>
                <w:rFonts w:ascii="Arial Narrow" w:eastAsiaTheme="majorEastAsia" w:hAnsi="Arial Narrow" w:cstheme="majorBidi"/>
                <w:sz w:val="20"/>
              </w:rPr>
              <w:t xml:space="preserve">rior </w:t>
            </w:r>
            <w:r w:rsidR="00BF0F88" w:rsidRPr="00980134">
              <w:rPr>
                <w:rFonts w:ascii="Arial Narrow" w:eastAsiaTheme="majorEastAsia" w:hAnsi="Arial Narrow" w:cstheme="majorBidi"/>
                <w:sz w:val="20"/>
              </w:rPr>
              <w:t xml:space="preserve">TNBC </w:t>
            </w:r>
            <w:r w:rsidRPr="00980134">
              <w:rPr>
                <w:rFonts w:ascii="Arial Narrow" w:eastAsiaTheme="majorEastAsia" w:hAnsi="Arial Narrow" w:cstheme="majorBidi"/>
                <w:sz w:val="20"/>
              </w:rPr>
              <w:t>submissions for atezolizumab March 2020 and pembrolizumab March 2023 ha</w:t>
            </w:r>
            <w:r w:rsidR="00BF0F88" w:rsidRPr="00980134">
              <w:rPr>
                <w:rFonts w:ascii="Arial Narrow" w:eastAsiaTheme="majorEastAsia" w:hAnsi="Arial Narrow" w:cstheme="majorBidi"/>
                <w:sz w:val="20"/>
              </w:rPr>
              <w:t>ve</w:t>
            </w:r>
            <w:r w:rsidRPr="00980134">
              <w:rPr>
                <w:rFonts w:ascii="Arial Narrow" w:eastAsiaTheme="majorEastAsia" w:hAnsi="Arial Narrow" w:cstheme="majorBidi"/>
                <w:sz w:val="20"/>
              </w:rPr>
              <w:t xml:space="preserve"> also taken into account the mortality rate (44% for all stages of breast cancer from Lin et al. 2012</w:t>
            </w:r>
            <w:r w:rsidRPr="00980134">
              <w:rPr>
                <w:rFonts w:ascii="Arial Narrow" w:eastAsiaTheme="majorEastAsia" w:hAnsi="Arial Narrow" w:cstheme="majorBidi"/>
                <w:sz w:val="20"/>
                <w:vertAlign w:val="superscript"/>
              </w:rPr>
              <w:t>e</w:t>
            </w:r>
            <w:r w:rsidRPr="00980134">
              <w:rPr>
                <w:rFonts w:ascii="Arial Narrow" w:eastAsiaTheme="majorEastAsia" w:hAnsi="Arial Narrow" w:cstheme="majorBidi"/>
                <w:sz w:val="20"/>
              </w:rPr>
              <w:t>) into the estimates.</w:t>
            </w:r>
          </w:p>
        </w:tc>
      </w:tr>
      <w:tr w:rsidR="00A30A62" w:rsidRPr="00980134" w14:paraId="5930751C" w14:textId="77777777" w:rsidTr="00E51C5C">
        <w:tc>
          <w:tcPr>
            <w:tcW w:w="1696" w:type="dxa"/>
            <w:vAlign w:val="center"/>
          </w:tcPr>
          <w:p w14:paraId="4CDBF72F"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HR negative/HER2 negative BC with HER2 low</w:t>
            </w:r>
          </w:p>
        </w:tc>
        <w:tc>
          <w:tcPr>
            <w:tcW w:w="1701" w:type="dxa"/>
            <w:vAlign w:val="center"/>
          </w:tcPr>
          <w:p w14:paraId="2DA6B545"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60%</w:t>
            </w:r>
          </w:p>
        </w:tc>
        <w:tc>
          <w:tcPr>
            <w:tcW w:w="1984" w:type="dxa"/>
            <w:vAlign w:val="center"/>
          </w:tcPr>
          <w:p w14:paraId="6F84E0D2" w14:textId="77777777" w:rsidR="00A30A62" w:rsidRPr="00980134" w:rsidRDefault="00A30A62" w:rsidP="00A30A62">
            <w:pPr>
              <w:widowControl w:val="0"/>
              <w:jc w:val="left"/>
              <w:rPr>
                <w:rFonts w:ascii="Arial Narrow" w:eastAsiaTheme="majorEastAsia" w:hAnsi="Arial Narrow"/>
                <w:bCs/>
                <w:sz w:val="20"/>
                <w:szCs w:val="20"/>
                <w:lang w:bidi="en-US"/>
              </w:rPr>
            </w:pPr>
            <w:r w:rsidRPr="00980134">
              <w:rPr>
                <w:rFonts w:ascii="Arial Narrow" w:eastAsiaTheme="majorEastAsia" w:hAnsi="Arial Narrow"/>
                <w:bCs/>
                <w:sz w:val="20"/>
                <w:szCs w:val="20"/>
                <w:lang w:bidi="en-US"/>
              </w:rPr>
              <w:t>Shang et al 2023</w:t>
            </w:r>
          </w:p>
        </w:tc>
        <w:tc>
          <w:tcPr>
            <w:tcW w:w="3686" w:type="dxa"/>
            <w:vAlign w:val="center"/>
          </w:tcPr>
          <w:p w14:paraId="276C33CE" w14:textId="77777777" w:rsidR="00AD4786" w:rsidRPr="00980134" w:rsidRDefault="00AD4786" w:rsidP="00AD4786">
            <w:pPr>
              <w:widowControl w:val="0"/>
              <w:jc w:val="left"/>
              <w:rPr>
                <w:rFonts w:ascii="Arial Narrow" w:eastAsiaTheme="majorEastAsia" w:hAnsi="Arial Narrow" w:cstheme="majorBidi"/>
                <w:sz w:val="20"/>
              </w:rPr>
            </w:pPr>
            <w:r w:rsidRPr="00980134">
              <w:rPr>
                <w:rFonts w:ascii="Arial Narrow" w:eastAsiaTheme="majorEastAsia" w:hAnsi="Arial Narrow" w:cstheme="majorBidi"/>
                <w:sz w:val="20"/>
              </w:rPr>
              <w:t xml:space="preserve">DUSC considered this to be an overestimate. Shang et al (2023) is a single institution study from an Asian country and is not necessarily applicable to an Australian population. This study seems to be an outlier when compared to other studies. </w:t>
            </w:r>
          </w:p>
          <w:p w14:paraId="57B1C070" w14:textId="0CB5DA67" w:rsidR="00AD4786"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sz w:val="20"/>
              </w:rPr>
              <w:br/>
              <w:t xml:space="preserve">DUSC considered the percentage from </w:t>
            </w:r>
            <w:proofErr w:type="spellStart"/>
            <w:r w:rsidRPr="00980134">
              <w:rPr>
                <w:rFonts w:ascii="Arial Narrow" w:eastAsiaTheme="majorEastAsia" w:hAnsi="Arial Narrow" w:cstheme="majorBidi"/>
                <w:sz w:val="20"/>
              </w:rPr>
              <w:t>Schettini</w:t>
            </w:r>
            <w:proofErr w:type="spellEnd"/>
            <w:r w:rsidRPr="00980134">
              <w:rPr>
                <w:rFonts w:ascii="Arial Narrow" w:eastAsiaTheme="majorEastAsia" w:hAnsi="Arial Narrow" w:cstheme="majorBidi"/>
                <w:sz w:val="20"/>
              </w:rPr>
              <w:t xml:space="preserve"> et al. (2021) at 36.6% which used larger patient numbers and is more in line with other literature of smaller studies should be considered as an appropriate alternative.</w:t>
            </w:r>
          </w:p>
        </w:tc>
      </w:tr>
      <w:tr w:rsidR="00A30A62" w:rsidRPr="00980134" w14:paraId="595520C8" w14:textId="77777777" w:rsidTr="00E51C5C">
        <w:tc>
          <w:tcPr>
            <w:tcW w:w="1696" w:type="dxa"/>
            <w:vAlign w:val="center"/>
          </w:tcPr>
          <w:p w14:paraId="330986A5"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Proportion of patients for whom T</w:t>
            </w:r>
            <w:r w:rsidRPr="00980134">
              <w:rPr>
                <w:rFonts w:ascii="Arial Narrow" w:eastAsiaTheme="majorEastAsia" w:hAnsi="Arial Narrow" w:cstheme="majorBidi"/>
                <w:bCs/>
                <w:sz w:val="20"/>
              </w:rPr>
              <w:noBreakHyphen/>
            </w:r>
            <w:proofErr w:type="spellStart"/>
            <w:r w:rsidRPr="00980134">
              <w:rPr>
                <w:rFonts w:ascii="Arial Narrow" w:eastAsiaTheme="majorEastAsia" w:hAnsi="Arial Narrow" w:cstheme="majorBidi"/>
                <w:bCs/>
                <w:sz w:val="20"/>
              </w:rPr>
              <w:t>DXd</w:t>
            </w:r>
            <w:proofErr w:type="spellEnd"/>
            <w:r w:rsidRPr="00980134">
              <w:rPr>
                <w:rFonts w:ascii="Arial Narrow" w:eastAsiaTheme="majorEastAsia" w:hAnsi="Arial Narrow" w:cstheme="majorBidi"/>
                <w:bCs/>
                <w:sz w:val="20"/>
              </w:rPr>
              <w:t xml:space="preserve"> is clinically appropriate</w:t>
            </w:r>
          </w:p>
        </w:tc>
        <w:tc>
          <w:tcPr>
            <w:tcW w:w="1701" w:type="dxa"/>
            <w:vAlign w:val="center"/>
          </w:tcPr>
          <w:p w14:paraId="0F7F28C2"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65%</w:t>
            </w:r>
          </w:p>
        </w:tc>
        <w:tc>
          <w:tcPr>
            <w:tcW w:w="1984" w:type="dxa"/>
            <w:vAlign w:val="center"/>
          </w:tcPr>
          <w:p w14:paraId="1C4B5287" w14:textId="77777777" w:rsidR="00A30A62" w:rsidRPr="00980134" w:rsidRDefault="00A30A62" w:rsidP="00A30A62">
            <w:pPr>
              <w:widowControl w:val="0"/>
              <w:jc w:val="left"/>
              <w:rPr>
                <w:rFonts w:ascii="Arial Narrow" w:eastAsiaTheme="majorEastAsia" w:hAnsi="Arial Narrow" w:cstheme="majorBidi"/>
                <w:bCs/>
                <w:sz w:val="20"/>
                <w:szCs w:val="20"/>
              </w:rPr>
            </w:pPr>
            <w:r w:rsidRPr="00980134">
              <w:rPr>
                <w:rFonts w:ascii="Arial Narrow" w:eastAsiaTheme="majorEastAsia" w:hAnsi="Arial Narrow"/>
                <w:bCs/>
                <w:sz w:val="20"/>
                <w:szCs w:val="20"/>
                <w:lang w:bidi="en-US"/>
              </w:rPr>
              <w:t>Estimate based on expert opinion</w:t>
            </w:r>
          </w:p>
        </w:tc>
        <w:tc>
          <w:tcPr>
            <w:tcW w:w="3686" w:type="dxa"/>
            <w:vAlign w:val="center"/>
          </w:tcPr>
          <w:p w14:paraId="20C59321" w14:textId="768D05B5" w:rsidR="00AD4786" w:rsidRPr="00980134" w:rsidRDefault="00AD4786" w:rsidP="00AD4786">
            <w:pPr>
              <w:widowControl w:val="0"/>
              <w:jc w:val="left"/>
              <w:rPr>
                <w:rFonts w:ascii="Arial Narrow" w:eastAsiaTheme="majorEastAsia" w:hAnsi="Arial Narrow" w:cstheme="majorBidi"/>
                <w:sz w:val="20"/>
              </w:rPr>
            </w:pPr>
            <w:r w:rsidRPr="00980134">
              <w:rPr>
                <w:rFonts w:ascii="Arial Narrow" w:eastAsiaTheme="majorEastAsia" w:hAnsi="Arial Narrow" w:cstheme="majorBidi"/>
                <w:sz w:val="20"/>
              </w:rPr>
              <w:t xml:space="preserve">DUSC considered this input to be uncertain. DUSC noted it would be reasonable to use 50% from the SG submission but noted that in general, TNBC was considered more aggressive than other breast </w:t>
            </w:r>
            <w:r w:rsidR="00FF3DC3" w:rsidRPr="00980134">
              <w:rPr>
                <w:rFonts w:ascii="Arial Narrow" w:eastAsiaTheme="majorEastAsia" w:hAnsi="Arial Narrow" w:cstheme="majorBidi"/>
                <w:sz w:val="20"/>
              </w:rPr>
              <w:t xml:space="preserve">cancer </w:t>
            </w:r>
            <w:proofErr w:type="gramStart"/>
            <w:r w:rsidRPr="00980134">
              <w:rPr>
                <w:rFonts w:ascii="Arial Narrow" w:eastAsiaTheme="majorEastAsia" w:hAnsi="Arial Narrow" w:cstheme="majorBidi"/>
                <w:sz w:val="20"/>
              </w:rPr>
              <w:t>phenotypes</w:t>
            </w:r>
            <w:proofErr w:type="gramEnd"/>
            <w:r w:rsidRPr="00980134">
              <w:rPr>
                <w:rFonts w:ascii="Arial Narrow" w:eastAsiaTheme="majorEastAsia" w:hAnsi="Arial Narrow" w:cstheme="majorBidi"/>
                <w:sz w:val="20"/>
              </w:rPr>
              <w:t xml:space="preserve"> but it is unknown if the HER2-low population of the TNBC subset are more likely to be ”fitter” for further lines of therapy than the </w:t>
            </w:r>
            <w:r w:rsidR="00FF3DC3" w:rsidRPr="00980134">
              <w:rPr>
                <w:rFonts w:ascii="Arial Narrow" w:eastAsiaTheme="majorEastAsia" w:hAnsi="Arial Narrow" w:cstheme="majorBidi"/>
                <w:sz w:val="20"/>
              </w:rPr>
              <w:t xml:space="preserve">overall </w:t>
            </w:r>
            <w:r w:rsidRPr="00980134">
              <w:rPr>
                <w:rFonts w:ascii="Arial Narrow" w:eastAsiaTheme="majorEastAsia" w:hAnsi="Arial Narrow" w:cstheme="majorBidi"/>
                <w:sz w:val="20"/>
              </w:rPr>
              <w:t xml:space="preserve">TNBC population. </w:t>
            </w:r>
          </w:p>
          <w:p w14:paraId="56AA1262" w14:textId="77777777" w:rsidR="00AD4786" w:rsidRPr="00980134" w:rsidRDefault="00AD4786" w:rsidP="00AD4786">
            <w:pPr>
              <w:widowControl w:val="0"/>
              <w:jc w:val="left"/>
              <w:rPr>
                <w:rFonts w:ascii="Arial Narrow" w:eastAsiaTheme="majorEastAsia" w:hAnsi="Arial Narrow" w:cstheme="majorBidi"/>
                <w:sz w:val="20"/>
              </w:rPr>
            </w:pPr>
          </w:p>
          <w:p w14:paraId="10A9B36D" w14:textId="559018AF" w:rsidR="00AD4786" w:rsidRPr="00980134" w:rsidRDefault="00AD4786" w:rsidP="00AD4786">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sz w:val="20"/>
              </w:rPr>
              <w:t>However, the additional side effects of interstitial lung disease in this population will also deter some patients who have poor pulmonary function</w:t>
            </w:r>
          </w:p>
        </w:tc>
      </w:tr>
      <w:tr w:rsidR="00A30A62" w:rsidRPr="00980134" w14:paraId="32FF7069" w14:textId="77777777" w:rsidTr="00C144F5">
        <w:tc>
          <w:tcPr>
            <w:tcW w:w="9067" w:type="dxa"/>
            <w:gridSpan w:val="4"/>
            <w:vAlign w:val="center"/>
          </w:tcPr>
          <w:p w14:paraId="31D77DBC" w14:textId="77777777" w:rsidR="00A30A62" w:rsidRPr="00980134" w:rsidRDefault="00A30A62" w:rsidP="00A30A62">
            <w:pPr>
              <w:widowControl w:val="0"/>
              <w:jc w:val="left"/>
              <w:rPr>
                <w:rFonts w:ascii="Arial Narrow" w:eastAsiaTheme="majorEastAsia" w:hAnsi="Arial Narrow" w:cstheme="majorBidi"/>
                <w:b/>
                <w:bCs/>
                <w:sz w:val="20"/>
              </w:rPr>
            </w:pPr>
            <w:r w:rsidRPr="00980134">
              <w:rPr>
                <w:rFonts w:ascii="Arial Narrow" w:eastAsiaTheme="majorEastAsia" w:hAnsi="Arial Narrow" w:cstheme="majorBidi"/>
                <w:b/>
                <w:bCs/>
                <w:sz w:val="20"/>
              </w:rPr>
              <w:t>Treatment utilisation</w:t>
            </w:r>
          </w:p>
        </w:tc>
      </w:tr>
      <w:tr w:rsidR="00A30A62" w:rsidRPr="00980134" w14:paraId="6507FDD1" w14:textId="77777777" w:rsidTr="00E51C5C">
        <w:tc>
          <w:tcPr>
            <w:tcW w:w="1696" w:type="dxa"/>
            <w:vAlign w:val="center"/>
          </w:tcPr>
          <w:p w14:paraId="0C884131"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Uptake rate</w:t>
            </w:r>
          </w:p>
        </w:tc>
        <w:tc>
          <w:tcPr>
            <w:tcW w:w="1701" w:type="dxa"/>
            <w:vAlign w:val="center"/>
          </w:tcPr>
          <w:p w14:paraId="6239AE7E" w14:textId="2CFCC38D" w:rsidR="00A30A62" w:rsidRPr="00980134" w:rsidRDefault="00640308" w:rsidP="00A30A62">
            <w:pPr>
              <w:widowControl w:val="0"/>
              <w:jc w:val="lef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pacing w:val="53"/>
                <w:sz w:val="20"/>
                <w:shd w:val="solid" w:color="000000" w:fill="000000"/>
                <w:fitText w:val="330" w:id="-1032110076"/>
                <w14:textFill>
                  <w14:solidFill>
                    <w14:srgbClr w14:val="000000">
                      <w14:alpha w14:val="100000"/>
                    </w14:srgbClr>
                  </w14:solidFill>
                </w14:textFill>
              </w:rPr>
              <w:t>|||</w:t>
            </w:r>
            <w:r w:rsidRPr="00640308">
              <w:rPr>
                <w:rFonts w:ascii="Arial Narrow" w:eastAsiaTheme="majorEastAsia" w:hAnsi="Arial Narrow" w:cstheme="majorBidi"/>
                <w:bCs/>
                <w:color w:val="000000"/>
                <w:spacing w:val="1"/>
                <w:sz w:val="20"/>
                <w:shd w:val="solid" w:color="000000" w:fill="000000"/>
                <w:fitText w:val="330" w:id="-1032110076"/>
                <w14:textFill>
                  <w14:solidFill>
                    <w14:srgbClr w14:val="000000">
                      <w14:alpha w14:val="100000"/>
                    </w14:srgbClr>
                  </w14:solidFill>
                </w14:textFill>
              </w:rPr>
              <w:t>|</w:t>
            </w:r>
            <w:r w:rsidR="00A30A62" w:rsidRPr="00980134">
              <w:rPr>
                <w:rFonts w:ascii="Arial Narrow" w:eastAsiaTheme="majorEastAsia" w:hAnsi="Arial Narrow" w:cstheme="majorBidi"/>
                <w:bCs/>
                <w:sz w:val="20"/>
              </w:rPr>
              <w:t>%</w:t>
            </w:r>
          </w:p>
        </w:tc>
        <w:tc>
          <w:tcPr>
            <w:tcW w:w="1984" w:type="dxa"/>
            <w:vAlign w:val="center"/>
          </w:tcPr>
          <w:p w14:paraId="59E812BB"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Assumption </w:t>
            </w:r>
          </w:p>
        </w:tc>
        <w:tc>
          <w:tcPr>
            <w:tcW w:w="3686" w:type="dxa"/>
            <w:vAlign w:val="center"/>
          </w:tcPr>
          <w:p w14:paraId="37236C8C" w14:textId="2B075875" w:rsidR="00AD4786" w:rsidRPr="00980134" w:rsidRDefault="00AD4786"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DUSC agreed with the </w:t>
            </w:r>
            <w:r w:rsidR="002A6F0C" w:rsidRPr="00980134">
              <w:rPr>
                <w:rFonts w:ascii="Arial Narrow" w:eastAsiaTheme="majorEastAsia" w:hAnsi="Arial Narrow" w:cstheme="majorBidi"/>
                <w:bCs/>
                <w:sz w:val="20"/>
              </w:rPr>
              <w:t xml:space="preserve">evaluation </w:t>
            </w:r>
            <w:r w:rsidRPr="00980134">
              <w:rPr>
                <w:rFonts w:ascii="Arial Narrow" w:eastAsiaTheme="majorEastAsia" w:hAnsi="Arial Narrow" w:cstheme="majorBidi"/>
                <w:bCs/>
                <w:sz w:val="20"/>
              </w:rPr>
              <w:t xml:space="preserve">and considered it would be more appropriate to </w:t>
            </w:r>
            <w:r w:rsidRPr="006C36E3">
              <w:rPr>
                <w:rFonts w:ascii="Arial Narrow" w:eastAsiaTheme="majorEastAsia" w:hAnsi="Arial Narrow" w:cstheme="majorBidi"/>
                <w:bCs/>
                <w:sz w:val="20"/>
              </w:rPr>
              <w:t xml:space="preserve">start </w:t>
            </w:r>
            <w:r w:rsidR="00FF3DC3" w:rsidRPr="006C36E3">
              <w:rPr>
                <w:rFonts w:ascii="Arial Narrow" w:eastAsiaTheme="majorEastAsia" w:hAnsi="Arial Narrow" w:cstheme="majorBidi"/>
                <w:bCs/>
                <w:sz w:val="20"/>
              </w:rPr>
              <w:t xml:space="preserve">with a lower </w:t>
            </w:r>
            <w:r w:rsidRPr="006C36E3">
              <w:rPr>
                <w:rFonts w:ascii="Arial Narrow" w:eastAsiaTheme="majorEastAsia" w:hAnsi="Arial Narrow" w:cstheme="majorBidi"/>
                <w:bCs/>
                <w:sz w:val="20"/>
              </w:rPr>
              <w:t xml:space="preserve">uptake </w:t>
            </w:r>
            <w:r w:rsidR="002A6F0C" w:rsidRPr="00980134">
              <w:rPr>
                <w:rFonts w:ascii="Arial Narrow" w:eastAsiaTheme="majorEastAsia" w:hAnsi="Arial Narrow" w:cstheme="majorBidi"/>
                <w:bCs/>
                <w:sz w:val="20"/>
              </w:rPr>
              <w:t>in</w:t>
            </w:r>
            <w:r w:rsidRPr="00980134">
              <w:rPr>
                <w:rFonts w:ascii="Arial Narrow" w:eastAsiaTheme="majorEastAsia" w:hAnsi="Arial Narrow" w:cstheme="majorBidi"/>
                <w:bCs/>
                <w:sz w:val="20"/>
              </w:rPr>
              <w:t xml:space="preserve"> the first year and increase to 100% by the final year as oncologists become more experienced with the treatment</w:t>
            </w:r>
            <w:r w:rsidR="00980134">
              <w:rPr>
                <w:rFonts w:ascii="Arial Narrow" w:eastAsiaTheme="majorEastAsia" w:hAnsi="Arial Narrow" w:cstheme="majorBidi"/>
                <w:bCs/>
                <w:sz w:val="20"/>
              </w:rPr>
              <w:t xml:space="preserve">. </w:t>
            </w:r>
          </w:p>
        </w:tc>
      </w:tr>
      <w:tr w:rsidR="00A30A62" w:rsidRPr="00980134" w14:paraId="485D6C30" w14:textId="77777777" w:rsidTr="00E51C5C">
        <w:tc>
          <w:tcPr>
            <w:tcW w:w="1696" w:type="dxa"/>
            <w:vAlign w:val="center"/>
          </w:tcPr>
          <w:p w14:paraId="7EA1154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Treatment duration</w:t>
            </w:r>
          </w:p>
        </w:tc>
        <w:tc>
          <w:tcPr>
            <w:tcW w:w="1701" w:type="dxa"/>
            <w:vAlign w:val="center"/>
          </w:tcPr>
          <w:p w14:paraId="04BA93F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10.96 months for population 1a and 7.65 months for population 1b</w:t>
            </w:r>
          </w:p>
        </w:tc>
        <w:tc>
          <w:tcPr>
            <w:tcW w:w="1984" w:type="dxa"/>
            <w:vAlign w:val="center"/>
          </w:tcPr>
          <w:p w14:paraId="04CB7414"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Modelled TTD, based on DB-04</w:t>
            </w:r>
          </w:p>
        </w:tc>
        <w:tc>
          <w:tcPr>
            <w:tcW w:w="3686" w:type="dxa"/>
            <w:vAlign w:val="center"/>
          </w:tcPr>
          <w:p w14:paraId="0C30D4B9" w14:textId="10650ADC"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This is reasonable.</w:t>
            </w:r>
            <w:r w:rsidR="00874955" w:rsidRPr="00980134">
              <w:rPr>
                <w:rFonts w:ascii="Arial Narrow" w:eastAsiaTheme="majorEastAsia" w:hAnsi="Arial Narrow" w:cstheme="majorBidi"/>
                <w:bCs/>
                <w:sz w:val="20"/>
              </w:rPr>
              <w:t xml:space="preserve"> </w:t>
            </w:r>
          </w:p>
        </w:tc>
      </w:tr>
      <w:tr w:rsidR="00A30A62" w:rsidRPr="00980134" w14:paraId="08981CA2" w14:textId="77777777" w:rsidTr="00D9521F">
        <w:trPr>
          <w:cantSplit/>
        </w:trPr>
        <w:tc>
          <w:tcPr>
            <w:tcW w:w="1696" w:type="dxa"/>
            <w:vAlign w:val="center"/>
          </w:tcPr>
          <w:p w14:paraId="430C4301" w14:textId="39D7688C" w:rsidR="00A30A62" w:rsidRPr="00980134" w:rsidRDefault="00632BA7"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lastRenderedPageBreak/>
              <w:t>RDI</w:t>
            </w:r>
          </w:p>
        </w:tc>
        <w:tc>
          <w:tcPr>
            <w:tcW w:w="1701" w:type="dxa"/>
            <w:vAlign w:val="center"/>
          </w:tcPr>
          <w:p w14:paraId="487367D6"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90%</w:t>
            </w:r>
          </w:p>
        </w:tc>
        <w:tc>
          <w:tcPr>
            <w:tcW w:w="1984" w:type="dxa"/>
            <w:vAlign w:val="center"/>
          </w:tcPr>
          <w:p w14:paraId="0E635ADB"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Assumption </w:t>
            </w:r>
          </w:p>
        </w:tc>
        <w:tc>
          <w:tcPr>
            <w:tcW w:w="3686" w:type="dxa"/>
            <w:vAlign w:val="center"/>
          </w:tcPr>
          <w:p w14:paraId="14A13C6F" w14:textId="412A8DB2" w:rsidR="00AD4786" w:rsidRPr="00980134" w:rsidRDefault="00632BA7" w:rsidP="007B029D">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The evaluation considered 94% is a more reasonable estimate. The submission’s approach to application of treatment compliance to treatment duration, not to dose per administration, is not appropriate and results in an underestimate of the number of scripts dispensed. DUSC agreed with the evaluation and noted the sponsors willingness to apply RDI to the dose per administration in the Pre-Sub-Committee Response (PSCR, p4).</w:t>
            </w:r>
          </w:p>
        </w:tc>
      </w:tr>
      <w:tr w:rsidR="00A30A62" w:rsidRPr="00980134" w14:paraId="6633E560" w14:textId="77777777" w:rsidTr="00C144F5">
        <w:tc>
          <w:tcPr>
            <w:tcW w:w="9067" w:type="dxa"/>
            <w:gridSpan w:val="4"/>
            <w:vAlign w:val="center"/>
          </w:tcPr>
          <w:p w14:paraId="4E8F3011" w14:textId="77777777" w:rsidR="00A30A62" w:rsidRPr="00980134" w:rsidRDefault="00A30A62" w:rsidP="00A30A62">
            <w:pPr>
              <w:widowControl w:val="0"/>
              <w:jc w:val="left"/>
              <w:rPr>
                <w:rFonts w:ascii="Arial Narrow" w:eastAsiaTheme="majorEastAsia" w:hAnsi="Arial Narrow" w:cstheme="majorBidi"/>
                <w:b/>
                <w:bCs/>
                <w:sz w:val="20"/>
              </w:rPr>
            </w:pPr>
            <w:r w:rsidRPr="00980134">
              <w:rPr>
                <w:rFonts w:ascii="Arial Narrow" w:eastAsiaTheme="majorEastAsia" w:hAnsi="Arial Narrow" w:cstheme="majorBidi"/>
                <w:b/>
                <w:bCs/>
                <w:sz w:val="20"/>
              </w:rPr>
              <w:t>MBS costs</w:t>
            </w:r>
          </w:p>
        </w:tc>
      </w:tr>
      <w:tr w:rsidR="00A30A62" w:rsidRPr="00980134" w14:paraId="5DAC6E4F" w14:textId="77777777" w:rsidTr="00E51C5C">
        <w:tc>
          <w:tcPr>
            <w:tcW w:w="1696" w:type="dxa"/>
            <w:vAlign w:val="center"/>
          </w:tcPr>
          <w:p w14:paraId="6FF36E9C"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Chemotherapy administration </w:t>
            </w:r>
          </w:p>
        </w:tc>
        <w:tc>
          <w:tcPr>
            <w:tcW w:w="1701" w:type="dxa"/>
            <w:vAlign w:val="center"/>
          </w:tcPr>
          <w:p w14:paraId="68E75599" w14:textId="2F64A3AE"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$114.20</w:t>
            </w:r>
            <w:r w:rsidR="007F5BBF" w:rsidRPr="00407FFB">
              <w:rPr>
                <w:rFonts w:ascii="Arial Narrow" w:eastAsiaTheme="majorEastAsia" w:hAnsi="Arial Narrow" w:cstheme="majorBidi"/>
                <w:bCs/>
                <w:sz w:val="20"/>
              </w:rPr>
              <w:t xml:space="preserve"> </w:t>
            </w:r>
          </w:p>
        </w:tc>
        <w:tc>
          <w:tcPr>
            <w:tcW w:w="1984" w:type="dxa"/>
            <w:vAlign w:val="center"/>
          </w:tcPr>
          <w:p w14:paraId="0DCBC366"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13950</w:t>
            </w:r>
          </w:p>
        </w:tc>
        <w:tc>
          <w:tcPr>
            <w:tcW w:w="3686" w:type="dxa"/>
            <w:vMerge w:val="restart"/>
            <w:vAlign w:val="center"/>
          </w:tcPr>
          <w:p w14:paraId="5D13DA5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These are reasonable. However, most of the MBS fees have been updated since preparation of the submission. Further, the financial analysis did not include the costs for additional CT scans for patients with potential ILD events and the costs for monitoring of LVEF via echocardiogram. </w:t>
            </w:r>
          </w:p>
        </w:tc>
      </w:tr>
      <w:tr w:rsidR="00A30A62" w:rsidRPr="00980134" w14:paraId="5D4B3C8E" w14:textId="77777777" w:rsidTr="00E51C5C">
        <w:tc>
          <w:tcPr>
            <w:tcW w:w="1696" w:type="dxa"/>
            <w:vAlign w:val="center"/>
          </w:tcPr>
          <w:p w14:paraId="3B10AEB5"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 xml:space="preserve">Specialist consultation </w:t>
            </w:r>
          </w:p>
        </w:tc>
        <w:tc>
          <w:tcPr>
            <w:tcW w:w="1701" w:type="dxa"/>
            <w:vAlign w:val="center"/>
          </w:tcPr>
          <w:p w14:paraId="0A0B1FB6" w14:textId="4974AF02"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$91.80 (initial)</w:t>
            </w:r>
          </w:p>
          <w:p w14:paraId="67CC474E" w14:textId="18329DEB"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$46.15 (subsequent)</w:t>
            </w:r>
          </w:p>
        </w:tc>
        <w:tc>
          <w:tcPr>
            <w:tcW w:w="1984" w:type="dxa"/>
            <w:vAlign w:val="center"/>
          </w:tcPr>
          <w:p w14:paraId="22D87266"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104</w:t>
            </w:r>
          </w:p>
          <w:p w14:paraId="64A97E95"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105</w:t>
            </w:r>
          </w:p>
        </w:tc>
        <w:tc>
          <w:tcPr>
            <w:tcW w:w="3686" w:type="dxa"/>
            <w:vMerge/>
            <w:vAlign w:val="center"/>
          </w:tcPr>
          <w:p w14:paraId="5569F790" w14:textId="77777777" w:rsidR="00A30A62" w:rsidRPr="00980134" w:rsidRDefault="00A30A62" w:rsidP="00A30A62">
            <w:pPr>
              <w:keepNext/>
              <w:widowControl w:val="0"/>
              <w:jc w:val="left"/>
              <w:rPr>
                <w:rFonts w:ascii="Arial Narrow" w:eastAsiaTheme="majorEastAsia" w:hAnsi="Arial Narrow" w:cstheme="majorBidi"/>
                <w:bCs/>
                <w:sz w:val="20"/>
              </w:rPr>
            </w:pPr>
          </w:p>
        </w:tc>
      </w:tr>
      <w:tr w:rsidR="00A30A62" w:rsidRPr="00980134" w14:paraId="0D216308" w14:textId="77777777" w:rsidTr="00E51C5C">
        <w:tc>
          <w:tcPr>
            <w:tcW w:w="1696" w:type="dxa"/>
            <w:vAlign w:val="center"/>
          </w:tcPr>
          <w:p w14:paraId="2A5F0D59"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GP visit</w:t>
            </w:r>
          </w:p>
        </w:tc>
        <w:tc>
          <w:tcPr>
            <w:tcW w:w="1701" w:type="dxa"/>
            <w:vAlign w:val="center"/>
          </w:tcPr>
          <w:p w14:paraId="1B8FC92E" w14:textId="68E0F366"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$39.75</w:t>
            </w:r>
            <w:r w:rsidR="00E51C5C" w:rsidRPr="00407FFB">
              <w:rPr>
                <w:rFonts w:ascii="Arial Narrow" w:eastAsiaTheme="majorEastAsia" w:hAnsi="Arial Narrow" w:cstheme="majorBidi"/>
                <w:bCs/>
                <w:sz w:val="20"/>
              </w:rPr>
              <w:t xml:space="preserve"> </w:t>
            </w:r>
          </w:p>
        </w:tc>
        <w:tc>
          <w:tcPr>
            <w:tcW w:w="1984" w:type="dxa"/>
            <w:vAlign w:val="center"/>
          </w:tcPr>
          <w:p w14:paraId="7625A5E0"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23</w:t>
            </w:r>
          </w:p>
        </w:tc>
        <w:tc>
          <w:tcPr>
            <w:tcW w:w="3686" w:type="dxa"/>
            <w:vMerge/>
            <w:vAlign w:val="center"/>
          </w:tcPr>
          <w:p w14:paraId="1D597D1C" w14:textId="77777777" w:rsidR="00A30A62" w:rsidRPr="00980134" w:rsidRDefault="00A30A62" w:rsidP="00A30A62">
            <w:pPr>
              <w:keepNext/>
              <w:widowControl w:val="0"/>
              <w:jc w:val="left"/>
              <w:rPr>
                <w:rFonts w:ascii="Arial Narrow" w:eastAsiaTheme="majorEastAsia" w:hAnsi="Arial Narrow" w:cstheme="majorBidi"/>
                <w:bCs/>
                <w:sz w:val="20"/>
              </w:rPr>
            </w:pPr>
          </w:p>
        </w:tc>
      </w:tr>
      <w:tr w:rsidR="00A30A62" w:rsidRPr="00980134" w14:paraId="026EC33E" w14:textId="77777777" w:rsidTr="00E51C5C">
        <w:tc>
          <w:tcPr>
            <w:tcW w:w="1696" w:type="dxa"/>
            <w:vAlign w:val="center"/>
          </w:tcPr>
          <w:p w14:paraId="54E0E4CD"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Full blood count</w:t>
            </w:r>
          </w:p>
        </w:tc>
        <w:tc>
          <w:tcPr>
            <w:tcW w:w="1701" w:type="dxa"/>
            <w:vAlign w:val="center"/>
          </w:tcPr>
          <w:p w14:paraId="52B65D78" w14:textId="63B2A10C"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$7.85</w:t>
            </w:r>
            <w:r w:rsidR="00E51C5C" w:rsidRPr="00407FFB">
              <w:rPr>
                <w:rFonts w:ascii="Arial Narrow" w:eastAsiaTheme="majorEastAsia" w:hAnsi="Arial Narrow" w:cstheme="majorBidi"/>
                <w:bCs/>
                <w:sz w:val="20"/>
              </w:rPr>
              <w:t xml:space="preserve"> </w:t>
            </w:r>
          </w:p>
        </w:tc>
        <w:tc>
          <w:tcPr>
            <w:tcW w:w="1984" w:type="dxa"/>
            <w:vAlign w:val="center"/>
          </w:tcPr>
          <w:p w14:paraId="392CABFF"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65060</w:t>
            </w:r>
          </w:p>
        </w:tc>
        <w:tc>
          <w:tcPr>
            <w:tcW w:w="3686" w:type="dxa"/>
            <w:vMerge/>
            <w:vAlign w:val="center"/>
          </w:tcPr>
          <w:p w14:paraId="01CF2298" w14:textId="77777777" w:rsidR="00A30A62" w:rsidRPr="00980134" w:rsidRDefault="00A30A62" w:rsidP="00A30A62">
            <w:pPr>
              <w:keepNext/>
              <w:widowControl w:val="0"/>
              <w:jc w:val="left"/>
              <w:rPr>
                <w:rFonts w:ascii="Arial Narrow" w:eastAsiaTheme="majorEastAsia" w:hAnsi="Arial Narrow" w:cstheme="majorBidi"/>
                <w:bCs/>
                <w:sz w:val="20"/>
              </w:rPr>
            </w:pPr>
          </w:p>
        </w:tc>
      </w:tr>
      <w:tr w:rsidR="00A30A62" w:rsidRPr="00980134" w14:paraId="45FB4FDE" w14:textId="77777777" w:rsidTr="00E51C5C">
        <w:tc>
          <w:tcPr>
            <w:tcW w:w="1696" w:type="dxa"/>
            <w:vAlign w:val="center"/>
          </w:tcPr>
          <w:p w14:paraId="6E44C078"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Liver &amp; renal function test</w:t>
            </w:r>
          </w:p>
        </w:tc>
        <w:tc>
          <w:tcPr>
            <w:tcW w:w="1701" w:type="dxa"/>
            <w:vAlign w:val="center"/>
          </w:tcPr>
          <w:p w14:paraId="5E98AD1B" w14:textId="64A88716"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$11.65</w:t>
            </w:r>
            <w:r w:rsidR="00E51C5C" w:rsidRPr="00407FFB">
              <w:rPr>
                <w:rFonts w:ascii="Arial Narrow" w:eastAsiaTheme="majorEastAsia" w:hAnsi="Arial Narrow" w:cstheme="majorBidi"/>
                <w:bCs/>
                <w:sz w:val="20"/>
              </w:rPr>
              <w:t xml:space="preserve"> </w:t>
            </w:r>
          </w:p>
        </w:tc>
        <w:tc>
          <w:tcPr>
            <w:tcW w:w="1984" w:type="dxa"/>
            <w:vAlign w:val="center"/>
          </w:tcPr>
          <w:p w14:paraId="2235BE33"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66503</w:t>
            </w:r>
          </w:p>
        </w:tc>
        <w:tc>
          <w:tcPr>
            <w:tcW w:w="3686" w:type="dxa"/>
            <w:vMerge/>
            <w:vAlign w:val="center"/>
          </w:tcPr>
          <w:p w14:paraId="02CE78C2" w14:textId="77777777" w:rsidR="00A30A62" w:rsidRPr="00980134" w:rsidRDefault="00A30A62" w:rsidP="00A30A62">
            <w:pPr>
              <w:keepNext/>
              <w:widowControl w:val="0"/>
              <w:jc w:val="left"/>
              <w:rPr>
                <w:rFonts w:ascii="Arial Narrow" w:eastAsiaTheme="majorEastAsia" w:hAnsi="Arial Narrow" w:cstheme="majorBidi"/>
                <w:bCs/>
                <w:sz w:val="20"/>
              </w:rPr>
            </w:pPr>
          </w:p>
        </w:tc>
      </w:tr>
      <w:tr w:rsidR="00A30A62" w:rsidRPr="00980134" w14:paraId="59542BBC" w14:textId="77777777" w:rsidTr="00E51C5C">
        <w:tc>
          <w:tcPr>
            <w:tcW w:w="1696" w:type="dxa"/>
            <w:vAlign w:val="center"/>
          </w:tcPr>
          <w:p w14:paraId="5533C3A1"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CT scan</w:t>
            </w:r>
          </w:p>
        </w:tc>
        <w:tc>
          <w:tcPr>
            <w:tcW w:w="1701" w:type="dxa"/>
            <w:vAlign w:val="center"/>
          </w:tcPr>
          <w:p w14:paraId="3DE4C903" w14:textId="612AEA90"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$582.70</w:t>
            </w:r>
            <w:r w:rsidR="00E51C5C" w:rsidRPr="00407FFB">
              <w:rPr>
                <w:rFonts w:ascii="Arial Narrow" w:eastAsiaTheme="majorEastAsia" w:hAnsi="Arial Narrow" w:cstheme="majorBidi"/>
                <w:bCs/>
                <w:sz w:val="20"/>
              </w:rPr>
              <w:t xml:space="preserve"> </w:t>
            </w:r>
          </w:p>
        </w:tc>
        <w:tc>
          <w:tcPr>
            <w:tcW w:w="1984" w:type="dxa"/>
            <w:vAlign w:val="center"/>
          </w:tcPr>
          <w:p w14:paraId="0D00438C"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56807</w:t>
            </w:r>
          </w:p>
        </w:tc>
        <w:tc>
          <w:tcPr>
            <w:tcW w:w="3686" w:type="dxa"/>
            <w:vMerge/>
            <w:vAlign w:val="center"/>
          </w:tcPr>
          <w:p w14:paraId="5E2C01F6" w14:textId="77777777" w:rsidR="00A30A62" w:rsidRPr="00980134" w:rsidRDefault="00A30A62" w:rsidP="00A30A62">
            <w:pPr>
              <w:keepNext/>
              <w:widowControl w:val="0"/>
              <w:jc w:val="left"/>
              <w:rPr>
                <w:rFonts w:ascii="Arial Narrow" w:eastAsiaTheme="majorEastAsia" w:hAnsi="Arial Narrow" w:cstheme="majorBidi"/>
                <w:bCs/>
                <w:sz w:val="20"/>
              </w:rPr>
            </w:pPr>
          </w:p>
        </w:tc>
      </w:tr>
      <w:tr w:rsidR="00A30A62" w:rsidRPr="00980134" w14:paraId="4D7DA6C5" w14:textId="77777777" w:rsidTr="00E51C5C">
        <w:tc>
          <w:tcPr>
            <w:tcW w:w="1696" w:type="dxa"/>
            <w:vAlign w:val="center"/>
          </w:tcPr>
          <w:p w14:paraId="0D1E9E52"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ECG</w:t>
            </w:r>
          </w:p>
        </w:tc>
        <w:tc>
          <w:tcPr>
            <w:tcW w:w="1701" w:type="dxa"/>
            <w:vAlign w:val="center"/>
          </w:tcPr>
          <w:p w14:paraId="6AAC6D27" w14:textId="60EF0719" w:rsidR="00A30A62" w:rsidRPr="00407FFB" w:rsidRDefault="00A30A62" w:rsidP="00A30A62">
            <w:pPr>
              <w:widowControl w:val="0"/>
              <w:jc w:val="left"/>
              <w:rPr>
                <w:rFonts w:ascii="Arial Narrow" w:eastAsiaTheme="majorEastAsia" w:hAnsi="Arial Narrow" w:cstheme="majorBidi"/>
                <w:bCs/>
                <w:sz w:val="20"/>
              </w:rPr>
            </w:pPr>
            <w:r w:rsidRPr="00407FFB">
              <w:rPr>
                <w:rFonts w:ascii="Arial Narrow" w:eastAsiaTheme="majorEastAsia" w:hAnsi="Arial Narrow" w:cstheme="majorBidi"/>
                <w:bCs/>
                <w:sz w:val="20"/>
              </w:rPr>
              <w:t>$33.05</w:t>
            </w:r>
            <w:r w:rsidR="00E51C5C" w:rsidRPr="00407FFB">
              <w:rPr>
                <w:rFonts w:ascii="Arial Narrow" w:eastAsiaTheme="majorEastAsia" w:hAnsi="Arial Narrow" w:cstheme="majorBidi"/>
                <w:bCs/>
                <w:sz w:val="20"/>
              </w:rPr>
              <w:t xml:space="preserve"> </w:t>
            </w:r>
          </w:p>
        </w:tc>
        <w:tc>
          <w:tcPr>
            <w:tcW w:w="1984" w:type="dxa"/>
            <w:vAlign w:val="center"/>
          </w:tcPr>
          <w:p w14:paraId="73E4684D" w14:textId="77777777" w:rsidR="00A30A62" w:rsidRPr="00980134" w:rsidRDefault="00A30A62" w:rsidP="00A30A62">
            <w:pPr>
              <w:widowControl w:val="0"/>
              <w:jc w:val="left"/>
              <w:rPr>
                <w:rFonts w:ascii="Arial Narrow" w:eastAsiaTheme="majorEastAsia" w:hAnsi="Arial Narrow" w:cstheme="majorBidi"/>
                <w:bCs/>
                <w:sz w:val="20"/>
              </w:rPr>
            </w:pPr>
            <w:r w:rsidRPr="00980134">
              <w:rPr>
                <w:rFonts w:ascii="Arial Narrow" w:eastAsiaTheme="majorEastAsia" w:hAnsi="Arial Narrow" w:cstheme="majorBidi"/>
                <w:bCs/>
                <w:sz w:val="20"/>
              </w:rPr>
              <w:t>MBS item 11704</w:t>
            </w:r>
          </w:p>
        </w:tc>
        <w:tc>
          <w:tcPr>
            <w:tcW w:w="3686" w:type="dxa"/>
            <w:vMerge/>
            <w:vAlign w:val="center"/>
          </w:tcPr>
          <w:p w14:paraId="1C824AD6" w14:textId="77777777" w:rsidR="00A30A62" w:rsidRPr="00980134" w:rsidRDefault="00A30A62" w:rsidP="00A30A62">
            <w:pPr>
              <w:widowControl w:val="0"/>
              <w:jc w:val="left"/>
              <w:rPr>
                <w:rFonts w:ascii="Arial Narrow" w:eastAsiaTheme="majorEastAsia" w:hAnsi="Arial Narrow" w:cstheme="majorBidi"/>
                <w:bCs/>
                <w:sz w:val="20"/>
              </w:rPr>
            </w:pPr>
          </w:p>
        </w:tc>
      </w:tr>
    </w:tbl>
    <w:p w14:paraId="6873A1CA" w14:textId="77777777" w:rsidR="00A30A62" w:rsidRPr="00980134" w:rsidRDefault="00A30A62" w:rsidP="00A30A62">
      <w:pPr>
        <w:keepNext/>
        <w:widowControl w:val="0"/>
        <w:spacing w:after="120"/>
        <w:contextualSpacing/>
        <w:rPr>
          <w:rFonts w:ascii="Arial Narrow" w:hAnsi="Arial Narrow"/>
          <w:snapToGrid w:val="0"/>
          <w:sz w:val="18"/>
          <w:szCs w:val="22"/>
        </w:rPr>
      </w:pPr>
      <w:r w:rsidRPr="00980134">
        <w:rPr>
          <w:rFonts w:ascii="Arial Narrow" w:hAnsi="Arial Narrow"/>
          <w:snapToGrid w:val="0"/>
          <w:sz w:val="18"/>
          <w:szCs w:val="22"/>
        </w:rPr>
        <w:t>Source: Table 4-1, pp 276-277 of the submission.</w:t>
      </w:r>
    </w:p>
    <w:p w14:paraId="63A35E7A" w14:textId="09365625" w:rsidR="00A30A62" w:rsidRPr="00980134" w:rsidRDefault="00A30A62" w:rsidP="00A30A62">
      <w:pPr>
        <w:keepNext/>
        <w:widowControl w:val="0"/>
        <w:spacing w:after="120"/>
        <w:contextualSpacing/>
        <w:rPr>
          <w:rFonts w:ascii="Arial Narrow" w:hAnsi="Arial Narrow"/>
          <w:snapToGrid w:val="0"/>
          <w:sz w:val="20"/>
          <w:szCs w:val="22"/>
        </w:rPr>
      </w:pPr>
      <w:r w:rsidRPr="00980134">
        <w:rPr>
          <w:rFonts w:ascii="Arial Narrow" w:hAnsi="Arial Narrow"/>
          <w:snapToGrid w:val="0"/>
          <w:sz w:val="18"/>
          <w:szCs w:val="20"/>
        </w:rPr>
        <w:t xml:space="preserve">ABS = Australian Bureau of Statistics; AIHW = Australian institute of health and welfare; BC = breast cancer; DUSC = Drug Utilisation Sub Committee; GP = general practitioner; </w:t>
      </w:r>
      <w:r w:rsidRPr="00980134">
        <w:rPr>
          <w:rFonts w:ascii="Arial Narrow" w:hAnsi="Arial Narrow"/>
          <w:snapToGrid w:val="0"/>
          <w:sz w:val="18"/>
          <w:szCs w:val="22"/>
        </w:rPr>
        <w:t xml:space="preserve">HER2 = human epidermal growth factor receptor 2; </w:t>
      </w:r>
      <w:r w:rsidRPr="00980134">
        <w:rPr>
          <w:rFonts w:ascii="Arial Narrow" w:hAnsi="Arial Narrow"/>
          <w:snapToGrid w:val="0"/>
          <w:sz w:val="18"/>
          <w:szCs w:val="20"/>
        </w:rPr>
        <w:t xml:space="preserve">HR = hormone receptor; ILD = interstitial lung disease; LVEF = left ventricular ejection fraction; </w:t>
      </w:r>
      <w:proofErr w:type="spellStart"/>
      <w:r w:rsidRPr="00980134">
        <w:rPr>
          <w:rFonts w:ascii="Arial Narrow" w:hAnsi="Arial Narrow"/>
          <w:snapToGrid w:val="0"/>
          <w:sz w:val="18"/>
          <w:szCs w:val="20"/>
        </w:rPr>
        <w:t>mBC</w:t>
      </w:r>
      <w:proofErr w:type="spellEnd"/>
      <w:r w:rsidRPr="00980134">
        <w:rPr>
          <w:rFonts w:ascii="Arial Narrow" w:hAnsi="Arial Narrow"/>
          <w:snapToGrid w:val="0"/>
          <w:sz w:val="18"/>
          <w:szCs w:val="20"/>
        </w:rPr>
        <w:t xml:space="preserve"> = metastatic breast cancer; MBS = Medicare benefits scheme; PBAC = Pharmaceutical Benefits Advisory Committee; PBS = Pharmaceutical Benefits Scheme; RPBS = Repatriation Pharmaceutical Benefits Scheme; PSD = Public Summary Document; SEER = Surveillance, Epidemiology, and End Results (SEER) Program; T-</w:t>
      </w:r>
      <w:proofErr w:type="spellStart"/>
      <w:r w:rsidRPr="00980134">
        <w:rPr>
          <w:rFonts w:ascii="Arial Narrow" w:hAnsi="Arial Narrow"/>
          <w:snapToGrid w:val="0"/>
          <w:sz w:val="18"/>
          <w:szCs w:val="20"/>
        </w:rPr>
        <w:t>DXd</w:t>
      </w:r>
      <w:proofErr w:type="spellEnd"/>
      <w:r w:rsidRPr="00980134">
        <w:rPr>
          <w:rFonts w:ascii="Arial Narrow" w:hAnsi="Arial Narrow"/>
          <w:snapToGrid w:val="0"/>
          <w:sz w:val="18"/>
          <w:szCs w:val="20"/>
        </w:rPr>
        <w:t xml:space="preserve"> = trastuzumab </w:t>
      </w:r>
      <w:proofErr w:type="spellStart"/>
      <w:r w:rsidRPr="00980134">
        <w:rPr>
          <w:rFonts w:ascii="Arial Narrow" w:hAnsi="Arial Narrow"/>
          <w:snapToGrid w:val="0"/>
          <w:sz w:val="18"/>
          <w:szCs w:val="20"/>
        </w:rPr>
        <w:t>deruxtecan</w:t>
      </w:r>
      <w:proofErr w:type="spellEnd"/>
      <w:r w:rsidRPr="00980134">
        <w:rPr>
          <w:rFonts w:ascii="Arial Narrow" w:hAnsi="Arial Narrow"/>
          <w:snapToGrid w:val="0"/>
          <w:sz w:val="18"/>
          <w:szCs w:val="20"/>
        </w:rPr>
        <w:t xml:space="preserve">; TNBC = triple negative breast cancer; TPC = treatment of physician’s choice; TTD = time to treatment discontinuation; </w:t>
      </w:r>
      <w:proofErr w:type="spellStart"/>
      <w:r w:rsidRPr="00980134">
        <w:rPr>
          <w:rFonts w:ascii="Arial Narrow" w:hAnsi="Arial Narrow"/>
          <w:snapToGrid w:val="0"/>
          <w:sz w:val="18"/>
          <w:szCs w:val="20"/>
        </w:rPr>
        <w:t>uBC</w:t>
      </w:r>
      <w:proofErr w:type="spellEnd"/>
      <w:r w:rsidRPr="00980134">
        <w:rPr>
          <w:rFonts w:ascii="Arial Narrow" w:hAnsi="Arial Narrow"/>
          <w:snapToGrid w:val="0"/>
          <w:sz w:val="18"/>
          <w:szCs w:val="20"/>
        </w:rPr>
        <w:t xml:space="preserve"> = unresectable breast cancer</w:t>
      </w:r>
    </w:p>
    <w:p w14:paraId="1DFC8D1B" w14:textId="33E0EA55" w:rsidR="00EB3243" w:rsidRPr="00980134" w:rsidRDefault="00EB3243" w:rsidP="00EB3243">
      <w:pPr>
        <w:pStyle w:val="3-BodyText"/>
      </w:pPr>
      <w:r w:rsidRPr="00980134">
        <w:t>The estimated use and financial implication of listing T-</w:t>
      </w:r>
      <w:proofErr w:type="spellStart"/>
      <w:r w:rsidRPr="00980134">
        <w:t>DXd</w:t>
      </w:r>
      <w:proofErr w:type="spellEnd"/>
      <w:r w:rsidRPr="00980134">
        <w:t xml:space="preserve"> is summarised in Table 18. </w:t>
      </w:r>
    </w:p>
    <w:p w14:paraId="20C5A8C8" w14:textId="1AA36787" w:rsidR="00A30A62" w:rsidRPr="00980134" w:rsidRDefault="00A30A62" w:rsidP="008A159D">
      <w:pPr>
        <w:keepNext/>
        <w:keepLines/>
        <w:rPr>
          <w:rFonts w:ascii="Arial Narrow" w:hAnsi="Arial Narrow"/>
          <w:b/>
          <w:bCs/>
          <w:sz w:val="20"/>
          <w:szCs w:val="18"/>
        </w:rPr>
      </w:pPr>
      <w:bookmarkStart w:id="102" w:name="_Ref142060771"/>
      <w:r w:rsidRPr="00980134">
        <w:rPr>
          <w:rFonts w:ascii="Arial Narrow" w:hAnsi="Arial Narrow"/>
          <w:b/>
          <w:bCs/>
          <w:sz w:val="20"/>
          <w:szCs w:val="18"/>
        </w:rPr>
        <w:lastRenderedPageBreak/>
        <w:t xml:space="preserve">Table </w:t>
      </w:r>
      <w:r w:rsidRPr="00980134">
        <w:rPr>
          <w:rFonts w:ascii="Arial Narrow" w:hAnsi="Arial Narrow"/>
          <w:b/>
          <w:bCs/>
          <w:sz w:val="20"/>
          <w:szCs w:val="18"/>
        </w:rPr>
        <w:fldChar w:fldCharType="begin" w:fldLock="1"/>
      </w:r>
      <w:r w:rsidRPr="00980134">
        <w:rPr>
          <w:rFonts w:ascii="Arial Narrow" w:hAnsi="Arial Narrow"/>
          <w:b/>
          <w:bCs/>
          <w:sz w:val="20"/>
          <w:szCs w:val="18"/>
        </w:rPr>
        <w:instrText xml:space="preserve"> SEQ Table \* ARABIC </w:instrText>
      </w:r>
      <w:r w:rsidRPr="00980134">
        <w:rPr>
          <w:rFonts w:ascii="Arial Narrow" w:hAnsi="Arial Narrow"/>
          <w:b/>
          <w:bCs/>
          <w:sz w:val="20"/>
          <w:szCs w:val="18"/>
        </w:rPr>
        <w:fldChar w:fldCharType="separate"/>
      </w:r>
      <w:r w:rsidR="00DF66B3">
        <w:rPr>
          <w:rFonts w:ascii="Arial Narrow" w:hAnsi="Arial Narrow"/>
          <w:b/>
          <w:bCs/>
          <w:noProof/>
          <w:sz w:val="20"/>
          <w:szCs w:val="18"/>
        </w:rPr>
        <w:t>15</w:t>
      </w:r>
      <w:r w:rsidRPr="00980134">
        <w:rPr>
          <w:rFonts w:ascii="Arial Narrow" w:hAnsi="Arial Narrow"/>
          <w:b/>
          <w:bCs/>
          <w:sz w:val="20"/>
          <w:szCs w:val="18"/>
        </w:rPr>
        <w:fldChar w:fldCharType="end"/>
      </w:r>
      <w:bookmarkEnd w:id="102"/>
      <w:r w:rsidRPr="00980134">
        <w:rPr>
          <w:rFonts w:ascii="Arial Narrow" w:hAnsi="Arial Narrow"/>
          <w:b/>
          <w:bCs/>
          <w:sz w:val="20"/>
          <w:szCs w:val="18"/>
        </w:rPr>
        <w:t>: Estimated financial implications of listing T-</w:t>
      </w:r>
      <w:proofErr w:type="spellStart"/>
      <w:r w:rsidRPr="00980134">
        <w:rPr>
          <w:rFonts w:ascii="Arial Narrow" w:hAnsi="Arial Narrow"/>
          <w:b/>
          <w:bCs/>
          <w:sz w:val="20"/>
          <w:szCs w:val="18"/>
        </w:rPr>
        <w:t>DXd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265C28" w:rsidRPr="00980134" w14:paraId="1130685C" w14:textId="77777777" w:rsidTr="00265C28">
        <w:trPr>
          <w:tblHeader/>
        </w:trPr>
        <w:tc>
          <w:tcPr>
            <w:tcW w:w="1334" w:type="pct"/>
            <w:shd w:val="clear" w:color="auto" w:fill="auto"/>
            <w:vAlign w:val="center"/>
          </w:tcPr>
          <w:p w14:paraId="59E8CD4E" w14:textId="77777777" w:rsidR="00A30A62" w:rsidRPr="00980134" w:rsidRDefault="00A30A62" w:rsidP="008A159D">
            <w:pPr>
              <w:keepNext/>
              <w:keepLines/>
              <w:jc w:val="center"/>
              <w:rPr>
                <w:rFonts w:ascii="Arial Narrow" w:eastAsiaTheme="majorEastAsia" w:hAnsi="Arial Narrow" w:cs="Times New Roman"/>
                <w:b/>
                <w:sz w:val="20"/>
              </w:rPr>
            </w:pPr>
          </w:p>
        </w:tc>
        <w:tc>
          <w:tcPr>
            <w:tcW w:w="611" w:type="pct"/>
            <w:shd w:val="clear" w:color="auto" w:fill="auto"/>
            <w:vAlign w:val="center"/>
          </w:tcPr>
          <w:p w14:paraId="53192292"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1</w:t>
            </w:r>
          </w:p>
        </w:tc>
        <w:tc>
          <w:tcPr>
            <w:tcW w:w="611" w:type="pct"/>
            <w:shd w:val="clear" w:color="auto" w:fill="auto"/>
            <w:vAlign w:val="center"/>
          </w:tcPr>
          <w:p w14:paraId="065010D6"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2</w:t>
            </w:r>
          </w:p>
        </w:tc>
        <w:tc>
          <w:tcPr>
            <w:tcW w:w="611" w:type="pct"/>
            <w:shd w:val="clear" w:color="auto" w:fill="auto"/>
            <w:vAlign w:val="center"/>
          </w:tcPr>
          <w:p w14:paraId="48A29465"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3</w:t>
            </w:r>
          </w:p>
        </w:tc>
        <w:tc>
          <w:tcPr>
            <w:tcW w:w="611" w:type="pct"/>
            <w:shd w:val="clear" w:color="auto" w:fill="auto"/>
            <w:vAlign w:val="center"/>
          </w:tcPr>
          <w:p w14:paraId="2023B871"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4</w:t>
            </w:r>
          </w:p>
        </w:tc>
        <w:tc>
          <w:tcPr>
            <w:tcW w:w="611" w:type="pct"/>
            <w:shd w:val="clear" w:color="auto" w:fill="auto"/>
            <w:vAlign w:val="center"/>
          </w:tcPr>
          <w:p w14:paraId="1567810C"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5</w:t>
            </w:r>
          </w:p>
        </w:tc>
        <w:tc>
          <w:tcPr>
            <w:tcW w:w="611" w:type="pct"/>
          </w:tcPr>
          <w:p w14:paraId="3ECE7377" w14:textId="77777777" w:rsidR="00A30A62" w:rsidRPr="00980134" w:rsidRDefault="00A30A62" w:rsidP="008A159D">
            <w:pPr>
              <w:keepNext/>
              <w:keepLines/>
              <w:jc w:val="center"/>
              <w:rPr>
                <w:rFonts w:ascii="Arial Narrow" w:eastAsiaTheme="majorEastAsia" w:hAnsi="Arial Narrow" w:cs="Times New Roman"/>
                <w:b/>
                <w:sz w:val="20"/>
              </w:rPr>
            </w:pPr>
            <w:r w:rsidRPr="00980134">
              <w:rPr>
                <w:rFonts w:ascii="Arial Narrow" w:eastAsiaTheme="majorEastAsia" w:hAnsi="Arial Narrow" w:cs="Times New Roman"/>
                <w:b/>
                <w:sz w:val="20"/>
              </w:rPr>
              <w:t>Year 6</w:t>
            </w:r>
          </w:p>
        </w:tc>
      </w:tr>
      <w:tr w:rsidR="00265C28" w:rsidRPr="00980134" w14:paraId="3924D904" w14:textId="77777777" w:rsidTr="00265C28">
        <w:tc>
          <w:tcPr>
            <w:tcW w:w="5000" w:type="pct"/>
            <w:gridSpan w:val="7"/>
            <w:tcBorders>
              <w:bottom w:val="single" w:sz="4" w:space="0" w:color="auto"/>
            </w:tcBorders>
            <w:shd w:val="clear" w:color="auto" w:fill="auto"/>
            <w:vAlign w:val="center"/>
          </w:tcPr>
          <w:p w14:paraId="092059E2" w14:textId="77777777" w:rsidR="00A30A62" w:rsidRPr="00980134" w:rsidRDefault="00A30A62" w:rsidP="008A159D">
            <w:pPr>
              <w:keepNext/>
              <w:keepLines/>
              <w:jc w:val="left"/>
              <w:rPr>
                <w:rFonts w:ascii="Arial Narrow" w:eastAsiaTheme="majorEastAsia" w:hAnsi="Arial Narrow" w:cs="Times New Roman"/>
                <w:b/>
                <w:bCs/>
                <w:color w:val="000000"/>
                <w:sz w:val="20"/>
              </w:rPr>
            </w:pPr>
            <w:r w:rsidRPr="00980134">
              <w:rPr>
                <w:rFonts w:ascii="Arial Narrow" w:eastAsiaTheme="majorEastAsia" w:hAnsi="Arial Narrow" w:cs="Times New Roman"/>
                <w:b/>
                <w:bCs/>
                <w:color w:val="000000"/>
                <w:sz w:val="20"/>
              </w:rPr>
              <w:t>Estimated extent of use</w:t>
            </w:r>
          </w:p>
        </w:tc>
      </w:tr>
      <w:tr w:rsidR="00265C28" w:rsidRPr="00980134" w14:paraId="51741856" w14:textId="77777777" w:rsidTr="00265C28">
        <w:tc>
          <w:tcPr>
            <w:tcW w:w="1334" w:type="pct"/>
            <w:tcBorders>
              <w:bottom w:val="nil"/>
            </w:tcBorders>
            <w:shd w:val="clear" w:color="auto" w:fill="auto"/>
            <w:vAlign w:val="center"/>
          </w:tcPr>
          <w:p w14:paraId="55A644D8" w14:textId="77777777" w:rsidR="00A30A62" w:rsidRPr="00980134" w:rsidRDefault="00A30A62" w:rsidP="008A159D">
            <w:pPr>
              <w:keepNext/>
              <w:keepLines/>
              <w:jc w:val="left"/>
              <w:rPr>
                <w:rFonts w:ascii="Times" w:eastAsiaTheme="majorEastAsia" w:hAnsi="Times" w:cstheme="majorBidi"/>
                <w:bCs/>
                <w:sz w:val="20"/>
              </w:rPr>
            </w:pPr>
            <w:r w:rsidRPr="00980134">
              <w:rPr>
                <w:rFonts w:ascii="Arial Narrow" w:eastAsiaTheme="majorEastAsia" w:hAnsi="Arial Narrow" w:cstheme="majorBidi"/>
                <w:bCs/>
                <w:sz w:val="20"/>
              </w:rPr>
              <w:t>Number of patients treated</w:t>
            </w:r>
          </w:p>
        </w:tc>
        <w:tc>
          <w:tcPr>
            <w:tcW w:w="611" w:type="pct"/>
            <w:tcBorders>
              <w:bottom w:val="nil"/>
            </w:tcBorders>
            <w:shd w:val="clear" w:color="auto" w:fill="auto"/>
            <w:vAlign w:val="center"/>
          </w:tcPr>
          <w:p w14:paraId="66ABFCDD" w14:textId="356379F2"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5"/>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5"/>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5"/>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bottom w:val="nil"/>
            </w:tcBorders>
            <w:shd w:val="clear" w:color="auto" w:fill="auto"/>
            <w:vAlign w:val="center"/>
          </w:tcPr>
          <w:p w14:paraId="6F10A7CA" w14:textId="2071B816"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4"/>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4"/>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4"/>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bottom w:val="nil"/>
            </w:tcBorders>
            <w:shd w:val="clear" w:color="auto" w:fill="auto"/>
            <w:vAlign w:val="center"/>
          </w:tcPr>
          <w:p w14:paraId="6D01D3BC" w14:textId="4E5D9419"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3"/>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3"/>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3"/>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bottom w:val="nil"/>
            </w:tcBorders>
            <w:shd w:val="clear" w:color="auto" w:fill="auto"/>
            <w:vAlign w:val="center"/>
          </w:tcPr>
          <w:p w14:paraId="7A24CE1A" w14:textId="6872C093"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2"/>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2"/>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2"/>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bottom w:val="nil"/>
            </w:tcBorders>
            <w:shd w:val="clear" w:color="auto" w:fill="auto"/>
            <w:vAlign w:val="center"/>
          </w:tcPr>
          <w:p w14:paraId="7103B08E" w14:textId="6E68D8D3"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1"/>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1"/>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1"/>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bottom w:val="nil"/>
            </w:tcBorders>
            <w:vAlign w:val="center"/>
          </w:tcPr>
          <w:p w14:paraId="35993431" w14:textId="3A29AD9A"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10070"/>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10070"/>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10070"/>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r>
      <w:tr w:rsidR="00265C28" w:rsidRPr="00980134" w14:paraId="31CF13F0" w14:textId="77777777" w:rsidTr="00265C28">
        <w:trPr>
          <w:trHeight w:val="183"/>
        </w:trPr>
        <w:tc>
          <w:tcPr>
            <w:tcW w:w="1334" w:type="pct"/>
            <w:tcBorders>
              <w:top w:val="nil"/>
              <w:bottom w:val="nil"/>
            </w:tcBorders>
            <w:shd w:val="clear" w:color="auto" w:fill="auto"/>
            <w:vAlign w:val="center"/>
          </w:tcPr>
          <w:p w14:paraId="6DD68197" w14:textId="022111A8" w:rsidR="00A30A62" w:rsidRPr="00980134" w:rsidRDefault="00640308" w:rsidP="008A159D">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00A30A62" w:rsidRPr="00980134">
              <w:rPr>
                <w:rFonts w:ascii="Arial Narrow" w:eastAsiaTheme="majorEastAsia" w:hAnsi="Arial Narrow" w:cstheme="majorBidi"/>
                <w:bCs/>
                <w:sz w:val="20"/>
              </w:rPr>
              <w:t>HR positive/HER2 low</w:t>
            </w:r>
          </w:p>
        </w:tc>
        <w:tc>
          <w:tcPr>
            <w:tcW w:w="611" w:type="pct"/>
            <w:tcBorders>
              <w:top w:val="nil"/>
              <w:bottom w:val="nil"/>
            </w:tcBorders>
            <w:shd w:val="clear" w:color="auto" w:fill="auto"/>
            <w:vAlign w:val="center"/>
          </w:tcPr>
          <w:p w14:paraId="593682B4" w14:textId="4337BB54"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10069"/>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10069"/>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10069"/>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nil"/>
            </w:tcBorders>
            <w:shd w:val="clear" w:color="auto" w:fill="auto"/>
            <w:vAlign w:val="center"/>
          </w:tcPr>
          <w:p w14:paraId="1B410F2E" w14:textId="1F704A65"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09824"/>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09824"/>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09824"/>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nil"/>
            </w:tcBorders>
            <w:shd w:val="clear" w:color="auto" w:fill="auto"/>
            <w:vAlign w:val="center"/>
          </w:tcPr>
          <w:p w14:paraId="29F01EBF" w14:textId="4A960F2C"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09823"/>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09823"/>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09823"/>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nil"/>
            </w:tcBorders>
            <w:shd w:val="clear" w:color="auto" w:fill="auto"/>
            <w:vAlign w:val="center"/>
          </w:tcPr>
          <w:p w14:paraId="7BD8405A" w14:textId="1E995EC2"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09822"/>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09822"/>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09822"/>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nil"/>
            </w:tcBorders>
            <w:shd w:val="clear" w:color="auto" w:fill="auto"/>
            <w:vAlign w:val="center"/>
          </w:tcPr>
          <w:p w14:paraId="3229BB07" w14:textId="02B0E1A0"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09821"/>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09821"/>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09821"/>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nil"/>
            </w:tcBorders>
            <w:vAlign w:val="center"/>
          </w:tcPr>
          <w:p w14:paraId="05F8B89D" w14:textId="31F660BF"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szCs w:val="20"/>
              </w:rPr>
              <w:t xml:space="preserve"> </w:t>
            </w:r>
            <w:r w:rsidRPr="00640308">
              <w:rPr>
                <w:rFonts w:ascii="Arial Narrow" w:eastAsiaTheme="majorEastAsia" w:hAnsi="Arial Narrow" w:cstheme="majorBidi" w:hint="eastAsia"/>
                <w:bCs/>
                <w:color w:val="000000"/>
                <w:w w:val="15"/>
                <w:sz w:val="20"/>
                <w:szCs w:val="20"/>
                <w:shd w:val="solid" w:color="000000" w:fill="000000"/>
                <w:fitText w:val="70" w:id="-1032109820"/>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zCs w:val="20"/>
                <w:shd w:val="solid" w:color="000000" w:fill="000000"/>
                <w:fitText w:val="70" w:id="-1032109820"/>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zCs w:val="20"/>
                <w:shd w:val="solid" w:color="000000" w:fill="000000"/>
                <w:fitText w:val="70" w:id="-1032109820"/>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r>
      <w:tr w:rsidR="00265C28" w:rsidRPr="00980134" w14:paraId="029A68DD" w14:textId="77777777" w:rsidTr="00265C28">
        <w:tc>
          <w:tcPr>
            <w:tcW w:w="1334" w:type="pct"/>
            <w:tcBorders>
              <w:top w:val="nil"/>
              <w:bottom w:val="single" w:sz="4" w:space="0" w:color="auto"/>
            </w:tcBorders>
            <w:shd w:val="clear" w:color="auto" w:fill="auto"/>
            <w:vAlign w:val="center"/>
          </w:tcPr>
          <w:p w14:paraId="703C9ACD" w14:textId="0AEE40C6" w:rsidR="00A30A62" w:rsidRPr="00980134" w:rsidRDefault="00640308" w:rsidP="008A159D">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00A30A62" w:rsidRPr="00980134">
              <w:rPr>
                <w:rFonts w:ascii="Arial Narrow" w:eastAsiaTheme="majorEastAsia" w:hAnsi="Arial Narrow" w:cstheme="majorBidi"/>
                <w:bCs/>
                <w:sz w:val="20"/>
              </w:rPr>
              <w:t>HR negative/HER2 low</w:t>
            </w:r>
          </w:p>
        </w:tc>
        <w:tc>
          <w:tcPr>
            <w:tcW w:w="611" w:type="pct"/>
            <w:tcBorders>
              <w:top w:val="nil"/>
              <w:bottom w:val="single" w:sz="4" w:space="0" w:color="auto"/>
            </w:tcBorders>
            <w:shd w:val="clear" w:color="auto" w:fill="auto"/>
            <w:vAlign w:val="center"/>
          </w:tcPr>
          <w:p w14:paraId="600BA8A6" w14:textId="77322E55"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9"/>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9"/>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9"/>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single" w:sz="4" w:space="0" w:color="auto"/>
            </w:tcBorders>
            <w:shd w:val="clear" w:color="auto" w:fill="auto"/>
            <w:vAlign w:val="center"/>
          </w:tcPr>
          <w:p w14:paraId="3A51E403" w14:textId="10B23C33"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8"/>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8"/>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8"/>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single" w:sz="4" w:space="0" w:color="auto"/>
            </w:tcBorders>
            <w:shd w:val="clear" w:color="auto" w:fill="auto"/>
            <w:vAlign w:val="center"/>
          </w:tcPr>
          <w:p w14:paraId="72A51CA8" w14:textId="7C63EA92"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7"/>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7"/>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7"/>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single" w:sz="4" w:space="0" w:color="auto"/>
            </w:tcBorders>
            <w:shd w:val="clear" w:color="auto" w:fill="auto"/>
            <w:vAlign w:val="center"/>
          </w:tcPr>
          <w:p w14:paraId="43494381" w14:textId="6EDE22E0"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6"/>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6"/>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6"/>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single" w:sz="4" w:space="0" w:color="auto"/>
            </w:tcBorders>
            <w:shd w:val="clear" w:color="auto" w:fill="auto"/>
            <w:vAlign w:val="center"/>
          </w:tcPr>
          <w:p w14:paraId="6CAF8A0C" w14:textId="7936399C"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5"/>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5"/>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5"/>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c>
          <w:tcPr>
            <w:tcW w:w="611" w:type="pct"/>
            <w:tcBorders>
              <w:top w:val="nil"/>
              <w:bottom w:val="single" w:sz="4" w:space="0" w:color="auto"/>
            </w:tcBorders>
            <w:vAlign w:val="center"/>
          </w:tcPr>
          <w:p w14:paraId="254FD490" w14:textId="6F3C138C"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4"/>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4"/>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4"/>
                <w14:textFill>
                  <w14:solidFill>
                    <w14:srgbClr w14:val="000000">
                      <w14:alpha w14:val="100000"/>
                    </w14:srgbClr>
                  </w14:solidFill>
                </w14:textFill>
              </w:rPr>
              <w:t xml:space="preserve">　</w:t>
            </w:r>
            <w:r w:rsidR="007F5BBF" w:rsidRPr="007F5BBF">
              <w:rPr>
                <w:rFonts w:ascii="Arial Narrow" w:eastAsiaTheme="majorEastAsia" w:hAnsi="Arial Narrow"/>
                <w:bCs/>
                <w:color w:val="000000"/>
                <w:sz w:val="20"/>
                <w:szCs w:val="20"/>
                <w:vertAlign w:val="superscript"/>
              </w:rPr>
              <w:t>1</w:t>
            </w:r>
          </w:p>
        </w:tc>
      </w:tr>
      <w:tr w:rsidR="00265C28" w:rsidRPr="00980134" w14:paraId="56503BAB" w14:textId="77777777" w:rsidTr="00265C28">
        <w:tc>
          <w:tcPr>
            <w:tcW w:w="1334" w:type="pct"/>
            <w:tcBorders>
              <w:bottom w:val="nil"/>
            </w:tcBorders>
            <w:shd w:val="clear" w:color="auto" w:fill="auto"/>
            <w:vAlign w:val="center"/>
          </w:tcPr>
          <w:p w14:paraId="78B5A3E0" w14:textId="77777777" w:rsidR="00A30A62" w:rsidRPr="00980134" w:rsidRDefault="00A30A62" w:rsidP="008A159D">
            <w:pPr>
              <w:keepNext/>
              <w:keepLines/>
              <w:jc w:val="left"/>
              <w:rPr>
                <w:rFonts w:ascii="Times" w:eastAsiaTheme="majorEastAsia" w:hAnsi="Times" w:cstheme="majorBidi"/>
                <w:bCs/>
                <w:sz w:val="20"/>
                <w:vertAlign w:val="superscript"/>
              </w:rPr>
            </w:pPr>
            <w:r w:rsidRPr="00980134">
              <w:rPr>
                <w:rFonts w:ascii="Arial Narrow" w:eastAsiaTheme="majorEastAsia" w:hAnsi="Arial Narrow" w:cstheme="majorBidi"/>
                <w:bCs/>
                <w:sz w:val="20"/>
              </w:rPr>
              <w:t xml:space="preserve">Number of scripts </w:t>
            </w:r>
            <w:proofErr w:type="spellStart"/>
            <w:r w:rsidRPr="00980134">
              <w:rPr>
                <w:rFonts w:ascii="Arial Narrow" w:eastAsiaTheme="majorEastAsia" w:hAnsi="Arial Narrow" w:cstheme="majorBidi"/>
                <w:bCs/>
                <w:sz w:val="20"/>
              </w:rPr>
              <w:t>dispensed</w:t>
            </w:r>
            <w:r w:rsidRPr="00980134">
              <w:rPr>
                <w:rFonts w:ascii="Arial Narrow" w:eastAsiaTheme="majorEastAsia" w:hAnsi="Arial Narrow" w:cstheme="majorBidi"/>
                <w:bCs/>
                <w:sz w:val="20"/>
                <w:vertAlign w:val="superscript"/>
              </w:rPr>
              <w:t>a</w:t>
            </w:r>
            <w:proofErr w:type="spellEnd"/>
          </w:p>
        </w:tc>
        <w:tc>
          <w:tcPr>
            <w:tcW w:w="611" w:type="pct"/>
            <w:tcBorders>
              <w:bottom w:val="nil"/>
            </w:tcBorders>
            <w:shd w:val="clear" w:color="auto" w:fill="auto"/>
            <w:vAlign w:val="center"/>
          </w:tcPr>
          <w:p w14:paraId="6B5CAE0D" w14:textId="2918475B"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3"/>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3"/>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3"/>
                <w14:textFill>
                  <w14:solidFill>
                    <w14:srgbClr w14:val="000000">
                      <w14:alpha w14:val="100000"/>
                    </w14:srgbClr>
                  </w14:solidFill>
                </w14:textFill>
              </w:rPr>
              <w:t xml:space="preserve">　</w:t>
            </w:r>
            <w:r w:rsidR="001D5BE1" w:rsidRPr="001D5BE1">
              <w:rPr>
                <w:rFonts w:ascii="Arial Narrow" w:eastAsiaTheme="majorEastAsia" w:hAnsi="Arial Narrow"/>
                <w:bCs/>
                <w:color w:val="000000"/>
                <w:sz w:val="20"/>
                <w:szCs w:val="20"/>
                <w:vertAlign w:val="superscript"/>
              </w:rPr>
              <w:t>2</w:t>
            </w:r>
          </w:p>
        </w:tc>
        <w:tc>
          <w:tcPr>
            <w:tcW w:w="611" w:type="pct"/>
            <w:tcBorders>
              <w:bottom w:val="nil"/>
            </w:tcBorders>
            <w:shd w:val="clear" w:color="auto" w:fill="auto"/>
            <w:vAlign w:val="center"/>
          </w:tcPr>
          <w:p w14:paraId="5D8E2C38" w14:textId="68995C1D"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2"/>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2"/>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2"/>
                <w14:textFill>
                  <w14:solidFill>
                    <w14:srgbClr w14:val="000000">
                      <w14:alpha w14:val="100000"/>
                    </w14:srgbClr>
                  </w14:solidFill>
                </w14:textFill>
              </w:rPr>
              <w:t xml:space="preserve">　</w:t>
            </w:r>
            <w:r w:rsidR="001D5BE1" w:rsidRPr="001D5BE1">
              <w:rPr>
                <w:rFonts w:ascii="Arial Narrow" w:eastAsiaTheme="majorEastAsia" w:hAnsi="Arial Narrow"/>
                <w:bCs/>
                <w:color w:val="000000"/>
                <w:sz w:val="20"/>
                <w:szCs w:val="20"/>
                <w:vertAlign w:val="superscript"/>
              </w:rPr>
              <w:t>2</w:t>
            </w:r>
          </w:p>
        </w:tc>
        <w:tc>
          <w:tcPr>
            <w:tcW w:w="611" w:type="pct"/>
            <w:tcBorders>
              <w:bottom w:val="nil"/>
            </w:tcBorders>
            <w:shd w:val="clear" w:color="auto" w:fill="auto"/>
            <w:vAlign w:val="center"/>
          </w:tcPr>
          <w:p w14:paraId="32435828" w14:textId="6AD1559D"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1"/>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1"/>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1"/>
                <w14:textFill>
                  <w14:solidFill>
                    <w14:srgbClr w14:val="000000">
                      <w14:alpha w14:val="100000"/>
                    </w14:srgbClr>
                  </w14:solidFill>
                </w14:textFill>
              </w:rPr>
              <w:t xml:space="preserve">　</w:t>
            </w:r>
            <w:r w:rsidR="001D5BE1" w:rsidRPr="001D5BE1">
              <w:rPr>
                <w:rFonts w:ascii="Arial Narrow" w:eastAsiaTheme="majorEastAsia" w:hAnsi="Arial Narrow"/>
                <w:bCs/>
                <w:color w:val="000000"/>
                <w:sz w:val="20"/>
                <w:szCs w:val="20"/>
                <w:vertAlign w:val="superscript"/>
              </w:rPr>
              <w:t>2</w:t>
            </w:r>
          </w:p>
        </w:tc>
        <w:tc>
          <w:tcPr>
            <w:tcW w:w="611" w:type="pct"/>
            <w:tcBorders>
              <w:bottom w:val="nil"/>
            </w:tcBorders>
            <w:shd w:val="clear" w:color="auto" w:fill="auto"/>
            <w:vAlign w:val="center"/>
          </w:tcPr>
          <w:p w14:paraId="5C99BB04" w14:textId="1A7167D9"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10"/>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10"/>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10"/>
                <w14:textFill>
                  <w14:solidFill>
                    <w14:srgbClr w14:val="000000">
                      <w14:alpha w14:val="100000"/>
                    </w14:srgbClr>
                  </w14:solidFill>
                </w14:textFill>
              </w:rPr>
              <w:t xml:space="preserve">　</w:t>
            </w:r>
            <w:r w:rsidR="001D5BE1" w:rsidRPr="001D5BE1">
              <w:rPr>
                <w:rFonts w:ascii="Arial Narrow" w:eastAsiaTheme="majorEastAsia" w:hAnsi="Arial Narrow"/>
                <w:bCs/>
                <w:color w:val="000000"/>
                <w:sz w:val="20"/>
                <w:szCs w:val="20"/>
                <w:vertAlign w:val="superscript"/>
              </w:rPr>
              <w:t>2</w:t>
            </w:r>
          </w:p>
        </w:tc>
        <w:tc>
          <w:tcPr>
            <w:tcW w:w="611" w:type="pct"/>
            <w:tcBorders>
              <w:bottom w:val="nil"/>
            </w:tcBorders>
            <w:shd w:val="clear" w:color="auto" w:fill="auto"/>
            <w:vAlign w:val="center"/>
          </w:tcPr>
          <w:p w14:paraId="10A8630B" w14:textId="1147F16B"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09"/>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09"/>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09"/>
                <w14:textFill>
                  <w14:solidFill>
                    <w14:srgbClr w14:val="000000">
                      <w14:alpha w14:val="100000"/>
                    </w14:srgbClr>
                  </w14:solidFill>
                </w14:textFill>
              </w:rPr>
              <w:t xml:space="preserve">　</w:t>
            </w:r>
            <w:r w:rsidR="005640FC" w:rsidRPr="001D5BE1">
              <w:rPr>
                <w:rFonts w:ascii="Arial Narrow" w:eastAsiaTheme="majorEastAsia" w:hAnsi="Arial Narrow"/>
                <w:bCs/>
                <w:color w:val="000000"/>
                <w:sz w:val="20"/>
                <w:szCs w:val="20"/>
                <w:vertAlign w:val="superscript"/>
              </w:rPr>
              <w:t>2</w:t>
            </w:r>
            <w:r w:rsidRPr="00640308">
              <w:rPr>
                <w:rFonts w:ascii="Arial Narrow" w:eastAsiaTheme="majorEastAsia" w:hAnsi="Arial Narrow"/>
                <w:bCs/>
                <w:color w:val="000000"/>
                <w:sz w:val="20"/>
                <w:szCs w:val="20"/>
              </w:rPr>
              <w:t xml:space="preserve"> </w:t>
            </w:r>
          </w:p>
        </w:tc>
        <w:tc>
          <w:tcPr>
            <w:tcW w:w="611" w:type="pct"/>
            <w:tcBorders>
              <w:bottom w:val="nil"/>
            </w:tcBorders>
            <w:vAlign w:val="center"/>
          </w:tcPr>
          <w:p w14:paraId="26EC67A0" w14:textId="7A57DE56"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bCs/>
                <w:color w:val="000000"/>
                <w:sz w:val="20"/>
                <w:szCs w:val="20"/>
              </w:rPr>
              <w:t xml:space="preserve"> </w:t>
            </w:r>
            <w:r w:rsidRPr="00640308">
              <w:rPr>
                <w:rFonts w:ascii="Arial Narrow" w:eastAsiaTheme="majorEastAsia" w:hAnsi="Arial Narrow" w:hint="eastAsia"/>
                <w:bCs/>
                <w:color w:val="000000"/>
                <w:w w:val="15"/>
                <w:sz w:val="20"/>
                <w:szCs w:val="20"/>
                <w:shd w:val="solid" w:color="000000" w:fill="000000"/>
                <w:fitText w:val="70" w:id="-1032109808"/>
                <w14:textFill>
                  <w14:solidFill>
                    <w14:srgbClr w14:val="000000">
                      <w14:alpha w14:val="100000"/>
                    </w14:srgbClr>
                  </w14:solidFill>
                </w14:textFill>
              </w:rPr>
              <w:t xml:space="preserve">　</w:t>
            </w:r>
            <w:r w:rsidRPr="00640308">
              <w:rPr>
                <w:rFonts w:ascii="Arial Narrow" w:eastAsiaTheme="majorEastAsia" w:hAnsi="Arial Narrow"/>
                <w:bCs/>
                <w:color w:val="000000"/>
                <w:w w:val="15"/>
                <w:sz w:val="20"/>
                <w:szCs w:val="20"/>
                <w:shd w:val="solid" w:color="000000" w:fill="000000"/>
                <w:fitText w:val="70" w:id="-1032109808"/>
                <w14:textFill>
                  <w14:solidFill>
                    <w14:srgbClr w14:val="000000">
                      <w14:alpha w14:val="100000"/>
                    </w14:srgbClr>
                  </w14:solidFill>
                </w14:textFill>
              </w:rPr>
              <w:t>|</w:t>
            </w:r>
            <w:r w:rsidRPr="00640308">
              <w:rPr>
                <w:rFonts w:ascii="Arial Narrow" w:eastAsiaTheme="majorEastAsia" w:hAnsi="Arial Narrow" w:hint="eastAsia"/>
                <w:bCs/>
                <w:color w:val="000000"/>
                <w:spacing w:val="4"/>
                <w:w w:val="15"/>
                <w:sz w:val="20"/>
                <w:szCs w:val="20"/>
                <w:shd w:val="solid" w:color="000000" w:fill="000000"/>
                <w:fitText w:val="70" w:id="-1032109808"/>
                <w14:textFill>
                  <w14:solidFill>
                    <w14:srgbClr w14:val="000000">
                      <w14:alpha w14:val="100000"/>
                    </w14:srgbClr>
                  </w14:solidFill>
                </w14:textFill>
              </w:rPr>
              <w:t xml:space="preserve">　</w:t>
            </w:r>
            <w:r w:rsidR="005640FC" w:rsidRPr="005640FC">
              <w:rPr>
                <w:rFonts w:ascii="Arial Narrow" w:eastAsiaTheme="majorEastAsia" w:hAnsi="Arial Narrow"/>
                <w:bCs/>
                <w:color w:val="000000"/>
                <w:sz w:val="20"/>
                <w:szCs w:val="20"/>
                <w:vertAlign w:val="superscript"/>
              </w:rPr>
              <w:t>3</w:t>
            </w:r>
          </w:p>
        </w:tc>
      </w:tr>
      <w:tr w:rsidR="00265C28" w:rsidRPr="00980134" w14:paraId="088A46AA" w14:textId="77777777" w:rsidTr="00265C28">
        <w:tc>
          <w:tcPr>
            <w:tcW w:w="1334" w:type="pct"/>
            <w:tcBorders>
              <w:top w:val="nil"/>
              <w:bottom w:val="nil"/>
            </w:tcBorders>
            <w:shd w:val="clear" w:color="auto" w:fill="auto"/>
            <w:vAlign w:val="center"/>
          </w:tcPr>
          <w:p w14:paraId="5F0DE117" w14:textId="795844FD" w:rsidR="00A30A62" w:rsidRPr="00980134" w:rsidRDefault="00640308" w:rsidP="008A159D">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00A30A62" w:rsidRPr="00980134">
              <w:rPr>
                <w:rFonts w:ascii="Arial Narrow" w:eastAsiaTheme="majorEastAsia" w:hAnsi="Arial Narrow" w:cstheme="majorBidi"/>
                <w:bCs/>
                <w:sz w:val="20"/>
              </w:rPr>
              <w:t>HR positive/HER2 low</w:t>
            </w:r>
          </w:p>
        </w:tc>
        <w:tc>
          <w:tcPr>
            <w:tcW w:w="611" w:type="pct"/>
            <w:tcBorders>
              <w:top w:val="nil"/>
              <w:bottom w:val="nil"/>
            </w:tcBorders>
            <w:shd w:val="clear" w:color="auto" w:fill="auto"/>
          </w:tcPr>
          <w:p w14:paraId="3281249F" w14:textId="3BD1F122"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24"/>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24"/>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24"/>
                <w14:textFill>
                  <w14:solidFill>
                    <w14:srgbClr w14:val="000000">
                      <w14:alpha w14:val="100000"/>
                    </w14:srgbClr>
                  </w14:solidFill>
                </w14:textFill>
              </w:rPr>
              <w:t xml:space="preserve">　</w:t>
            </w:r>
            <w:r w:rsidR="005640FC">
              <w:rPr>
                <w:rFonts w:ascii="Arial Narrow" w:eastAsiaTheme="majorEastAsia" w:hAnsi="Arial Narrow"/>
                <w:bCs/>
                <w:color w:val="000000"/>
                <w:sz w:val="20"/>
                <w:szCs w:val="20"/>
                <w:vertAlign w:val="superscript"/>
              </w:rPr>
              <w:t>4</w:t>
            </w:r>
          </w:p>
        </w:tc>
        <w:tc>
          <w:tcPr>
            <w:tcW w:w="611" w:type="pct"/>
            <w:tcBorders>
              <w:top w:val="nil"/>
              <w:bottom w:val="nil"/>
            </w:tcBorders>
            <w:shd w:val="clear" w:color="auto" w:fill="auto"/>
          </w:tcPr>
          <w:p w14:paraId="1F66A581" w14:textId="0DB2BDF8"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23"/>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23"/>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23"/>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4</w:t>
            </w:r>
          </w:p>
        </w:tc>
        <w:tc>
          <w:tcPr>
            <w:tcW w:w="611" w:type="pct"/>
            <w:tcBorders>
              <w:top w:val="nil"/>
              <w:bottom w:val="nil"/>
            </w:tcBorders>
            <w:shd w:val="clear" w:color="auto" w:fill="auto"/>
          </w:tcPr>
          <w:p w14:paraId="3FE8131D" w14:textId="7BC8A5DE"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22"/>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22"/>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22"/>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4</w:t>
            </w:r>
          </w:p>
        </w:tc>
        <w:tc>
          <w:tcPr>
            <w:tcW w:w="611" w:type="pct"/>
            <w:tcBorders>
              <w:top w:val="nil"/>
              <w:bottom w:val="nil"/>
            </w:tcBorders>
            <w:shd w:val="clear" w:color="auto" w:fill="auto"/>
          </w:tcPr>
          <w:p w14:paraId="453223CA" w14:textId="4A67A5D3"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21"/>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21"/>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21"/>
                <w14:textFill>
                  <w14:solidFill>
                    <w14:srgbClr w14:val="000000">
                      <w14:alpha w14:val="100000"/>
                    </w14:srgbClr>
                  </w14:solidFill>
                </w14:textFill>
              </w:rPr>
              <w:t xml:space="preserve">　</w:t>
            </w:r>
            <w:r w:rsidR="005640FC" w:rsidRPr="001D5BE1">
              <w:rPr>
                <w:rFonts w:ascii="Arial Narrow" w:eastAsiaTheme="majorEastAsia" w:hAnsi="Arial Narrow"/>
                <w:bCs/>
                <w:color w:val="000000"/>
                <w:sz w:val="20"/>
                <w:szCs w:val="20"/>
                <w:vertAlign w:val="superscript"/>
              </w:rPr>
              <w:t>2</w:t>
            </w:r>
          </w:p>
        </w:tc>
        <w:tc>
          <w:tcPr>
            <w:tcW w:w="611" w:type="pct"/>
            <w:tcBorders>
              <w:top w:val="nil"/>
              <w:bottom w:val="nil"/>
            </w:tcBorders>
            <w:shd w:val="clear" w:color="auto" w:fill="auto"/>
          </w:tcPr>
          <w:p w14:paraId="2F93D792" w14:textId="35CD8FF9"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20"/>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20"/>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20"/>
                <w14:textFill>
                  <w14:solidFill>
                    <w14:srgbClr w14:val="000000">
                      <w14:alpha w14:val="100000"/>
                    </w14:srgbClr>
                  </w14:solidFill>
                </w14:textFill>
              </w:rPr>
              <w:t xml:space="preserve">　</w:t>
            </w:r>
            <w:r w:rsidR="005640FC" w:rsidRPr="001D5BE1">
              <w:rPr>
                <w:rFonts w:ascii="Arial Narrow" w:eastAsiaTheme="majorEastAsia" w:hAnsi="Arial Narrow"/>
                <w:bCs/>
                <w:color w:val="000000"/>
                <w:sz w:val="20"/>
                <w:szCs w:val="20"/>
                <w:vertAlign w:val="superscript"/>
              </w:rPr>
              <w:t>2</w:t>
            </w:r>
          </w:p>
        </w:tc>
        <w:tc>
          <w:tcPr>
            <w:tcW w:w="611" w:type="pct"/>
            <w:tcBorders>
              <w:top w:val="nil"/>
              <w:bottom w:val="nil"/>
            </w:tcBorders>
          </w:tcPr>
          <w:p w14:paraId="55C1D80D" w14:textId="2E5D35B6"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9"/>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9"/>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9"/>
                <w14:textFill>
                  <w14:solidFill>
                    <w14:srgbClr w14:val="000000">
                      <w14:alpha w14:val="100000"/>
                    </w14:srgbClr>
                  </w14:solidFill>
                </w14:textFill>
              </w:rPr>
              <w:t xml:space="preserve">　</w:t>
            </w:r>
            <w:r w:rsidR="005640FC" w:rsidRPr="001D5BE1">
              <w:rPr>
                <w:rFonts w:ascii="Arial Narrow" w:eastAsiaTheme="majorEastAsia" w:hAnsi="Arial Narrow"/>
                <w:bCs/>
                <w:color w:val="000000"/>
                <w:sz w:val="20"/>
                <w:szCs w:val="20"/>
                <w:vertAlign w:val="superscript"/>
              </w:rPr>
              <w:t>2</w:t>
            </w:r>
          </w:p>
        </w:tc>
      </w:tr>
      <w:tr w:rsidR="00265C28" w:rsidRPr="00980134" w14:paraId="67128553" w14:textId="77777777" w:rsidTr="00265C28">
        <w:tc>
          <w:tcPr>
            <w:tcW w:w="1334" w:type="pct"/>
            <w:tcBorders>
              <w:top w:val="nil"/>
            </w:tcBorders>
            <w:shd w:val="clear" w:color="auto" w:fill="auto"/>
            <w:vAlign w:val="center"/>
          </w:tcPr>
          <w:p w14:paraId="3BC5965D" w14:textId="4C45C7EE" w:rsidR="00A30A62" w:rsidRPr="00980134" w:rsidRDefault="00640308" w:rsidP="008A159D">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   </w:t>
            </w:r>
            <w:r w:rsidR="00A30A62" w:rsidRPr="00980134">
              <w:rPr>
                <w:rFonts w:ascii="Arial Narrow" w:eastAsiaTheme="majorEastAsia" w:hAnsi="Arial Narrow" w:cstheme="majorBidi"/>
                <w:bCs/>
                <w:sz w:val="20"/>
              </w:rPr>
              <w:t>HR negative/HER2 low</w:t>
            </w:r>
          </w:p>
        </w:tc>
        <w:tc>
          <w:tcPr>
            <w:tcW w:w="611" w:type="pct"/>
            <w:tcBorders>
              <w:top w:val="nil"/>
            </w:tcBorders>
            <w:shd w:val="clear" w:color="auto" w:fill="auto"/>
          </w:tcPr>
          <w:p w14:paraId="262646E0" w14:textId="6B71DD90" w:rsidR="00A30A62" w:rsidRPr="00980134" w:rsidRDefault="00640308" w:rsidP="008A159D">
            <w:pPr>
              <w:keepNext/>
              <w:keepLines/>
              <w:jc w:val="center"/>
              <w:rPr>
                <w:rFonts w:ascii="Arial Narrow" w:eastAsiaTheme="majorEastAsia" w:hAnsi="Arial Narrow" w:cstheme="majorBidi"/>
                <w:bCs/>
                <w:color w:val="000000"/>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8"/>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8"/>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8"/>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c>
          <w:tcPr>
            <w:tcW w:w="611" w:type="pct"/>
            <w:tcBorders>
              <w:top w:val="nil"/>
            </w:tcBorders>
            <w:shd w:val="clear" w:color="auto" w:fill="auto"/>
          </w:tcPr>
          <w:p w14:paraId="2579D818" w14:textId="5357F3EB"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7"/>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7"/>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7"/>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c>
          <w:tcPr>
            <w:tcW w:w="611" w:type="pct"/>
            <w:tcBorders>
              <w:top w:val="nil"/>
            </w:tcBorders>
            <w:shd w:val="clear" w:color="auto" w:fill="auto"/>
          </w:tcPr>
          <w:p w14:paraId="4E63C697" w14:textId="00819C49"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6"/>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6"/>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6"/>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c>
          <w:tcPr>
            <w:tcW w:w="611" w:type="pct"/>
            <w:tcBorders>
              <w:top w:val="nil"/>
            </w:tcBorders>
            <w:shd w:val="clear" w:color="auto" w:fill="auto"/>
          </w:tcPr>
          <w:p w14:paraId="64C67FB2" w14:textId="5D4CA5D1"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5"/>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5"/>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5"/>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c>
          <w:tcPr>
            <w:tcW w:w="611" w:type="pct"/>
            <w:tcBorders>
              <w:top w:val="nil"/>
            </w:tcBorders>
            <w:shd w:val="clear" w:color="auto" w:fill="auto"/>
          </w:tcPr>
          <w:p w14:paraId="2E1DBEA2" w14:textId="0477BB07"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4"/>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4"/>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4"/>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c>
          <w:tcPr>
            <w:tcW w:w="611" w:type="pct"/>
            <w:tcBorders>
              <w:top w:val="nil"/>
            </w:tcBorders>
          </w:tcPr>
          <w:p w14:paraId="46272711" w14:textId="6E4C48C1" w:rsidR="00A30A62" w:rsidRPr="00E51C5C" w:rsidRDefault="00640308" w:rsidP="008A159D">
            <w:pPr>
              <w:keepNext/>
              <w:keepLines/>
              <w:jc w:val="center"/>
              <w:rPr>
                <w:rFonts w:ascii="Arial Narrow" w:eastAsiaTheme="majorEastAsia" w:hAnsi="Arial Narrow" w:cstheme="majorBidi"/>
                <w:bCs/>
                <w:color w:val="000000"/>
                <w:sz w:val="20"/>
                <w:highlight w:val="darkGray"/>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hint="eastAsia"/>
                <w:bCs/>
                <w:color w:val="000000"/>
                <w:w w:val="15"/>
                <w:sz w:val="20"/>
                <w:shd w:val="solid" w:color="000000" w:fill="000000"/>
                <w:fitText w:val="70" w:id="-1032109813"/>
                <w14:textFill>
                  <w14:solidFill>
                    <w14:srgbClr w14:val="000000">
                      <w14:alpha w14:val="100000"/>
                    </w14:srgbClr>
                  </w14:solidFill>
                </w14:textFill>
              </w:rPr>
              <w:t xml:space="preserve">　</w:t>
            </w:r>
            <w:r w:rsidRPr="00640308">
              <w:rPr>
                <w:rFonts w:ascii="Arial Narrow" w:eastAsiaTheme="majorEastAsia" w:hAnsi="Arial Narrow" w:cstheme="majorBidi"/>
                <w:bCs/>
                <w:color w:val="000000"/>
                <w:w w:val="15"/>
                <w:sz w:val="20"/>
                <w:shd w:val="solid" w:color="000000" w:fill="000000"/>
                <w:fitText w:val="70" w:id="-1032109813"/>
                <w14:textFill>
                  <w14:solidFill>
                    <w14:srgbClr w14:val="000000">
                      <w14:alpha w14:val="100000"/>
                    </w14:srgbClr>
                  </w14:solidFill>
                </w14:textFill>
              </w:rPr>
              <w:t>|</w:t>
            </w:r>
            <w:r w:rsidRPr="00640308">
              <w:rPr>
                <w:rFonts w:ascii="Arial Narrow" w:eastAsiaTheme="majorEastAsia" w:hAnsi="Arial Narrow" w:cstheme="majorBidi" w:hint="eastAsia"/>
                <w:bCs/>
                <w:color w:val="000000"/>
                <w:spacing w:val="4"/>
                <w:w w:val="15"/>
                <w:sz w:val="20"/>
                <w:shd w:val="solid" w:color="000000" w:fill="000000"/>
                <w:fitText w:val="70" w:id="-1032109813"/>
                <w14:textFill>
                  <w14:solidFill>
                    <w14:srgbClr w14:val="000000">
                      <w14:alpha w14:val="100000"/>
                    </w14:srgbClr>
                  </w14:solidFill>
                </w14:textFill>
              </w:rPr>
              <w:t xml:space="preserve">　</w:t>
            </w:r>
            <w:r w:rsidR="005640FC" w:rsidRPr="005640FC">
              <w:rPr>
                <w:rFonts w:ascii="Arial Narrow" w:eastAsiaTheme="majorEastAsia" w:hAnsi="Arial Narrow" w:cstheme="majorBidi"/>
                <w:bCs/>
                <w:sz w:val="20"/>
                <w:vertAlign w:val="superscript"/>
              </w:rPr>
              <w:t>5</w:t>
            </w:r>
          </w:p>
        </w:tc>
      </w:tr>
      <w:tr w:rsidR="00265C28" w:rsidRPr="00980134" w14:paraId="0B8BD613" w14:textId="77777777" w:rsidTr="00265C28">
        <w:tc>
          <w:tcPr>
            <w:tcW w:w="5000" w:type="pct"/>
            <w:gridSpan w:val="7"/>
            <w:tcBorders>
              <w:bottom w:val="single" w:sz="4" w:space="0" w:color="auto"/>
            </w:tcBorders>
            <w:shd w:val="clear" w:color="auto" w:fill="auto"/>
            <w:vAlign w:val="center"/>
          </w:tcPr>
          <w:p w14:paraId="4C91AC4D" w14:textId="77777777" w:rsidR="00A30A62" w:rsidRPr="00980134" w:rsidRDefault="00A30A62" w:rsidP="008A159D">
            <w:pPr>
              <w:keepNext/>
              <w:keepLines/>
              <w:jc w:val="left"/>
              <w:rPr>
                <w:rFonts w:ascii="Arial Narrow" w:eastAsiaTheme="majorEastAsia" w:hAnsi="Arial Narrow" w:cs="Times New Roman"/>
                <w:b/>
                <w:sz w:val="20"/>
              </w:rPr>
            </w:pPr>
            <w:r w:rsidRPr="00980134">
              <w:rPr>
                <w:rFonts w:ascii="Arial Narrow" w:eastAsiaTheme="majorEastAsia" w:hAnsi="Arial Narrow" w:cs="Times New Roman"/>
                <w:b/>
                <w:sz w:val="20"/>
              </w:rPr>
              <w:t>Estimated financial implications of T-</w:t>
            </w:r>
            <w:proofErr w:type="spellStart"/>
            <w:r w:rsidRPr="00980134">
              <w:rPr>
                <w:rFonts w:ascii="Arial Narrow" w:eastAsiaTheme="majorEastAsia" w:hAnsi="Arial Narrow" w:cs="Times New Roman"/>
                <w:b/>
                <w:sz w:val="20"/>
              </w:rPr>
              <w:t>DXd</w:t>
            </w:r>
            <w:proofErr w:type="spellEnd"/>
          </w:p>
        </w:tc>
      </w:tr>
      <w:tr w:rsidR="00265C28" w:rsidRPr="00980134" w14:paraId="56003477" w14:textId="77777777" w:rsidTr="00265C28">
        <w:tc>
          <w:tcPr>
            <w:tcW w:w="1334" w:type="pct"/>
            <w:tcBorders>
              <w:bottom w:val="nil"/>
            </w:tcBorders>
            <w:shd w:val="clear" w:color="auto" w:fill="auto"/>
            <w:vAlign w:val="center"/>
          </w:tcPr>
          <w:p w14:paraId="0EA0510D" w14:textId="17D10857" w:rsidR="00A30A62" w:rsidRPr="00980134" w:rsidRDefault="00A30A62" w:rsidP="008A159D">
            <w:pPr>
              <w:keepNext/>
              <w:keepLines/>
              <w:jc w:val="left"/>
              <w:rPr>
                <w:rFonts w:ascii="Arial Narrow" w:eastAsiaTheme="majorEastAsia" w:hAnsi="Arial Narrow" w:cstheme="majorBidi"/>
                <w:bCs/>
                <w:sz w:val="19"/>
                <w:szCs w:val="19"/>
              </w:rPr>
            </w:pPr>
            <w:r w:rsidRPr="00980134">
              <w:rPr>
                <w:rFonts w:ascii="Arial Narrow" w:eastAsiaTheme="majorEastAsia" w:hAnsi="Arial Narrow" w:cstheme="majorBidi"/>
                <w:bCs/>
                <w:sz w:val="19"/>
                <w:szCs w:val="19"/>
              </w:rPr>
              <w:t xml:space="preserve">Cost to PBS/RPBS less </w:t>
            </w:r>
            <w:r w:rsidR="00980134" w:rsidRPr="00980134">
              <w:rPr>
                <w:rFonts w:ascii="Arial Narrow" w:eastAsiaTheme="majorEastAsia" w:hAnsi="Arial Narrow" w:cstheme="majorBidi"/>
                <w:bCs/>
                <w:sz w:val="19"/>
                <w:szCs w:val="19"/>
              </w:rPr>
              <w:t>co-payments</w:t>
            </w:r>
          </w:p>
        </w:tc>
        <w:tc>
          <w:tcPr>
            <w:tcW w:w="611" w:type="pct"/>
            <w:tcBorders>
              <w:bottom w:val="nil"/>
            </w:tcBorders>
            <w:shd w:val="clear" w:color="auto" w:fill="auto"/>
            <w:vAlign w:val="center"/>
          </w:tcPr>
          <w:p w14:paraId="37521167" w14:textId="3225252F"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shd w:val="clear" w:color="auto" w:fill="auto"/>
            <w:vAlign w:val="center"/>
          </w:tcPr>
          <w:p w14:paraId="6272604D" w14:textId="6A541CF9"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sidR="00265C28">
              <w:rPr>
                <w:rFonts w:ascii="Arial Narrow" w:eastAsiaTheme="majorEastAsia" w:hAnsi="Arial Narrow"/>
                <w:bCs/>
                <w:sz w:val="20"/>
                <w:szCs w:val="20"/>
                <w:vertAlign w:val="superscript"/>
                <w:lang w:bidi="en-US"/>
              </w:rPr>
              <w:t xml:space="preserve"> </w:t>
            </w:r>
          </w:p>
        </w:tc>
        <w:tc>
          <w:tcPr>
            <w:tcW w:w="611" w:type="pct"/>
            <w:tcBorders>
              <w:bottom w:val="nil"/>
            </w:tcBorders>
            <w:shd w:val="clear" w:color="auto" w:fill="auto"/>
            <w:vAlign w:val="center"/>
          </w:tcPr>
          <w:p w14:paraId="58E5598A" w14:textId="0E60B605"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Pr>
                <w:rFonts w:ascii="Arial Narrow" w:eastAsiaTheme="majorEastAsia" w:hAnsi="Arial Narrow"/>
                <w:bCs/>
                <w:sz w:val="20"/>
                <w:szCs w:val="20"/>
                <w:vertAlign w:val="superscript"/>
                <w:lang w:bidi="en-US"/>
              </w:rPr>
              <w:t xml:space="preserve"> </w:t>
            </w:r>
          </w:p>
        </w:tc>
        <w:tc>
          <w:tcPr>
            <w:tcW w:w="611" w:type="pct"/>
            <w:tcBorders>
              <w:bottom w:val="nil"/>
            </w:tcBorders>
            <w:shd w:val="clear" w:color="auto" w:fill="auto"/>
            <w:vAlign w:val="center"/>
          </w:tcPr>
          <w:p w14:paraId="71A8EEBA" w14:textId="65154DE6"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sidR="00265C28">
              <w:rPr>
                <w:rFonts w:ascii="Arial Narrow" w:eastAsiaTheme="majorEastAsia" w:hAnsi="Arial Narrow"/>
                <w:bCs/>
                <w:sz w:val="20"/>
                <w:szCs w:val="20"/>
                <w:vertAlign w:val="superscript"/>
                <w:lang w:bidi="en-US"/>
              </w:rPr>
              <w:t xml:space="preserve"> </w:t>
            </w:r>
          </w:p>
        </w:tc>
        <w:tc>
          <w:tcPr>
            <w:tcW w:w="611" w:type="pct"/>
            <w:tcBorders>
              <w:bottom w:val="nil"/>
            </w:tcBorders>
            <w:shd w:val="clear" w:color="auto" w:fill="auto"/>
            <w:vAlign w:val="center"/>
          </w:tcPr>
          <w:p w14:paraId="78DB4F7A" w14:textId="1207B3E5"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vAlign w:val="center"/>
          </w:tcPr>
          <w:p w14:paraId="1084E98B" w14:textId="68FD948B" w:rsidR="00A30A62"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bCs/>
                <w:sz w:val="20"/>
                <w:szCs w:val="20"/>
                <w:lang w:bidi="en-US"/>
              </w:rPr>
              <w:t xml:space="preserve"> </w:t>
            </w:r>
            <w:r w:rsidRPr="00640308">
              <w:rPr>
                <w:rFonts w:ascii="Arial Narrow" w:eastAsiaTheme="majorEastAsia" w:hAnsi="Arial Narrow"/>
                <w:bCs/>
                <w:color w:val="000000"/>
                <w:sz w:val="20"/>
                <w:szCs w:val="20"/>
                <w:shd w:val="solid" w:color="000000" w:fill="000000"/>
                <w:lang w:bidi="en-US"/>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Pr>
                <w:rFonts w:ascii="Arial Narrow" w:eastAsiaTheme="majorEastAsia" w:hAnsi="Arial Narrow"/>
                <w:bCs/>
                <w:sz w:val="20"/>
                <w:szCs w:val="20"/>
                <w:vertAlign w:val="superscript"/>
                <w:lang w:bidi="en-US"/>
              </w:rPr>
              <w:t xml:space="preserve"> </w:t>
            </w:r>
          </w:p>
        </w:tc>
      </w:tr>
      <w:tr w:rsidR="00265C28" w:rsidRPr="00980134" w14:paraId="7B740E71" w14:textId="77777777" w:rsidTr="00265C28">
        <w:tc>
          <w:tcPr>
            <w:tcW w:w="5000" w:type="pct"/>
            <w:gridSpan w:val="7"/>
            <w:tcBorders>
              <w:bottom w:val="single" w:sz="4" w:space="0" w:color="auto"/>
            </w:tcBorders>
            <w:shd w:val="clear" w:color="auto" w:fill="auto"/>
            <w:vAlign w:val="center"/>
          </w:tcPr>
          <w:p w14:paraId="60E99132" w14:textId="77777777" w:rsidR="00A30A62" w:rsidRPr="00980134" w:rsidRDefault="00A30A62" w:rsidP="008A159D">
            <w:pPr>
              <w:keepNext/>
              <w:keepLines/>
              <w:jc w:val="left"/>
              <w:rPr>
                <w:rFonts w:ascii="Arial Narrow" w:eastAsiaTheme="majorEastAsia" w:hAnsi="Arial Narrow" w:cstheme="majorBidi"/>
                <w:b/>
                <w:sz w:val="20"/>
              </w:rPr>
            </w:pPr>
            <w:r w:rsidRPr="00980134">
              <w:rPr>
                <w:rFonts w:ascii="Arial Narrow" w:eastAsiaTheme="majorEastAsia" w:hAnsi="Arial Narrow" w:cstheme="majorBidi"/>
                <w:b/>
                <w:sz w:val="20"/>
              </w:rPr>
              <w:t>Estimated financial implications for TPC</w:t>
            </w:r>
          </w:p>
        </w:tc>
      </w:tr>
      <w:tr w:rsidR="00265C28" w:rsidRPr="00980134" w14:paraId="5D8E8B51" w14:textId="77777777" w:rsidTr="00265C28">
        <w:tc>
          <w:tcPr>
            <w:tcW w:w="1334" w:type="pct"/>
            <w:tcBorders>
              <w:bottom w:val="nil"/>
            </w:tcBorders>
            <w:shd w:val="clear" w:color="auto" w:fill="auto"/>
            <w:vAlign w:val="center"/>
          </w:tcPr>
          <w:p w14:paraId="2E5AF8BE" w14:textId="4939ACE0" w:rsidR="00AD4786" w:rsidRPr="00A21C73" w:rsidRDefault="00AD4786" w:rsidP="008A159D">
            <w:pPr>
              <w:keepNext/>
              <w:keepLines/>
              <w:jc w:val="left"/>
              <w:rPr>
                <w:rFonts w:ascii="Arial Narrow" w:eastAsiaTheme="majorEastAsia" w:hAnsi="Arial Narrow" w:cstheme="majorBidi"/>
                <w:bCs/>
                <w:sz w:val="19"/>
                <w:szCs w:val="19"/>
              </w:rPr>
            </w:pPr>
            <w:r w:rsidRPr="00980134">
              <w:rPr>
                <w:rFonts w:ascii="Arial Narrow" w:eastAsiaTheme="majorEastAsia" w:hAnsi="Arial Narrow" w:cstheme="majorBidi"/>
                <w:bCs/>
                <w:sz w:val="19"/>
                <w:szCs w:val="19"/>
              </w:rPr>
              <w:t xml:space="preserve">Cost to PBS/RPBS less </w:t>
            </w:r>
            <w:r w:rsidR="00980134" w:rsidRPr="00980134">
              <w:rPr>
                <w:rFonts w:ascii="Arial Narrow" w:eastAsiaTheme="majorEastAsia" w:hAnsi="Arial Narrow" w:cstheme="majorBidi"/>
                <w:bCs/>
                <w:sz w:val="19"/>
                <w:szCs w:val="19"/>
              </w:rPr>
              <w:t>co-payments</w:t>
            </w:r>
            <w:r w:rsidR="00980134">
              <w:rPr>
                <w:rFonts w:ascii="Arial Narrow" w:eastAsiaTheme="majorEastAsia" w:hAnsi="Arial Narrow" w:cstheme="majorBidi"/>
                <w:bCs/>
                <w:sz w:val="19"/>
                <w:szCs w:val="19"/>
              </w:rPr>
              <w:t xml:space="preserve"> </w:t>
            </w:r>
            <w:r w:rsidRPr="00980134">
              <w:rPr>
                <w:rFonts w:ascii="Arial Narrow" w:eastAsiaTheme="majorEastAsia" w:hAnsi="Arial Narrow" w:cstheme="majorBidi"/>
                <w:bCs/>
                <w:sz w:val="19"/>
                <w:szCs w:val="19"/>
                <w:vertAlign w:val="superscript"/>
              </w:rPr>
              <w:t>b</w:t>
            </w:r>
          </w:p>
        </w:tc>
        <w:tc>
          <w:tcPr>
            <w:tcW w:w="611" w:type="pct"/>
            <w:tcBorders>
              <w:bottom w:val="nil"/>
            </w:tcBorders>
            <w:shd w:val="clear" w:color="auto" w:fill="auto"/>
          </w:tcPr>
          <w:p w14:paraId="730555E1" w14:textId="579172F5"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p>
        </w:tc>
        <w:tc>
          <w:tcPr>
            <w:tcW w:w="611" w:type="pct"/>
            <w:tcBorders>
              <w:bottom w:val="nil"/>
            </w:tcBorders>
            <w:shd w:val="clear" w:color="auto" w:fill="auto"/>
          </w:tcPr>
          <w:p w14:paraId="2EBC962B" w14:textId="52AC6CF3"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r w:rsidR="00830AE4">
              <w:rPr>
                <w:rFonts w:ascii="Arial Narrow" w:eastAsiaTheme="majorEastAsia" w:hAnsi="Arial Narrow" w:cstheme="majorBidi"/>
                <w:bCs/>
                <w:sz w:val="20"/>
              </w:rPr>
              <w:t xml:space="preserve"> </w:t>
            </w:r>
          </w:p>
        </w:tc>
        <w:tc>
          <w:tcPr>
            <w:tcW w:w="611" w:type="pct"/>
            <w:tcBorders>
              <w:bottom w:val="nil"/>
            </w:tcBorders>
            <w:shd w:val="clear" w:color="auto" w:fill="auto"/>
          </w:tcPr>
          <w:p w14:paraId="13D9CC29" w14:textId="1411BB31"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p>
        </w:tc>
        <w:tc>
          <w:tcPr>
            <w:tcW w:w="611" w:type="pct"/>
            <w:tcBorders>
              <w:bottom w:val="nil"/>
            </w:tcBorders>
            <w:shd w:val="clear" w:color="auto" w:fill="auto"/>
          </w:tcPr>
          <w:p w14:paraId="257A00E3" w14:textId="0838EF3A"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p>
        </w:tc>
        <w:tc>
          <w:tcPr>
            <w:tcW w:w="611" w:type="pct"/>
            <w:tcBorders>
              <w:bottom w:val="nil"/>
            </w:tcBorders>
            <w:shd w:val="clear" w:color="auto" w:fill="auto"/>
          </w:tcPr>
          <w:p w14:paraId="5480BC96" w14:textId="5ED54C6A"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p>
        </w:tc>
        <w:tc>
          <w:tcPr>
            <w:tcW w:w="611" w:type="pct"/>
            <w:tcBorders>
              <w:bottom w:val="nil"/>
            </w:tcBorders>
          </w:tcPr>
          <w:p w14:paraId="69CFA234" w14:textId="0E7077F1" w:rsidR="00AD4786" w:rsidRPr="00980134" w:rsidRDefault="00640308" w:rsidP="008A159D">
            <w:pPr>
              <w:keepNext/>
              <w:keepLines/>
              <w:jc w:val="right"/>
              <w:rPr>
                <w:rFonts w:ascii="Arial Narrow" w:eastAsiaTheme="majorEastAsia" w:hAnsi="Arial Narrow" w:cstheme="majorBidi"/>
                <w:bCs/>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830AE4">
              <w:rPr>
                <w:rFonts w:ascii="Arial Narrow" w:eastAsiaTheme="majorEastAsia" w:hAnsi="Arial Narrow" w:cstheme="majorBidi"/>
                <w:bCs/>
                <w:sz w:val="20"/>
                <w:vertAlign w:val="superscript"/>
              </w:rPr>
              <w:t>7</w:t>
            </w:r>
          </w:p>
        </w:tc>
      </w:tr>
      <w:tr w:rsidR="00265C28" w:rsidRPr="00980134" w14:paraId="315CDE4F" w14:textId="77777777" w:rsidTr="00265C28">
        <w:tc>
          <w:tcPr>
            <w:tcW w:w="5000" w:type="pct"/>
            <w:gridSpan w:val="7"/>
            <w:tcBorders>
              <w:bottom w:val="single" w:sz="4" w:space="0" w:color="auto"/>
            </w:tcBorders>
            <w:shd w:val="clear" w:color="auto" w:fill="auto"/>
            <w:vAlign w:val="center"/>
          </w:tcPr>
          <w:p w14:paraId="28110E43" w14:textId="77777777" w:rsidR="00AD4786" w:rsidRPr="00980134" w:rsidRDefault="00AD4786" w:rsidP="008A159D">
            <w:pPr>
              <w:keepNext/>
              <w:keepLines/>
              <w:jc w:val="left"/>
              <w:rPr>
                <w:rFonts w:ascii="Arial Narrow" w:eastAsiaTheme="majorEastAsia" w:hAnsi="Arial Narrow" w:cs="Times New Roman"/>
                <w:b/>
                <w:sz w:val="20"/>
              </w:rPr>
            </w:pPr>
            <w:r w:rsidRPr="00980134">
              <w:rPr>
                <w:rFonts w:ascii="Arial Narrow" w:eastAsiaTheme="majorEastAsia" w:hAnsi="Arial Narrow" w:cs="Times New Roman"/>
                <w:b/>
                <w:sz w:val="20"/>
              </w:rPr>
              <w:t>Net financial implications</w:t>
            </w:r>
          </w:p>
        </w:tc>
      </w:tr>
      <w:tr w:rsidR="00265C28" w:rsidRPr="00980134" w14:paraId="79B047D4" w14:textId="77777777" w:rsidTr="00265C28">
        <w:tc>
          <w:tcPr>
            <w:tcW w:w="1334" w:type="pct"/>
            <w:tcBorders>
              <w:bottom w:val="nil"/>
            </w:tcBorders>
            <w:shd w:val="clear" w:color="auto" w:fill="auto"/>
            <w:vAlign w:val="center"/>
          </w:tcPr>
          <w:p w14:paraId="52C9387E" w14:textId="44A9DADA" w:rsidR="00AD4786" w:rsidRPr="00A21C73" w:rsidRDefault="00AD4786" w:rsidP="008A159D">
            <w:pPr>
              <w:keepNext/>
              <w:keepLines/>
              <w:jc w:val="left"/>
              <w:rPr>
                <w:rFonts w:ascii="Arial Narrow" w:eastAsiaTheme="majorEastAsia" w:hAnsi="Arial Narrow" w:cstheme="majorBidi"/>
                <w:bCs/>
                <w:sz w:val="19"/>
                <w:szCs w:val="19"/>
              </w:rPr>
            </w:pPr>
            <w:r w:rsidRPr="00980134">
              <w:rPr>
                <w:rFonts w:ascii="Arial Narrow" w:eastAsiaTheme="majorEastAsia" w:hAnsi="Arial Narrow" w:cstheme="majorBidi"/>
                <w:bCs/>
                <w:sz w:val="19"/>
                <w:szCs w:val="19"/>
              </w:rPr>
              <w:t>Net cost to PBS/</w:t>
            </w:r>
            <w:proofErr w:type="spellStart"/>
            <w:r w:rsidRPr="00980134">
              <w:rPr>
                <w:rFonts w:ascii="Arial Narrow" w:eastAsiaTheme="majorEastAsia" w:hAnsi="Arial Narrow" w:cstheme="majorBidi"/>
                <w:bCs/>
                <w:sz w:val="19"/>
                <w:szCs w:val="19"/>
              </w:rPr>
              <w:t>RPBS</w:t>
            </w:r>
            <w:r w:rsidRPr="00980134">
              <w:rPr>
                <w:rFonts w:ascii="Arial Narrow" w:eastAsiaTheme="majorEastAsia" w:hAnsi="Arial Narrow" w:cstheme="majorBidi"/>
                <w:bCs/>
                <w:sz w:val="19"/>
                <w:szCs w:val="19"/>
                <w:vertAlign w:val="superscript"/>
              </w:rPr>
              <w:t>b</w:t>
            </w:r>
            <w:proofErr w:type="spellEnd"/>
          </w:p>
        </w:tc>
        <w:tc>
          <w:tcPr>
            <w:tcW w:w="611" w:type="pct"/>
            <w:tcBorders>
              <w:bottom w:val="nil"/>
            </w:tcBorders>
            <w:shd w:val="clear" w:color="auto" w:fill="auto"/>
          </w:tcPr>
          <w:p w14:paraId="0C8911AB" w14:textId="0F0374F3"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shd w:val="clear" w:color="auto" w:fill="auto"/>
          </w:tcPr>
          <w:p w14:paraId="01778313" w14:textId="0C8085A0" w:rsidR="00AD4786" w:rsidRPr="00980134" w:rsidRDefault="00640308" w:rsidP="008A159D">
            <w:pPr>
              <w:keepNext/>
              <w:keepLines/>
              <w:jc w:val="right"/>
              <w:rPr>
                <w:rFonts w:ascii="Arial Narrow" w:eastAsiaTheme="majorEastAsia" w:hAnsi="Arial Narrow" w:cstheme="majorBidi"/>
                <w:sz w:val="20"/>
              </w:rPr>
            </w:pPr>
            <w:r>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sidR="00265C28">
              <w:rPr>
                <w:rFonts w:ascii="Arial Narrow" w:eastAsiaTheme="majorEastAsia" w:hAnsi="Arial Narrow"/>
                <w:bCs/>
                <w:sz w:val="20"/>
                <w:szCs w:val="20"/>
                <w:vertAlign w:val="superscript"/>
                <w:lang w:bidi="en-US"/>
              </w:rPr>
              <w:t xml:space="preserve"> </w:t>
            </w:r>
          </w:p>
        </w:tc>
        <w:tc>
          <w:tcPr>
            <w:tcW w:w="611" w:type="pct"/>
            <w:tcBorders>
              <w:bottom w:val="nil"/>
            </w:tcBorders>
            <w:shd w:val="clear" w:color="auto" w:fill="auto"/>
          </w:tcPr>
          <w:p w14:paraId="60EC1AFC" w14:textId="13511AA6"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shd w:val="clear" w:color="auto" w:fill="auto"/>
          </w:tcPr>
          <w:p w14:paraId="5CD42065" w14:textId="132BBD4A"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shd w:val="clear" w:color="auto" w:fill="auto"/>
          </w:tcPr>
          <w:p w14:paraId="50EBA8BE" w14:textId="489242B4"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nil"/>
            </w:tcBorders>
          </w:tcPr>
          <w:p w14:paraId="7BB569FF" w14:textId="7FCC4014"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r>
      <w:tr w:rsidR="00265C28" w:rsidRPr="00980134" w14:paraId="3CC9C9EB" w14:textId="77777777" w:rsidTr="00265C28">
        <w:tc>
          <w:tcPr>
            <w:tcW w:w="1334" w:type="pct"/>
            <w:tcBorders>
              <w:bottom w:val="single" w:sz="4" w:space="0" w:color="auto"/>
            </w:tcBorders>
            <w:shd w:val="clear" w:color="auto" w:fill="auto"/>
            <w:vAlign w:val="center"/>
          </w:tcPr>
          <w:p w14:paraId="3881B1F6" w14:textId="433DAFFE" w:rsidR="00AD4786" w:rsidRPr="00A21C73" w:rsidRDefault="00AD4786" w:rsidP="008A159D">
            <w:pPr>
              <w:keepNext/>
              <w:keepLines/>
              <w:jc w:val="left"/>
              <w:rPr>
                <w:rFonts w:ascii="Times" w:eastAsiaTheme="majorEastAsia" w:hAnsi="Times" w:cstheme="majorBidi"/>
                <w:bCs/>
                <w:sz w:val="20"/>
              </w:rPr>
            </w:pPr>
            <w:r w:rsidRPr="00980134">
              <w:rPr>
                <w:rFonts w:ascii="Arial Narrow" w:eastAsiaTheme="majorEastAsia" w:hAnsi="Arial Narrow" w:cstheme="majorBidi"/>
                <w:bCs/>
                <w:sz w:val="19"/>
                <w:szCs w:val="19"/>
              </w:rPr>
              <w:t xml:space="preserve">Net cost to </w:t>
            </w:r>
            <w:proofErr w:type="spellStart"/>
            <w:r w:rsidRPr="00980134">
              <w:rPr>
                <w:rFonts w:ascii="Arial Narrow" w:eastAsiaTheme="majorEastAsia" w:hAnsi="Arial Narrow" w:cstheme="majorBidi"/>
                <w:bCs/>
                <w:sz w:val="19"/>
                <w:szCs w:val="19"/>
              </w:rPr>
              <w:t>MBS</w:t>
            </w:r>
            <w:r w:rsidRPr="00980134">
              <w:rPr>
                <w:rFonts w:ascii="Arial Narrow" w:eastAsiaTheme="majorEastAsia" w:hAnsi="Arial Narrow" w:cstheme="majorBidi"/>
                <w:bCs/>
                <w:sz w:val="19"/>
                <w:szCs w:val="19"/>
                <w:vertAlign w:val="superscript"/>
              </w:rPr>
              <w:t>c</w:t>
            </w:r>
            <w:proofErr w:type="spellEnd"/>
          </w:p>
        </w:tc>
        <w:tc>
          <w:tcPr>
            <w:tcW w:w="611" w:type="pct"/>
            <w:tcBorders>
              <w:bottom w:val="single" w:sz="4" w:space="0" w:color="auto"/>
            </w:tcBorders>
            <w:shd w:val="clear" w:color="auto" w:fill="auto"/>
          </w:tcPr>
          <w:p w14:paraId="62950853" w14:textId="175702FD"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p>
        </w:tc>
        <w:tc>
          <w:tcPr>
            <w:tcW w:w="611" w:type="pct"/>
            <w:tcBorders>
              <w:bottom w:val="single" w:sz="4" w:space="0" w:color="auto"/>
            </w:tcBorders>
            <w:shd w:val="clear" w:color="auto" w:fill="auto"/>
          </w:tcPr>
          <w:p w14:paraId="0A6D4FD1" w14:textId="1F4D45F7"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r w:rsidR="00ED392D">
              <w:rPr>
                <w:rFonts w:ascii="Arial Narrow" w:eastAsiaTheme="majorEastAsia" w:hAnsi="Arial Narrow" w:cstheme="majorBidi"/>
                <w:bCs/>
                <w:sz w:val="20"/>
              </w:rPr>
              <w:t xml:space="preserve"> </w:t>
            </w:r>
          </w:p>
        </w:tc>
        <w:tc>
          <w:tcPr>
            <w:tcW w:w="611" w:type="pct"/>
            <w:tcBorders>
              <w:bottom w:val="single" w:sz="4" w:space="0" w:color="auto"/>
            </w:tcBorders>
            <w:shd w:val="clear" w:color="auto" w:fill="auto"/>
          </w:tcPr>
          <w:p w14:paraId="1E9BBB7A" w14:textId="491AE6D0"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p>
        </w:tc>
        <w:tc>
          <w:tcPr>
            <w:tcW w:w="611" w:type="pct"/>
            <w:tcBorders>
              <w:bottom w:val="single" w:sz="4" w:space="0" w:color="auto"/>
            </w:tcBorders>
            <w:shd w:val="clear" w:color="auto" w:fill="auto"/>
          </w:tcPr>
          <w:p w14:paraId="5773F3C9" w14:textId="637912AC"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p>
        </w:tc>
        <w:tc>
          <w:tcPr>
            <w:tcW w:w="611" w:type="pct"/>
            <w:tcBorders>
              <w:bottom w:val="single" w:sz="4" w:space="0" w:color="auto"/>
            </w:tcBorders>
            <w:shd w:val="clear" w:color="auto" w:fill="auto"/>
          </w:tcPr>
          <w:p w14:paraId="165C5644" w14:textId="12858B16"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p>
        </w:tc>
        <w:tc>
          <w:tcPr>
            <w:tcW w:w="611" w:type="pct"/>
            <w:tcBorders>
              <w:bottom w:val="single" w:sz="4" w:space="0" w:color="auto"/>
            </w:tcBorders>
          </w:tcPr>
          <w:p w14:paraId="6F6625EC" w14:textId="0666CBE3"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cstheme="majorBidi"/>
                <w:bCs/>
                <w:sz w:val="20"/>
                <w:vertAlign w:val="superscript"/>
              </w:rPr>
              <w:t>8</w:t>
            </w:r>
          </w:p>
        </w:tc>
      </w:tr>
      <w:tr w:rsidR="00265C28" w:rsidRPr="00980134" w14:paraId="252B3DD3" w14:textId="77777777" w:rsidTr="00265C28">
        <w:tc>
          <w:tcPr>
            <w:tcW w:w="1334" w:type="pct"/>
            <w:tcBorders>
              <w:bottom w:val="single" w:sz="4" w:space="0" w:color="auto"/>
            </w:tcBorders>
            <w:shd w:val="clear" w:color="auto" w:fill="auto"/>
            <w:vAlign w:val="center"/>
          </w:tcPr>
          <w:p w14:paraId="31DD2FCB" w14:textId="24D1D991" w:rsidR="00AD4786" w:rsidRPr="00980134" w:rsidRDefault="00AD4786" w:rsidP="008A159D">
            <w:pPr>
              <w:keepNext/>
              <w:keepLines/>
              <w:jc w:val="left"/>
              <w:rPr>
                <w:rFonts w:ascii="Arial Narrow" w:eastAsiaTheme="majorEastAsia" w:hAnsi="Arial Narrow" w:cstheme="majorBidi"/>
                <w:bCs/>
                <w:sz w:val="19"/>
                <w:szCs w:val="19"/>
              </w:rPr>
            </w:pPr>
            <w:r w:rsidRPr="00980134">
              <w:rPr>
                <w:rFonts w:ascii="Arial Narrow" w:eastAsiaTheme="majorEastAsia" w:hAnsi="Arial Narrow" w:cstheme="majorBidi"/>
                <w:bCs/>
                <w:sz w:val="19"/>
                <w:szCs w:val="19"/>
              </w:rPr>
              <w:t>Net cost to PBS/RPBS/MBS</w:t>
            </w:r>
            <w:r w:rsidRPr="00980134">
              <w:rPr>
                <w:rFonts w:ascii="Arial Narrow" w:eastAsiaTheme="majorEastAsia" w:hAnsi="Arial Narrow" w:cstheme="majorBidi"/>
                <w:bCs/>
                <w:sz w:val="19"/>
                <w:szCs w:val="19"/>
                <w:vertAlign w:val="superscript"/>
              </w:rPr>
              <w:t xml:space="preserve"> </w:t>
            </w:r>
            <w:proofErr w:type="spellStart"/>
            <w:r w:rsidRPr="00980134">
              <w:rPr>
                <w:rFonts w:ascii="Arial Narrow" w:eastAsiaTheme="majorEastAsia" w:hAnsi="Arial Narrow" w:cstheme="majorBidi"/>
                <w:bCs/>
                <w:sz w:val="19"/>
                <w:szCs w:val="19"/>
                <w:vertAlign w:val="superscript"/>
              </w:rPr>
              <w:t>b,c</w:t>
            </w:r>
            <w:proofErr w:type="spellEnd"/>
          </w:p>
        </w:tc>
        <w:tc>
          <w:tcPr>
            <w:tcW w:w="611" w:type="pct"/>
            <w:tcBorders>
              <w:bottom w:val="single" w:sz="4" w:space="0" w:color="auto"/>
            </w:tcBorders>
            <w:shd w:val="clear" w:color="auto" w:fill="auto"/>
          </w:tcPr>
          <w:p w14:paraId="0D7F5046" w14:textId="3D8DDA27"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r w:rsidR="00265C28">
              <w:rPr>
                <w:rFonts w:ascii="Arial Narrow" w:eastAsiaTheme="majorEastAsia" w:hAnsi="Arial Narrow"/>
                <w:bCs/>
                <w:sz w:val="20"/>
                <w:szCs w:val="20"/>
                <w:vertAlign w:val="superscript"/>
                <w:lang w:bidi="en-US"/>
              </w:rPr>
              <w:t xml:space="preserve"> </w:t>
            </w:r>
          </w:p>
        </w:tc>
        <w:tc>
          <w:tcPr>
            <w:tcW w:w="611" w:type="pct"/>
            <w:tcBorders>
              <w:bottom w:val="single" w:sz="4" w:space="0" w:color="auto"/>
            </w:tcBorders>
            <w:shd w:val="clear" w:color="auto" w:fill="auto"/>
          </w:tcPr>
          <w:p w14:paraId="68373284" w14:textId="3F40FB6E"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single" w:sz="4" w:space="0" w:color="auto"/>
            </w:tcBorders>
            <w:shd w:val="clear" w:color="auto" w:fill="auto"/>
          </w:tcPr>
          <w:p w14:paraId="2899EEC9" w14:textId="566D218B"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single" w:sz="4" w:space="0" w:color="auto"/>
            </w:tcBorders>
            <w:shd w:val="clear" w:color="auto" w:fill="auto"/>
          </w:tcPr>
          <w:p w14:paraId="346A6006" w14:textId="2AC58548"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single" w:sz="4" w:space="0" w:color="auto"/>
            </w:tcBorders>
            <w:shd w:val="clear" w:color="auto" w:fill="auto"/>
          </w:tcPr>
          <w:p w14:paraId="6FF29933" w14:textId="7C80700D"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c>
          <w:tcPr>
            <w:tcW w:w="611" w:type="pct"/>
            <w:tcBorders>
              <w:bottom w:val="single" w:sz="4" w:space="0" w:color="auto"/>
            </w:tcBorders>
          </w:tcPr>
          <w:p w14:paraId="48EC1D42" w14:textId="2404736D" w:rsidR="00AD4786" w:rsidRPr="00980134" w:rsidRDefault="00640308" w:rsidP="008A159D">
            <w:pPr>
              <w:keepNext/>
              <w:keepLines/>
              <w:jc w:val="right"/>
              <w:rPr>
                <w:rFonts w:ascii="Arial Narrow" w:eastAsiaTheme="majorEastAsia" w:hAnsi="Arial Narrow" w:cstheme="majorBidi"/>
                <w:sz w:val="20"/>
              </w:rPr>
            </w:pPr>
            <w:r w:rsidRPr="00640308">
              <w:rPr>
                <w:rFonts w:ascii="Arial Narrow" w:eastAsiaTheme="majorEastAsia" w:hAnsi="Arial Narrow" w:cstheme="majorBidi"/>
                <w:bCs/>
                <w:sz w:val="20"/>
              </w:rPr>
              <w:t xml:space="preserve"> </w:t>
            </w:r>
            <w:r w:rsidRPr="0064030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000DC8" w:rsidRPr="00000DC8">
              <w:rPr>
                <w:rFonts w:ascii="Arial Narrow" w:eastAsiaTheme="majorEastAsia" w:hAnsi="Arial Narrow"/>
                <w:bCs/>
                <w:sz w:val="20"/>
                <w:szCs w:val="20"/>
                <w:vertAlign w:val="superscript"/>
                <w:lang w:bidi="en-US"/>
              </w:rPr>
              <w:t>6</w:t>
            </w:r>
          </w:p>
        </w:tc>
      </w:tr>
    </w:tbl>
    <w:p w14:paraId="6E9FFF0B" w14:textId="77777777" w:rsidR="00A30A62" w:rsidRPr="00980134" w:rsidRDefault="00A30A62" w:rsidP="008A159D">
      <w:pPr>
        <w:keepNext/>
        <w:keepLines/>
        <w:rPr>
          <w:rFonts w:ascii="Arial Narrow" w:hAnsi="Arial Narrow"/>
          <w:sz w:val="18"/>
        </w:rPr>
      </w:pPr>
      <w:r w:rsidRPr="00980134">
        <w:rPr>
          <w:rFonts w:ascii="Arial Narrow" w:hAnsi="Arial Narrow"/>
          <w:sz w:val="18"/>
        </w:rPr>
        <w:t>Source: Table 4-9, p284, Table 4-10, p284, Table 4-12, p285, Table 4-15, pp287-288, Table 4-22, p292, Table 4-23, p292, Table 4-26, p294 and Table 4-27, p295 of the submission</w:t>
      </w:r>
    </w:p>
    <w:p w14:paraId="0B0843BB" w14:textId="77777777" w:rsidR="00A30A62" w:rsidRPr="00980134" w:rsidRDefault="00A30A62" w:rsidP="008A159D">
      <w:pPr>
        <w:keepNext/>
        <w:keepLines/>
        <w:rPr>
          <w:rFonts w:ascii="Arial Narrow" w:hAnsi="Arial Narrow"/>
          <w:sz w:val="18"/>
        </w:rPr>
      </w:pPr>
      <w:r w:rsidRPr="00980134">
        <w:rPr>
          <w:rFonts w:ascii="Arial Narrow" w:hAnsi="Arial Narrow"/>
          <w:sz w:val="18"/>
        </w:rPr>
        <w:t xml:space="preserve">CT = computed tomography; ECG = electrocardiography; HER2 = human epidermal growth factor receptor 2; </w:t>
      </w:r>
      <w:r w:rsidRPr="00980134">
        <w:rPr>
          <w:rFonts w:ascii="Arial Narrow" w:hAnsi="Arial Narrow"/>
          <w:sz w:val="18"/>
          <w:szCs w:val="20"/>
        </w:rPr>
        <w:t>HR = hormone receptor; IV = intravenous; T-</w:t>
      </w:r>
      <w:proofErr w:type="spellStart"/>
      <w:r w:rsidRPr="00980134">
        <w:rPr>
          <w:rFonts w:ascii="Arial Narrow" w:hAnsi="Arial Narrow"/>
          <w:sz w:val="18"/>
          <w:szCs w:val="20"/>
        </w:rPr>
        <w:t>DXd</w:t>
      </w:r>
      <w:proofErr w:type="spellEnd"/>
      <w:r w:rsidRPr="00980134">
        <w:rPr>
          <w:rFonts w:ascii="Arial Narrow" w:hAnsi="Arial Narrow"/>
          <w:sz w:val="18"/>
          <w:szCs w:val="20"/>
        </w:rPr>
        <w:t xml:space="preserve"> = trastuzumab </w:t>
      </w:r>
      <w:proofErr w:type="spellStart"/>
      <w:r w:rsidRPr="00980134">
        <w:rPr>
          <w:rFonts w:ascii="Arial Narrow" w:hAnsi="Arial Narrow"/>
          <w:sz w:val="18"/>
          <w:szCs w:val="20"/>
        </w:rPr>
        <w:t>deruxtecan</w:t>
      </w:r>
      <w:proofErr w:type="spellEnd"/>
      <w:r w:rsidRPr="00980134">
        <w:rPr>
          <w:rFonts w:ascii="Arial Narrow" w:hAnsi="Arial Narrow"/>
          <w:sz w:val="18"/>
          <w:szCs w:val="20"/>
        </w:rPr>
        <w:t>; TPC = treatment of physician’s choice</w:t>
      </w:r>
    </w:p>
    <w:p w14:paraId="571B24CA" w14:textId="77777777" w:rsidR="00A30A62" w:rsidRPr="00980134" w:rsidRDefault="00A30A62" w:rsidP="008A159D">
      <w:pPr>
        <w:keepNext/>
        <w:keepLines/>
        <w:rPr>
          <w:rFonts w:ascii="Arial Narrow" w:hAnsi="Arial Narrow"/>
          <w:sz w:val="18"/>
        </w:rPr>
      </w:pPr>
      <w:proofErr w:type="gramStart"/>
      <w:r w:rsidRPr="00980134">
        <w:rPr>
          <w:rFonts w:ascii="Arial Narrow" w:hAnsi="Arial Narrow"/>
          <w:sz w:val="18"/>
          <w:vertAlign w:val="superscript"/>
        </w:rPr>
        <w:t>a</w:t>
      </w:r>
      <w:proofErr w:type="gramEnd"/>
      <w:r w:rsidRPr="00980134">
        <w:rPr>
          <w:rFonts w:ascii="Arial Narrow" w:hAnsi="Arial Narrow"/>
          <w:sz w:val="18"/>
          <w:vertAlign w:val="superscript"/>
        </w:rPr>
        <w:t xml:space="preserve"> </w:t>
      </w:r>
      <w:r w:rsidRPr="00980134">
        <w:rPr>
          <w:rFonts w:ascii="Arial Narrow" w:hAnsi="Arial Narrow"/>
          <w:sz w:val="18"/>
        </w:rPr>
        <w:t>Assuming 12.30 scripts per HR positive/HER2 low patient (treatment duration of 10.96 months, 3-week cycle, 90% compliance). Assuming 9.98 scripts per HR negative/HER2 low patient (treatment duration of 7.65 months, 3-week cycle, 90% compliance)</w:t>
      </w:r>
    </w:p>
    <w:p w14:paraId="475F3AA4" w14:textId="4DC3FE4A" w:rsidR="00A30A62" w:rsidRPr="00980134" w:rsidRDefault="00A30A62" w:rsidP="008A159D">
      <w:pPr>
        <w:keepNext/>
        <w:keepLines/>
        <w:rPr>
          <w:rFonts w:ascii="Arial Narrow" w:hAnsi="Arial Narrow"/>
          <w:sz w:val="18"/>
        </w:rPr>
      </w:pPr>
      <w:r w:rsidRPr="00980134">
        <w:rPr>
          <w:rFonts w:ascii="Arial Narrow" w:hAnsi="Arial Narrow"/>
          <w:sz w:val="18"/>
          <w:vertAlign w:val="superscript"/>
        </w:rPr>
        <w:t xml:space="preserve">b </w:t>
      </w:r>
      <w:r w:rsidRPr="00980134">
        <w:rPr>
          <w:rFonts w:ascii="Arial Narrow" w:hAnsi="Arial Narrow"/>
          <w:sz w:val="18"/>
        </w:rPr>
        <w:t xml:space="preserve">Revised </w:t>
      </w:r>
      <w:proofErr w:type="gramStart"/>
      <w:r w:rsidRPr="00980134">
        <w:rPr>
          <w:rFonts w:ascii="Arial Narrow" w:hAnsi="Arial Narrow"/>
          <w:sz w:val="18"/>
        </w:rPr>
        <w:t>by:</w:t>
      </w:r>
      <w:proofErr w:type="gramEnd"/>
      <w:r w:rsidRPr="00980134">
        <w:rPr>
          <w:rFonts w:ascii="Arial Narrow" w:hAnsi="Arial Narrow"/>
          <w:sz w:val="18"/>
        </w:rPr>
        <w:t xml:space="preserve"> 1) correcting the number of patients receiving TPC; and 2) revising the number of scripts and dispensed cost per administration for each TPC agent, based on the recommended dose regimen, the distribution of body surface and the relative dose intensity observed in DB-04. </w:t>
      </w:r>
      <w:r w:rsidRPr="00000DC8">
        <w:rPr>
          <w:rFonts w:ascii="Arial Narrow" w:hAnsi="Arial Narrow"/>
          <w:sz w:val="18"/>
        </w:rPr>
        <w:t xml:space="preserve">The weighted cost per dose and dose frequency for TPC agents administered via IV infusion are as follows: </w:t>
      </w:r>
      <w:proofErr w:type="spellStart"/>
      <w:r w:rsidRPr="00000DC8">
        <w:rPr>
          <w:rFonts w:ascii="Arial Narrow" w:hAnsi="Arial Narrow"/>
          <w:sz w:val="18"/>
        </w:rPr>
        <w:t>eribulin</w:t>
      </w:r>
      <w:proofErr w:type="spellEnd"/>
      <w:r w:rsidRPr="00000DC8">
        <w:rPr>
          <w:rFonts w:ascii="Arial Narrow" w:hAnsi="Arial Narrow"/>
          <w:sz w:val="18"/>
        </w:rPr>
        <w:t>: $664.40, twice per 21-day cycle; paclitaxel: $162.47 once per 21-day cycle; nab-paclitaxel: $1,644.09, once per 21-day cycle; and gemcitabine: $158.97, twice per 21-cycle cycle</w:t>
      </w:r>
      <w:r w:rsidRPr="00980134">
        <w:rPr>
          <w:rFonts w:ascii="Arial Narrow" w:hAnsi="Arial Narrow"/>
          <w:sz w:val="18"/>
        </w:rPr>
        <w:t>. The mean dose for capecitabine is estimated to be 1,613 mg twice daily for 2 weeks followed by 1-week rest period.</w:t>
      </w:r>
    </w:p>
    <w:p w14:paraId="2B597694" w14:textId="6E16EF7D" w:rsidR="00A30A62" w:rsidRDefault="00A30A62" w:rsidP="008A159D">
      <w:pPr>
        <w:keepNext/>
        <w:keepLines/>
        <w:widowControl w:val="0"/>
        <w:spacing w:after="120" w:line="269" w:lineRule="auto"/>
        <w:contextualSpacing/>
        <w:rPr>
          <w:rFonts w:ascii="Arial Narrow" w:hAnsi="Arial Narrow"/>
          <w:snapToGrid w:val="0"/>
          <w:sz w:val="18"/>
          <w:szCs w:val="20"/>
        </w:rPr>
      </w:pPr>
      <w:r w:rsidRPr="00980134">
        <w:rPr>
          <w:rFonts w:ascii="Arial Narrow" w:hAnsi="Arial Narrow"/>
          <w:snapToGrid w:val="0"/>
          <w:sz w:val="18"/>
          <w:szCs w:val="20"/>
          <w:vertAlign w:val="superscript"/>
        </w:rPr>
        <w:t xml:space="preserve">c </w:t>
      </w:r>
      <w:r w:rsidRPr="00980134">
        <w:rPr>
          <w:rFonts w:ascii="Arial Narrow" w:hAnsi="Arial Narrow"/>
          <w:snapToGrid w:val="0"/>
          <w:sz w:val="18"/>
          <w:szCs w:val="20"/>
        </w:rPr>
        <w:t xml:space="preserve">Revised </w:t>
      </w:r>
      <w:proofErr w:type="gramStart"/>
      <w:r w:rsidRPr="00980134">
        <w:rPr>
          <w:rFonts w:ascii="Arial Narrow" w:hAnsi="Arial Narrow"/>
          <w:snapToGrid w:val="0"/>
          <w:sz w:val="18"/>
          <w:szCs w:val="20"/>
        </w:rPr>
        <w:t>by:</w:t>
      </w:r>
      <w:proofErr w:type="gramEnd"/>
      <w:r w:rsidRPr="00980134">
        <w:rPr>
          <w:rFonts w:ascii="Arial Narrow" w:hAnsi="Arial Narrow"/>
          <w:snapToGrid w:val="0"/>
          <w:sz w:val="18"/>
          <w:szCs w:val="20"/>
        </w:rPr>
        <w:t xml:space="preserve"> 1) correcting the number treated patients receiving MBS services; 2) correcting the reference error in estimating the number of patients receiving ECG; 3) removing IV administration cost relating to capecitabine (orally) therapy; and 4) updating the associated MBS fees.</w:t>
      </w:r>
    </w:p>
    <w:p w14:paraId="4A5C1E83" w14:textId="77777777" w:rsidR="007F5BBF" w:rsidRPr="00D9521F" w:rsidRDefault="007F5BBF" w:rsidP="008A159D">
      <w:pPr>
        <w:keepNext/>
        <w:keepLines/>
        <w:widowControl w:val="0"/>
        <w:spacing w:after="120" w:line="269" w:lineRule="auto"/>
        <w:contextualSpacing/>
        <w:rPr>
          <w:rFonts w:ascii="Arial Narrow" w:hAnsi="Arial Narrow"/>
          <w:i/>
          <w:iCs/>
          <w:snapToGrid w:val="0"/>
          <w:sz w:val="18"/>
          <w:szCs w:val="18"/>
        </w:rPr>
      </w:pPr>
      <w:bookmarkStart w:id="103" w:name="_Hlk155337848"/>
      <w:r w:rsidRPr="00D9521F">
        <w:rPr>
          <w:rFonts w:ascii="Arial Narrow" w:hAnsi="Arial Narrow"/>
          <w:i/>
          <w:iCs/>
          <w:snapToGrid w:val="0"/>
          <w:sz w:val="18"/>
          <w:szCs w:val="18"/>
        </w:rPr>
        <w:t>The redacted values correspond to the following ranges:</w:t>
      </w:r>
    </w:p>
    <w:bookmarkEnd w:id="103"/>
    <w:p w14:paraId="13C7E49F" w14:textId="2C8E3934" w:rsidR="007F5BBF" w:rsidRPr="00D9521F" w:rsidRDefault="007F5BBF" w:rsidP="008A159D">
      <w:pPr>
        <w:keepNext/>
        <w:keepLines/>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1</w:t>
      </w:r>
      <w:r w:rsidR="00523A10" w:rsidRPr="00D9521F">
        <w:rPr>
          <w:rFonts w:ascii="Arial Narrow" w:hAnsi="Arial Narrow"/>
          <w:i/>
          <w:iCs/>
          <w:snapToGrid w:val="0"/>
          <w:sz w:val="18"/>
          <w:szCs w:val="18"/>
          <w:vertAlign w:val="superscript"/>
        </w:rPr>
        <w:t xml:space="preserve"> </w:t>
      </w:r>
      <w:r w:rsidRPr="00D9521F">
        <w:rPr>
          <w:rFonts w:ascii="Arial Narrow" w:hAnsi="Arial Narrow"/>
          <w:i/>
          <w:iCs/>
          <w:snapToGrid w:val="0"/>
          <w:sz w:val="18"/>
          <w:szCs w:val="18"/>
        </w:rPr>
        <w:t>500 to &lt; 5,000</w:t>
      </w:r>
    </w:p>
    <w:p w14:paraId="23B05160" w14:textId="3FD6FA91" w:rsidR="001D5BE1" w:rsidRPr="00D9521F" w:rsidRDefault="005640FC" w:rsidP="008A159D">
      <w:pPr>
        <w:keepNext/>
        <w:keepLines/>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 xml:space="preserve">2 </w:t>
      </w:r>
      <w:r w:rsidR="001D5BE1" w:rsidRPr="00D9521F">
        <w:rPr>
          <w:rFonts w:ascii="Arial Narrow" w:hAnsi="Arial Narrow"/>
          <w:i/>
          <w:iCs/>
          <w:snapToGrid w:val="0"/>
          <w:sz w:val="18"/>
          <w:szCs w:val="18"/>
        </w:rPr>
        <w:t>50,000 to &lt; 60,000</w:t>
      </w:r>
    </w:p>
    <w:p w14:paraId="4491EB7B" w14:textId="030CAE64" w:rsidR="005640FC" w:rsidRPr="00D9521F" w:rsidRDefault="005640FC" w:rsidP="008A159D">
      <w:pPr>
        <w:keepNext/>
        <w:keepLines/>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3</w:t>
      </w:r>
      <w:r w:rsidRPr="00D9521F">
        <w:rPr>
          <w:rFonts w:ascii="Arial Narrow" w:hAnsi="Arial Narrow"/>
          <w:i/>
          <w:iCs/>
          <w:snapToGrid w:val="0"/>
          <w:sz w:val="18"/>
          <w:szCs w:val="18"/>
        </w:rPr>
        <w:t xml:space="preserve"> 60,000 to &lt; 70,000</w:t>
      </w:r>
    </w:p>
    <w:p w14:paraId="26715ECE" w14:textId="40F24F20" w:rsidR="005640FC" w:rsidRPr="00D9521F" w:rsidRDefault="005640FC" w:rsidP="005640FC">
      <w:pPr>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4</w:t>
      </w:r>
      <w:r w:rsidR="00D9521F" w:rsidRPr="00D9521F">
        <w:rPr>
          <w:rFonts w:ascii="Arial Narrow" w:hAnsi="Arial Narrow"/>
          <w:i/>
          <w:iCs/>
          <w:snapToGrid w:val="0"/>
          <w:sz w:val="18"/>
          <w:szCs w:val="18"/>
          <w:vertAlign w:val="superscript"/>
        </w:rPr>
        <w:t xml:space="preserve"> </w:t>
      </w:r>
      <w:r w:rsidRPr="00D9521F">
        <w:rPr>
          <w:rFonts w:ascii="Arial Narrow" w:hAnsi="Arial Narrow"/>
          <w:i/>
          <w:iCs/>
          <w:snapToGrid w:val="0"/>
          <w:sz w:val="18"/>
          <w:szCs w:val="18"/>
        </w:rPr>
        <w:t>40,000 to &lt; 50,000</w:t>
      </w:r>
    </w:p>
    <w:p w14:paraId="769A6340" w14:textId="62A233E3" w:rsidR="007F5BBF" w:rsidRPr="00D9521F" w:rsidRDefault="005640FC" w:rsidP="007F5BBF">
      <w:pPr>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5</w:t>
      </w:r>
      <w:r w:rsidRPr="00D9521F">
        <w:rPr>
          <w:rFonts w:ascii="Arial Narrow" w:hAnsi="Arial Narrow"/>
          <w:i/>
          <w:iCs/>
          <w:snapToGrid w:val="0"/>
          <w:sz w:val="18"/>
          <w:szCs w:val="18"/>
        </w:rPr>
        <w:t xml:space="preserve"> </w:t>
      </w:r>
      <w:r w:rsidR="007F5BBF" w:rsidRPr="00D9521F">
        <w:rPr>
          <w:rFonts w:ascii="Arial Narrow" w:hAnsi="Arial Narrow"/>
          <w:i/>
          <w:iCs/>
          <w:snapToGrid w:val="0"/>
          <w:sz w:val="18"/>
          <w:szCs w:val="18"/>
        </w:rPr>
        <w:t>5,000 to &lt; 10,000</w:t>
      </w:r>
    </w:p>
    <w:p w14:paraId="03AD85AD" w14:textId="6387EFB0" w:rsidR="00000DC8" w:rsidRPr="00D9521F" w:rsidRDefault="00000DC8" w:rsidP="007F5BBF">
      <w:pPr>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6</w:t>
      </w:r>
      <w:r w:rsidRPr="00D9521F">
        <w:rPr>
          <w:rFonts w:ascii="Arial Narrow" w:hAnsi="Arial Narrow"/>
          <w:i/>
          <w:iCs/>
          <w:snapToGrid w:val="0"/>
          <w:sz w:val="18"/>
          <w:szCs w:val="18"/>
        </w:rPr>
        <w:t xml:space="preserve"> $</w:t>
      </w:r>
      <w:bookmarkStart w:id="104" w:name="_Hlk155174506"/>
      <w:r w:rsidRPr="00D9521F">
        <w:rPr>
          <w:rFonts w:ascii="Arial Narrow" w:hAnsi="Arial Narrow"/>
          <w:i/>
          <w:iCs/>
          <w:snapToGrid w:val="0"/>
          <w:sz w:val="18"/>
          <w:szCs w:val="18"/>
        </w:rPr>
        <w:t>200 million to &lt; $300 million</w:t>
      </w:r>
      <w:bookmarkEnd w:id="104"/>
    </w:p>
    <w:p w14:paraId="413D0DA7" w14:textId="3F58AAF3" w:rsidR="00ED392D" w:rsidRPr="00D9521F" w:rsidRDefault="00265C28" w:rsidP="00ED392D">
      <w:pPr>
        <w:widowControl w:val="0"/>
        <w:spacing w:after="120" w:line="269" w:lineRule="auto"/>
        <w:contextualSpacing/>
        <w:rPr>
          <w:rFonts w:ascii="Arial Narrow" w:hAnsi="Arial Narrow"/>
          <w:i/>
          <w:iCs/>
          <w:snapToGrid w:val="0"/>
          <w:sz w:val="18"/>
          <w:szCs w:val="18"/>
        </w:rPr>
      </w:pPr>
      <w:r w:rsidRPr="00D9521F">
        <w:rPr>
          <w:rFonts w:ascii="Arial Narrow" w:hAnsi="Arial Narrow"/>
          <w:i/>
          <w:iCs/>
          <w:snapToGrid w:val="0"/>
          <w:sz w:val="18"/>
          <w:szCs w:val="18"/>
          <w:vertAlign w:val="superscript"/>
        </w:rPr>
        <w:t>7</w:t>
      </w:r>
      <w:r w:rsidR="00000DC8" w:rsidRPr="00D9521F">
        <w:rPr>
          <w:rFonts w:ascii="Arial Narrow" w:hAnsi="Arial Narrow"/>
          <w:i/>
          <w:iCs/>
          <w:snapToGrid w:val="0"/>
          <w:sz w:val="18"/>
          <w:szCs w:val="18"/>
        </w:rPr>
        <w:t xml:space="preserve"> Net cost saving</w:t>
      </w:r>
    </w:p>
    <w:p w14:paraId="54710069" w14:textId="424440EC" w:rsidR="00830AE4" w:rsidRPr="00980134" w:rsidRDefault="00000DC8" w:rsidP="00ED392D">
      <w:pPr>
        <w:widowControl w:val="0"/>
        <w:spacing w:after="120" w:line="269" w:lineRule="auto"/>
        <w:contextualSpacing/>
        <w:rPr>
          <w:rFonts w:ascii="Arial Narrow" w:hAnsi="Arial Narrow"/>
          <w:snapToGrid w:val="0"/>
          <w:sz w:val="18"/>
          <w:szCs w:val="20"/>
        </w:rPr>
      </w:pPr>
      <w:r w:rsidRPr="00D9521F">
        <w:rPr>
          <w:rFonts w:ascii="Arial Narrow" w:hAnsi="Arial Narrow"/>
          <w:i/>
          <w:iCs/>
          <w:snapToGrid w:val="0"/>
          <w:sz w:val="18"/>
          <w:szCs w:val="18"/>
          <w:vertAlign w:val="superscript"/>
        </w:rPr>
        <w:t>8</w:t>
      </w:r>
      <w:r w:rsidRPr="00D9521F">
        <w:rPr>
          <w:rFonts w:ascii="Arial Narrow" w:hAnsi="Arial Narrow"/>
          <w:i/>
          <w:iCs/>
          <w:snapToGrid w:val="0"/>
          <w:sz w:val="18"/>
          <w:szCs w:val="18"/>
        </w:rPr>
        <w:t xml:space="preserve"> $0 to &lt; $10 million</w:t>
      </w:r>
    </w:p>
    <w:p w14:paraId="2226CCCE" w14:textId="3028B334" w:rsidR="00A30A62" w:rsidRPr="00980134" w:rsidRDefault="00A30A62" w:rsidP="00A30A62">
      <w:pPr>
        <w:pStyle w:val="3-BodyText"/>
      </w:pPr>
      <w:r w:rsidRPr="00980134">
        <w:t xml:space="preserve">The total </w:t>
      </w:r>
      <w:r w:rsidR="00AD4786" w:rsidRPr="00980134">
        <w:t xml:space="preserve">net </w:t>
      </w:r>
      <w:r w:rsidRPr="00980134">
        <w:t>cost to the PBS/RPBS of listing T-</w:t>
      </w:r>
      <w:proofErr w:type="spellStart"/>
      <w:r w:rsidRPr="00980134">
        <w:t>DXd</w:t>
      </w:r>
      <w:proofErr w:type="spellEnd"/>
      <w:r w:rsidRPr="00980134">
        <w:t xml:space="preserve"> was estimated to be $</w:t>
      </w:r>
      <w:r w:rsidR="00265C28" w:rsidRPr="00830AE4">
        <w:t>200 million to &lt; $300 million</w:t>
      </w:r>
      <w:r w:rsidR="00265C28" w:rsidRPr="00265C28">
        <w:t xml:space="preserve"> </w:t>
      </w:r>
      <w:r w:rsidRPr="00980134">
        <w:t>in Year 1 increasing to $</w:t>
      </w:r>
      <w:r w:rsidR="00265C28" w:rsidRPr="00830AE4">
        <w:t>200 million to &lt; $300 million</w:t>
      </w:r>
      <w:r w:rsidRPr="00980134">
        <w:t xml:space="preserve"> in Year 6</w:t>
      </w:r>
      <w:r w:rsidR="00AD4786" w:rsidRPr="00980134">
        <w:t xml:space="preserve">, with a </w:t>
      </w:r>
      <w:r w:rsidRPr="00980134">
        <w:t xml:space="preserve">total </w:t>
      </w:r>
      <w:r w:rsidR="00AD4786" w:rsidRPr="00980134">
        <w:t xml:space="preserve">net </w:t>
      </w:r>
      <w:r w:rsidRPr="00980134">
        <w:t xml:space="preserve">cost across the first 6 years of listing </w:t>
      </w:r>
      <w:r w:rsidR="00AD4786" w:rsidRPr="00980134">
        <w:t xml:space="preserve">of </w:t>
      </w:r>
      <w:r w:rsidR="00265C28" w:rsidRPr="00265C28">
        <w:t>&gt; $1 billion</w:t>
      </w:r>
      <w:r w:rsidRPr="00980134">
        <w:t xml:space="preserve">. </w:t>
      </w:r>
    </w:p>
    <w:p w14:paraId="06CDEC2B" w14:textId="655978E0" w:rsidR="00A30A62" w:rsidRPr="00980134" w:rsidRDefault="00A30A62" w:rsidP="00AD4786">
      <w:pPr>
        <w:pStyle w:val="3-BodyText"/>
        <w:rPr>
          <w:rFonts w:eastAsia="Calibri"/>
          <w:i/>
          <w:iCs/>
        </w:rPr>
      </w:pPr>
      <w:bookmarkStart w:id="105" w:name="_Ref152322469"/>
      <w:r w:rsidRPr="00980134">
        <w:t>The number of T-</w:t>
      </w:r>
      <w:proofErr w:type="spellStart"/>
      <w:r w:rsidRPr="00980134">
        <w:t>DXd</w:t>
      </w:r>
      <w:proofErr w:type="spellEnd"/>
      <w:r w:rsidRPr="00980134">
        <w:t xml:space="preserve"> vials required per administration was estimated based on the recommended dose of 5.4 mg/kg and an average patient weight of 68.2 kg, account</w:t>
      </w:r>
      <w:r w:rsidR="00980134">
        <w:t>ing</w:t>
      </w:r>
      <w:r w:rsidRPr="00980134">
        <w:t xml:space="preserve"> </w:t>
      </w:r>
      <w:r w:rsidR="00980134">
        <w:t xml:space="preserve">for </w:t>
      </w:r>
      <w:r w:rsidRPr="00980134">
        <w:t>wastage. The treatment duration of T-</w:t>
      </w:r>
      <w:proofErr w:type="spellStart"/>
      <w:r w:rsidRPr="00980134">
        <w:t>DXd</w:t>
      </w:r>
      <w:proofErr w:type="spellEnd"/>
      <w:r w:rsidRPr="00980134">
        <w:t xml:space="preserve"> was derived from the modelled TTD based on the DB-04 trial (10.96 months for HR positive/HER2 low and 7.65 months for HR negative/HER2 low), then applying an RDI of 90%. This approach was inconsistent with the cost-utility analysis, where the RDI was applied to the mean dose per </w:t>
      </w:r>
      <w:r w:rsidRPr="00980134">
        <w:lastRenderedPageBreak/>
        <w:t xml:space="preserve">administration, not to the treatment duration. </w:t>
      </w:r>
      <w:r w:rsidR="00632BA7" w:rsidRPr="00980134">
        <w:t>The PSCR accepted the application of the RDI to the mean dose per administration, rather than the treatment duration</w:t>
      </w:r>
      <w:r w:rsidR="0056102E" w:rsidRPr="00980134">
        <w:t>,</w:t>
      </w:r>
      <w:r w:rsidR="00632BA7" w:rsidRPr="00980134">
        <w:t xml:space="preserve"> for consistency with the economic model</w:t>
      </w:r>
      <w:bookmarkEnd w:id="105"/>
      <w:r w:rsidR="00980134">
        <w:t xml:space="preserve">. </w:t>
      </w:r>
    </w:p>
    <w:p w14:paraId="316C6A5A" w14:textId="0EEEF65D" w:rsidR="00AD4786" w:rsidRPr="00980134" w:rsidRDefault="00827ABF" w:rsidP="00AD4786">
      <w:pPr>
        <w:pStyle w:val="3-BodyText"/>
      </w:pPr>
      <w:r w:rsidRPr="00980134">
        <w:t xml:space="preserve">Drug utilisation data provided by the DUSC Secretariat indicated that </w:t>
      </w:r>
      <w:r w:rsidR="00000DC8" w:rsidRPr="00000DC8">
        <w:t>500 to &lt;</w:t>
      </w:r>
      <w:r w:rsidR="00AD4328">
        <w:t> </w:t>
      </w:r>
      <w:r w:rsidR="00000DC8" w:rsidRPr="00000DC8">
        <w:t>5,000</w:t>
      </w:r>
      <w:r w:rsidRPr="00980134">
        <w:t xml:space="preserve"> patients were initiated on CDK4/6 inhibitors (</w:t>
      </w:r>
      <w:proofErr w:type="spellStart"/>
      <w:r w:rsidRPr="00980134">
        <w:t>palbociclib</w:t>
      </w:r>
      <w:proofErr w:type="spellEnd"/>
      <w:r w:rsidRPr="00980134">
        <w:t xml:space="preserve">, </w:t>
      </w:r>
      <w:proofErr w:type="spellStart"/>
      <w:r w:rsidRPr="00980134">
        <w:t>ribociclib</w:t>
      </w:r>
      <w:proofErr w:type="spellEnd"/>
      <w:r w:rsidRPr="00980134">
        <w:t xml:space="preserve"> and </w:t>
      </w:r>
      <w:proofErr w:type="spellStart"/>
      <w:r w:rsidRPr="00980134">
        <w:t>abemaciclib</w:t>
      </w:r>
      <w:proofErr w:type="spellEnd"/>
      <w:r w:rsidRPr="00980134">
        <w:t>) in the most recent 12 months of data (July 2022 to June 2023). This suggests the number of patients with HR positive/ HER2 low (</w:t>
      </w:r>
      <w:r w:rsidR="00000DC8" w:rsidRPr="00000DC8">
        <w:t>500 to &lt; 5,000</w:t>
      </w:r>
      <w:r w:rsidRPr="00980134">
        <w:t xml:space="preserve"> in Year 1) is overestimated. </w:t>
      </w:r>
    </w:p>
    <w:p w14:paraId="2738C368" w14:textId="358CB8D0" w:rsidR="00AD4786" w:rsidRPr="00980134" w:rsidRDefault="00AD4786" w:rsidP="00AD4786">
      <w:pPr>
        <w:pStyle w:val="3-BodyText"/>
      </w:pPr>
      <w:bookmarkStart w:id="106" w:name="_Ref152082735"/>
      <w:r w:rsidRPr="00980134">
        <w:t>The DUSC considered the estimated use and financial implications of T</w:t>
      </w:r>
      <w:r w:rsidR="00826635" w:rsidRPr="00980134">
        <w:t>-</w:t>
      </w:r>
      <w:proofErr w:type="spellStart"/>
      <w:r w:rsidRPr="00980134">
        <w:t>D</w:t>
      </w:r>
      <w:r w:rsidR="00826635" w:rsidRPr="00980134">
        <w:t>Xd</w:t>
      </w:r>
      <w:proofErr w:type="spellEnd"/>
      <w:r w:rsidRPr="00980134">
        <w:t xml:space="preserve"> to be overestimated primarily due to the uncertainty surrounding the proportion of patients who may be HER2</w:t>
      </w:r>
      <w:r w:rsidR="00826635" w:rsidRPr="00980134">
        <w:t xml:space="preserve"> </w:t>
      </w:r>
      <w:r w:rsidRPr="00980134">
        <w:t>low. DUSC noted that the differences in proportions in the available literature are likely reflective of the heterogeneity of the populations and the unassessed influence of prior treatment on HER2 expression. DUSC noted that there are more robust studies suggesting that the proportion of HER2 low patients within the HR</w:t>
      </w:r>
      <w:r w:rsidR="00694697" w:rsidRPr="00980134">
        <w:t xml:space="preserve"> positive</w:t>
      </w:r>
      <w:r w:rsidRPr="00980134">
        <w:t xml:space="preserve"> subgroup lies within 56-66% and considered Shang et al (2023) to be an outlier at 80.27%. DUSC considered that this is also the case within the HR</w:t>
      </w:r>
      <w:r w:rsidR="0056102E" w:rsidRPr="00980134">
        <w:t xml:space="preserve"> negative </w:t>
      </w:r>
      <w:r w:rsidRPr="00980134">
        <w:t xml:space="preserve">population where 36.6% should be used from </w:t>
      </w:r>
      <w:proofErr w:type="spellStart"/>
      <w:r w:rsidRPr="00980134">
        <w:t>Schettini</w:t>
      </w:r>
      <w:proofErr w:type="spellEnd"/>
      <w:r w:rsidRPr="00980134">
        <w:t xml:space="preserve"> et al. (2021) instead of 60% from Shang et al. (2023)</w:t>
      </w:r>
      <w:bookmarkEnd w:id="106"/>
      <w:r w:rsidR="00980134">
        <w:t xml:space="preserve">. </w:t>
      </w:r>
      <w:r w:rsidR="00F262CA" w:rsidRPr="00980134">
        <w:t>Additionally, the PBAC considered the assumption that 34% of incident patients with HR positive/HER2 low breast cancer would have unresectable or metastatic disease was not supported and was likely to be an overestimate</w:t>
      </w:r>
      <w:r w:rsidR="00980134">
        <w:t xml:space="preserve">. </w:t>
      </w:r>
    </w:p>
    <w:p w14:paraId="66824C7C" w14:textId="050C6439" w:rsidR="00AD4786" w:rsidRPr="00980134" w:rsidRDefault="00826635" w:rsidP="00AD4786">
      <w:pPr>
        <w:pStyle w:val="3-BodyText"/>
      </w:pPr>
      <w:r w:rsidRPr="00980134">
        <w:t xml:space="preserve">The </w:t>
      </w:r>
      <w:r w:rsidR="00AD4786" w:rsidRPr="00980134">
        <w:t xml:space="preserve">DUSC considered that one </w:t>
      </w:r>
      <w:r w:rsidR="004C572D" w:rsidRPr="00980134">
        <w:t xml:space="preserve">approach </w:t>
      </w:r>
      <w:r w:rsidR="00AD4786" w:rsidRPr="00980134">
        <w:t xml:space="preserve">to reduce uncertainty in the population </w:t>
      </w:r>
      <w:r w:rsidR="0021134E" w:rsidRPr="00980134">
        <w:t xml:space="preserve">of </w:t>
      </w:r>
      <w:r w:rsidR="00AD4786" w:rsidRPr="00980134">
        <w:t>HR</w:t>
      </w:r>
      <w:r w:rsidR="00694697" w:rsidRPr="00980134">
        <w:t xml:space="preserve"> positive </w:t>
      </w:r>
      <w:r w:rsidR="00AD4786" w:rsidRPr="00980134">
        <w:t>/</w:t>
      </w:r>
      <w:r w:rsidR="00980134">
        <w:t xml:space="preserve"> </w:t>
      </w:r>
      <w:r w:rsidR="00AD4786" w:rsidRPr="00980134">
        <w:t>HER2</w:t>
      </w:r>
      <w:r w:rsidR="00694697" w:rsidRPr="00980134">
        <w:t xml:space="preserve"> low </w:t>
      </w:r>
      <w:r w:rsidR="00AD4786" w:rsidRPr="00980134">
        <w:t xml:space="preserve">patients would be to use the current CDK4/6 inhibitor market. This method uses the number of </w:t>
      </w:r>
      <w:r w:rsidR="00DA580F" w:rsidRPr="00980134">
        <w:t xml:space="preserve">initiating </w:t>
      </w:r>
      <w:r w:rsidR="00AD4786" w:rsidRPr="00980134">
        <w:t>patients on CDK4/6 inhibitors extracted by the DUSC Secretariat and assumes 2% growth per year. The model also includes a prevalent pool of patients who may be on third line (3L) or later stages in their therapy and was calculated using</w:t>
      </w:r>
      <w:r w:rsidR="002A324B" w:rsidRPr="00980134">
        <w:t xml:space="preserve"> a 5-year exponential curve survival rate of 34%. This results in an </w:t>
      </w:r>
      <w:r w:rsidR="00AD4786" w:rsidRPr="00980134">
        <w:t>estimated 2-year survival rate of 65%</w:t>
      </w:r>
      <w:r w:rsidR="002A324B" w:rsidRPr="00980134">
        <w:t>.</w:t>
      </w:r>
      <w:r w:rsidR="00AD4786" w:rsidRPr="00980134">
        <w:t xml:space="preserve"> DUSC noted that this method when combined with the HR</w:t>
      </w:r>
      <w:r w:rsidR="00BC4CED">
        <w:t xml:space="preserve"> negative </w:t>
      </w:r>
      <w:r w:rsidR="00AD4786" w:rsidRPr="00980134">
        <w:t>/HER2 low estimates calculated in Table 3</w:t>
      </w:r>
      <w:r w:rsidR="00BC4CED">
        <w:t xml:space="preserve"> resulted in </w:t>
      </w:r>
      <w:r w:rsidR="00AD4786" w:rsidRPr="00980134">
        <w:t>a five year cost of $</w:t>
      </w:r>
      <w:r w:rsidR="00275727" w:rsidRPr="00275727">
        <w:t>500 million to &lt; $600 million</w:t>
      </w:r>
      <w:r w:rsidR="00AD4786" w:rsidRPr="00980134">
        <w:t xml:space="preserve"> which is a 45% reduction from the revised epidemiological estimates presented in </w:t>
      </w:r>
      <w:r w:rsidR="007B029D" w:rsidRPr="00980134">
        <w:fldChar w:fldCharType="begin" w:fldLock="1"/>
      </w:r>
      <w:r w:rsidR="007B029D" w:rsidRPr="00980134">
        <w:instrText xml:space="preserve"> REF _Ref152083882 \h </w:instrText>
      </w:r>
      <w:r w:rsidR="007B029D" w:rsidRPr="00980134">
        <w:fldChar w:fldCharType="separate"/>
      </w:r>
      <w:r w:rsidR="00CD1D8E" w:rsidRPr="00980134">
        <w:rPr>
          <w:bCs/>
          <w:szCs w:val="18"/>
        </w:rPr>
        <w:t xml:space="preserve">Table </w:t>
      </w:r>
      <w:r w:rsidR="00CD1D8E">
        <w:rPr>
          <w:bCs/>
          <w:noProof/>
          <w:szCs w:val="18"/>
        </w:rPr>
        <w:t>16</w:t>
      </w:r>
      <w:r w:rsidR="007B029D" w:rsidRPr="00980134">
        <w:fldChar w:fldCharType="end"/>
      </w:r>
      <w:r w:rsidR="00AD4786" w:rsidRPr="00980134">
        <w:t xml:space="preserve">. </w:t>
      </w:r>
      <w:r w:rsidR="00FD7C86" w:rsidRPr="00980134">
        <w:t xml:space="preserve">The Pre-PBAC response considered this methodology underestimates the </w:t>
      </w:r>
      <w:r w:rsidR="004347B2" w:rsidRPr="00980134">
        <w:t>budget impact and argued that the growth rate of 2% per year was inconsistent with the growth rate in services between August 2022 and August 2023 (</w:t>
      </w:r>
      <w:r w:rsidR="00BC4CED">
        <w:t xml:space="preserve">which it stated was </w:t>
      </w:r>
      <w:r w:rsidR="004347B2" w:rsidRPr="00980134">
        <w:t>10.4%). The Pre-PBAC response also argued that the number of rapid progressors on adjuvant therapy (</w:t>
      </w:r>
      <w:r w:rsidR="00000DC8" w:rsidRPr="00000DC8">
        <w:t>&lt; 500</w:t>
      </w:r>
      <w:r w:rsidR="004347B2" w:rsidRPr="00980134">
        <w:t xml:space="preserve"> per year in the DUSC estimates) was unlikely and this should increase to </w:t>
      </w:r>
      <w:r w:rsidR="00000DC8" w:rsidRPr="00000DC8">
        <w:t>&lt;</w:t>
      </w:r>
      <w:r w:rsidR="00BA0D47">
        <w:t> </w:t>
      </w:r>
      <w:r w:rsidR="00000DC8" w:rsidRPr="00000DC8">
        <w:t>500</w:t>
      </w:r>
      <w:r w:rsidR="004347B2" w:rsidRPr="00980134">
        <w:t xml:space="preserve"> in </w:t>
      </w:r>
      <w:r w:rsidR="00141DB3" w:rsidRPr="00980134">
        <w:t>year</w:t>
      </w:r>
      <w:r w:rsidR="00141DB3">
        <w:t> </w:t>
      </w:r>
      <w:r w:rsidR="004347B2" w:rsidRPr="00980134">
        <w:t>6.</w:t>
      </w:r>
    </w:p>
    <w:p w14:paraId="080316D5" w14:textId="5A7575C5" w:rsidR="00AD4786" w:rsidRPr="00980134" w:rsidRDefault="002A6F0C" w:rsidP="00141DB3">
      <w:pPr>
        <w:pStyle w:val="Tabletitle"/>
        <w:keepNext/>
      </w:pPr>
      <w:bookmarkStart w:id="107" w:name="_Ref152083882"/>
      <w:r w:rsidRPr="00980134">
        <w:rPr>
          <w:bCs/>
          <w:szCs w:val="18"/>
        </w:rPr>
        <w:lastRenderedPageBreak/>
        <w:t xml:space="preserve">Table </w:t>
      </w:r>
      <w:r w:rsidRPr="00980134">
        <w:rPr>
          <w:b w:val="0"/>
          <w:bCs/>
          <w:szCs w:val="18"/>
        </w:rPr>
        <w:fldChar w:fldCharType="begin" w:fldLock="1"/>
      </w:r>
      <w:r w:rsidRPr="00980134">
        <w:rPr>
          <w:bCs/>
          <w:szCs w:val="18"/>
        </w:rPr>
        <w:instrText xml:space="preserve"> SEQ Table \* ARABIC </w:instrText>
      </w:r>
      <w:r w:rsidRPr="00980134">
        <w:rPr>
          <w:b w:val="0"/>
          <w:bCs/>
          <w:szCs w:val="18"/>
        </w:rPr>
        <w:fldChar w:fldCharType="separate"/>
      </w:r>
      <w:r w:rsidR="00CD1D8E">
        <w:rPr>
          <w:bCs/>
          <w:noProof/>
          <w:szCs w:val="18"/>
        </w:rPr>
        <w:t>16</w:t>
      </w:r>
      <w:r w:rsidRPr="00980134">
        <w:rPr>
          <w:b w:val="0"/>
          <w:bCs/>
          <w:szCs w:val="18"/>
        </w:rPr>
        <w:fldChar w:fldCharType="end"/>
      </w:r>
      <w:bookmarkEnd w:id="107"/>
      <w:r w:rsidR="00AD4786" w:rsidRPr="00980134">
        <w:t xml:space="preserve">: DUSC </w:t>
      </w:r>
      <w:r w:rsidR="00F262CA" w:rsidRPr="00980134">
        <w:t xml:space="preserve">revised </w:t>
      </w:r>
      <w:r w:rsidR="00AD4786" w:rsidRPr="00980134">
        <w:t>estimated use and financial implications using CDK4/6 inhibitor data</w:t>
      </w:r>
      <w:r w:rsidR="00130FFB" w:rsidRPr="00980134">
        <w:t xml:space="preserve"> for the HR positive/ HER2 low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1134"/>
        <w:gridCol w:w="1134"/>
        <w:gridCol w:w="1038"/>
        <w:gridCol w:w="1102"/>
        <w:gridCol w:w="1102"/>
        <w:gridCol w:w="1102"/>
      </w:tblGrid>
      <w:tr w:rsidR="003B2ED8" w:rsidRPr="00980134" w14:paraId="6DAC6F11" w14:textId="77777777" w:rsidTr="003B2ED8">
        <w:trPr>
          <w:trHeight w:val="315"/>
        </w:trPr>
        <w:tc>
          <w:tcPr>
            <w:tcW w:w="1838" w:type="dxa"/>
            <w:shd w:val="clear" w:color="auto" w:fill="auto"/>
            <w:noWrap/>
            <w:tcMar>
              <w:left w:w="57" w:type="dxa"/>
              <w:right w:w="57" w:type="dxa"/>
            </w:tcMar>
            <w:vAlign w:val="bottom"/>
            <w:hideMark/>
          </w:tcPr>
          <w:p w14:paraId="798F92E3" w14:textId="77777777" w:rsidR="00AD4786" w:rsidRPr="00980134" w:rsidRDefault="00AD4786" w:rsidP="00141DB3">
            <w:pPr>
              <w:pStyle w:val="COMTabletext"/>
              <w:rPr>
                <w:b/>
                <w:bCs w:val="0"/>
              </w:rPr>
            </w:pPr>
            <w:r w:rsidRPr="00980134">
              <w:rPr>
                <w:b/>
                <w:bCs w:val="0"/>
              </w:rPr>
              <w:t> </w:t>
            </w:r>
          </w:p>
        </w:tc>
        <w:tc>
          <w:tcPr>
            <w:tcW w:w="567" w:type="dxa"/>
            <w:shd w:val="clear" w:color="auto" w:fill="auto"/>
            <w:noWrap/>
            <w:tcMar>
              <w:left w:w="28" w:type="dxa"/>
              <w:right w:w="28" w:type="dxa"/>
            </w:tcMar>
            <w:vAlign w:val="bottom"/>
            <w:hideMark/>
          </w:tcPr>
          <w:p w14:paraId="1403006F" w14:textId="77777777" w:rsidR="00AD4786" w:rsidRPr="00980134" w:rsidRDefault="00AD4786" w:rsidP="00141DB3">
            <w:pPr>
              <w:pStyle w:val="COMTabletext"/>
              <w:rPr>
                <w:b/>
                <w:bCs w:val="0"/>
              </w:rPr>
            </w:pPr>
            <w:r w:rsidRPr="00980134">
              <w:rPr>
                <w:b/>
                <w:bCs w:val="0"/>
              </w:rPr>
              <w:t> </w:t>
            </w:r>
          </w:p>
        </w:tc>
        <w:tc>
          <w:tcPr>
            <w:tcW w:w="1134" w:type="dxa"/>
            <w:shd w:val="clear" w:color="auto" w:fill="auto"/>
            <w:noWrap/>
            <w:tcMar>
              <w:left w:w="57" w:type="dxa"/>
              <w:right w:w="57" w:type="dxa"/>
            </w:tcMar>
            <w:vAlign w:val="bottom"/>
            <w:hideMark/>
          </w:tcPr>
          <w:p w14:paraId="52346070" w14:textId="77777777" w:rsidR="00AD4786" w:rsidRPr="00980134" w:rsidRDefault="00AD4786" w:rsidP="00141DB3">
            <w:pPr>
              <w:pStyle w:val="COMTabletext"/>
              <w:jc w:val="center"/>
              <w:rPr>
                <w:b/>
                <w:bCs w:val="0"/>
              </w:rPr>
            </w:pPr>
            <w:r w:rsidRPr="00980134">
              <w:rPr>
                <w:b/>
                <w:bCs w:val="0"/>
              </w:rPr>
              <w:t>Year 1</w:t>
            </w:r>
          </w:p>
        </w:tc>
        <w:tc>
          <w:tcPr>
            <w:tcW w:w="1134" w:type="dxa"/>
            <w:shd w:val="clear" w:color="auto" w:fill="auto"/>
            <w:noWrap/>
            <w:tcMar>
              <w:left w:w="57" w:type="dxa"/>
              <w:right w:w="57" w:type="dxa"/>
            </w:tcMar>
            <w:vAlign w:val="bottom"/>
            <w:hideMark/>
          </w:tcPr>
          <w:p w14:paraId="3E6498C8" w14:textId="77777777" w:rsidR="00AD4786" w:rsidRPr="00980134" w:rsidRDefault="00AD4786" w:rsidP="00141DB3">
            <w:pPr>
              <w:pStyle w:val="COMTabletext"/>
              <w:jc w:val="center"/>
              <w:rPr>
                <w:b/>
                <w:bCs w:val="0"/>
              </w:rPr>
            </w:pPr>
            <w:r w:rsidRPr="00980134">
              <w:rPr>
                <w:b/>
                <w:bCs w:val="0"/>
              </w:rPr>
              <w:t>Year 2</w:t>
            </w:r>
          </w:p>
        </w:tc>
        <w:tc>
          <w:tcPr>
            <w:tcW w:w="1038" w:type="dxa"/>
            <w:shd w:val="clear" w:color="auto" w:fill="auto"/>
            <w:noWrap/>
            <w:tcMar>
              <w:left w:w="57" w:type="dxa"/>
              <w:right w:w="57" w:type="dxa"/>
            </w:tcMar>
            <w:vAlign w:val="bottom"/>
            <w:hideMark/>
          </w:tcPr>
          <w:p w14:paraId="3446004E" w14:textId="77777777" w:rsidR="00AD4786" w:rsidRPr="00980134" w:rsidRDefault="00AD4786" w:rsidP="00141DB3">
            <w:pPr>
              <w:pStyle w:val="COMTabletext"/>
              <w:jc w:val="center"/>
              <w:rPr>
                <w:b/>
                <w:bCs w:val="0"/>
              </w:rPr>
            </w:pPr>
            <w:r w:rsidRPr="00980134">
              <w:rPr>
                <w:b/>
                <w:bCs w:val="0"/>
              </w:rPr>
              <w:t>Year 3</w:t>
            </w:r>
          </w:p>
        </w:tc>
        <w:tc>
          <w:tcPr>
            <w:tcW w:w="1102" w:type="dxa"/>
            <w:shd w:val="clear" w:color="auto" w:fill="auto"/>
            <w:noWrap/>
            <w:tcMar>
              <w:left w:w="57" w:type="dxa"/>
              <w:right w:w="57" w:type="dxa"/>
            </w:tcMar>
            <w:vAlign w:val="bottom"/>
            <w:hideMark/>
          </w:tcPr>
          <w:p w14:paraId="7C868D65" w14:textId="77777777" w:rsidR="00AD4786" w:rsidRPr="00980134" w:rsidRDefault="00AD4786" w:rsidP="00141DB3">
            <w:pPr>
              <w:pStyle w:val="COMTabletext"/>
              <w:jc w:val="center"/>
              <w:rPr>
                <w:b/>
                <w:bCs w:val="0"/>
              </w:rPr>
            </w:pPr>
            <w:r w:rsidRPr="00980134">
              <w:rPr>
                <w:b/>
                <w:bCs w:val="0"/>
              </w:rPr>
              <w:t>Year 4</w:t>
            </w:r>
          </w:p>
        </w:tc>
        <w:tc>
          <w:tcPr>
            <w:tcW w:w="1102" w:type="dxa"/>
            <w:shd w:val="clear" w:color="auto" w:fill="auto"/>
            <w:noWrap/>
            <w:tcMar>
              <w:left w:w="57" w:type="dxa"/>
              <w:right w:w="57" w:type="dxa"/>
            </w:tcMar>
            <w:vAlign w:val="bottom"/>
            <w:hideMark/>
          </w:tcPr>
          <w:p w14:paraId="50EB4C75" w14:textId="77777777" w:rsidR="00AD4786" w:rsidRPr="00980134" w:rsidRDefault="00AD4786" w:rsidP="00141DB3">
            <w:pPr>
              <w:pStyle w:val="COMTabletext"/>
              <w:jc w:val="center"/>
              <w:rPr>
                <w:b/>
                <w:bCs w:val="0"/>
              </w:rPr>
            </w:pPr>
            <w:r w:rsidRPr="00980134">
              <w:rPr>
                <w:b/>
                <w:bCs w:val="0"/>
              </w:rPr>
              <w:t>Year 5</w:t>
            </w:r>
          </w:p>
        </w:tc>
        <w:tc>
          <w:tcPr>
            <w:tcW w:w="1102" w:type="dxa"/>
            <w:shd w:val="clear" w:color="auto" w:fill="auto"/>
            <w:noWrap/>
            <w:tcMar>
              <w:left w:w="57" w:type="dxa"/>
              <w:right w:w="57" w:type="dxa"/>
            </w:tcMar>
            <w:vAlign w:val="bottom"/>
            <w:hideMark/>
          </w:tcPr>
          <w:p w14:paraId="6DE10C94" w14:textId="77777777" w:rsidR="00AD4786" w:rsidRPr="00980134" w:rsidRDefault="00AD4786" w:rsidP="00141DB3">
            <w:pPr>
              <w:pStyle w:val="COMTabletext"/>
              <w:jc w:val="center"/>
              <w:rPr>
                <w:b/>
                <w:bCs w:val="0"/>
              </w:rPr>
            </w:pPr>
            <w:r w:rsidRPr="00980134">
              <w:rPr>
                <w:b/>
                <w:bCs w:val="0"/>
              </w:rPr>
              <w:t>Year 6</w:t>
            </w:r>
          </w:p>
        </w:tc>
      </w:tr>
      <w:tr w:rsidR="003B2ED8" w:rsidRPr="00980134" w14:paraId="66323E33" w14:textId="77777777" w:rsidTr="003B2ED8">
        <w:trPr>
          <w:trHeight w:val="300"/>
        </w:trPr>
        <w:tc>
          <w:tcPr>
            <w:tcW w:w="1838" w:type="dxa"/>
            <w:shd w:val="clear" w:color="auto" w:fill="auto"/>
            <w:noWrap/>
            <w:tcMar>
              <w:left w:w="57" w:type="dxa"/>
              <w:right w:w="57" w:type="dxa"/>
            </w:tcMar>
            <w:vAlign w:val="bottom"/>
            <w:hideMark/>
          </w:tcPr>
          <w:p w14:paraId="0B2DCF32" w14:textId="77777777" w:rsidR="00AD4786" w:rsidRPr="00980134" w:rsidRDefault="00AD4786" w:rsidP="00141DB3">
            <w:pPr>
              <w:pStyle w:val="COMTabletext"/>
            </w:pPr>
            <w:r w:rsidRPr="00980134">
              <w:t>Initiating patient count of CDK4/6 inhibitor patients</w:t>
            </w:r>
          </w:p>
        </w:tc>
        <w:tc>
          <w:tcPr>
            <w:tcW w:w="567" w:type="dxa"/>
            <w:shd w:val="clear" w:color="auto" w:fill="auto"/>
            <w:noWrap/>
            <w:tcMar>
              <w:left w:w="28" w:type="dxa"/>
              <w:right w:w="28" w:type="dxa"/>
            </w:tcMar>
            <w:vAlign w:val="bottom"/>
            <w:hideMark/>
          </w:tcPr>
          <w:p w14:paraId="777279EB" w14:textId="77777777" w:rsidR="00AD4786" w:rsidRPr="00980134" w:rsidRDefault="00AD4786" w:rsidP="00141DB3">
            <w:pPr>
              <w:pStyle w:val="COMTabletext"/>
              <w:jc w:val="center"/>
            </w:pPr>
          </w:p>
        </w:tc>
        <w:tc>
          <w:tcPr>
            <w:tcW w:w="1134" w:type="dxa"/>
            <w:shd w:val="clear" w:color="auto" w:fill="auto"/>
            <w:noWrap/>
            <w:tcMar>
              <w:left w:w="57" w:type="dxa"/>
              <w:right w:w="57" w:type="dxa"/>
            </w:tcMar>
            <w:vAlign w:val="bottom"/>
            <w:hideMark/>
          </w:tcPr>
          <w:p w14:paraId="7DBC1485" w14:textId="60C6F981"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2"/>
                <w14:textFill>
                  <w14:solidFill>
                    <w14:srgbClr w14:val="000000">
                      <w14:alpha w14:val="100000"/>
                    </w14:srgbClr>
                  </w14:solidFill>
                </w14:textFill>
              </w:rPr>
              <w:t xml:space="preserve">　</w:t>
            </w:r>
            <w:r w:rsidRPr="00640308">
              <w:rPr>
                <w:color w:val="000000"/>
                <w:w w:val="20"/>
                <w:shd w:val="solid" w:color="000000" w:fill="000000"/>
                <w:fitText w:val="90" w:id="-1032109812"/>
                <w14:textFill>
                  <w14:solidFill>
                    <w14:srgbClr w14:val="000000">
                      <w14:alpha w14:val="100000"/>
                    </w14:srgbClr>
                  </w14:solidFill>
                </w14:textFill>
              </w:rPr>
              <w:t>|</w:t>
            </w:r>
            <w:r w:rsidRPr="00640308">
              <w:rPr>
                <w:rFonts w:hint="eastAsia"/>
                <w:color w:val="000000"/>
                <w:spacing w:val="3"/>
                <w:w w:val="20"/>
                <w:shd w:val="solid" w:color="000000" w:fill="000000"/>
                <w:fitText w:val="90" w:id="-1032109812"/>
                <w14:textFill>
                  <w14:solidFill>
                    <w14:srgbClr w14:val="000000">
                      <w14:alpha w14:val="100000"/>
                    </w14:srgbClr>
                  </w14:solidFill>
                </w14:textFill>
              </w:rPr>
              <w:t xml:space="preserve">　</w:t>
            </w:r>
            <w:r w:rsidR="00823E12">
              <w:rPr>
                <w:vertAlign w:val="superscript"/>
              </w:rPr>
              <w:t>1</w:t>
            </w:r>
          </w:p>
        </w:tc>
        <w:tc>
          <w:tcPr>
            <w:tcW w:w="1134" w:type="dxa"/>
            <w:shd w:val="clear" w:color="auto" w:fill="auto"/>
            <w:noWrap/>
            <w:tcMar>
              <w:left w:w="57" w:type="dxa"/>
              <w:right w:w="57" w:type="dxa"/>
            </w:tcMar>
            <w:vAlign w:val="bottom"/>
            <w:hideMark/>
          </w:tcPr>
          <w:p w14:paraId="336C1EBD" w14:textId="73146718"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1"/>
                <w14:textFill>
                  <w14:solidFill>
                    <w14:srgbClr w14:val="000000">
                      <w14:alpha w14:val="100000"/>
                    </w14:srgbClr>
                  </w14:solidFill>
                </w14:textFill>
              </w:rPr>
              <w:t xml:space="preserve">　</w:t>
            </w:r>
            <w:r w:rsidRPr="00640308">
              <w:rPr>
                <w:color w:val="000000"/>
                <w:w w:val="20"/>
                <w:shd w:val="solid" w:color="000000" w:fill="000000"/>
                <w:fitText w:val="90" w:id="-1032109811"/>
                <w14:textFill>
                  <w14:solidFill>
                    <w14:srgbClr w14:val="000000">
                      <w14:alpha w14:val="100000"/>
                    </w14:srgbClr>
                  </w14:solidFill>
                </w14:textFill>
              </w:rPr>
              <w:t>|</w:t>
            </w:r>
            <w:r w:rsidRPr="00640308">
              <w:rPr>
                <w:rFonts w:hint="eastAsia"/>
                <w:color w:val="000000"/>
                <w:spacing w:val="3"/>
                <w:w w:val="20"/>
                <w:shd w:val="solid" w:color="000000" w:fill="000000"/>
                <w:fitText w:val="90" w:id="-1032109811"/>
                <w14:textFill>
                  <w14:solidFill>
                    <w14:srgbClr w14:val="000000">
                      <w14:alpha w14:val="100000"/>
                    </w14:srgbClr>
                  </w14:solidFill>
                </w14:textFill>
              </w:rPr>
              <w:t xml:space="preserve">　</w:t>
            </w:r>
            <w:r w:rsidR="00823E12">
              <w:rPr>
                <w:vertAlign w:val="superscript"/>
              </w:rPr>
              <w:t>1</w:t>
            </w:r>
          </w:p>
        </w:tc>
        <w:tc>
          <w:tcPr>
            <w:tcW w:w="1038" w:type="dxa"/>
            <w:shd w:val="clear" w:color="auto" w:fill="auto"/>
            <w:noWrap/>
            <w:tcMar>
              <w:left w:w="57" w:type="dxa"/>
              <w:right w:w="57" w:type="dxa"/>
            </w:tcMar>
            <w:vAlign w:val="bottom"/>
            <w:hideMark/>
          </w:tcPr>
          <w:p w14:paraId="55E40C34" w14:textId="6D70DA82" w:rsidR="00AD4786" w:rsidRPr="00A760D0" w:rsidRDefault="00640308" w:rsidP="00141DB3">
            <w:pPr>
              <w:pStyle w:val="COMTabletext"/>
              <w:jc w:val="center"/>
              <w:rPr>
                <w:highlight w:val="darkGray"/>
              </w:rPr>
            </w:pPr>
            <w:r w:rsidRPr="00640308">
              <w:t xml:space="preserve"> </w:t>
            </w:r>
            <w:r w:rsidRPr="00640308">
              <w:rPr>
                <w:rFonts w:hint="eastAsia"/>
                <w:color w:val="000000"/>
                <w:w w:val="29"/>
                <w:shd w:val="solid" w:color="000000" w:fill="000000"/>
                <w:fitText w:val="130" w:id="-1032109810"/>
                <w14:textFill>
                  <w14:solidFill>
                    <w14:srgbClr w14:val="000000">
                      <w14:alpha w14:val="100000"/>
                    </w14:srgbClr>
                  </w14:solidFill>
                </w14:textFill>
              </w:rPr>
              <w:t xml:space="preserve">　</w:t>
            </w:r>
            <w:r w:rsidRPr="00640308">
              <w:rPr>
                <w:color w:val="000000"/>
                <w:w w:val="29"/>
                <w:shd w:val="solid" w:color="000000" w:fill="000000"/>
                <w:fitText w:val="130" w:id="-1032109810"/>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0"/>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28B51509" w14:textId="6D8F8D45"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09"/>
                <w14:textFill>
                  <w14:solidFill>
                    <w14:srgbClr w14:val="000000">
                      <w14:alpha w14:val="100000"/>
                    </w14:srgbClr>
                  </w14:solidFill>
                </w14:textFill>
              </w:rPr>
              <w:t xml:space="preserve">　</w:t>
            </w:r>
            <w:r w:rsidRPr="00640308">
              <w:rPr>
                <w:color w:val="000000"/>
                <w:w w:val="24"/>
                <w:shd w:val="solid" w:color="000000" w:fill="000000"/>
                <w:fitText w:val="110" w:id="-1032109809"/>
                <w14:textFill>
                  <w14:solidFill>
                    <w14:srgbClr w14:val="000000">
                      <w14:alpha w14:val="100000"/>
                    </w14:srgbClr>
                  </w14:solidFill>
                </w14:textFill>
              </w:rPr>
              <w:t>|</w:t>
            </w:r>
            <w:r w:rsidRPr="00640308">
              <w:rPr>
                <w:rFonts w:hint="eastAsia"/>
                <w:color w:val="000000"/>
                <w:spacing w:val="6"/>
                <w:w w:val="24"/>
                <w:shd w:val="solid" w:color="000000" w:fill="000000"/>
                <w:fitText w:val="110" w:id="-1032109809"/>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45F4D48F" w14:textId="43AAB143"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08"/>
                <w14:textFill>
                  <w14:solidFill>
                    <w14:srgbClr w14:val="000000">
                      <w14:alpha w14:val="100000"/>
                    </w14:srgbClr>
                  </w14:solidFill>
                </w14:textFill>
              </w:rPr>
              <w:t xml:space="preserve">　</w:t>
            </w:r>
            <w:r w:rsidRPr="00640308">
              <w:rPr>
                <w:color w:val="000000"/>
                <w:w w:val="24"/>
                <w:shd w:val="solid" w:color="000000" w:fill="000000"/>
                <w:fitText w:val="110" w:id="-1032109808"/>
                <w14:textFill>
                  <w14:solidFill>
                    <w14:srgbClr w14:val="000000">
                      <w14:alpha w14:val="100000"/>
                    </w14:srgbClr>
                  </w14:solidFill>
                </w14:textFill>
              </w:rPr>
              <w:t>|</w:t>
            </w:r>
            <w:r w:rsidRPr="00640308">
              <w:rPr>
                <w:rFonts w:hint="eastAsia"/>
                <w:color w:val="000000"/>
                <w:spacing w:val="6"/>
                <w:w w:val="24"/>
                <w:shd w:val="solid" w:color="000000" w:fill="000000"/>
                <w:fitText w:val="110" w:id="-1032109808"/>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5C8B4711" w14:textId="1E067791"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24"/>
                <w14:textFill>
                  <w14:solidFill>
                    <w14:srgbClr w14:val="000000">
                      <w14:alpha w14:val="100000"/>
                    </w14:srgbClr>
                  </w14:solidFill>
                </w14:textFill>
              </w:rPr>
              <w:t xml:space="preserve">　</w:t>
            </w:r>
            <w:r w:rsidRPr="00640308">
              <w:rPr>
                <w:color w:val="000000"/>
                <w:w w:val="24"/>
                <w:shd w:val="solid" w:color="000000" w:fill="000000"/>
                <w:fitText w:val="110" w:id="-1032109824"/>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4"/>
                <w14:textFill>
                  <w14:solidFill>
                    <w14:srgbClr w14:val="000000">
                      <w14:alpha w14:val="100000"/>
                    </w14:srgbClr>
                  </w14:solidFill>
                </w14:textFill>
              </w:rPr>
              <w:t xml:space="preserve">　</w:t>
            </w:r>
            <w:r w:rsidR="00823E12">
              <w:rPr>
                <w:vertAlign w:val="superscript"/>
              </w:rPr>
              <w:t>1</w:t>
            </w:r>
          </w:p>
        </w:tc>
      </w:tr>
      <w:tr w:rsidR="003B2ED8" w:rsidRPr="00980134" w14:paraId="3949A131" w14:textId="77777777" w:rsidTr="003B2ED8">
        <w:trPr>
          <w:trHeight w:val="300"/>
        </w:trPr>
        <w:tc>
          <w:tcPr>
            <w:tcW w:w="1838" w:type="dxa"/>
            <w:shd w:val="clear" w:color="auto" w:fill="auto"/>
            <w:noWrap/>
            <w:tcMar>
              <w:left w:w="57" w:type="dxa"/>
              <w:right w:w="57" w:type="dxa"/>
            </w:tcMar>
            <w:vAlign w:val="bottom"/>
            <w:hideMark/>
          </w:tcPr>
          <w:p w14:paraId="3089215D" w14:textId="77AF5F48" w:rsidR="00AD4786" w:rsidRPr="00980134" w:rsidRDefault="00AD4786" w:rsidP="00141DB3">
            <w:pPr>
              <w:pStyle w:val="COMTabletext"/>
            </w:pPr>
            <w:r w:rsidRPr="00980134">
              <w:t>Proportion of HER2</w:t>
            </w:r>
            <w:r w:rsidR="00F262CA" w:rsidRPr="00980134">
              <w:t xml:space="preserve"> </w:t>
            </w:r>
            <w:r w:rsidRPr="00980134">
              <w:t>low in HR</w:t>
            </w:r>
            <w:r w:rsidR="00F262CA" w:rsidRPr="00980134">
              <w:t xml:space="preserve"> pos</w:t>
            </w:r>
            <w:r w:rsidRPr="00980134">
              <w:t xml:space="preserve"> patients</w:t>
            </w:r>
          </w:p>
        </w:tc>
        <w:tc>
          <w:tcPr>
            <w:tcW w:w="567" w:type="dxa"/>
            <w:shd w:val="clear" w:color="auto" w:fill="auto"/>
            <w:noWrap/>
            <w:tcMar>
              <w:left w:w="28" w:type="dxa"/>
              <w:right w:w="28" w:type="dxa"/>
            </w:tcMar>
            <w:vAlign w:val="bottom"/>
            <w:hideMark/>
          </w:tcPr>
          <w:p w14:paraId="17D1C9C6" w14:textId="77777777" w:rsidR="00AD4786" w:rsidRPr="00980134" w:rsidRDefault="00AD4786" w:rsidP="00141DB3">
            <w:pPr>
              <w:pStyle w:val="COMTabletext"/>
              <w:jc w:val="center"/>
            </w:pPr>
            <w:r w:rsidRPr="00980134">
              <w:t>61%</w:t>
            </w:r>
          </w:p>
        </w:tc>
        <w:tc>
          <w:tcPr>
            <w:tcW w:w="1134" w:type="dxa"/>
            <w:shd w:val="clear" w:color="auto" w:fill="auto"/>
            <w:noWrap/>
            <w:tcMar>
              <w:left w:w="57" w:type="dxa"/>
              <w:right w:w="57" w:type="dxa"/>
            </w:tcMar>
            <w:vAlign w:val="bottom"/>
            <w:hideMark/>
          </w:tcPr>
          <w:p w14:paraId="6636745D" w14:textId="37CB4B33" w:rsidR="00AD4786" w:rsidRPr="000C7D44"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23"/>
                <w14:textFill>
                  <w14:solidFill>
                    <w14:srgbClr w14:val="000000">
                      <w14:alpha w14:val="100000"/>
                    </w14:srgbClr>
                  </w14:solidFill>
                </w14:textFill>
              </w:rPr>
              <w:t xml:space="preserve">　</w:t>
            </w:r>
            <w:r w:rsidRPr="00640308">
              <w:rPr>
                <w:color w:val="000000"/>
                <w:w w:val="20"/>
                <w:shd w:val="solid" w:color="000000" w:fill="000000"/>
                <w:fitText w:val="90" w:id="-1032109823"/>
                <w14:textFill>
                  <w14:solidFill>
                    <w14:srgbClr w14:val="000000">
                      <w14:alpha w14:val="100000"/>
                    </w14:srgbClr>
                  </w14:solidFill>
                </w14:textFill>
              </w:rPr>
              <w:t>|</w:t>
            </w:r>
            <w:r w:rsidRPr="00640308">
              <w:rPr>
                <w:rFonts w:hint="eastAsia"/>
                <w:color w:val="000000"/>
                <w:spacing w:val="3"/>
                <w:w w:val="20"/>
                <w:shd w:val="solid" w:color="000000" w:fill="000000"/>
                <w:fitText w:val="90" w:id="-1032109823"/>
                <w14:textFill>
                  <w14:solidFill>
                    <w14:srgbClr w14:val="000000">
                      <w14:alpha w14:val="100000"/>
                    </w14:srgbClr>
                  </w14:solidFill>
                </w14:textFill>
              </w:rPr>
              <w:t xml:space="preserve">　</w:t>
            </w:r>
            <w:r w:rsidR="00823E12">
              <w:rPr>
                <w:vertAlign w:val="superscript"/>
              </w:rPr>
              <w:t>1</w:t>
            </w:r>
          </w:p>
        </w:tc>
        <w:tc>
          <w:tcPr>
            <w:tcW w:w="1134" w:type="dxa"/>
            <w:shd w:val="clear" w:color="auto" w:fill="auto"/>
            <w:noWrap/>
            <w:tcMar>
              <w:left w:w="57" w:type="dxa"/>
              <w:right w:w="57" w:type="dxa"/>
            </w:tcMar>
            <w:vAlign w:val="bottom"/>
            <w:hideMark/>
          </w:tcPr>
          <w:p w14:paraId="521AFFE8" w14:textId="5C0EAAFA" w:rsidR="00AD4786" w:rsidRPr="000C7D44"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22"/>
                <w14:textFill>
                  <w14:solidFill>
                    <w14:srgbClr w14:val="000000">
                      <w14:alpha w14:val="100000"/>
                    </w14:srgbClr>
                  </w14:solidFill>
                </w14:textFill>
              </w:rPr>
              <w:t xml:space="preserve">　</w:t>
            </w:r>
            <w:r w:rsidRPr="00640308">
              <w:rPr>
                <w:color w:val="000000"/>
                <w:w w:val="20"/>
                <w:shd w:val="solid" w:color="000000" w:fill="000000"/>
                <w:fitText w:val="90" w:id="-1032109822"/>
                <w14:textFill>
                  <w14:solidFill>
                    <w14:srgbClr w14:val="000000">
                      <w14:alpha w14:val="100000"/>
                    </w14:srgbClr>
                  </w14:solidFill>
                </w14:textFill>
              </w:rPr>
              <w:t>|</w:t>
            </w:r>
            <w:r w:rsidRPr="00640308">
              <w:rPr>
                <w:rFonts w:hint="eastAsia"/>
                <w:color w:val="000000"/>
                <w:spacing w:val="3"/>
                <w:w w:val="20"/>
                <w:shd w:val="solid" w:color="000000" w:fill="000000"/>
                <w:fitText w:val="90" w:id="-1032109822"/>
                <w14:textFill>
                  <w14:solidFill>
                    <w14:srgbClr w14:val="000000">
                      <w14:alpha w14:val="100000"/>
                    </w14:srgbClr>
                  </w14:solidFill>
                </w14:textFill>
              </w:rPr>
              <w:t xml:space="preserve">　</w:t>
            </w:r>
            <w:r w:rsidR="00823E12">
              <w:rPr>
                <w:vertAlign w:val="superscript"/>
              </w:rPr>
              <w:t>1</w:t>
            </w:r>
          </w:p>
        </w:tc>
        <w:tc>
          <w:tcPr>
            <w:tcW w:w="1038" w:type="dxa"/>
            <w:shd w:val="clear" w:color="auto" w:fill="auto"/>
            <w:noWrap/>
            <w:tcMar>
              <w:left w:w="57" w:type="dxa"/>
              <w:right w:w="57" w:type="dxa"/>
            </w:tcMar>
            <w:vAlign w:val="bottom"/>
            <w:hideMark/>
          </w:tcPr>
          <w:p w14:paraId="70D8453D" w14:textId="421379CF" w:rsidR="00AD4786" w:rsidRPr="000C7D44" w:rsidRDefault="00640308" w:rsidP="00141DB3">
            <w:pPr>
              <w:pStyle w:val="COMTabletext"/>
              <w:jc w:val="center"/>
              <w:rPr>
                <w:highlight w:val="darkGray"/>
              </w:rPr>
            </w:pPr>
            <w:r w:rsidRPr="00640308">
              <w:t xml:space="preserve"> </w:t>
            </w:r>
            <w:r w:rsidRPr="00640308">
              <w:rPr>
                <w:rFonts w:hint="eastAsia"/>
                <w:color w:val="000000"/>
                <w:w w:val="29"/>
                <w:shd w:val="solid" w:color="000000" w:fill="000000"/>
                <w:fitText w:val="130" w:id="-1032109821"/>
                <w14:textFill>
                  <w14:solidFill>
                    <w14:srgbClr w14:val="000000">
                      <w14:alpha w14:val="100000"/>
                    </w14:srgbClr>
                  </w14:solidFill>
                </w14:textFill>
              </w:rPr>
              <w:t xml:space="preserve">　</w:t>
            </w:r>
            <w:r w:rsidRPr="00640308">
              <w:rPr>
                <w:color w:val="000000"/>
                <w:w w:val="29"/>
                <w:shd w:val="solid" w:color="000000" w:fill="000000"/>
                <w:fitText w:val="130" w:id="-1032109821"/>
                <w14:textFill>
                  <w14:solidFill>
                    <w14:srgbClr w14:val="000000">
                      <w14:alpha w14:val="100000"/>
                    </w14:srgbClr>
                  </w14:solidFill>
                </w14:textFill>
              </w:rPr>
              <w:t>|</w:t>
            </w:r>
            <w:r w:rsidRPr="00640308">
              <w:rPr>
                <w:rFonts w:hint="eastAsia"/>
                <w:color w:val="000000"/>
                <w:spacing w:val="2"/>
                <w:w w:val="29"/>
                <w:shd w:val="solid" w:color="000000" w:fill="000000"/>
                <w:fitText w:val="130" w:id="-1032109821"/>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33E52CD2" w14:textId="37016975" w:rsidR="00AD4786" w:rsidRPr="000C7D44"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20"/>
                <w14:textFill>
                  <w14:solidFill>
                    <w14:srgbClr w14:val="000000">
                      <w14:alpha w14:val="100000"/>
                    </w14:srgbClr>
                  </w14:solidFill>
                </w14:textFill>
              </w:rPr>
              <w:t xml:space="preserve">　</w:t>
            </w:r>
            <w:r w:rsidRPr="00640308">
              <w:rPr>
                <w:color w:val="000000"/>
                <w:w w:val="24"/>
                <w:shd w:val="solid" w:color="000000" w:fill="000000"/>
                <w:fitText w:val="110" w:id="-1032109820"/>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0"/>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79F55146" w14:textId="319FCC8A" w:rsidR="00AD4786" w:rsidRPr="000C7D44"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9"/>
                <w14:textFill>
                  <w14:solidFill>
                    <w14:srgbClr w14:val="000000">
                      <w14:alpha w14:val="100000"/>
                    </w14:srgbClr>
                  </w14:solidFill>
                </w14:textFill>
              </w:rPr>
              <w:t xml:space="preserve">　</w:t>
            </w:r>
            <w:r w:rsidRPr="00640308">
              <w:rPr>
                <w:color w:val="000000"/>
                <w:w w:val="24"/>
                <w:shd w:val="solid" w:color="000000" w:fill="000000"/>
                <w:fitText w:val="110" w:id="-1032109819"/>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9"/>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533BD43A" w14:textId="3D94D5EE" w:rsidR="00AD4786" w:rsidRPr="000C7D44"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8"/>
                <w14:textFill>
                  <w14:solidFill>
                    <w14:srgbClr w14:val="000000">
                      <w14:alpha w14:val="100000"/>
                    </w14:srgbClr>
                  </w14:solidFill>
                </w14:textFill>
              </w:rPr>
              <w:t xml:space="preserve">　</w:t>
            </w:r>
            <w:r w:rsidRPr="00640308">
              <w:rPr>
                <w:color w:val="000000"/>
                <w:w w:val="24"/>
                <w:shd w:val="solid" w:color="000000" w:fill="000000"/>
                <w:fitText w:val="110" w:id="-1032109818"/>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8"/>
                <w14:textFill>
                  <w14:solidFill>
                    <w14:srgbClr w14:val="000000">
                      <w14:alpha w14:val="100000"/>
                    </w14:srgbClr>
                  </w14:solidFill>
                </w14:textFill>
              </w:rPr>
              <w:t xml:space="preserve">　</w:t>
            </w:r>
            <w:r w:rsidR="00823E12">
              <w:rPr>
                <w:vertAlign w:val="superscript"/>
              </w:rPr>
              <w:t>1</w:t>
            </w:r>
          </w:p>
        </w:tc>
      </w:tr>
      <w:tr w:rsidR="003B2ED8" w:rsidRPr="00980134" w14:paraId="3BBDF8DA" w14:textId="77777777" w:rsidTr="003B2ED8">
        <w:trPr>
          <w:trHeight w:val="300"/>
        </w:trPr>
        <w:tc>
          <w:tcPr>
            <w:tcW w:w="1838" w:type="dxa"/>
            <w:shd w:val="clear" w:color="auto" w:fill="auto"/>
            <w:noWrap/>
            <w:tcMar>
              <w:left w:w="57" w:type="dxa"/>
              <w:right w:w="57" w:type="dxa"/>
            </w:tcMar>
            <w:vAlign w:val="bottom"/>
            <w:hideMark/>
          </w:tcPr>
          <w:p w14:paraId="58B9B2C2" w14:textId="77777777" w:rsidR="00AD4786" w:rsidRPr="00980134" w:rsidRDefault="00AD4786" w:rsidP="00141DB3">
            <w:pPr>
              <w:pStyle w:val="COMTabletext"/>
            </w:pPr>
            <w:r w:rsidRPr="00980134">
              <w:t xml:space="preserve">Proportion suitable for </w:t>
            </w:r>
            <w:proofErr w:type="spellStart"/>
            <w:r w:rsidRPr="00980134">
              <w:t>TXDd</w:t>
            </w:r>
            <w:proofErr w:type="spellEnd"/>
            <w:r w:rsidRPr="00980134">
              <w:t xml:space="preserve"> </w:t>
            </w:r>
          </w:p>
        </w:tc>
        <w:tc>
          <w:tcPr>
            <w:tcW w:w="567" w:type="dxa"/>
            <w:shd w:val="clear" w:color="auto" w:fill="auto"/>
            <w:noWrap/>
            <w:tcMar>
              <w:left w:w="28" w:type="dxa"/>
              <w:right w:w="28" w:type="dxa"/>
            </w:tcMar>
            <w:vAlign w:val="bottom"/>
            <w:hideMark/>
          </w:tcPr>
          <w:p w14:paraId="670BB423" w14:textId="77777777" w:rsidR="00AD4786" w:rsidRPr="00980134" w:rsidRDefault="00AD4786" w:rsidP="00141DB3">
            <w:pPr>
              <w:pStyle w:val="COMTabletext"/>
              <w:jc w:val="center"/>
            </w:pPr>
            <w:r w:rsidRPr="00980134">
              <w:t>80%</w:t>
            </w:r>
          </w:p>
        </w:tc>
        <w:tc>
          <w:tcPr>
            <w:tcW w:w="1134" w:type="dxa"/>
            <w:shd w:val="clear" w:color="auto" w:fill="auto"/>
            <w:noWrap/>
            <w:tcMar>
              <w:left w:w="57" w:type="dxa"/>
              <w:right w:w="57" w:type="dxa"/>
            </w:tcMar>
            <w:vAlign w:val="bottom"/>
            <w:hideMark/>
          </w:tcPr>
          <w:p w14:paraId="470A7FA0" w14:textId="10E405E0"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7"/>
                <w14:textFill>
                  <w14:solidFill>
                    <w14:srgbClr w14:val="000000">
                      <w14:alpha w14:val="100000"/>
                    </w14:srgbClr>
                  </w14:solidFill>
                </w14:textFill>
              </w:rPr>
              <w:t xml:space="preserve">　</w:t>
            </w:r>
            <w:r w:rsidRPr="00640308">
              <w:rPr>
                <w:color w:val="000000"/>
                <w:w w:val="20"/>
                <w:shd w:val="solid" w:color="000000" w:fill="000000"/>
                <w:fitText w:val="90" w:id="-1032109817"/>
                <w14:textFill>
                  <w14:solidFill>
                    <w14:srgbClr w14:val="000000">
                      <w14:alpha w14:val="100000"/>
                    </w14:srgbClr>
                  </w14:solidFill>
                </w14:textFill>
              </w:rPr>
              <w:t>|</w:t>
            </w:r>
            <w:r w:rsidRPr="00640308">
              <w:rPr>
                <w:rFonts w:hint="eastAsia"/>
                <w:color w:val="000000"/>
                <w:spacing w:val="3"/>
                <w:w w:val="20"/>
                <w:shd w:val="solid" w:color="000000" w:fill="000000"/>
                <w:fitText w:val="90" w:id="-1032109817"/>
                <w14:textFill>
                  <w14:solidFill>
                    <w14:srgbClr w14:val="000000">
                      <w14:alpha w14:val="100000"/>
                    </w14:srgbClr>
                  </w14:solidFill>
                </w14:textFill>
              </w:rPr>
              <w:t xml:space="preserve">　</w:t>
            </w:r>
            <w:r w:rsidR="00823E12">
              <w:rPr>
                <w:vertAlign w:val="superscript"/>
              </w:rPr>
              <w:t>1</w:t>
            </w:r>
          </w:p>
        </w:tc>
        <w:tc>
          <w:tcPr>
            <w:tcW w:w="1134" w:type="dxa"/>
            <w:shd w:val="clear" w:color="auto" w:fill="auto"/>
            <w:noWrap/>
            <w:tcMar>
              <w:left w:w="57" w:type="dxa"/>
              <w:right w:w="57" w:type="dxa"/>
            </w:tcMar>
            <w:vAlign w:val="bottom"/>
            <w:hideMark/>
          </w:tcPr>
          <w:p w14:paraId="78CEFFF4" w14:textId="09D1144A"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6"/>
                <w14:textFill>
                  <w14:solidFill>
                    <w14:srgbClr w14:val="000000">
                      <w14:alpha w14:val="100000"/>
                    </w14:srgbClr>
                  </w14:solidFill>
                </w14:textFill>
              </w:rPr>
              <w:t xml:space="preserve">　</w:t>
            </w:r>
            <w:r w:rsidRPr="00640308">
              <w:rPr>
                <w:color w:val="000000"/>
                <w:w w:val="20"/>
                <w:shd w:val="solid" w:color="000000" w:fill="000000"/>
                <w:fitText w:val="90" w:id="-1032109816"/>
                <w14:textFill>
                  <w14:solidFill>
                    <w14:srgbClr w14:val="000000">
                      <w14:alpha w14:val="100000"/>
                    </w14:srgbClr>
                  </w14:solidFill>
                </w14:textFill>
              </w:rPr>
              <w:t>|</w:t>
            </w:r>
            <w:r w:rsidRPr="00640308">
              <w:rPr>
                <w:rFonts w:hint="eastAsia"/>
                <w:color w:val="000000"/>
                <w:spacing w:val="3"/>
                <w:w w:val="20"/>
                <w:shd w:val="solid" w:color="000000" w:fill="000000"/>
                <w:fitText w:val="90" w:id="-1032109816"/>
                <w14:textFill>
                  <w14:solidFill>
                    <w14:srgbClr w14:val="000000">
                      <w14:alpha w14:val="100000"/>
                    </w14:srgbClr>
                  </w14:solidFill>
                </w14:textFill>
              </w:rPr>
              <w:t xml:space="preserve">　</w:t>
            </w:r>
            <w:r w:rsidR="00823E12">
              <w:rPr>
                <w:vertAlign w:val="superscript"/>
              </w:rPr>
              <w:t>1</w:t>
            </w:r>
          </w:p>
        </w:tc>
        <w:tc>
          <w:tcPr>
            <w:tcW w:w="1038" w:type="dxa"/>
            <w:shd w:val="clear" w:color="auto" w:fill="auto"/>
            <w:noWrap/>
            <w:tcMar>
              <w:left w:w="57" w:type="dxa"/>
              <w:right w:w="57" w:type="dxa"/>
            </w:tcMar>
            <w:vAlign w:val="bottom"/>
            <w:hideMark/>
          </w:tcPr>
          <w:p w14:paraId="383E23E2" w14:textId="2308F490" w:rsidR="00AD4786" w:rsidRPr="00A760D0" w:rsidRDefault="00640308" w:rsidP="00141DB3">
            <w:pPr>
              <w:pStyle w:val="COMTabletext"/>
              <w:jc w:val="center"/>
              <w:rPr>
                <w:highlight w:val="darkGray"/>
              </w:rPr>
            </w:pPr>
            <w:r w:rsidRPr="00640308">
              <w:t xml:space="preserve"> </w:t>
            </w:r>
            <w:r w:rsidRPr="00640308">
              <w:rPr>
                <w:rFonts w:hint="eastAsia"/>
                <w:color w:val="000000"/>
                <w:w w:val="29"/>
                <w:shd w:val="solid" w:color="000000" w:fill="000000"/>
                <w:fitText w:val="130" w:id="-1032109815"/>
                <w14:textFill>
                  <w14:solidFill>
                    <w14:srgbClr w14:val="000000">
                      <w14:alpha w14:val="100000"/>
                    </w14:srgbClr>
                  </w14:solidFill>
                </w14:textFill>
              </w:rPr>
              <w:t xml:space="preserve">　</w:t>
            </w:r>
            <w:r w:rsidRPr="00640308">
              <w:rPr>
                <w:color w:val="000000"/>
                <w:w w:val="29"/>
                <w:shd w:val="solid" w:color="000000" w:fill="000000"/>
                <w:fitText w:val="130" w:id="-1032109815"/>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5"/>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42F372D6" w14:textId="604F3085"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4"/>
                <w14:textFill>
                  <w14:solidFill>
                    <w14:srgbClr w14:val="000000">
                      <w14:alpha w14:val="100000"/>
                    </w14:srgbClr>
                  </w14:solidFill>
                </w14:textFill>
              </w:rPr>
              <w:t xml:space="preserve">　</w:t>
            </w:r>
            <w:r w:rsidRPr="00640308">
              <w:rPr>
                <w:color w:val="000000"/>
                <w:w w:val="24"/>
                <w:shd w:val="solid" w:color="000000" w:fill="000000"/>
                <w:fitText w:val="110" w:id="-1032109814"/>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4"/>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10895E80" w14:textId="01350501"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3"/>
                <w14:textFill>
                  <w14:solidFill>
                    <w14:srgbClr w14:val="000000">
                      <w14:alpha w14:val="100000"/>
                    </w14:srgbClr>
                  </w14:solidFill>
                </w14:textFill>
              </w:rPr>
              <w:t xml:space="preserve">　</w:t>
            </w:r>
            <w:r w:rsidRPr="00640308">
              <w:rPr>
                <w:color w:val="000000"/>
                <w:w w:val="24"/>
                <w:shd w:val="solid" w:color="000000" w:fill="000000"/>
                <w:fitText w:val="110" w:id="-1032109813"/>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3"/>
                <w14:textFill>
                  <w14:solidFill>
                    <w14:srgbClr w14:val="000000">
                      <w14:alpha w14:val="100000"/>
                    </w14:srgbClr>
                  </w14:solidFill>
                </w14:textFill>
              </w:rPr>
              <w:t xml:space="preserve">　</w:t>
            </w:r>
            <w:r w:rsidR="00823E12">
              <w:rPr>
                <w:vertAlign w:val="superscript"/>
              </w:rPr>
              <w:t>1</w:t>
            </w:r>
          </w:p>
        </w:tc>
        <w:tc>
          <w:tcPr>
            <w:tcW w:w="1102" w:type="dxa"/>
            <w:shd w:val="clear" w:color="auto" w:fill="auto"/>
            <w:noWrap/>
            <w:tcMar>
              <w:left w:w="57" w:type="dxa"/>
              <w:right w:w="57" w:type="dxa"/>
            </w:tcMar>
            <w:vAlign w:val="bottom"/>
            <w:hideMark/>
          </w:tcPr>
          <w:p w14:paraId="00FB176A" w14:textId="17340A9F"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2"/>
                <w14:textFill>
                  <w14:solidFill>
                    <w14:srgbClr w14:val="000000">
                      <w14:alpha w14:val="100000"/>
                    </w14:srgbClr>
                  </w14:solidFill>
                </w14:textFill>
              </w:rPr>
              <w:t xml:space="preserve">　</w:t>
            </w:r>
            <w:r w:rsidRPr="00640308">
              <w:rPr>
                <w:color w:val="000000"/>
                <w:w w:val="24"/>
                <w:shd w:val="solid" w:color="000000" w:fill="000000"/>
                <w:fitText w:val="110" w:id="-1032109812"/>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2"/>
                <w14:textFill>
                  <w14:solidFill>
                    <w14:srgbClr w14:val="000000">
                      <w14:alpha w14:val="100000"/>
                    </w14:srgbClr>
                  </w14:solidFill>
                </w14:textFill>
              </w:rPr>
              <w:t xml:space="preserve">　</w:t>
            </w:r>
            <w:r w:rsidR="00823E12">
              <w:rPr>
                <w:vertAlign w:val="superscript"/>
              </w:rPr>
              <w:t>1</w:t>
            </w:r>
          </w:p>
        </w:tc>
      </w:tr>
      <w:tr w:rsidR="003B2ED8" w:rsidRPr="00980134" w14:paraId="015A15CE" w14:textId="77777777" w:rsidTr="003B2ED8">
        <w:trPr>
          <w:trHeight w:val="300"/>
        </w:trPr>
        <w:tc>
          <w:tcPr>
            <w:tcW w:w="1838" w:type="dxa"/>
            <w:shd w:val="clear" w:color="auto" w:fill="auto"/>
            <w:noWrap/>
            <w:tcMar>
              <w:left w:w="57" w:type="dxa"/>
              <w:right w:w="57" w:type="dxa"/>
            </w:tcMar>
            <w:vAlign w:val="bottom"/>
            <w:hideMark/>
          </w:tcPr>
          <w:p w14:paraId="020097A5" w14:textId="77777777" w:rsidR="00AD4786" w:rsidRPr="00980134" w:rsidRDefault="00AD4786" w:rsidP="00141DB3">
            <w:pPr>
              <w:pStyle w:val="COMTabletext"/>
            </w:pPr>
            <w:r w:rsidRPr="00980134">
              <w:t>Possible prevalent pool at 3L+</w:t>
            </w:r>
          </w:p>
        </w:tc>
        <w:tc>
          <w:tcPr>
            <w:tcW w:w="567" w:type="dxa"/>
            <w:shd w:val="clear" w:color="auto" w:fill="auto"/>
            <w:noWrap/>
            <w:tcMar>
              <w:left w:w="28" w:type="dxa"/>
              <w:right w:w="28" w:type="dxa"/>
            </w:tcMar>
            <w:vAlign w:val="bottom"/>
            <w:hideMark/>
          </w:tcPr>
          <w:p w14:paraId="6BC648B7" w14:textId="77777777" w:rsidR="00AD4786" w:rsidRPr="00980134" w:rsidRDefault="00AD4786" w:rsidP="00141DB3">
            <w:pPr>
              <w:pStyle w:val="COMTabletext"/>
              <w:jc w:val="center"/>
            </w:pPr>
          </w:p>
        </w:tc>
        <w:tc>
          <w:tcPr>
            <w:tcW w:w="1134" w:type="dxa"/>
            <w:shd w:val="clear" w:color="auto" w:fill="auto"/>
            <w:noWrap/>
            <w:tcMar>
              <w:left w:w="57" w:type="dxa"/>
              <w:right w:w="57" w:type="dxa"/>
            </w:tcMar>
            <w:vAlign w:val="bottom"/>
            <w:hideMark/>
          </w:tcPr>
          <w:p w14:paraId="30E08207" w14:textId="6BC21B02"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1"/>
                <w14:textFill>
                  <w14:solidFill>
                    <w14:srgbClr w14:val="000000">
                      <w14:alpha w14:val="100000"/>
                    </w14:srgbClr>
                  </w14:solidFill>
                </w14:textFill>
              </w:rPr>
              <w:t xml:space="preserve">　</w:t>
            </w:r>
            <w:r w:rsidRPr="00640308">
              <w:rPr>
                <w:color w:val="000000"/>
                <w:w w:val="20"/>
                <w:shd w:val="solid" w:color="000000" w:fill="000000"/>
                <w:fitText w:val="90" w:id="-1032109811"/>
                <w14:textFill>
                  <w14:solidFill>
                    <w14:srgbClr w14:val="000000">
                      <w14:alpha w14:val="100000"/>
                    </w14:srgbClr>
                  </w14:solidFill>
                </w14:textFill>
              </w:rPr>
              <w:t>|</w:t>
            </w:r>
            <w:r w:rsidRPr="00640308">
              <w:rPr>
                <w:rFonts w:hint="eastAsia"/>
                <w:color w:val="000000"/>
                <w:spacing w:val="3"/>
                <w:w w:val="20"/>
                <w:shd w:val="solid" w:color="000000" w:fill="000000"/>
                <w:fitText w:val="90" w:id="-1032109811"/>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hideMark/>
          </w:tcPr>
          <w:p w14:paraId="2FE92687" w14:textId="205415E6"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10"/>
                <w14:textFill>
                  <w14:solidFill>
                    <w14:srgbClr w14:val="000000">
                      <w14:alpha w14:val="100000"/>
                    </w14:srgbClr>
                  </w14:solidFill>
                </w14:textFill>
              </w:rPr>
              <w:t xml:space="preserve">　</w:t>
            </w:r>
            <w:r w:rsidRPr="00640308">
              <w:rPr>
                <w:color w:val="000000"/>
                <w:w w:val="20"/>
                <w:shd w:val="solid" w:color="000000" w:fill="000000"/>
                <w:fitText w:val="90" w:id="-1032109810"/>
                <w14:textFill>
                  <w14:solidFill>
                    <w14:srgbClr w14:val="000000">
                      <w14:alpha w14:val="100000"/>
                    </w14:srgbClr>
                  </w14:solidFill>
                </w14:textFill>
              </w:rPr>
              <w:t>|</w:t>
            </w:r>
            <w:r w:rsidRPr="00640308">
              <w:rPr>
                <w:rFonts w:hint="eastAsia"/>
                <w:color w:val="000000"/>
                <w:spacing w:val="3"/>
                <w:w w:val="20"/>
                <w:shd w:val="solid" w:color="000000" w:fill="000000"/>
                <w:fitText w:val="90" w:id="-1032109810"/>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hideMark/>
          </w:tcPr>
          <w:p w14:paraId="1E77D6AC" w14:textId="49BD2DB9" w:rsidR="00AD4786" w:rsidRPr="00A760D0" w:rsidRDefault="00640308" w:rsidP="00141DB3">
            <w:pPr>
              <w:pStyle w:val="COMTabletext"/>
              <w:jc w:val="center"/>
              <w:rPr>
                <w:highlight w:val="darkGray"/>
              </w:rPr>
            </w:pPr>
            <w:r w:rsidRPr="00640308">
              <w:t xml:space="preserve"> </w:t>
            </w:r>
            <w:r w:rsidRPr="00640308">
              <w:rPr>
                <w:rFonts w:hint="eastAsia"/>
                <w:color w:val="000000"/>
                <w:w w:val="29"/>
                <w:shd w:val="solid" w:color="000000" w:fill="000000"/>
                <w:fitText w:val="130" w:id="-1032109809"/>
                <w14:textFill>
                  <w14:solidFill>
                    <w14:srgbClr w14:val="000000">
                      <w14:alpha w14:val="100000"/>
                    </w14:srgbClr>
                  </w14:solidFill>
                </w14:textFill>
              </w:rPr>
              <w:t xml:space="preserve">　</w:t>
            </w:r>
            <w:r w:rsidRPr="00640308">
              <w:rPr>
                <w:color w:val="000000"/>
                <w:w w:val="29"/>
                <w:shd w:val="solid" w:color="000000" w:fill="000000"/>
                <w:fitText w:val="130" w:id="-1032109809"/>
                <w14:textFill>
                  <w14:solidFill>
                    <w14:srgbClr w14:val="000000">
                      <w14:alpha w14:val="100000"/>
                    </w14:srgbClr>
                  </w14:solidFill>
                </w14:textFill>
              </w:rPr>
              <w:t>|</w:t>
            </w:r>
            <w:r w:rsidRPr="00640308">
              <w:rPr>
                <w:rFonts w:hint="eastAsia"/>
                <w:color w:val="000000"/>
                <w:spacing w:val="2"/>
                <w:w w:val="29"/>
                <w:shd w:val="solid" w:color="000000" w:fill="000000"/>
                <w:fitText w:val="130" w:id="-1032109809"/>
                <w14:textFill>
                  <w14:solidFill>
                    <w14:srgbClr w14:val="000000">
                      <w14:alpha w14:val="100000"/>
                    </w14:srgbClr>
                  </w14:solidFill>
                </w14:textFill>
              </w:rPr>
              <w:t xml:space="preserve">　</w:t>
            </w:r>
            <w:r w:rsidR="004448DC">
              <w:rPr>
                <w:vertAlign w:val="superscript"/>
              </w:rPr>
              <w:t>2</w:t>
            </w:r>
            <w:r w:rsidRPr="00640308">
              <w:t xml:space="preserve"> </w:t>
            </w:r>
          </w:p>
        </w:tc>
        <w:tc>
          <w:tcPr>
            <w:tcW w:w="1102" w:type="dxa"/>
            <w:shd w:val="clear" w:color="auto" w:fill="auto"/>
            <w:noWrap/>
            <w:tcMar>
              <w:left w:w="57" w:type="dxa"/>
              <w:right w:w="57" w:type="dxa"/>
            </w:tcMar>
            <w:vAlign w:val="bottom"/>
            <w:hideMark/>
          </w:tcPr>
          <w:p w14:paraId="76733EDA" w14:textId="005F735D"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08"/>
                <w14:textFill>
                  <w14:solidFill>
                    <w14:srgbClr w14:val="000000">
                      <w14:alpha w14:val="100000"/>
                    </w14:srgbClr>
                  </w14:solidFill>
                </w14:textFill>
              </w:rPr>
              <w:t xml:space="preserve">　</w:t>
            </w:r>
            <w:r w:rsidRPr="00640308">
              <w:rPr>
                <w:color w:val="000000"/>
                <w:w w:val="24"/>
                <w:shd w:val="solid" w:color="000000" w:fill="000000"/>
                <w:fitText w:val="110" w:id="-1032109808"/>
                <w14:textFill>
                  <w14:solidFill>
                    <w14:srgbClr w14:val="000000">
                      <w14:alpha w14:val="100000"/>
                    </w14:srgbClr>
                  </w14:solidFill>
                </w14:textFill>
              </w:rPr>
              <w:t>|</w:t>
            </w:r>
            <w:r w:rsidRPr="00640308">
              <w:rPr>
                <w:rFonts w:hint="eastAsia"/>
                <w:color w:val="000000"/>
                <w:spacing w:val="6"/>
                <w:w w:val="24"/>
                <w:shd w:val="solid" w:color="000000" w:fill="000000"/>
                <w:fitText w:val="110" w:id="-1032109808"/>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hideMark/>
          </w:tcPr>
          <w:p w14:paraId="3E3F1E24" w14:textId="39C1D750"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24"/>
                <w14:textFill>
                  <w14:solidFill>
                    <w14:srgbClr w14:val="000000">
                      <w14:alpha w14:val="100000"/>
                    </w14:srgbClr>
                  </w14:solidFill>
                </w14:textFill>
              </w:rPr>
              <w:t xml:space="preserve">　</w:t>
            </w:r>
            <w:r w:rsidRPr="00640308">
              <w:rPr>
                <w:color w:val="000000"/>
                <w:w w:val="24"/>
                <w:shd w:val="solid" w:color="000000" w:fill="000000"/>
                <w:fitText w:val="110" w:id="-1032109824"/>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4"/>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hideMark/>
          </w:tcPr>
          <w:p w14:paraId="1674291E" w14:textId="66184040"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23"/>
                <w14:textFill>
                  <w14:solidFill>
                    <w14:srgbClr w14:val="000000">
                      <w14:alpha w14:val="100000"/>
                    </w14:srgbClr>
                  </w14:solidFill>
                </w14:textFill>
              </w:rPr>
              <w:t xml:space="preserve">　</w:t>
            </w:r>
            <w:r w:rsidRPr="00640308">
              <w:rPr>
                <w:color w:val="000000"/>
                <w:w w:val="24"/>
                <w:shd w:val="solid" w:color="000000" w:fill="000000"/>
                <w:fitText w:val="110" w:id="-1032109823"/>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3"/>
                <w14:textFill>
                  <w14:solidFill>
                    <w14:srgbClr w14:val="000000">
                      <w14:alpha w14:val="100000"/>
                    </w14:srgbClr>
                  </w14:solidFill>
                </w14:textFill>
              </w:rPr>
              <w:t xml:space="preserve">　</w:t>
            </w:r>
            <w:r w:rsidR="004448DC">
              <w:rPr>
                <w:vertAlign w:val="superscript"/>
              </w:rPr>
              <w:t>2</w:t>
            </w:r>
          </w:p>
        </w:tc>
      </w:tr>
      <w:tr w:rsidR="003B2ED8" w:rsidRPr="00980134" w14:paraId="341D6423" w14:textId="77777777" w:rsidTr="003B2ED8">
        <w:trPr>
          <w:trHeight w:val="300"/>
        </w:trPr>
        <w:tc>
          <w:tcPr>
            <w:tcW w:w="1838" w:type="dxa"/>
            <w:shd w:val="clear" w:color="auto" w:fill="auto"/>
            <w:noWrap/>
            <w:tcMar>
              <w:left w:w="57" w:type="dxa"/>
              <w:right w:w="57" w:type="dxa"/>
            </w:tcMar>
            <w:vAlign w:val="bottom"/>
            <w:hideMark/>
          </w:tcPr>
          <w:p w14:paraId="78033242" w14:textId="77777777" w:rsidR="00AD4786" w:rsidRPr="00980134" w:rsidRDefault="00AD4786" w:rsidP="00141DB3">
            <w:pPr>
              <w:pStyle w:val="COMTabletext"/>
            </w:pPr>
            <w:r w:rsidRPr="00980134">
              <w:t>Rapid progressors on adjuvant therapy</w:t>
            </w:r>
          </w:p>
        </w:tc>
        <w:tc>
          <w:tcPr>
            <w:tcW w:w="567" w:type="dxa"/>
            <w:shd w:val="clear" w:color="auto" w:fill="auto"/>
            <w:noWrap/>
            <w:tcMar>
              <w:left w:w="28" w:type="dxa"/>
              <w:right w:w="28" w:type="dxa"/>
            </w:tcMar>
            <w:vAlign w:val="bottom"/>
            <w:hideMark/>
          </w:tcPr>
          <w:p w14:paraId="2DAC178C" w14:textId="77777777" w:rsidR="00AD4786" w:rsidRPr="00980134" w:rsidRDefault="00AD4786" w:rsidP="00141DB3">
            <w:pPr>
              <w:pStyle w:val="COMTabletext"/>
              <w:jc w:val="center"/>
            </w:pPr>
          </w:p>
        </w:tc>
        <w:tc>
          <w:tcPr>
            <w:tcW w:w="1134" w:type="dxa"/>
            <w:shd w:val="clear" w:color="auto" w:fill="auto"/>
            <w:noWrap/>
            <w:tcMar>
              <w:left w:w="57" w:type="dxa"/>
              <w:right w:w="57" w:type="dxa"/>
            </w:tcMar>
            <w:vAlign w:val="bottom"/>
            <w:hideMark/>
          </w:tcPr>
          <w:p w14:paraId="3E1027C2" w14:textId="2459AF64"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22"/>
                <w14:textFill>
                  <w14:solidFill>
                    <w14:srgbClr w14:val="000000">
                      <w14:alpha w14:val="100000"/>
                    </w14:srgbClr>
                  </w14:solidFill>
                </w14:textFill>
              </w:rPr>
              <w:t xml:space="preserve">　</w:t>
            </w:r>
            <w:r w:rsidRPr="00640308">
              <w:rPr>
                <w:color w:val="000000"/>
                <w:w w:val="20"/>
                <w:shd w:val="solid" w:color="000000" w:fill="000000"/>
                <w:fitText w:val="90" w:id="-1032109822"/>
                <w14:textFill>
                  <w14:solidFill>
                    <w14:srgbClr w14:val="000000">
                      <w14:alpha w14:val="100000"/>
                    </w14:srgbClr>
                  </w14:solidFill>
                </w14:textFill>
              </w:rPr>
              <w:t>|</w:t>
            </w:r>
            <w:r w:rsidRPr="00640308">
              <w:rPr>
                <w:rFonts w:hint="eastAsia"/>
                <w:color w:val="000000"/>
                <w:spacing w:val="3"/>
                <w:w w:val="20"/>
                <w:shd w:val="solid" w:color="000000" w:fill="000000"/>
                <w:fitText w:val="90" w:id="-1032109822"/>
                <w14:textFill>
                  <w14:solidFill>
                    <w14:srgbClr w14:val="000000">
                      <w14:alpha w14:val="100000"/>
                    </w14:srgbClr>
                  </w14:solidFill>
                </w14:textFill>
              </w:rPr>
              <w:t xml:space="preserve">　</w:t>
            </w:r>
            <w:r w:rsidR="004448DC">
              <w:rPr>
                <w:vertAlign w:val="superscript"/>
              </w:rPr>
              <w:t>2</w:t>
            </w:r>
          </w:p>
        </w:tc>
        <w:tc>
          <w:tcPr>
            <w:tcW w:w="1134" w:type="dxa"/>
            <w:shd w:val="clear" w:color="auto" w:fill="auto"/>
            <w:noWrap/>
            <w:tcMar>
              <w:left w:w="57" w:type="dxa"/>
              <w:right w:w="57" w:type="dxa"/>
            </w:tcMar>
            <w:vAlign w:val="bottom"/>
            <w:hideMark/>
          </w:tcPr>
          <w:p w14:paraId="0CD20569" w14:textId="09E403A4" w:rsidR="00AD4786"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21"/>
                <w14:textFill>
                  <w14:solidFill>
                    <w14:srgbClr w14:val="000000">
                      <w14:alpha w14:val="100000"/>
                    </w14:srgbClr>
                  </w14:solidFill>
                </w14:textFill>
              </w:rPr>
              <w:t xml:space="preserve">　</w:t>
            </w:r>
            <w:r w:rsidRPr="00640308">
              <w:rPr>
                <w:color w:val="000000"/>
                <w:w w:val="20"/>
                <w:shd w:val="solid" w:color="000000" w:fill="000000"/>
                <w:fitText w:val="90" w:id="-1032109821"/>
                <w14:textFill>
                  <w14:solidFill>
                    <w14:srgbClr w14:val="000000">
                      <w14:alpha w14:val="100000"/>
                    </w14:srgbClr>
                  </w14:solidFill>
                </w14:textFill>
              </w:rPr>
              <w:t>|</w:t>
            </w:r>
            <w:r w:rsidRPr="00640308">
              <w:rPr>
                <w:rFonts w:hint="eastAsia"/>
                <w:color w:val="000000"/>
                <w:spacing w:val="3"/>
                <w:w w:val="20"/>
                <w:shd w:val="solid" w:color="000000" w:fill="000000"/>
                <w:fitText w:val="90" w:id="-1032109821"/>
                <w14:textFill>
                  <w14:solidFill>
                    <w14:srgbClr w14:val="000000">
                      <w14:alpha w14:val="100000"/>
                    </w14:srgbClr>
                  </w14:solidFill>
                </w14:textFill>
              </w:rPr>
              <w:t xml:space="preserve">　</w:t>
            </w:r>
            <w:r w:rsidR="004448DC">
              <w:rPr>
                <w:vertAlign w:val="superscript"/>
              </w:rPr>
              <w:t>2</w:t>
            </w:r>
          </w:p>
        </w:tc>
        <w:tc>
          <w:tcPr>
            <w:tcW w:w="1038" w:type="dxa"/>
            <w:shd w:val="clear" w:color="auto" w:fill="auto"/>
            <w:noWrap/>
            <w:tcMar>
              <w:left w:w="57" w:type="dxa"/>
              <w:right w:w="57" w:type="dxa"/>
            </w:tcMar>
            <w:vAlign w:val="bottom"/>
            <w:hideMark/>
          </w:tcPr>
          <w:p w14:paraId="70264F01" w14:textId="1341D8A1" w:rsidR="00AD4786" w:rsidRPr="00A760D0" w:rsidRDefault="00640308" w:rsidP="00141DB3">
            <w:pPr>
              <w:pStyle w:val="COMTabletext"/>
              <w:jc w:val="center"/>
              <w:rPr>
                <w:highlight w:val="darkGray"/>
              </w:rPr>
            </w:pPr>
            <w:r w:rsidRPr="00640308">
              <w:t xml:space="preserve"> </w:t>
            </w:r>
            <w:r w:rsidRPr="00640308">
              <w:rPr>
                <w:color w:val="000000"/>
                <w:spacing w:val="74"/>
                <w:shd w:val="solid" w:color="000000" w:fill="000000"/>
                <w:fitText w:val="160" w:id="-1032109820"/>
                <w14:textFill>
                  <w14:solidFill>
                    <w14:srgbClr w14:val="000000">
                      <w14:alpha w14:val="100000"/>
                    </w14:srgbClr>
                  </w14:solidFill>
                </w14:textFill>
              </w:rPr>
              <w:t>|</w:t>
            </w:r>
            <w:r w:rsidRPr="00640308">
              <w:rPr>
                <w:color w:val="000000"/>
                <w:spacing w:val="1"/>
                <w:shd w:val="solid" w:color="000000" w:fill="000000"/>
                <w:fitText w:val="160" w:id="-1032109820"/>
                <w14:textFill>
                  <w14:solidFill>
                    <w14:srgbClr w14:val="000000">
                      <w14:alpha w14:val="100000"/>
                    </w14:srgbClr>
                  </w14:solidFill>
                </w14:textFill>
              </w:rPr>
              <w:t>|</w:t>
            </w:r>
            <w:r w:rsidRPr="00640308">
              <w:t xml:space="preserve"> </w:t>
            </w:r>
            <w:r w:rsidR="004448DC">
              <w:rPr>
                <w:vertAlign w:val="superscript"/>
              </w:rPr>
              <w:t>2</w:t>
            </w:r>
          </w:p>
        </w:tc>
        <w:tc>
          <w:tcPr>
            <w:tcW w:w="1102" w:type="dxa"/>
            <w:shd w:val="clear" w:color="auto" w:fill="auto"/>
            <w:noWrap/>
            <w:tcMar>
              <w:left w:w="57" w:type="dxa"/>
              <w:right w:w="57" w:type="dxa"/>
            </w:tcMar>
            <w:vAlign w:val="bottom"/>
            <w:hideMark/>
          </w:tcPr>
          <w:p w14:paraId="08B1CC9B" w14:textId="703474BF"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9"/>
                <w14:textFill>
                  <w14:solidFill>
                    <w14:srgbClr w14:val="000000">
                      <w14:alpha w14:val="100000"/>
                    </w14:srgbClr>
                  </w14:solidFill>
                </w14:textFill>
              </w:rPr>
              <w:t xml:space="preserve">　</w:t>
            </w:r>
            <w:r w:rsidRPr="00640308">
              <w:rPr>
                <w:color w:val="000000"/>
                <w:w w:val="24"/>
                <w:shd w:val="solid" w:color="000000" w:fill="000000"/>
                <w:fitText w:val="110" w:id="-1032109819"/>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9"/>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hideMark/>
          </w:tcPr>
          <w:p w14:paraId="280317DF" w14:textId="60961DAA"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8"/>
                <w14:textFill>
                  <w14:solidFill>
                    <w14:srgbClr w14:val="000000">
                      <w14:alpha w14:val="100000"/>
                    </w14:srgbClr>
                  </w14:solidFill>
                </w14:textFill>
              </w:rPr>
              <w:t xml:space="preserve">　</w:t>
            </w:r>
            <w:r w:rsidRPr="00640308">
              <w:rPr>
                <w:color w:val="000000"/>
                <w:w w:val="24"/>
                <w:shd w:val="solid" w:color="000000" w:fill="000000"/>
                <w:fitText w:val="110" w:id="-1032109818"/>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8"/>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hideMark/>
          </w:tcPr>
          <w:p w14:paraId="19B79D61" w14:textId="61452F44" w:rsidR="00AD4786"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7"/>
                <w14:textFill>
                  <w14:solidFill>
                    <w14:srgbClr w14:val="000000">
                      <w14:alpha w14:val="100000"/>
                    </w14:srgbClr>
                  </w14:solidFill>
                </w14:textFill>
              </w:rPr>
              <w:t xml:space="preserve">　</w:t>
            </w:r>
            <w:r w:rsidRPr="00640308">
              <w:rPr>
                <w:color w:val="000000"/>
                <w:w w:val="24"/>
                <w:shd w:val="solid" w:color="000000" w:fill="000000"/>
                <w:fitText w:val="110" w:id="-1032109817"/>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7"/>
                <w14:textFill>
                  <w14:solidFill>
                    <w14:srgbClr w14:val="000000">
                      <w14:alpha w14:val="100000"/>
                    </w14:srgbClr>
                  </w14:solidFill>
                </w14:textFill>
              </w:rPr>
              <w:t xml:space="preserve">　</w:t>
            </w:r>
            <w:r w:rsidR="004448DC">
              <w:rPr>
                <w:vertAlign w:val="superscript"/>
              </w:rPr>
              <w:t>2</w:t>
            </w:r>
          </w:p>
        </w:tc>
      </w:tr>
      <w:tr w:rsidR="003B2ED8" w:rsidRPr="00980134" w14:paraId="6E22276A" w14:textId="77777777" w:rsidTr="003B2ED8">
        <w:trPr>
          <w:trHeight w:val="300"/>
        </w:trPr>
        <w:tc>
          <w:tcPr>
            <w:tcW w:w="1838" w:type="dxa"/>
            <w:shd w:val="clear" w:color="auto" w:fill="auto"/>
            <w:noWrap/>
            <w:tcMar>
              <w:left w:w="57" w:type="dxa"/>
              <w:right w:w="57" w:type="dxa"/>
            </w:tcMar>
            <w:vAlign w:val="bottom"/>
            <w:hideMark/>
          </w:tcPr>
          <w:p w14:paraId="66975AA5" w14:textId="77777777" w:rsidR="00AD4786" w:rsidRPr="00980134" w:rsidRDefault="00AD4786" w:rsidP="00141DB3">
            <w:pPr>
              <w:pStyle w:val="COMTabletext"/>
            </w:pPr>
            <w:r w:rsidRPr="00980134">
              <w:t>Uptake</w:t>
            </w:r>
          </w:p>
        </w:tc>
        <w:tc>
          <w:tcPr>
            <w:tcW w:w="567" w:type="dxa"/>
            <w:shd w:val="clear" w:color="auto" w:fill="auto"/>
            <w:noWrap/>
            <w:tcMar>
              <w:left w:w="28" w:type="dxa"/>
              <w:right w:w="28" w:type="dxa"/>
            </w:tcMar>
            <w:vAlign w:val="bottom"/>
            <w:hideMark/>
          </w:tcPr>
          <w:p w14:paraId="577D542A" w14:textId="77777777" w:rsidR="00AD4786" w:rsidRPr="00980134" w:rsidRDefault="00AD4786" w:rsidP="00141DB3">
            <w:pPr>
              <w:pStyle w:val="COMTabletext"/>
              <w:jc w:val="center"/>
            </w:pPr>
          </w:p>
        </w:tc>
        <w:tc>
          <w:tcPr>
            <w:tcW w:w="1134" w:type="dxa"/>
            <w:shd w:val="clear" w:color="auto" w:fill="auto"/>
            <w:noWrap/>
            <w:tcMar>
              <w:left w:w="57" w:type="dxa"/>
              <w:right w:w="57" w:type="dxa"/>
            </w:tcMar>
            <w:vAlign w:val="bottom"/>
            <w:hideMark/>
          </w:tcPr>
          <w:p w14:paraId="7E12C27E" w14:textId="4498BB9B" w:rsidR="00AD4786" w:rsidRPr="00980134" w:rsidRDefault="00640308" w:rsidP="00141DB3">
            <w:pPr>
              <w:pStyle w:val="COMTabletext"/>
              <w:jc w:val="center"/>
            </w:pPr>
            <w:r w:rsidRPr="00640308">
              <w:t xml:space="preserve"> </w:t>
            </w:r>
            <w:r w:rsidRPr="00640308">
              <w:rPr>
                <w:rFonts w:hint="eastAsia"/>
                <w:color w:val="000000"/>
                <w:w w:val="29"/>
                <w:shd w:val="solid" w:color="000000" w:fill="000000"/>
                <w:fitText w:val="130" w:id="-1032109816"/>
                <w14:textFill>
                  <w14:solidFill>
                    <w14:srgbClr w14:val="000000">
                      <w14:alpha w14:val="100000"/>
                    </w14:srgbClr>
                  </w14:solidFill>
                </w14:textFill>
              </w:rPr>
              <w:t xml:space="preserve">　</w:t>
            </w:r>
            <w:r w:rsidRPr="00640308">
              <w:rPr>
                <w:color w:val="000000"/>
                <w:w w:val="29"/>
                <w:shd w:val="solid" w:color="000000" w:fill="000000"/>
                <w:fitText w:val="130" w:id="-1032109816"/>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6"/>
                <w14:textFill>
                  <w14:solidFill>
                    <w14:srgbClr w14:val="000000">
                      <w14:alpha w14:val="100000"/>
                    </w14:srgbClr>
                  </w14:solidFill>
                </w14:textFill>
              </w:rPr>
              <w:t xml:space="preserve">　</w:t>
            </w:r>
            <w:r w:rsidR="00AD4786" w:rsidRPr="00980134">
              <w:t>%</w:t>
            </w:r>
          </w:p>
        </w:tc>
        <w:tc>
          <w:tcPr>
            <w:tcW w:w="1134" w:type="dxa"/>
            <w:shd w:val="clear" w:color="auto" w:fill="auto"/>
            <w:noWrap/>
            <w:tcMar>
              <w:left w:w="57" w:type="dxa"/>
              <w:right w:w="57" w:type="dxa"/>
            </w:tcMar>
            <w:vAlign w:val="bottom"/>
            <w:hideMark/>
          </w:tcPr>
          <w:p w14:paraId="30BC69EA" w14:textId="1ED24FA9" w:rsidR="00AD4786" w:rsidRPr="00980134" w:rsidRDefault="00640308" w:rsidP="00141DB3">
            <w:pPr>
              <w:pStyle w:val="COMTabletext"/>
              <w:jc w:val="center"/>
            </w:pPr>
            <w:r w:rsidRPr="00640308">
              <w:t xml:space="preserve"> </w:t>
            </w:r>
            <w:r w:rsidRPr="00640308">
              <w:rPr>
                <w:rFonts w:hint="eastAsia"/>
                <w:color w:val="000000"/>
                <w:w w:val="29"/>
                <w:shd w:val="solid" w:color="000000" w:fill="000000"/>
                <w:fitText w:val="130" w:id="-1032109815"/>
                <w14:textFill>
                  <w14:solidFill>
                    <w14:srgbClr w14:val="000000">
                      <w14:alpha w14:val="100000"/>
                    </w14:srgbClr>
                  </w14:solidFill>
                </w14:textFill>
              </w:rPr>
              <w:t xml:space="preserve">　</w:t>
            </w:r>
            <w:r w:rsidRPr="00640308">
              <w:rPr>
                <w:color w:val="000000"/>
                <w:w w:val="29"/>
                <w:shd w:val="solid" w:color="000000" w:fill="000000"/>
                <w:fitText w:val="130" w:id="-1032109815"/>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5"/>
                <w14:textFill>
                  <w14:solidFill>
                    <w14:srgbClr w14:val="000000">
                      <w14:alpha w14:val="100000"/>
                    </w14:srgbClr>
                  </w14:solidFill>
                </w14:textFill>
              </w:rPr>
              <w:t xml:space="preserve">　</w:t>
            </w:r>
            <w:r w:rsidR="00AD4786" w:rsidRPr="00980134">
              <w:t>%</w:t>
            </w:r>
          </w:p>
        </w:tc>
        <w:tc>
          <w:tcPr>
            <w:tcW w:w="1038" w:type="dxa"/>
            <w:shd w:val="clear" w:color="auto" w:fill="auto"/>
            <w:noWrap/>
            <w:tcMar>
              <w:left w:w="57" w:type="dxa"/>
              <w:right w:w="57" w:type="dxa"/>
            </w:tcMar>
            <w:vAlign w:val="bottom"/>
            <w:hideMark/>
          </w:tcPr>
          <w:p w14:paraId="4737FF83" w14:textId="0885CC5B" w:rsidR="00AD4786" w:rsidRPr="00980134" w:rsidRDefault="00640308" w:rsidP="00141DB3">
            <w:pPr>
              <w:pStyle w:val="COMTabletext"/>
              <w:jc w:val="center"/>
            </w:pPr>
            <w:r w:rsidRPr="00640308">
              <w:t xml:space="preserve"> </w:t>
            </w:r>
            <w:r w:rsidRPr="00640308">
              <w:rPr>
                <w:color w:val="000000"/>
                <w:spacing w:val="94"/>
                <w:shd w:val="solid" w:color="000000" w:fill="000000"/>
                <w:fitText w:val="180" w:id="-1032109814"/>
                <w14:textFill>
                  <w14:solidFill>
                    <w14:srgbClr w14:val="000000">
                      <w14:alpha w14:val="100000"/>
                    </w14:srgbClr>
                  </w14:solidFill>
                </w14:textFill>
              </w:rPr>
              <w:t>|</w:t>
            </w:r>
            <w:r w:rsidRPr="00640308">
              <w:rPr>
                <w:color w:val="000000"/>
                <w:spacing w:val="1"/>
                <w:shd w:val="solid" w:color="000000" w:fill="000000"/>
                <w:fitText w:val="180" w:id="-1032109814"/>
                <w14:textFill>
                  <w14:solidFill>
                    <w14:srgbClr w14:val="000000">
                      <w14:alpha w14:val="100000"/>
                    </w14:srgbClr>
                  </w14:solidFill>
                </w14:textFill>
              </w:rPr>
              <w:t>|</w:t>
            </w:r>
            <w:r w:rsidR="00AD4786" w:rsidRPr="00980134">
              <w:t>%</w:t>
            </w:r>
          </w:p>
        </w:tc>
        <w:tc>
          <w:tcPr>
            <w:tcW w:w="1102" w:type="dxa"/>
            <w:shd w:val="clear" w:color="auto" w:fill="auto"/>
            <w:noWrap/>
            <w:tcMar>
              <w:left w:w="57" w:type="dxa"/>
              <w:right w:w="57" w:type="dxa"/>
            </w:tcMar>
            <w:vAlign w:val="bottom"/>
            <w:hideMark/>
          </w:tcPr>
          <w:p w14:paraId="4A5225B2" w14:textId="02794880" w:rsidR="00AD4786" w:rsidRPr="00980134" w:rsidRDefault="00640308" w:rsidP="00141DB3">
            <w:pPr>
              <w:pStyle w:val="COMTabletext"/>
              <w:jc w:val="center"/>
            </w:pPr>
            <w:r w:rsidRPr="00640308">
              <w:t xml:space="preserve"> </w:t>
            </w:r>
            <w:r w:rsidRPr="00640308">
              <w:rPr>
                <w:rFonts w:hint="eastAsia"/>
                <w:color w:val="000000"/>
                <w:w w:val="33"/>
                <w:shd w:val="solid" w:color="000000" w:fill="000000"/>
                <w:fitText w:val="150" w:id="-1032109813"/>
                <w14:textFill>
                  <w14:solidFill>
                    <w14:srgbClr w14:val="000000">
                      <w14:alpha w14:val="100000"/>
                    </w14:srgbClr>
                  </w14:solidFill>
                </w14:textFill>
              </w:rPr>
              <w:t xml:space="preserve">　</w:t>
            </w:r>
            <w:r w:rsidRPr="00640308">
              <w:rPr>
                <w:color w:val="000000"/>
                <w:w w:val="33"/>
                <w:shd w:val="solid" w:color="000000" w:fill="000000"/>
                <w:fitText w:val="150" w:id="-1032109813"/>
                <w14:textFill>
                  <w14:solidFill>
                    <w14:srgbClr w14:val="000000">
                      <w14:alpha w14:val="100000"/>
                    </w14:srgbClr>
                  </w14:solidFill>
                </w14:textFill>
              </w:rPr>
              <w:t>|</w:t>
            </w:r>
            <w:r w:rsidRPr="00640308">
              <w:rPr>
                <w:rFonts w:hint="eastAsia"/>
                <w:color w:val="000000"/>
                <w:spacing w:val="4"/>
                <w:w w:val="33"/>
                <w:shd w:val="solid" w:color="000000" w:fill="000000"/>
                <w:fitText w:val="150" w:id="-1032109813"/>
                <w14:textFill>
                  <w14:solidFill>
                    <w14:srgbClr w14:val="000000">
                      <w14:alpha w14:val="100000"/>
                    </w14:srgbClr>
                  </w14:solidFill>
                </w14:textFill>
              </w:rPr>
              <w:t xml:space="preserve">　</w:t>
            </w:r>
            <w:r w:rsidR="00AD4786" w:rsidRPr="00980134">
              <w:t>%</w:t>
            </w:r>
          </w:p>
        </w:tc>
        <w:tc>
          <w:tcPr>
            <w:tcW w:w="1102" w:type="dxa"/>
            <w:shd w:val="clear" w:color="auto" w:fill="auto"/>
            <w:noWrap/>
            <w:tcMar>
              <w:left w:w="57" w:type="dxa"/>
              <w:right w:w="57" w:type="dxa"/>
            </w:tcMar>
            <w:vAlign w:val="bottom"/>
            <w:hideMark/>
          </w:tcPr>
          <w:p w14:paraId="4C7D0716" w14:textId="77D4DF16" w:rsidR="00AD4786" w:rsidRPr="00980134" w:rsidRDefault="00640308" w:rsidP="00141DB3">
            <w:pPr>
              <w:pStyle w:val="COMTabletext"/>
              <w:jc w:val="center"/>
            </w:pPr>
            <w:r w:rsidRPr="00640308">
              <w:t xml:space="preserve"> </w:t>
            </w:r>
            <w:r w:rsidRPr="00640308">
              <w:rPr>
                <w:rFonts w:hint="eastAsia"/>
                <w:color w:val="000000"/>
                <w:w w:val="33"/>
                <w:shd w:val="solid" w:color="000000" w:fill="000000"/>
                <w:fitText w:val="150" w:id="-1032109812"/>
                <w14:textFill>
                  <w14:solidFill>
                    <w14:srgbClr w14:val="000000">
                      <w14:alpha w14:val="100000"/>
                    </w14:srgbClr>
                  </w14:solidFill>
                </w14:textFill>
              </w:rPr>
              <w:t xml:space="preserve">　</w:t>
            </w:r>
            <w:r w:rsidRPr="00640308">
              <w:rPr>
                <w:color w:val="000000"/>
                <w:w w:val="33"/>
                <w:shd w:val="solid" w:color="000000" w:fill="000000"/>
                <w:fitText w:val="150" w:id="-1032109812"/>
                <w14:textFill>
                  <w14:solidFill>
                    <w14:srgbClr w14:val="000000">
                      <w14:alpha w14:val="100000"/>
                    </w14:srgbClr>
                  </w14:solidFill>
                </w14:textFill>
              </w:rPr>
              <w:t>|</w:t>
            </w:r>
            <w:r w:rsidRPr="00640308">
              <w:rPr>
                <w:rFonts w:hint="eastAsia"/>
                <w:color w:val="000000"/>
                <w:spacing w:val="4"/>
                <w:w w:val="33"/>
                <w:shd w:val="solid" w:color="000000" w:fill="000000"/>
                <w:fitText w:val="150" w:id="-1032109812"/>
                <w14:textFill>
                  <w14:solidFill>
                    <w14:srgbClr w14:val="000000">
                      <w14:alpha w14:val="100000"/>
                    </w14:srgbClr>
                  </w14:solidFill>
                </w14:textFill>
              </w:rPr>
              <w:t xml:space="preserve">　</w:t>
            </w:r>
            <w:r w:rsidR="00AD4786" w:rsidRPr="00980134">
              <w:t>%</w:t>
            </w:r>
          </w:p>
        </w:tc>
        <w:tc>
          <w:tcPr>
            <w:tcW w:w="1102" w:type="dxa"/>
            <w:shd w:val="clear" w:color="auto" w:fill="auto"/>
            <w:noWrap/>
            <w:tcMar>
              <w:left w:w="57" w:type="dxa"/>
              <w:right w:w="57" w:type="dxa"/>
            </w:tcMar>
            <w:vAlign w:val="bottom"/>
            <w:hideMark/>
          </w:tcPr>
          <w:p w14:paraId="7385C6A2" w14:textId="15348AA8" w:rsidR="00AD4786" w:rsidRPr="00980134" w:rsidRDefault="00640308" w:rsidP="00141DB3">
            <w:pPr>
              <w:pStyle w:val="COMTabletext"/>
              <w:jc w:val="center"/>
            </w:pPr>
            <w:r w:rsidRPr="00640308">
              <w:t xml:space="preserve"> </w:t>
            </w:r>
            <w:r w:rsidRPr="00640308">
              <w:rPr>
                <w:rFonts w:hint="eastAsia"/>
                <w:color w:val="000000"/>
                <w:w w:val="33"/>
                <w:shd w:val="solid" w:color="000000" w:fill="000000"/>
                <w:fitText w:val="150" w:id="-1032109811"/>
                <w14:textFill>
                  <w14:solidFill>
                    <w14:srgbClr w14:val="000000">
                      <w14:alpha w14:val="100000"/>
                    </w14:srgbClr>
                  </w14:solidFill>
                </w14:textFill>
              </w:rPr>
              <w:t xml:space="preserve">　</w:t>
            </w:r>
            <w:r w:rsidRPr="00640308">
              <w:rPr>
                <w:color w:val="000000"/>
                <w:w w:val="33"/>
                <w:shd w:val="solid" w:color="000000" w:fill="000000"/>
                <w:fitText w:val="150" w:id="-1032109811"/>
                <w14:textFill>
                  <w14:solidFill>
                    <w14:srgbClr w14:val="000000">
                      <w14:alpha w14:val="100000"/>
                    </w14:srgbClr>
                  </w14:solidFill>
                </w14:textFill>
              </w:rPr>
              <w:t>|</w:t>
            </w:r>
            <w:r w:rsidRPr="00640308">
              <w:rPr>
                <w:rFonts w:hint="eastAsia"/>
                <w:color w:val="000000"/>
                <w:spacing w:val="4"/>
                <w:w w:val="33"/>
                <w:shd w:val="solid" w:color="000000" w:fill="000000"/>
                <w:fitText w:val="150" w:id="-1032109811"/>
                <w14:textFill>
                  <w14:solidFill>
                    <w14:srgbClr w14:val="000000">
                      <w14:alpha w14:val="100000"/>
                    </w14:srgbClr>
                  </w14:solidFill>
                </w14:textFill>
              </w:rPr>
              <w:t xml:space="preserve">　</w:t>
            </w:r>
            <w:r w:rsidR="00AD4786" w:rsidRPr="00980134">
              <w:t>%</w:t>
            </w:r>
          </w:p>
        </w:tc>
      </w:tr>
      <w:tr w:rsidR="003B2ED8" w:rsidRPr="00980134" w14:paraId="78CCCEFC" w14:textId="77777777" w:rsidTr="003B2ED8">
        <w:trPr>
          <w:trHeight w:val="315"/>
        </w:trPr>
        <w:tc>
          <w:tcPr>
            <w:tcW w:w="1838" w:type="dxa"/>
            <w:shd w:val="clear" w:color="auto" w:fill="auto"/>
            <w:noWrap/>
            <w:tcMar>
              <w:left w:w="57" w:type="dxa"/>
              <w:right w:w="57" w:type="dxa"/>
            </w:tcMar>
            <w:vAlign w:val="bottom"/>
            <w:hideMark/>
          </w:tcPr>
          <w:p w14:paraId="2F4F035F" w14:textId="1840502F" w:rsidR="00AD4786" w:rsidRPr="00980134" w:rsidRDefault="00AD4786" w:rsidP="00141DB3">
            <w:pPr>
              <w:pStyle w:val="COMTabletext"/>
              <w:rPr>
                <w:b/>
                <w:bCs w:val="0"/>
              </w:rPr>
            </w:pPr>
            <w:r w:rsidRPr="00980134">
              <w:rPr>
                <w:b/>
                <w:bCs w:val="0"/>
              </w:rPr>
              <w:t>Total HR</w:t>
            </w:r>
            <w:r w:rsidR="00F262CA" w:rsidRPr="00980134">
              <w:rPr>
                <w:b/>
                <w:bCs w:val="0"/>
              </w:rPr>
              <w:t xml:space="preserve"> pos</w:t>
            </w:r>
            <w:r w:rsidRPr="00980134">
              <w:rPr>
                <w:b/>
                <w:bCs w:val="0"/>
              </w:rPr>
              <w:t>/HER2</w:t>
            </w:r>
            <w:r w:rsidR="00F262CA" w:rsidRPr="00980134">
              <w:rPr>
                <w:b/>
                <w:bCs w:val="0"/>
              </w:rPr>
              <w:t xml:space="preserve"> </w:t>
            </w:r>
            <w:r w:rsidRPr="00980134">
              <w:rPr>
                <w:b/>
                <w:bCs w:val="0"/>
              </w:rPr>
              <w:t xml:space="preserve">low </w:t>
            </w:r>
            <w:r w:rsidR="0021134E" w:rsidRPr="00980134">
              <w:rPr>
                <w:b/>
                <w:bCs w:val="0"/>
              </w:rPr>
              <w:t>p</w:t>
            </w:r>
            <w:r w:rsidRPr="00980134">
              <w:rPr>
                <w:b/>
                <w:bCs w:val="0"/>
              </w:rPr>
              <w:t>atients</w:t>
            </w:r>
          </w:p>
        </w:tc>
        <w:tc>
          <w:tcPr>
            <w:tcW w:w="567" w:type="dxa"/>
            <w:shd w:val="clear" w:color="auto" w:fill="auto"/>
            <w:noWrap/>
            <w:tcMar>
              <w:left w:w="28" w:type="dxa"/>
              <w:right w:w="28" w:type="dxa"/>
            </w:tcMar>
            <w:vAlign w:val="bottom"/>
            <w:hideMark/>
          </w:tcPr>
          <w:p w14:paraId="054122B7" w14:textId="77777777" w:rsidR="00AD4786" w:rsidRPr="00980134" w:rsidRDefault="00AD4786" w:rsidP="00141DB3">
            <w:pPr>
              <w:pStyle w:val="COMTabletext"/>
              <w:jc w:val="center"/>
              <w:rPr>
                <w:b/>
                <w:bCs w:val="0"/>
              </w:rPr>
            </w:pPr>
          </w:p>
        </w:tc>
        <w:tc>
          <w:tcPr>
            <w:tcW w:w="1134" w:type="dxa"/>
            <w:shd w:val="clear" w:color="auto" w:fill="auto"/>
            <w:noWrap/>
            <w:tcMar>
              <w:left w:w="57" w:type="dxa"/>
              <w:right w:w="57" w:type="dxa"/>
            </w:tcMar>
            <w:vAlign w:val="bottom"/>
            <w:hideMark/>
          </w:tcPr>
          <w:p w14:paraId="2EDD79BC" w14:textId="7969092C" w:rsidR="00AD4786"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810"/>
                <w14:textFill>
                  <w14:solidFill>
                    <w14:srgbClr w14:val="000000">
                      <w14:alpha w14:val="100000"/>
                    </w14:srgbClr>
                  </w14:solidFill>
                </w14:textFill>
              </w:rPr>
              <w:t xml:space="preserve">　</w:t>
            </w:r>
            <w:r w:rsidRPr="00640308">
              <w:rPr>
                <w:b/>
                <w:bCs w:val="0"/>
                <w:color w:val="000000"/>
                <w:w w:val="31"/>
                <w:shd w:val="solid" w:color="000000" w:fill="000000"/>
                <w:fitText w:val="140" w:id="-1032109810"/>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810"/>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hideMark/>
          </w:tcPr>
          <w:p w14:paraId="0193DE11" w14:textId="0AA8CD28" w:rsidR="00AD4786"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809"/>
                <w14:textFill>
                  <w14:solidFill>
                    <w14:srgbClr w14:val="000000">
                      <w14:alpha w14:val="100000"/>
                    </w14:srgbClr>
                  </w14:solidFill>
                </w14:textFill>
              </w:rPr>
              <w:t xml:space="preserve">　</w:t>
            </w:r>
            <w:r w:rsidRPr="00640308">
              <w:rPr>
                <w:b/>
                <w:bCs w:val="0"/>
                <w:color w:val="000000"/>
                <w:w w:val="31"/>
                <w:shd w:val="solid" w:color="000000" w:fill="000000"/>
                <w:fitText w:val="140" w:id="-1032109809"/>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809"/>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hideMark/>
          </w:tcPr>
          <w:p w14:paraId="20BAF191" w14:textId="6B54A641" w:rsidR="00AD4786" w:rsidRPr="00A760D0" w:rsidRDefault="00640308" w:rsidP="00141DB3">
            <w:pPr>
              <w:pStyle w:val="COMTabletext"/>
              <w:jc w:val="center"/>
              <w:rPr>
                <w:b/>
                <w:bCs w:val="0"/>
                <w:highlight w:val="darkGray"/>
              </w:rPr>
            </w:pPr>
            <w:r w:rsidRPr="00640308">
              <w:rPr>
                <w:b/>
                <w:bCs w:val="0"/>
              </w:rPr>
              <w:t xml:space="preserve"> </w:t>
            </w:r>
            <w:r w:rsidRPr="00640308">
              <w:rPr>
                <w:b/>
                <w:bCs w:val="0"/>
                <w:color w:val="000000"/>
                <w:spacing w:val="88"/>
                <w:shd w:val="solid" w:color="000000" w:fill="000000"/>
                <w:fitText w:val="180" w:id="-1032109808"/>
                <w14:textFill>
                  <w14:solidFill>
                    <w14:srgbClr w14:val="000000">
                      <w14:alpha w14:val="100000"/>
                    </w14:srgbClr>
                  </w14:solidFill>
                </w14:textFill>
              </w:rPr>
              <w:t>|</w:t>
            </w:r>
            <w:r w:rsidRPr="00640308">
              <w:rPr>
                <w:b/>
                <w:bCs w:val="0"/>
                <w:color w:val="000000"/>
                <w:spacing w:val="1"/>
                <w:shd w:val="solid" w:color="000000" w:fill="000000"/>
                <w:fitText w:val="180" w:id="-1032109808"/>
                <w14:textFill>
                  <w14:solidFill>
                    <w14:srgbClr w14:val="000000">
                      <w14:alpha w14:val="100000"/>
                    </w14:srgbClr>
                  </w14:solidFill>
                </w14:textFill>
              </w:rPr>
              <w:t>|</w:t>
            </w:r>
            <w:r w:rsidR="004448DC">
              <w:rPr>
                <w:vertAlign w:val="superscript"/>
              </w:rPr>
              <w:t>1</w:t>
            </w:r>
          </w:p>
        </w:tc>
        <w:tc>
          <w:tcPr>
            <w:tcW w:w="1102" w:type="dxa"/>
            <w:shd w:val="clear" w:color="auto" w:fill="auto"/>
            <w:noWrap/>
            <w:tcMar>
              <w:left w:w="57" w:type="dxa"/>
              <w:right w:w="57" w:type="dxa"/>
            </w:tcMar>
            <w:vAlign w:val="bottom"/>
            <w:hideMark/>
          </w:tcPr>
          <w:p w14:paraId="3ED214C7" w14:textId="3C60F4B2" w:rsidR="00AD4786"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824"/>
                <w14:textFill>
                  <w14:solidFill>
                    <w14:srgbClr w14:val="000000">
                      <w14:alpha w14:val="100000"/>
                    </w14:srgbClr>
                  </w14:solidFill>
                </w14:textFill>
              </w:rPr>
              <w:t xml:space="preserve">　</w:t>
            </w:r>
            <w:r w:rsidRPr="00640308">
              <w:rPr>
                <w:b/>
                <w:bCs w:val="0"/>
                <w:color w:val="000000"/>
                <w:w w:val="33"/>
                <w:shd w:val="solid" w:color="000000" w:fill="000000"/>
                <w:fitText w:val="150" w:id="-1032109824"/>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824"/>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hideMark/>
          </w:tcPr>
          <w:p w14:paraId="1C73F81D" w14:textId="0872E27C" w:rsidR="00AD4786"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823"/>
                <w14:textFill>
                  <w14:solidFill>
                    <w14:srgbClr w14:val="000000">
                      <w14:alpha w14:val="100000"/>
                    </w14:srgbClr>
                  </w14:solidFill>
                </w14:textFill>
              </w:rPr>
              <w:t xml:space="preserve">　</w:t>
            </w:r>
            <w:r w:rsidRPr="00640308">
              <w:rPr>
                <w:b/>
                <w:bCs w:val="0"/>
                <w:color w:val="000000"/>
                <w:w w:val="33"/>
                <w:shd w:val="solid" w:color="000000" w:fill="000000"/>
                <w:fitText w:val="150" w:id="-1032109823"/>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823"/>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hideMark/>
          </w:tcPr>
          <w:p w14:paraId="28023C37" w14:textId="0CE550E9" w:rsidR="00AD4786"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822"/>
                <w14:textFill>
                  <w14:solidFill>
                    <w14:srgbClr w14:val="000000">
                      <w14:alpha w14:val="100000"/>
                    </w14:srgbClr>
                  </w14:solidFill>
                </w14:textFill>
              </w:rPr>
              <w:t xml:space="preserve">　</w:t>
            </w:r>
            <w:r w:rsidRPr="00640308">
              <w:rPr>
                <w:b/>
                <w:bCs w:val="0"/>
                <w:color w:val="000000"/>
                <w:w w:val="33"/>
                <w:shd w:val="solid" w:color="000000" w:fill="000000"/>
                <w:fitText w:val="150" w:id="-1032109822"/>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822"/>
                <w14:textFill>
                  <w14:solidFill>
                    <w14:srgbClr w14:val="000000">
                      <w14:alpha w14:val="100000"/>
                    </w14:srgbClr>
                  </w14:solidFill>
                </w14:textFill>
              </w:rPr>
              <w:t xml:space="preserve">　</w:t>
            </w:r>
            <w:r w:rsidR="004448DC">
              <w:rPr>
                <w:vertAlign w:val="superscript"/>
              </w:rPr>
              <w:t>1</w:t>
            </w:r>
          </w:p>
        </w:tc>
      </w:tr>
      <w:tr w:rsidR="003B2ED8" w:rsidRPr="00980134" w14:paraId="563588F1" w14:textId="77777777" w:rsidTr="003B2ED8">
        <w:trPr>
          <w:trHeight w:val="300"/>
        </w:trPr>
        <w:tc>
          <w:tcPr>
            <w:tcW w:w="1838" w:type="dxa"/>
            <w:shd w:val="clear" w:color="auto" w:fill="auto"/>
            <w:noWrap/>
            <w:tcMar>
              <w:left w:w="57" w:type="dxa"/>
              <w:right w:w="57" w:type="dxa"/>
            </w:tcMar>
            <w:vAlign w:val="bottom"/>
          </w:tcPr>
          <w:p w14:paraId="0359F559" w14:textId="33604448" w:rsidR="00F262CA" w:rsidRPr="00980134" w:rsidRDefault="00F262CA" w:rsidP="00141DB3">
            <w:pPr>
              <w:pStyle w:val="COMTabletext"/>
            </w:pPr>
            <w:r w:rsidRPr="00980134">
              <w:t>Incident population based o</w:t>
            </w:r>
            <w:r w:rsidR="00FD7C86" w:rsidRPr="00980134">
              <w:t>n</w:t>
            </w:r>
            <w:r w:rsidRPr="00980134">
              <w:t xml:space="preserve"> linear projection of AIHW incidence</w:t>
            </w:r>
          </w:p>
        </w:tc>
        <w:tc>
          <w:tcPr>
            <w:tcW w:w="567" w:type="dxa"/>
            <w:shd w:val="clear" w:color="auto" w:fill="auto"/>
            <w:noWrap/>
            <w:tcMar>
              <w:left w:w="28" w:type="dxa"/>
              <w:right w:w="28" w:type="dxa"/>
            </w:tcMar>
            <w:vAlign w:val="bottom"/>
          </w:tcPr>
          <w:p w14:paraId="2D25FFB8" w14:textId="77777777" w:rsidR="00F262CA" w:rsidRPr="00980134" w:rsidRDefault="00F262CA" w:rsidP="00141DB3">
            <w:pPr>
              <w:pStyle w:val="COMTabletext"/>
            </w:pPr>
          </w:p>
        </w:tc>
        <w:tc>
          <w:tcPr>
            <w:tcW w:w="1134" w:type="dxa"/>
            <w:shd w:val="clear" w:color="auto" w:fill="auto"/>
            <w:noWrap/>
            <w:tcMar>
              <w:left w:w="57" w:type="dxa"/>
              <w:right w:w="57" w:type="dxa"/>
            </w:tcMar>
            <w:vAlign w:val="bottom"/>
          </w:tcPr>
          <w:p w14:paraId="25D00C03" w14:textId="740A26F3" w:rsidR="00F262CA" w:rsidRPr="003B2ED8" w:rsidRDefault="00640308" w:rsidP="00141DB3">
            <w:pPr>
              <w:pStyle w:val="COMTabletext"/>
              <w:jc w:val="center"/>
              <w:rPr>
                <w:b/>
                <w:bCs w:val="0"/>
                <w:highlight w:val="darkGray"/>
                <w:vertAlign w:val="superscript"/>
              </w:rPr>
            </w:pPr>
            <w:r w:rsidRPr="00640308">
              <w:t xml:space="preserve"> </w:t>
            </w:r>
            <w:r w:rsidRPr="00640308">
              <w:rPr>
                <w:rFonts w:hint="eastAsia"/>
                <w:color w:val="000000"/>
                <w:w w:val="20"/>
                <w:shd w:val="solid" w:color="000000" w:fill="000000"/>
                <w:fitText w:val="90" w:id="-1032109821"/>
                <w14:textFill>
                  <w14:solidFill>
                    <w14:srgbClr w14:val="000000">
                      <w14:alpha w14:val="100000"/>
                    </w14:srgbClr>
                  </w14:solidFill>
                </w14:textFill>
              </w:rPr>
              <w:t xml:space="preserve">　</w:t>
            </w:r>
            <w:r w:rsidRPr="00640308">
              <w:rPr>
                <w:color w:val="000000"/>
                <w:w w:val="20"/>
                <w:shd w:val="solid" w:color="000000" w:fill="000000"/>
                <w:fitText w:val="90" w:id="-1032109821"/>
                <w14:textFill>
                  <w14:solidFill>
                    <w14:srgbClr w14:val="000000">
                      <w14:alpha w14:val="100000"/>
                    </w14:srgbClr>
                  </w14:solidFill>
                </w14:textFill>
              </w:rPr>
              <w:t>|</w:t>
            </w:r>
            <w:r w:rsidRPr="00640308">
              <w:rPr>
                <w:rFonts w:hint="eastAsia"/>
                <w:color w:val="000000"/>
                <w:spacing w:val="3"/>
                <w:w w:val="20"/>
                <w:shd w:val="solid" w:color="000000" w:fill="000000"/>
                <w:fitText w:val="90" w:id="-1032109821"/>
                <w14:textFill>
                  <w14:solidFill>
                    <w14:srgbClr w14:val="000000">
                      <w14:alpha w14:val="100000"/>
                    </w14:srgbClr>
                  </w14:solidFill>
                </w14:textFill>
              </w:rPr>
              <w:t xml:space="preserve">　</w:t>
            </w:r>
            <w:r w:rsidR="003B2ED8" w:rsidRPr="003B2ED8">
              <w:rPr>
                <w:vertAlign w:val="superscript"/>
              </w:rPr>
              <w:t>3</w:t>
            </w:r>
          </w:p>
        </w:tc>
        <w:tc>
          <w:tcPr>
            <w:tcW w:w="1134" w:type="dxa"/>
            <w:shd w:val="clear" w:color="auto" w:fill="auto"/>
            <w:noWrap/>
            <w:tcMar>
              <w:left w:w="57" w:type="dxa"/>
              <w:right w:w="57" w:type="dxa"/>
            </w:tcMar>
            <w:vAlign w:val="bottom"/>
          </w:tcPr>
          <w:p w14:paraId="3969A495" w14:textId="3EDBFA71" w:rsidR="00F262CA" w:rsidRPr="00A760D0" w:rsidRDefault="00640308" w:rsidP="00141DB3">
            <w:pPr>
              <w:pStyle w:val="COMTabletext"/>
              <w:jc w:val="center"/>
              <w:rPr>
                <w:highlight w:val="darkGray"/>
              </w:rPr>
            </w:pPr>
            <w:r w:rsidRPr="00640308">
              <w:t xml:space="preserve"> </w:t>
            </w:r>
            <w:r w:rsidRPr="00640308">
              <w:rPr>
                <w:rFonts w:hint="eastAsia"/>
                <w:color w:val="000000"/>
                <w:w w:val="20"/>
                <w:shd w:val="solid" w:color="000000" w:fill="000000"/>
                <w:fitText w:val="90" w:id="-1032109820"/>
                <w14:textFill>
                  <w14:solidFill>
                    <w14:srgbClr w14:val="000000">
                      <w14:alpha w14:val="100000"/>
                    </w14:srgbClr>
                  </w14:solidFill>
                </w14:textFill>
              </w:rPr>
              <w:t xml:space="preserve">　</w:t>
            </w:r>
            <w:r w:rsidRPr="00640308">
              <w:rPr>
                <w:color w:val="000000"/>
                <w:w w:val="20"/>
                <w:shd w:val="solid" w:color="000000" w:fill="000000"/>
                <w:fitText w:val="90" w:id="-1032109820"/>
                <w14:textFill>
                  <w14:solidFill>
                    <w14:srgbClr w14:val="000000">
                      <w14:alpha w14:val="100000"/>
                    </w14:srgbClr>
                  </w14:solidFill>
                </w14:textFill>
              </w:rPr>
              <w:t>|</w:t>
            </w:r>
            <w:r w:rsidRPr="00640308">
              <w:rPr>
                <w:rFonts w:hint="eastAsia"/>
                <w:color w:val="000000"/>
                <w:spacing w:val="3"/>
                <w:w w:val="20"/>
                <w:shd w:val="solid" w:color="000000" w:fill="000000"/>
                <w:fitText w:val="90" w:id="-1032109820"/>
                <w14:textFill>
                  <w14:solidFill>
                    <w14:srgbClr w14:val="000000">
                      <w14:alpha w14:val="100000"/>
                    </w14:srgbClr>
                  </w14:solidFill>
                </w14:textFill>
              </w:rPr>
              <w:t xml:space="preserve">　</w:t>
            </w:r>
            <w:r w:rsidR="003B2ED8" w:rsidRPr="003B2ED8">
              <w:rPr>
                <w:vertAlign w:val="superscript"/>
              </w:rPr>
              <w:t>3</w:t>
            </w:r>
          </w:p>
        </w:tc>
        <w:tc>
          <w:tcPr>
            <w:tcW w:w="1038" w:type="dxa"/>
            <w:shd w:val="clear" w:color="auto" w:fill="auto"/>
            <w:noWrap/>
            <w:tcMar>
              <w:left w:w="57" w:type="dxa"/>
              <w:right w:w="57" w:type="dxa"/>
            </w:tcMar>
            <w:vAlign w:val="bottom"/>
          </w:tcPr>
          <w:p w14:paraId="24DBCBA3" w14:textId="32D44CEC" w:rsidR="00F262CA" w:rsidRPr="00A760D0" w:rsidRDefault="00640308" w:rsidP="00141DB3">
            <w:pPr>
              <w:pStyle w:val="COMTabletext"/>
              <w:jc w:val="center"/>
              <w:rPr>
                <w:highlight w:val="darkGray"/>
              </w:rPr>
            </w:pPr>
            <w:r w:rsidRPr="00640308">
              <w:t xml:space="preserve"> </w:t>
            </w:r>
            <w:r w:rsidRPr="00640308">
              <w:rPr>
                <w:rFonts w:hint="eastAsia"/>
                <w:color w:val="000000"/>
                <w:w w:val="29"/>
                <w:shd w:val="solid" w:color="000000" w:fill="000000"/>
                <w:fitText w:val="130" w:id="-1032109819"/>
                <w14:textFill>
                  <w14:solidFill>
                    <w14:srgbClr w14:val="000000">
                      <w14:alpha w14:val="100000"/>
                    </w14:srgbClr>
                  </w14:solidFill>
                </w14:textFill>
              </w:rPr>
              <w:t xml:space="preserve">　</w:t>
            </w:r>
            <w:r w:rsidRPr="00640308">
              <w:rPr>
                <w:color w:val="000000"/>
                <w:w w:val="29"/>
                <w:shd w:val="solid" w:color="000000" w:fill="000000"/>
                <w:fitText w:val="130" w:id="-1032109819"/>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9"/>
                <w14:textFill>
                  <w14:solidFill>
                    <w14:srgbClr w14:val="000000">
                      <w14:alpha w14:val="100000"/>
                    </w14:srgbClr>
                  </w14:solidFill>
                </w14:textFill>
              </w:rPr>
              <w:t xml:space="preserve">　</w:t>
            </w:r>
            <w:r w:rsidR="003B2ED8" w:rsidRPr="003B2ED8">
              <w:rPr>
                <w:vertAlign w:val="superscript"/>
              </w:rPr>
              <w:t>3</w:t>
            </w:r>
          </w:p>
        </w:tc>
        <w:tc>
          <w:tcPr>
            <w:tcW w:w="1102" w:type="dxa"/>
            <w:shd w:val="clear" w:color="auto" w:fill="auto"/>
            <w:noWrap/>
            <w:tcMar>
              <w:left w:w="57" w:type="dxa"/>
              <w:right w:w="57" w:type="dxa"/>
            </w:tcMar>
            <w:vAlign w:val="bottom"/>
          </w:tcPr>
          <w:p w14:paraId="1F1FE816" w14:textId="5C604FE3" w:rsidR="00F262CA"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8"/>
                <w14:textFill>
                  <w14:solidFill>
                    <w14:srgbClr w14:val="000000">
                      <w14:alpha w14:val="100000"/>
                    </w14:srgbClr>
                  </w14:solidFill>
                </w14:textFill>
              </w:rPr>
              <w:t xml:space="preserve">　</w:t>
            </w:r>
            <w:r w:rsidRPr="00640308">
              <w:rPr>
                <w:color w:val="000000"/>
                <w:w w:val="24"/>
                <w:shd w:val="solid" w:color="000000" w:fill="000000"/>
                <w:fitText w:val="110" w:id="-1032109818"/>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8"/>
                <w14:textFill>
                  <w14:solidFill>
                    <w14:srgbClr w14:val="000000">
                      <w14:alpha w14:val="100000"/>
                    </w14:srgbClr>
                  </w14:solidFill>
                </w14:textFill>
              </w:rPr>
              <w:t xml:space="preserve">　</w:t>
            </w:r>
            <w:r w:rsidR="003B2ED8" w:rsidRPr="003B2ED8">
              <w:rPr>
                <w:vertAlign w:val="superscript"/>
              </w:rPr>
              <w:t>3</w:t>
            </w:r>
          </w:p>
        </w:tc>
        <w:tc>
          <w:tcPr>
            <w:tcW w:w="1102" w:type="dxa"/>
            <w:shd w:val="clear" w:color="auto" w:fill="auto"/>
            <w:noWrap/>
            <w:tcMar>
              <w:left w:w="57" w:type="dxa"/>
              <w:right w:w="57" w:type="dxa"/>
            </w:tcMar>
            <w:vAlign w:val="bottom"/>
          </w:tcPr>
          <w:p w14:paraId="26174C7D" w14:textId="2D7A3779" w:rsidR="00F262CA"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7"/>
                <w14:textFill>
                  <w14:solidFill>
                    <w14:srgbClr w14:val="000000">
                      <w14:alpha w14:val="100000"/>
                    </w14:srgbClr>
                  </w14:solidFill>
                </w14:textFill>
              </w:rPr>
              <w:t xml:space="preserve">　</w:t>
            </w:r>
            <w:r w:rsidRPr="00640308">
              <w:rPr>
                <w:color w:val="000000"/>
                <w:w w:val="24"/>
                <w:shd w:val="solid" w:color="000000" w:fill="000000"/>
                <w:fitText w:val="110" w:id="-1032109817"/>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7"/>
                <w14:textFill>
                  <w14:solidFill>
                    <w14:srgbClr w14:val="000000">
                      <w14:alpha w14:val="100000"/>
                    </w14:srgbClr>
                  </w14:solidFill>
                </w14:textFill>
              </w:rPr>
              <w:t xml:space="preserve">　</w:t>
            </w:r>
            <w:r w:rsidR="003B2ED8" w:rsidRPr="003B2ED8">
              <w:rPr>
                <w:vertAlign w:val="superscript"/>
              </w:rPr>
              <w:t>3</w:t>
            </w:r>
          </w:p>
        </w:tc>
        <w:tc>
          <w:tcPr>
            <w:tcW w:w="1102" w:type="dxa"/>
            <w:shd w:val="clear" w:color="auto" w:fill="auto"/>
            <w:noWrap/>
            <w:tcMar>
              <w:left w:w="57" w:type="dxa"/>
              <w:right w:w="57" w:type="dxa"/>
            </w:tcMar>
            <w:vAlign w:val="bottom"/>
          </w:tcPr>
          <w:p w14:paraId="66DE2F99" w14:textId="3D6E2EE9" w:rsidR="00F262CA" w:rsidRPr="00A760D0" w:rsidRDefault="00640308" w:rsidP="00141DB3">
            <w:pPr>
              <w:pStyle w:val="COMTabletext"/>
              <w:jc w:val="center"/>
              <w:rPr>
                <w:highlight w:val="darkGray"/>
              </w:rPr>
            </w:pPr>
            <w:r w:rsidRPr="00640308">
              <w:t xml:space="preserve"> </w:t>
            </w:r>
            <w:r w:rsidRPr="00640308">
              <w:rPr>
                <w:rFonts w:hint="eastAsia"/>
                <w:color w:val="000000"/>
                <w:w w:val="24"/>
                <w:shd w:val="solid" w:color="000000" w:fill="000000"/>
                <w:fitText w:val="110" w:id="-1032109816"/>
                <w14:textFill>
                  <w14:solidFill>
                    <w14:srgbClr w14:val="000000">
                      <w14:alpha w14:val="100000"/>
                    </w14:srgbClr>
                  </w14:solidFill>
                </w14:textFill>
              </w:rPr>
              <w:t xml:space="preserve">　</w:t>
            </w:r>
            <w:r w:rsidRPr="00640308">
              <w:rPr>
                <w:color w:val="000000"/>
                <w:w w:val="24"/>
                <w:shd w:val="solid" w:color="000000" w:fill="000000"/>
                <w:fitText w:val="110" w:id="-1032109816"/>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6"/>
                <w14:textFill>
                  <w14:solidFill>
                    <w14:srgbClr w14:val="000000">
                      <w14:alpha w14:val="100000"/>
                    </w14:srgbClr>
                  </w14:solidFill>
                </w14:textFill>
              </w:rPr>
              <w:t xml:space="preserve">　</w:t>
            </w:r>
            <w:r w:rsidR="003B2ED8" w:rsidRPr="003B2ED8">
              <w:rPr>
                <w:vertAlign w:val="superscript"/>
              </w:rPr>
              <w:t>3</w:t>
            </w:r>
          </w:p>
        </w:tc>
      </w:tr>
      <w:tr w:rsidR="003B2ED8" w:rsidRPr="00980134" w14:paraId="5795232C" w14:textId="77777777" w:rsidTr="003B2ED8">
        <w:trPr>
          <w:trHeight w:val="300"/>
        </w:trPr>
        <w:tc>
          <w:tcPr>
            <w:tcW w:w="1838" w:type="dxa"/>
            <w:shd w:val="clear" w:color="auto" w:fill="auto"/>
            <w:noWrap/>
            <w:tcMar>
              <w:left w:w="57" w:type="dxa"/>
              <w:right w:w="57" w:type="dxa"/>
            </w:tcMar>
            <w:vAlign w:val="bottom"/>
          </w:tcPr>
          <w:p w14:paraId="5D0C6C0C" w14:textId="7829B884" w:rsidR="00F262CA" w:rsidRPr="00980134" w:rsidRDefault="00F262CA" w:rsidP="00141DB3">
            <w:pPr>
              <w:pStyle w:val="COMTabletext"/>
              <w:rPr>
                <w:b/>
                <w:bCs w:val="0"/>
              </w:rPr>
            </w:pPr>
            <w:r w:rsidRPr="00980134">
              <w:t>Triple negative breast cancer In Australia</w:t>
            </w:r>
          </w:p>
        </w:tc>
        <w:tc>
          <w:tcPr>
            <w:tcW w:w="567" w:type="dxa"/>
            <w:shd w:val="clear" w:color="auto" w:fill="auto"/>
            <w:noWrap/>
            <w:tcMar>
              <w:left w:w="28" w:type="dxa"/>
              <w:right w:w="28" w:type="dxa"/>
            </w:tcMar>
            <w:vAlign w:val="bottom"/>
          </w:tcPr>
          <w:p w14:paraId="4099FAB3" w14:textId="7398AA6B" w:rsidR="00F262CA" w:rsidRPr="00980134" w:rsidRDefault="00F262CA" w:rsidP="00141DB3">
            <w:pPr>
              <w:pStyle w:val="COMTabletext"/>
              <w:jc w:val="center"/>
              <w:rPr>
                <w:b/>
                <w:bCs w:val="0"/>
              </w:rPr>
            </w:pPr>
            <w:r w:rsidRPr="00980134">
              <w:t>15%</w:t>
            </w:r>
          </w:p>
        </w:tc>
        <w:tc>
          <w:tcPr>
            <w:tcW w:w="1134" w:type="dxa"/>
            <w:shd w:val="clear" w:color="auto" w:fill="auto"/>
            <w:noWrap/>
            <w:tcMar>
              <w:left w:w="57" w:type="dxa"/>
              <w:right w:w="57" w:type="dxa"/>
            </w:tcMar>
            <w:vAlign w:val="bottom"/>
          </w:tcPr>
          <w:p w14:paraId="6E3385E8" w14:textId="3BF547BF"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15"/>
                <w14:textFill>
                  <w14:solidFill>
                    <w14:srgbClr w14:val="000000">
                      <w14:alpha w14:val="100000"/>
                    </w14:srgbClr>
                  </w14:solidFill>
                </w14:textFill>
              </w:rPr>
              <w:t xml:space="preserve">　</w:t>
            </w:r>
            <w:r w:rsidRPr="00640308">
              <w:rPr>
                <w:color w:val="000000"/>
                <w:w w:val="20"/>
                <w:shd w:val="solid" w:color="000000" w:fill="000000"/>
                <w:fitText w:val="90" w:id="-1032109815"/>
                <w14:textFill>
                  <w14:solidFill>
                    <w14:srgbClr w14:val="000000">
                      <w14:alpha w14:val="100000"/>
                    </w14:srgbClr>
                  </w14:solidFill>
                </w14:textFill>
              </w:rPr>
              <w:t>|</w:t>
            </w:r>
            <w:r w:rsidRPr="00640308">
              <w:rPr>
                <w:rFonts w:hint="eastAsia"/>
                <w:color w:val="000000"/>
                <w:spacing w:val="3"/>
                <w:w w:val="20"/>
                <w:shd w:val="solid" w:color="000000" w:fill="000000"/>
                <w:fitText w:val="90" w:id="-1032109815"/>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tcPr>
          <w:p w14:paraId="49A5102A" w14:textId="45CA84C8"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14"/>
                <w14:textFill>
                  <w14:solidFill>
                    <w14:srgbClr w14:val="000000">
                      <w14:alpha w14:val="100000"/>
                    </w14:srgbClr>
                  </w14:solidFill>
                </w14:textFill>
              </w:rPr>
              <w:t xml:space="preserve">　</w:t>
            </w:r>
            <w:r w:rsidRPr="00640308">
              <w:rPr>
                <w:color w:val="000000"/>
                <w:w w:val="20"/>
                <w:shd w:val="solid" w:color="000000" w:fill="000000"/>
                <w:fitText w:val="90" w:id="-1032109814"/>
                <w14:textFill>
                  <w14:solidFill>
                    <w14:srgbClr w14:val="000000">
                      <w14:alpha w14:val="100000"/>
                    </w14:srgbClr>
                  </w14:solidFill>
                </w14:textFill>
              </w:rPr>
              <w:t>|</w:t>
            </w:r>
            <w:r w:rsidRPr="00640308">
              <w:rPr>
                <w:rFonts w:hint="eastAsia"/>
                <w:color w:val="000000"/>
                <w:spacing w:val="3"/>
                <w:w w:val="20"/>
                <w:shd w:val="solid" w:color="000000" w:fill="000000"/>
                <w:fitText w:val="90" w:id="-1032109814"/>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tcPr>
          <w:p w14:paraId="5C69F0E6" w14:textId="4418ABBF"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9"/>
                <w:shd w:val="solid" w:color="000000" w:fill="000000"/>
                <w:fitText w:val="130" w:id="-1032109813"/>
                <w14:textFill>
                  <w14:solidFill>
                    <w14:srgbClr w14:val="000000">
                      <w14:alpha w14:val="100000"/>
                    </w14:srgbClr>
                  </w14:solidFill>
                </w14:textFill>
              </w:rPr>
              <w:t xml:space="preserve">　</w:t>
            </w:r>
            <w:r w:rsidRPr="00640308">
              <w:rPr>
                <w:color w:val="000000"/>
                <w:w w:val="29"/>
                <w:shd w:val="solid" w:color="000000" w:fill="000000"/>
                <w:fitText w:val="130" w:id="-1032109813"/>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3"/>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674B98FE" w14:textId="335E652A"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2"/>
                <w14:textFill>
                  <w14:solidFill>
                    <w14:srgbClr w14:val="000000">
                      <w14:alpha w14:val="100000"/>
                    </w14:srgbClr>
                  </w14:solidFill>
                </w14:textFill>
              </w:rPr>
              <w:t xml:space="preserve">　</w:t>
            </w:r>
            <w:r w:rsidRPr="00640308">
              <w:rPr>
                <w:color w:val="000000"/>
                <w:w w:val="24"/>
                <w:shd w:val="solid" w:color="000000" w:fill="000000"/>
                <w:fitText w:val="110" w:id="-1032109812"/>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2"/>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5A3948A0" w14:textId="61089682"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1"/>
                <w14:textFill>
                  <w14:solidFill>
                    <w14:srgbClr w14:val="000000">
                      <w14:alpha w14:val="100000"/>
                    </w14:srgbClr>
                  </w14:solidFill>
                </w14:textFill>
              </w:rPr>
              <w:t xml:space="preserve">　</w:t>
            </w:r>
            <w:r w:rsidRPr="00640308">
              <w:rPr>
                <w:color w:val="000000"/>
                <w:w w:val="24"/>
                <w:shd w:val="solid" w:color="000000" w:fill="000000"/>
                <w:fitText w:val="110" w:id="-1032109811"/>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1"/>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62A401BB" w14:textId="2DA6992F"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0"/>
                <w14:textFill>
                  <w14:solidFill>
                    <w14:srgbClr w14:val="000000">
                      <w14:alpha w14:val="100000"/>
                    </w14:srgbClr>
                  </w14:solidFill>
                </w14:textFill>
              </w:rPr>
              <w:t xml:space="preserve">　</w:t>
            </w:r>
            <w:r w:rsidRPr="00640308">
              <w:rPr>
                <w:color w:val="000000"/>
                <w:w w:val="24"/>
                <w:shd w:val="solid" w:color="000000" w:fill="000000"/>
                <w:fitText w:val="110" w:id="-1032109810"/>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0"/>
                <w14:textFill>
                  <w14:solidFill>
                    <w14:srgbClr w14:val="000000">
                      <w14:alpha w14:val="100000"/>
                    </w14:srgbClr>
                  </w14:solidFill>
                </w14:textFill>
              </w:rPr>
              <w:t xml:space="preserve">　</w:t>
            </w:r>
            <w:r w:rsidR="004448DC">
              <w:rPr>
                <w:vertAlign w:val="superscript"/>
              </w:rPr>
              <w:t>1</w:t>
            </w:r>
          </w:p>
        </w:tc>
      </w:tr>
      <w:tr w:rsidR="003B2ED8" w:rsidRPr="00980134" w14:paraId="3BBF5663" w14:textId="77777777" w:rsidTr="003B2ED8">
        <w:trPr>
          <w:trHeight w:val="300"/>
        </w:trPr>
        <w:tc>
          <w:tcPr>
            <w:tcW w:w="1838" w:type="dxa"/>
            <w:shd w:val="clear" w:color="auto" w:fill="auto"/>
            <w:noWrap/>
            <w:tcMar>
              <w:left w:w="57" w:type="dxa"/>
              <w:right w:w="57" w:type="dxa"/>
            </w:tcMar>
            <w:vAlign w:val="bottom"/>
          </w:tcPr>
          <w:p w14:paraId="1BABDCBC" w14:textId="4CF1DFF3" w:rsidR="00F262CA" w:rsidRPr="00980134" w:rsidRDefault="00F262CA" w:rsidP="00141DB3">
            <w:pPr>
              <w:pStyle w:val="COMTabletext"/>
              <w:rPr>
                <w:b/>
                <w:bCs w:val="0"/>
              </w:rPr>
            </w:pPr>
            <w:r w:rsidRPr="00980134">
              <w:t xml:space="preserve">Proportion with </w:t>
            </w:r>
            <w:proofErr w:type="spellStart"/>
            <w:r w:rsidRPr="00980134">
              <w:t>uBC</w:t>
            </w:r>
            <w:proofErr w:type="spellEnd"/>
            <w:r w:rsidRPr="00980134">
              <w:t>/</w:t>
            </w:r>
            <w:proofErr w:type="spellStart"/>
            <w:r w:rsidRPr="00980134">
              <w:t>mBC</w:t>
            </w:r>
            <w:proofErr w:type="spellEnd"/>
          </w:p>
        </w:tc>
        <w:tc>
          <w:tcPr>
            <w:tcW w:w="567" w:type="dxa"/>
            <w:shd w:val="clear" w:color="auto" w:fill="auto"/>
            <w:noWrap/>
            <w:tcMar>
              <w:left w:w="28" w:type="dxa"/>
              <w:right w:w="28" w:type="dxa"/>
            </w:tcMar>
            <w:vAlign w:val="bottom"/>
          </w:tcPr>
          <w:p w14:paraId="2B3FDF08" w14:textId="76294850" w:rsidR="00F262CA" w:rsidRPr="00980134" w:rsidRDefault="00F262CA" w:rsidP="00141DB3">
            <w:pPr>
              <w:pStyle w:val="COMTabletext"/>
              <w:jc w:val="center"/>
              <w:rPr>
                <w:b/>
                <w:bCs w:val="0"/>
              </w:rPr>
            </w:pPr>
            <w:r w:rsidRPr="00980134">
              <w:t>54.8%</w:t>
            </w:r>
          </w:p>
        </w:tc>
        <w:tc>
          <w:tcPr>
            <w:tcW w:w="1134" w:type="dxa"/>
            <w:shd w:val="clear" w:color="auto" w:fill="auto"/>
            <w:noWrap/>
            <w:tcMar>
              <w:left w:w="57" w:type="dxa"/>
              <w:right w:w="57" w:type="dxa"/>
            </w:tcMar>
            <w:vAlign w:val="bottom"/>
          </w:tcPr>
          <w:p w14:paraId="4C5BFB5D" w14:textId="6E2C45F7"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09"/>
                <w14:textFill>
                  <w14:solidFill>
                    <w14:srgbClr w14:val="000000">
                      <w14:alpha w14:val="100000"/>
                    </w14:srgbClr>
                  </w14:solidFill>
                </w14:textFill>
              </w:rPr>
              <w:t xml:space="preserve">　</w:t>
            </w:r>
            <w:r w:rsidRPr="00640308">
              <w:rPr>
                <w:color w:val="000000"/>
                <w:w w:val="20"/>
                <w:shd w:val="solid" w:color="000000" w:fill="000000"/>
                <w:fitText w:val="90" w:id="-1032109809"/>
                <w14:textFill>
                  <w14:solidFill>
                    <w14:srgbClr w14:val="000000">
                      <w14:alpha w14:val="100000"/>
                    </w14:srgbClr>
                  </w14:solidFill>
                </w14:textFill>
              </w:rPr>
              <w:t>|</w:t>
            </w:r>
            <w:r w:rsidRPr="00640308">
              <w:rPr>
                <w:rFonts w:hint="eastAsia"/>
                <w:color w:val="000000"/>
                <w:spacing w:val="3"/>
                <w:w w:val="20"/>
                <w:shd w:val="solid" w:color="000000" w:fill="000000"/>
                <w:fitText w:val="90" w:id="-1032109809"/>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tcPr>
          <w:p w14:paraId="7FC7073B" w14:textId="28AB9CC7"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08"/>
                <w14:textFill>
                  <w14:solidFill>
                    <w14:srgbClr w14:val="000000">
                      <w14:alpha w14:val="100000"/>
                    </w14:srgbClr>
                  </w14:solidFill>
                </w14:textFill>
              </w:rPr>
              <w:t xml:space="preserve">　</w:t>
            </w:r>
            <w:r w:rsidRPr="00640308">
              <w:rPr>
                <w:color w:val="000000"/>
                <w:w w:val="20"/>
                <w:shd w:val="solid" w:color="000000" w:fill="000000"/>
                <w:fitText w:val="90" w:id="-1032109808"/>
                <w14:textFill>
                  <w14:solidFill>
                    <w14:srgbClr w14:val="000000">
                      <w14:alpha w14:val="100000"/>
                    </w14:srgbClr>
                  </w14:solidFill>
                </w14:textFill>
              </w:rPr>
              <w:t>|</w:t>
            </w:r>
            <w:r w:rsidRPr="00640308">
              <w:rPr>
                <w:rFonts w:hint="eastAsia"/>
                <w:color w:val="000000"/>
                <w:spacing w:val="3"/>
                <w:w w:val="20"/>
                <w:shd w:val="solid" w:color="000000" w:fill="000000"/>
                <w:fitText w:val="90" w:id="-1032109808"/>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tcPr>
          <w:p w14:paraId="116D6A95" w14:textId="11A830A6"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9"/>
                <w:shd w:val="solid" w:color="000000" w:fill="000000"/>
                <w:fitText w:val="130" w:id="-1032109824"/>
                <w14:textFill>
                  <w14:solidFill>
                    <w14:srgbClr w14:val="000000">
                      <w14:alpha w14:val="100000"/>
                    </w14:srgbClr>
                  </w14:solidFill>
                </w14:textFill>
              </w:rPr>
              <w:t xml:space="preserve">　</w:t>
            </w:r>
            <w:r w:rsidRPr="00640308">
              <w:rPr>
                <w:color w:val="000000"/>
                <w:w w:val="29"/>
                <w:shd w:val="solid" w:color="000000" w:fill="000000"/>
                <w:fitText w:val="130" w:id="-1032109824"/>
                <w14:textFill>
                  <w14:solidFill>
                    <w14:srgbClr w14:val="000000">
                      <w14:alpha w14:val="100000"/>
                    </w14:srgbClr>
                  </w14:solidFill>
                </w14:textFill>
              </w:rPr>
              <w:t>|</w:t>
            </w:r>
            <w:r w:rsidRPr="00640308">
              <w:rPr>
                <w:rFonts w:hint="eastAsia"/>
                <w:color w:val="000000"/>
                <w:spacing w:val="2"/>
                <w:w w:val="29"/>
                <w:shd w:val="solid" w:color="000000" w:fill="000000"/>
                <w:fitText w:val="130" w:id="-1032109824"/>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2D9E8B41" w14:textId="53DA2490"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23"/>
                <w14:textFill>
                  <w14:solidFill>
                    <w14:srgbClr w14:val="000000">
                      <w14:alpha w14:val="100000"/>
                    </w14:srgbClr>
                  </w14:solidFill>
                </w14:textFill>
              </w:rPr>
              <w:t xml:space="preserve">　</w:t>
            </w:r>
            <w:r w:rsidRPr="00640308">
              <w:rPr>
                <w:color w:val="000000"/>
                <w:w w:val="24"/>
                <w:shd w:val="solid" w:color="000000" w:fill="000000"/>
                <w:fitText w:val="110" w:id="-1032109823"/>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3"/>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36510E23" w14:textId="510C3D1C"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22"/>
                <w14:textFill>
                  <w14:solidFill>
                    <w14:srgbClr w14:val="000000">
                      <w14:alpha w14:val="100000"/>
                    </w14:srgbClr>
                  </w14:solidFill>
                </w14:textFill>
              </w:rPr>
              <w:t xml:space="preserve">　</w:t>
            </w:r>
            <w:r w:rsidRPr="00640308">
              <w:rPr>
                <w:color w:val="000000"/>
                <w:w w:val="24"/>
                <w:shd w:val="solid" w:color="000000" w:fill="000000"/>
                <w:fitText w:val="110" w:id="-1032109822"/>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2"/>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5E98202B" w14:textId="120AC69B"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21"/>
                <w14:textFill>
                  <w14:solidFill>
                    <w14:srgbClr w14:val="000000">
                      <w14:alpha w14:val="100000"/>
                    </w14:srgbClr>
                  </w14:solidFill>
                </w14:textFill>
              </w:rPr>
              <w:t xml:space="preserve">　</w:t>
            </w:r>
            <w:r w:rsidRPr="00640308">
              <w:rPr>
                <w:color w:val="000000"/>
                <w:w w:val="24"/>
                <w:shd w:val="solid" w:color="000000" w:fill="000000"/>
                <w:fitText w:val="110" w:id="-1032109821"/>
                <w14:textFill>
                  <w14:solidFill>
                    <w14:srgbClr w14:val="000000">
                      <w14:alpha w14:val="100000"/>
                    </w14:srgbClr>
                  </w14:solidFill>
                </w14:textFill>
              </w:rPr>
              <w:t>|</w:t>
            </w:r>
            <w:r w:rsidRPr="00640308">
              <w:rPr>
                <w:rFonts w:hint="eastAsia"/>
                <w:color w:val="000000"/>
                <w:spacing w:val="6"/>
                <w:w w:val="24"/>
                <w:shd w:val="solid" w:color="000000" w:fill="000000"/>
                <w:fitText w:val="110" w:id="-1032109821"/>
                <w14:textFill>
                  <w14:solidFill>
                    <w14:srgbClr w14:val="000000">
                      <w14:alpha w14:val="100000"/>
                    </w14:srgbClr>
                  </w14:solidFill>
                </w14:textFill>
              </w:rPr>
              <w:t xml:space="preserve">　</w:t>
            </w:r>
            <w:r w:rsidR="004448DC">
              <w:rPr>
                <w:vertAlign w:val="superscript"/>
              </w:rPr>
              <w:t>1</w:t>
            </w:r>
          </w:p>
        </w:tc>
      </w:tr>
      <w:tr w:rsidR="003B2ED8" w:rsidRPr="00980134" w14:paraId="5A79C696" w14:textId="77777777" w:rsidTr="003B2ED8">
        <w:trPr>
          <w:trHeight w:val="300"/>
        </w:trPr>
        <w:tc>
          <w:tcPr>
            <w:tcW w:w="1838" w:type="dxa"/>
            <w:shd w:val="clear" w:color="auto" w:fill="auto"/>
            <w:noWrap/>
            <w:tcMar>
              <w:left w:w="57" w:type="dxa"/>
              <w:right w:w="57" w:type="dxa"/>
            </w:tcMar>
            <w:vAlign w:val="bottom"/>
          </w:tcPr>
          <w:p w14:paraId="519EA1AB" w14:textId="18BAF136" w:rsidR="00F262CA" w:rsidRPr="00980134" w:rsidRDefault="00F262CA" w:rsidP="00141DB3">
            <w:pPr>
              <w:pStyle w:val="COMTabletext"/>
              <w:rPr>
                <w:b/>
                <w:bCs w:val="0"/>
              </w:rPr>
            </w:pPr>
            <w:r w:rsidRPr="00980134">
              <w:t>% HER2 low (to remove IHC zero patients from TNBC estimates used by SG)</w:t>
            </w:r>
          </w:p>
        </w:tc>
        <w:tc>
          <w:tcPr>
            <w:tcW w:w="567" w:type="dxa"/>
            <w:shd w:val="clear" w:color="auto" w:fill="auto"/>
            <w:noWrap/>
            <w:tcMar>
              <w:left w:w="28" w:type="dxa"/>
              <w:right w:w="28" w:type="dxa"/>
            </w:tcMar>
            <w:vAlign w:val="bottom"/>
          </w:tcPr>
          <w:p w14:paraId="4DAD007A" w14:textId="6967AB5D" w:rsidR="00F262CA" w:rsidRPr="00980134" w:rsidRDefault="00F262CA" w:rsidP="00141DB3">
            <w:pPr>
              <w:pStyle w:val="COMTabletext"/>
              <w:jc w:val="center"/>
              <w:rPr>
                <w:b/>
                <w:bCs w:val="0"/>
              </w:rPr>
            </w:pPr>
            <w:r w:rsidRPr="00980134">
              <w:t>36.6%</w:t>
            </w:r>
          </w:p>
        </w:tc>
        <w:tc>
          <w:tcPr>
            <w:tcW w:w="1134" w:type="dxa"/>
            <w:shd w:val="clear" w:color="auto" w:fill="auto"/>
            <w:noWrap/>
            <w:tcMar>
              <w:left w:w="57" w:type="dxa"/>
              <w:right w:w="57" w:type="dxa"/>
            </w:tcMar>
            <w:vAlign w:val="bottom"/>
          </w:tcPr>
          <w:p w14:paraId="00F81C9E" w14:textId="3C17BC83"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20"/>
                <w14:textFill>
                  <w14:solidFill>
                    <w14:srgbClr w14:val="000000">
                      <w14:alpha w14:val="100000"/>
                    </w14:srgbClr>
                  </w14:solidFill>
                </w14:textFill>
              </w:rPr>
              <w:t xml:space="preserve">　</w:t>
            </w:r>
            <w:r w:rsidRPr="00640308">
              <w:rPr>
                <w:color w:val="000000"/>
                <w:w w:val="20"/>
                <w:shd w:val="solid" w:color="000000" w:fill="000000"/>
                <w:fitText w:val="90" w:id="-1032109820"/>
                <w14:textFill>
                  <w14:solidFill>
                    <w14:srgbClr w14:val="000000">
                      <w14:alpha w14:val="100000"/>
                    </w14:srgbClr>
                  </w14:solidFill>
                </w14:textFill>
              </w:rPr>
              <w:t>|</w:t>
            </w:r>
            <w:r w:rsidRPr="00640308">
              <w:rPr>
                <w:rFonts w:hint="eastAsia"/>
                <w:color w:val="000000"/>
                <w:spacing w:val="3"/>
                <w:w w:val="20"/>
                <w:shd w:val="solid" w:color="000000" w:fill="000000"/>
                <w:fitText w:val="90" w:id="-1032109820"/>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tcPr>
          <w:p w14:paraId="496E9A23" w14:textId="0C7CFCA9"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19"/>
                <w14:textFill>
                  <w14:solidFill>
                    <w14:srgbClr w14:val="000000">
                      <w14:alpha w14:val="100000"/>
                    </w14:srgbClr>
                  </w14:solidFill>
                </w14:textFill>
              </w:rPr>
              <w:t xml:space="preserve">　</w:t>
            </w:r>
            <w:r w:rsidRPr="00640308">
              <w:rPr>
                <w:color w:val="000000"/>
                <w:w w:val="20"/>
                <w:shd w:val="solid" w:color="000000" w:fill="000000"/>
                <w:fitText w:val="90" w:id="-1032109819"/>
                <w14:textFill>
                  <w14:solidFill>
                    <w14:srgbClr w14:val="000000">
                      <w14:alpha w14:val="100000"/>
                    </w14:srgbClr>
                  </w14:solidFill>
                </w14:textFill>
              </w:rPr>
              <w:t>|</w:t>
            </w:r>
            <w:r w:rsidRPr="00640308">
              <w:rPr>
                <w:rFonts w:hint="eastAsia"/>
                <w:color w:val="000000"/>
                <w:spacing w:val="3"/>
                <w:w w:val="20"/>
                <w:shd w:val="solid" w:color="000000" w:fill="000000"/>
                <w:fitText w:val="90" w:id="-1032109819"/>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tcPr>
          <w:p w14:paraId="331C0829" w14:textId="3A50DFB4"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9"/>
                <w:shd w:val="solid" w:color="000000" w:fill="000000"/>
                <w:fitText w:val="130" w:id="-1032109818"/>
                <w14:textFill>
                  <w14:solidFill>
                    <w14:srgbClr w14:val="000000">
                      <w14:alpha w14:val="100000"/>
                    </w14:srgbClr>
                  </w14:solidFill>
                </w14:textFill>
              </w:rPr>
              <w:t xml:space="preserve">　</w:t>
            </w:r>
            <w:r w:rsidRPr="00640308">
              <w:rPr>
                <w:color w:val="000000"/>
                <w:w w:val="29"/>
                <w:shd w:val="solid" w:color="000000" w:fill="000000"/>
                <w:fitText w:val="130" w:id="-1032109818"/>
                <w14:textFill>
                  <w14:solidFill>
                    <w14:srgbClr w14:val="000000">
                      <w14:alpha w14:val="100000"/>
                    </w14:srgbClr>
                  </w14:solidFill>
                </w14:textFill>
              </w:rPr>
              <w:t>|</w:t>
            </w:r>
            <w:r w:rsidRPr="00640308">
              <w:rPr>
                <w:rFonts w:hint="eastAsia"/>
                <w:color w:val="000000"/>
                <w:spacing w:val="2"/>
                <w:w w:val="29"/>
                <w:shd w:val="solid" w:color="000000" w:fill="000000"/>
                <w:fitText w:val="130" w:id="-1032109818"/>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5571CADC" w14:textId="35262AC7"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7"/>
                <w14:textFill>
                  <w14:solidFill>
                    <w14:srgbClr w14:val="000000">
                      <w14:alpha w14:val="100000"/>
                    </w14:srgbClr>
                  </w14:solidFill>
                </w14:textFill>
              </w:rPr>
              <w:t xml:space="preserve">　</w:t>
            </w:r>
            <w:r w:rsidRPr="00640308">
              <w:rPr>
                <w:color w:val="000000"/>
                <w:w w:val="24"/>
                <w:shd w:val="solid" w:color="000000" w:fill="000000"/>
                <w:fitText w:val="110" w:id="-1032109817"/>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7"/>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09803C15" w14:textId="20AF6AE9"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6"/>
                <w14:textFill>
                  <w14:solidFill>
                    <w14:srgbClr w14:val="000000">
                      <w14:alpha w14:val="100000"/>
                    </w14:srgbClr>
                  </w14:solidFill>
                </w14:textFill>
              </w:rPr>
              <w:t xml:space="preserve">　</w:t>
            </w:r>
            <w:r w:rsidRPr="00640308">
              <w:rPr>
                <w:color w:val="000000"/>
                <w:w w:val="24"/>
                <w:shd w:val="solid" w:color="000000" w:fill="000000"/>
                <w:fitText w:val="110" w:id="-1032109816"/>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6"/>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tcPr>
          <w:p w14:paraId="178DA329" w14:textId="28735859"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815"/>
                <w14:textFill>
                  <w14:solidFill>
                    <w14:srgbClr w14:val="000000">
                      <w14:alpha w14:val="100000"/>
                    </w14:srgbClr>
                  </w14:solidFill>
                </w14:textFill>
              </w:rPr>
              <w:t xml:space="preserve">　</w:t>
            </w:r>
            <w:r w:rsidRPr="00640308">
              <w:rPr>
                <w:color w:val="000000"/>
                <w:w w:val="24"/>
                <w:shd w:val="solid" w:color="000000" w:fill="000000"/>
                <w:fitText w:val="110" w:id="-1032109815"/>
                <w14:textFill>
                  <w14:solidFill>
                    <w14:srgbClr w14:val="000000">
                      <w14:alpha w14:val="100000"/>
                    </w14:srgbClr>
                  </w14:solidFill>
                </w14:textFill>
              </w:rPr>
              <w:t>|</w:t>
            </w:r>
            <w:r w:rsidRPr="00640308">
              <w:rPr>
                <w:rFonts w:hint="eastAsia"/>
                <w:color w:val="000000"/>
                <w:spacing w:val="6"/>
                <w:w w:val="24"/>
                <w:shd w:val="solid" w:color="000000" w:fill="000000"/>
                <w:fitText w:val="110" w:id="-1032109815"/>
                <w14:textFill>
                  <w14:solidFill>
                    <w14:srgbClr w14:val="000000">
                      <w14:alpha w14:val="100000"/>
                    </w14:srgbClr>
                  </w14:solidFill>
                </w14:textFill>
              </w:rPr>
              <w:t xml:space="preserve">　</w:t>
            </w:r>
            <w:r w:rsidR="004448DC">
              <w:rPr>
                <w:vertAlign w:val="superscript"/>
              </w:rPr>
              <w:t>1</w:t>
            </w:r>
          </w:p>
        </w:tc>
      </w:tr>
      <w:tr w:rsidR="003B2ED8" w:rsidRPr="00980134" w14:paraId="7ED580C5" w14:textId="77777777" w:rsidTr="003B2ED8">
        <w:trPr>
          <w:trHeight w:val="300"/>
        </w:trPr>
        <w:tc>
          <w:tcPr>
            <w:tcW w:w="1838" w:type="dxa"/>
            <w:shd w:val="clear" w:color="auto" w:fill="auto"/>
            <w:noWrap/>
            <w:tcMar>
              <w:left w:w="57" w:type="dxa"/>
              <w:right w:w="57" w:type="dxa"/>
            </w:tcMar>
            <w:vAlign w:val="bottom"/>
          </w:tcPr>
          <w:p w14:paraId="3C017EAF" w14:textId="08B4AFAD" w:rsidR="00F262CA" w:rsidRPr="00980134" w:rsidRDefault="00F262CA" w:rsidP="00141DB3">
            <w:pPr>
              <w:pStyle w:val="COMTabletext"/>
              <w:rPr>
                <w:b/>
                <w:bCs w:val="0"/>
              </w:rPr>
            </w:pPr>
            <w:r w:rsidRPr="00980134">
              <w:t>Proportion of patients for whom T</w:t>
            </w:r>
            <w:r w:rsidRPr="00980134">
              <w:noBreakHyphen/>
            </w:r>
            <w:proofErr w:type="spellStart"/>
            <w:r w:rsidRPr="00980134">
              <w:t>DXd</w:t>
            </w:r>
            <w:proofErr w:type="spellEnd"/>
            <w:r w:rsidRPr="00980134">
              <w:t xml:space="preserve"> is clinically appropriate</w:t>
            </w:r>
          </w:p>
        </w:tc>
        <w:tc>
          <w:tcPr>
            <w:tcW w:w="567" w:type="dxa"/>
            <w:shd w:val="clear" w:color="auto" w:fill="auto"/>
            <w:noWrap/>
            <w:tcMar>
              <w:left w:w="28" w:type="dxa"/>
              <w:right w:w="28" w:type="dxa"/>
            </w:tcMar>
            <w:vAlign w:val="bottom"/>
          </w:tcPr>
          <w:p w14:paraId="2065C5A2" w14:textId="16C43BA5" w:rsidR="00F262CA" w:rsidRPr="00980134" w:rsidRDefault="00F262CA" w:rsidP="00141DB3">
            <w:pPr>
              <w:pStyle w:val="COMTabletext"/>
              <w:jc w:val="center"/>
              <w:rPr>
                <w:b/>
                <w:bCs w:val="0"/>
              </w:rPr>
            </w:pPr>
            <w:r w:rsidRPr="00980134">
              <w:t>50%</w:t>
            </w:r>
          </w:p>
        </w:tc>
        <w:tc>
          <w:tcPr>
            <w:tcW w:w="1134" w:type="dxa"/>
            <w:shd w:val="clear" w:color="auto" w:fill="auto"/>
            <w:noWrap/>
            <w:tcMar>
              <w:left w:w="57" w:type="dxa"/>
              <w:right w:w="57" w:type="dxa"/>
            </w:tcMar>
            <w:vAlign w:val="bottom"/>
          </w:tcPr>
          <w:p w14:paraId="7B5BAB52" w14:textId="3FC2A6DA"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814"/>
                <w14:textFill>
                  <w14:solidFill>
                    <w14:srgbClr w14:val="000000">
                      <w14:alpha w14:val="100000"/>
                    </w14:srgbClr>
                  </w14:solidFill>
                </w14:textFill>
              </w:rPr>
              <w:t xml:space="preserve">　</w:t>
            </w:r>
            <w:r w:rsidRPr="00640308">
              <w:rPr>
                <w:color w:val="000000"/>
                <w:w w:val="20"/>
                <w:shd w:val="solid" w:color="000000" w:fill="000000"/>
                <w:fitText w:val="90" w:id="-1032109814"/>
                <w14:textFill>
                  <w14:solidFill>
                    <w14:srgbClr w14:val="000000">
                      <w14:alpha w14:val="100000"/>
                    </w14:srgbClr>
                  </w14:solidFill>
                </w14:textFill>
              </w:rPr>
              <w:t>|</w:t>
            </w:r>
            <w:r w:rsidRPr="00640308">
              <w:rPr>
                <w:rFonts w:hint="eastAsia"/>
                <w:color w:val="000000"/>
                <w:spacing w:val="3"/>
                <w:w w:val="20"/>
                <w:shd w:val="solid" w:color="000000" w:fill="000000"/>
                <w:fitText w:val="90" w:id="-1032109814"/>
                <w14:textFill>
                  <w14:solidFill>
                    <w14:srgbClr w14:val="000000">
                      <w14:alpha w14:val="100000"/>
                    </w14:srgbClr>
                  </w14:solidFill>
                </w14:textFill>
              </w:rPr>
              <w:t xml:space="preserve">　</w:t>
            </w:r>
            <w:r w:rsidR="004448DC">
              <w:rPr>
                <w:vertAlign w:val="superscript"/>
              </w:rPr>
              <w:t>2</w:t>
            </w:r>
          </w:p>
        </w:tc>
        <w:tc>
          <w:tcPr>
            <w:tcW w:w="1134" w:type="dxa"/>
            <w:shd w:val="clear" w:color="auto" w:fill="auto"/>
            <w:noWrap/>
            <w:tcMar>
              <w:left w:w="57" w:type="dxa"/>
              <w:right w:w="57" w:type="dxa"/>
            </w:tcMar>
            <w:vAlign w:val="bottom"/>
          </w:tcPr>
          <w:p w14:paraId="06C84FF8" w14:textId="34901DFF"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0"/>
                <w:shd w:val="solid" w:color="000000" w:fill="000000"/>
                <w:fitText w:val="90" w:id="-1032109568"/>
                <w14:textFill>
                  <w14:solidFill>
                    <w14:srgbClr w14:val="000000">
                      <w14:alpha w14:val="100000"/>
                    </w14:srgbClr>
                  </w14:solidFill>
                </w14:textFill>
              </w:rPr>
              <w:t xml:space="preserve">　</w:t>
            </w:r>
            <w:r w:rsidRPr="00640308">
              <w:rPr>
                <w:color w:val="000000"/>
                <w:w w:val="20"/>
                <w:shd w:val="solid" w:color="000000" w:fill="000000"/>
                <w:fitText w:val="90" w:id="-1032109568"/>
                <w14:textFill>
                  <w14:solidFill>
                    <w14:srgbClr w14:val="000000">
                      <w14:alpha w14:val="100000"/>
                    </w14:srgbClr>
                  </w14:solidFill>
                </w14:textFill>
              </w:rPr>
              <w:t>|</w:t>
            </w:r>
            <w:r w:rsidRPr="00640308">
              <w:rPr>
                <w:rFonts w:hint="eastAsia"/>
                <w:color w:val="000000"/>
                <w:spacing w:val="3"/>
                <w:w w:val="20"/>
                <w:shd w:val="solid" w:color="000000" w:fill="000000"/>
                <w:fitText w:val="90" w:id="-1032109568"/>
                <w14:textFill>
                  <w14:solidFill>
                    <w14:srgbClr w14:val="000000">
                      <w14:alpha w14:val="100000"/>
                    </w14:srgbClr>
                  </w14:solidFill>
                </w14:textFill>
              </w:rPr>
              <w:t xml:space="preserve">　</w:t>
            </w:r>
            <w:r w:rsidR="004448DC">
              <w:rPr>
                <w:vertAlign w:val="superscript"/>
              </w:rPr>
              <w:t>2</w:t>
            </w:r>
          </w:p>
        </w:tc>
        <w:tc>
          <w:tcPr>
            <w:tcW w:w="1038" w:type="dxa"/>
            <w:shd w:val="clear" w:color="auto" w:fill="auto"/>
            <w:noWrap/>
            <w:tcMar>
              <w:left w:w="57" w:type="dxa"/>
              <w:right w:w="57" w:type="dxa"/>
            </w:tcMar>
            <w:vAlign w:val="bottom"/>
          </w:tcPr>
          <w:p w14:paraId="4DB09537" w14:textId="35FCBF56"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9"/>
                <w:shd w:val="solid" w:color="000000" w:fill="000000"/>
                <w:fitText w:val="130" w:id="-1032109567"/>
                <w14:textFill>
                  <w14:solidFill>
                    <w14:srgbClr w14:val="000000">
                      <w14:alpha w14:val="100000"/>
                    </w14:srgbClr>
                  </w14:solidFill>
                </w14:textFill>
              </w:rPr>
              <w:t xml:space="preserve">　</w:t>
            </w:r>
            <w:r w:rsidRPr="00640308">
              <w:rPr>
                <w:color w:val="000000"/>
                <w:w w:val="29"/>
                <w:shd w:val="solid" w:color="000000" w:fill="000000"/>
                <w:fitText w:val="130" w:id="-1032109567"/>
                <w14:textFill>
                  <w14:solidFill>
                    <w14:srgbClr w14:val="000000">
                      <w14:alpha w14:val="100000"/>
                    </w14:srgbClr>
                  </w14:solidFill>
                </w14:textFill>
              </w:rPr>
              <w:t>|</w:t>
            </w:r>
            <w:r w:rsidRPr="00640308">
              <w:rPr>
                <w:rFonts w:hint="eastAsia"/>
                <w:color w:val="000000"/>
                <w:spacing w:val="2"/>
                <w:w w:val="29"/>
                <w:shd w:val="solid" w:color="000000" w:fill="000000"/>
                <w:fitText w:val="130" w:id="-1032109567"/>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tcPr>
          <w:p w14:paraId="0A593AB2" w14:textId="3C2C0670"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566"/>
                <w14:textFill>
                  <w14:solidFill>
                    <w14:srgbClr w14:val="000000">
                      <w14:alpha w14:val="100000"/>
                    </w14:srgbClr>
                  </w14:solidFill>
                </w14:textFill>
              </w:rPr>
              <w:t xml:space="preserve">　</w:t>
            </w:r>
            <w:r w:rsidRPr="00640308">
              <w:rPr>
                <w:color w:val="000000"/>
                <w:w w:val="24"/>
                <w:shd w:val="solid" w:color="000000" w:fill="000000"/>
                <w:fitText w:val="110" w:id="-1032109566"/>
                <w14:textFill>
                  <w14:solidFill>
                    <w14:srgbClr w14:val="000000">
                      <w14:alpha w14:val="100000"/>
                    </w14:srgbClr>
                  </w14:solidFill>
                </w14:textFill>
              </w:rPr>
              <w:t>|</w:t>
            </w:r>
            <w:r w:rsidRPr="00640308">
              <w:rPr>
                <w:rFonts w:hint="eastAsia"/>
                <w:color w:val="000000"/>
                <w:spacing w:val="6"/>
                <w:w w:val="24"/>
                <w:shd w:val="solid" w:color="000000" w:fill="000000"/>
                <w:fitText w:val="110" w:id="-1032109566"/>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tcPr>
          <w:p w14:paraId="1C2D7EBB" w14:textId="2AC028DC"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565"/>
                <w14:textFill>
                  <w14:solidFill>
                    <w14:srgbClr w14:val="000000">
                      <w14:alpha w14:val="100000"/>
                    </w14:srgbClr>
                  </w14:solidFill>
                </w14:textFill>
              </w:rPr>
              <w:t xml:space="preserve">　</w:t>
            </w:r>
            <w:r w:rsidRPr="00640308">
              <w:rPr>
                <w:color w:val="000000"/>
                <w:w w:val="24"/>
                <w:shd w:val="solid" w:color="000000" w:fill="000000"/>
                <w:fitText w:val="110" w:id="-1032109565"/>
                <w14:textFill>
                  <w14:solidFill>
                    <w14:srgbClr w14:val="000000">
                      <w14:alpha w14:val="100000"/>
                    </w14:srgbClr>
                  </w14:solidFill>
                </w14:textFill>
              </w:rPr>
              <w:t>|</w:t>
            </w:r>
            <w:r w:rsidRPr="00640308">
              <w:rPr>
                <w:rFonts w:hint="eastAsia"/>
                <w:color w:val="000000"/>
                <w:spacing w:val="6"/>
                <w:w w:val="24"/>
                <w:shd w:val="solid" w:color="000000" w:fill="000000"/>
                <w:fitText w:val="110" w:id="-1032109565"/>
                <w14:textFill>
                  <w14:solidFill>
                    <w14:srgbClr w14:val="000000">
                      <w14:alpha w14:val="100000"/>
                    </w14:srgbClr>
                  </w14:solidFill>
                </w14:textFill>
              </w:rPr>
              <w:t xml:space="preserve">　</w:t>
            </w:r>
            <w:r w:rsidR="004448DC">
              <w:rPr>
                <w:vertAlign w:val="superscript"/>
              </w:rPr>
              <w:t>2</w:t>
            </w:r>
          </w:p>
        </w:tc>
        <w:tc>
          <w:tcPr>
            <w:tcW w:w="1102" w:type="dxa"/>
            <w:shd w:val="clear" w:color="auto" w:fill="auto"/>
            <w:noWrap/>
            <w:tcMar>
              <w:left w:w="57" w:type="dxa"/>
              <w:right w:w="57" w:type="dxa"/>
            </w:tcMar>
            <w:vAlign w:val="bottom"/>
          </w:tcPr>
          <w:p w14:paraId="18638B07" w14:textId="0BDD609D" w:rsidR="00F262CA" w:rsidRPr="00A760D0" w:rsidRDefault="00640308" w:rsidP="00141DB3">
            <w:pPr>
              <w:pStyle w:val="COMTabletext"/>
              <w:jc w:val="center"/>
              <w:rPr>
                <w:b/>
                <w:bCs w:val="0"/>
                <w:highlight w:val="darkGray"/>
              </w:rPr>
            </w:pPr>
            <w:r w:rsidRPr="00640308">
              <w:t xml:space="preserve"> </w:t>
            </w:r>
            <w:r w:rsidRPr="00640308">
              <w:rPr>
                <w:rFonts w:hint="eastAsia"/>
                <w:color w:val="000000"/>
                <w:w w:val="24"/>
                <w:shd w:val="solid" w:color="000000" w:fill="000000"/>
                <w:fitText w:val="110" w:id="-1032109564"/>
                <w14:textFill>
                  <w14:solidFill>
                    <w14:srgbClr w14:val="000000">
                      <w14:alpha w14:val="100000"/>
                    </w14:srgbClr>
                  </w14:solidFill>
                </w14:textFill>
              </w:rPr>
              <w:t xml:space="preserve">　</w:t>
            </w:r>
            <w:r w:rsidRPr="00640308">
              <w:rPr>
                <w:color w:val="000000"/>
                <w:w w:val="24"/>
                <w:shd w:val="solid" w:color="000000" w:fill="000000"/>
                <w:fitText w:val="110" w:id="-1032109564"/>
                <w14:textFill>
                  <w14:solidFill>
                    <w14:srgbClr w14:val="000000">
                      <w14:alpha w14:val="100000"/>
                    </w14:srgbClr>
                  </w14:solidFill>
                </w14:textFill>
              </w:rPr>
              <w:t>|</w:t>
            </w:r>
            <w:r w:rsidRPr="00640308">
              <w:rPr>
                <w:rFonts w:hint="eastAsia"/>
                <w:color w:val="000000"/>
                <w:spacing w:val="6"/>
                <w:w w:val="24"/>
                <w:shd w:val="solid" w:color="000000" w:fill="000000"/>
                <w:fitText w:val="110" w:id="-1032109564"/>
                <w14:textFill>
                  <w14:solidFill>
                    <w14:srgbClr w14:val="000000">
                      <w14:alpha w14:val="100000"/>
                    </w14:srgbClr>
                  </w14:solidFill>
                </w14:textFill>
              </w:rPr>
              <w:t xml:space="preserve">　</w:t>
            </w:r>
            <w:r w:rsidR="004448DC">
              <w:rPr>
                <w:vertAlign w:val="superscript"/>
              </w:rPr>
              <w:t>2</w:t>
            </w:r>
          </w:p>
        </w:tc>
      </w:tr>
      <w:tr w:rsidR="003B2ED8" w:rsidRPr="00980134" w14:paraId="0EFD9F35" w14:textId="77777777" w:rsidTr="003B2ED8">
        <w:trPr>
          <w:trHeight w:val="300"/>
        </w:trPr>
        <w:tc>
          <w:tcPr>
            <w:tcW w:w="1838" w:type="dxa"/>
            <w:shd w:val="clear" w:color="auto" w:fill="auto"/>
            <w:noWrap/>
            <w:tcMar>
              <w:left w:w="57" w:type="dxa"/>
              <w:right w:w="57" w:type="dxa"/>
            </w:tcMar>
            <w:vAlign w:val="bottom"/>
          </w:tcPr>
          <w:p w14:paraId="185202C1" w14:textId="3CC6E9B4" w:rsidR="00F262CA" w:rsidRPr="00980134" w:rsidRDefault="00F262CA" w:rsidP="00141DB3">
            <w:pPr>
              <w:pStyle w:val="COMTabletext"/>
              <w:rPr>
                <w:b/>
                <w:bCs w:val="0"/>
              </w:rPr>
            </w:pPr>
            <w:r w:rsidRPr="00980134">
              <w:t>Uptake</w:t>
            </w:r>
          </w:p>
        </w:tc>
        <w:tc>
          <w:tcPr>
            <w:tcW w:w="567" w:type="dxa"/>
            <w:shd w:val="clear" w:color="auto" w:fill="auto"/>
            <w:noWrap/>
            <w:tcMar>
              <w:left w:w="28" w:type="dxa"/>
              <w:right w:w="28" w:type="dxa"/>
            </w:tcMar>
            <w:vAlign w:val="bottom"/>
          </w:tcPr>
          <w:p w14:paraId="1D4069DA" w14:textId="77777777" w:rsidR="00F262CA" w:rsidRPr="00980134" w:rsidRDefault="00F262CA" w:rsidP="00141DB3">
            <w:pPr>
              <w:pStyle w:val="COMTabletext"/>
              <w:rPr>
                <w:b/>
                <w:bCs w:val="0"/>
              </w:rPr>
            </w:pPr>
          </w:p>
        </w:tc>
        <w:tc>
          <w:tcPr>
            <w:tcW w:w="1134" w:type="dxa"/>
            <w:shd w:val="clear" w:color="auto" w:fill="auto"/>
            <w:noWrap/>
            <w:tcMar>
              <w:left w:w="57" w:type="dxa"/>
              <w:right w:w="57" w:type="dxa"/>
            </w:tcMar>
            <w:vAlign w:val="bottom"/>
          </w:tcPr>
          <w:p w14:paraId="4B298B77" w14:textId="28D012F0" w:rsidR="00F262CA" w:rsidRPr="004C7B1B" w:rsidRDefault="00640308" w:rsidP="00141DB3">
            <w:pPr>
              <w:pStyle w:val="COMTabletext"/>
              <w:jc w:val="center"/>
              <w:rPr>
                <w:b/>
                <w:bCs w:val="0"/>
              </w:rPr>
            </w:pPr>
            <w:r w:rsidRPr="00640308">
              <w:t xml:space="preserve"> </w:t>
            </w:r>
            <w:r w:rsidRPr="00640308">
              <w:rPr>
                <w:rFonts w:hint="eastAsia"/>
                <w:color w:val="000000"/>
                <w:w w:val="29"/>
                <w:shd w:val="solid" w:color="000000" w:fill="000000"/>
                <w:fitText w:val="130" w:id="-1032109563"/>
                <w14:textFill>
                  <w14:solidFill>
                    <w14:srgbClr w14:val="000000">
                      <w14:alpha w14:val="100000"/>
                    </w14:srgbClr>
                  </w14:solidFill>
                </w14:textFill>
              </w:rPr>
              <w:t xml:space="preserve">　</w:t>
            </w:r>
            <w:r w:rsidRPr="00640308">
              <w:rPr>
                <w:color w:val="000000"/>
                <w:w w:val="29"/>
                <w:shd w:val="solid" w:color="000000" w:fill="000000"/>
                <w:fitText w:val="130" w:id="-1032109563"/>
                <w14:textFill>
                  <w14:solidFill>
                    <w14:srgbClr w14:val="000000">
                      <w14:alpha w14:val="100000"/>
                    </w14:srgbClr>
                  </w14:solidFill>
                </w14:textFill>
              </w:rPr>
              <w:t>|</w:t>
            </w:r>
            <w:r w:rsidRPr="00640308">
              <w:rPr>
                <w:rFonts w:hint="eastAsia"/>
                <w:color w:val="000000"/>
                <w:spacing w:val="2"/>
                <w:w w:val="29"/>
                <w:shd w:val="solid" w:color="000000" w:fill="000000"/>
                <w:fitText w:val="130" w:id="-1032109563"/>
                <w14:textFill>
                  <w14:solidFill>
                    <w14:srgbClr w14:val="000000">
                      <w14:alpha w14:val="100000"/>
                    </w14:srgbClr>
                  </w14:solidFill>
                </w14:textFill>
              </w:rPr>
              <w:t xml:space="preserve">　</w:t>
            </w:r>
            <w:r w:rsidR="00F262CA" w:rsidRPr="004C7B1B">
              <w:t>%</w:t>
            </w:r>
          </w:p>
        </w:tc>
        <w:tc>
          <w:tcPr>
            <w:tcW w:w="1134" w:type="dxa"/>
            <w:shd w:val="clear" w:color="auto" w:fill="auto"/>
            <w:noWrap/>
            <w:tcMar>
              <w:left w:w="57" w:type="dxa"/>
              <w:right w:w="57" w:type="dxa"/>
            </w:tcMar>
            <w:vAlign w:val="bottom"/>
          </w:tcPr>
          <w:p w14:paraId="13D821B6" w14:textId="041CA9AC" w:rsidR="00F262CA" w:rsidRPr="004C7B1B" w:rsidRDefault="00640308" w:rsidP="00141DB3">
            <w:pPr>
              <w:pStyle w:val="COMTabletext"/>
              <w:jc w:val="center"/>
              <w:rPr>
                <w:b/>
                <w:bCs w:val="0"/>
              </w:rPr>
            </w:pPr>
            <w:r w:rsidRPr="00640308">
              <w:t xml:space="preserve"> </w:t>
            </w:r>
            <w:r w:rsidRPr="00640308">
              <w:rPr>
                <w:rFonts w:hint="eastAsia"/>
                <w:color w:val="000000"/>
                <w:w w:val="29"/>
                <w:shd w:val="solid" w:color="000000" w:fill="000000"/>
                <w:fitText w:val="130" w:id="-1032109562"/>
                <w14:textFill>
                  <w14:solidFill>
                    <w14:srgbClr w14:val="000000">
                      <w14:alpha w14:val="100000"/>
                    </w14:srgbClr>
                  </w14:solidFill>
                </w14:textFill>
              </w:rPr>
              <w:t xml:space="preserve">　</w:t>
            </w:r>
            <w:r w:rsidRPr="00640308">
              <w:rPr>
                <w:color w:val="000000"/>
                <w:w w:val="29"/>
                <w:shd w:val="solid" w:color="000000" w:fill="000000"/>
                <w:fitText w:val="130" w:id="-1032109562"/>
                <w14:textFill>
                  <w14:solidFill>
                    <w14:srgbClr w14:val="000000">
                      <w14:alpha w14:val="100000"/>
                    </w14:srgbClr>
                  </w14:solidFill>
                </w14:textFill>
              </w:rPr>
              <w:t>|</w:t>
            </w:r>
            <w:r w:rsidRPr="00640308">
              <w:rPr>
                <w:rFonts w:hint="eastAsia"/>
                <w:color w:val="000000"/>
                <w:spacing w:val="2"/>
                <w:w w:val="29"/>
                <w:shd w:val="solid" w:color="000000" w:fill="000000"/>
                <w:fitText w:val="130" w:id="-1032109562"/>
                <w14:textFill>
                  <w14:solidFill>
                    <w14:srgbClr w14:val="000000">
                      <w14:alpha w14:val="100000"/>
                    </w14:srgbClr>
                  </w14:solidFill>
                </w14:textFill>
              </w:rPr>
              <w:t xml:space="preserve">　</w:t>
            </w:r>
            <w:r w:rsidR="00F262CA" w:rsidRPr="004C7B1B">
              <w:t>%</w:t>
            </w:r>
          </w:p>
        </w:tc>
        <w:tc>
          <w:tcPr>
            <w:tcW w:w="1038" w:type="dxa"/>
            <w:shd w:val="clear" w:color="auto" w:fill="auto"/>
            <w:noWrap/>
            <w:tcMar>
              <w:left w:w="57" w:type="dxa"/>
              <w:right w:w="57" w:type="dxa"/>
            </w:tcMar>
            <w:vAlign w:val="bottom"/>
          </w:tcPr>
          <w:p w14:paraId="6591EF8C" w14:textId="17343EBB" w:rsidR="00F262CA" w:rsidRPr="004C7B1B" w:rsidRDefault="00640308" w:rsidP="00141DB3">
            <w:pPr>
              <w:pStyle w:val="COMTabletext"/>
              <w:jc w:val="center"/>
              <w:rPr>
                <w:b/>
                <w:bCs w:val="0"/>
              </w:rPr>
            </w:pPr>
            <w:r w:rsidRPr="00640308">
              <w:t xml:space="preserve"> </w:t>
            </w:r>
            <w:r w:rsidRPr="00640308">
              <w:rPr>
                <w:color w:val="000000"/>
                <w:spacing w:val="94"/>
                <w:shd w:val="solid" w:color="000000" w:fill="000000"/>
                <w:fitText w:val="180" w:id="-1032109561"/>
                <w14:textFill>
                  <w14:solidFill>
                    <w14:srgbClr w14:val="000000">
                      <w14:alpha w14:val="100000"/>
                    </w14:srgbClr>
                  </w14:solidFill>
                </w14:textFill>
              </w:rPr>
              <w:t>|</w:t>
            </w:r>
            <w:r w:rsidRPr="00640308">
              <w:rPr>
                <w:color w:val="000000"/>
                <w:spacing w:val="1"/>
                <w:shd w:val="solid" w:color="000000" w:fill="000000"/>
                <w:fitText w:val="180" w:id="-1032109561"/>
                <w14:textFill>
                  <w14:solidFill>
                    <w14:srgbClr w14:val="000000">
                      <w14:alpha w14:val="100000"/>
                    </w14:srgbClr>
                  </w14:solidFill>
                </w14:textFill>
              </w:rPr>
              <w:t>|</w:t>
            </w:r>
            <w:r w:rsidR="00F262CA" w:rsidRPr="004C7B1B">
              <w:t>%</w:t>
            </w:r>
          </w:p>
        </w:tc>
        <w:tc>
          <w:tcPr>
            <w:tcW w:w="1102" w:type="dxa"/>
            <w:shd w:val="clear" w:color="auto" w:fill="auto"/>
            <w:noWrap/>
            <w:tcMar>
              <w:left w:w="57" w:type="dxa"/>
              <w:right w:w="57" w:type="dxa"/>
            </w:tcMar>
            <w:vAlign w:val="bottom"/>
          </w:tcPr>
          <w:p w14:paraId="2A9FC30D" w14:textId="62C17140" w:rsidR="00F262CA" w:rsidRPr="004C7B1B" w:rsidRDefault="00640308" w:rsidP="00141DB3">
            <w:pPr>
              <w:pStyle w:val="COMTabletext"/>
              <w:jc w:val="center"/>
              <w:rPr>
                <w:b/>
                <w:bCs w:val="0"/>
              </w:rPr>
            </w:pPr>
            <w:r w:rsidRPr="00640308">
              <w:t xml:space="preserve"> </w:t>
            </w:r>
            <w:r w:rsidRPr="00640308">
              <w:rPr>
                <w:rFonts w:hint="eastAsia"/>
                <w:color w:val="000000"/>
                <w:w w:val="33"/>
                <w:shd w:val="solid" w:color="000000" w:fill="000000"/>
                <w:fitText w:val="150" w:id="-1032109560"/>
                <w14:textFill>
                  <w14:solidFill>
                    <w14:srgbClr w14:val="000000">
                      <w14:alpha w14:val="100000"/>
                    </w14:srgbClr>
                  </w14:solidFill>
                </w14:textFill>
              </w:rPr>
              <w:t xml:space="preserve">　</w:t>
            </w:r>
            <w:r w:rsidRPr="00640308">
              <w:rPr>
                <w:color w:val="000000"/>
                <w:w w:val="33"/>
                <w:shd w:val="solid" w:color="000000" w:fill="000000"/>
                <w:fitText w:val="150" w:id="-1032109560"/>
                <w14:textFill>
                  <w14:solidFill>
                    <w14:srgbClr w14:val="000000">
                      <w14:alpha w14:val="100000"/>
                    </w14:srgbClr>
                  </w14:solidFill>
                </w14:textFill>
              </w:rPr>
              <w:t>|</w:t>
            </w:r>
            <w:r w:rsidRPr="00640308">
              <w:rPr>
                <w:rFonts w:hint="eastAsia"/>
                <w:color w:val="000000"/>
                <w:spacing w:val="4"/>
                <w:w w:val="33"/>
                <w:shd w:val="solid" w:color="000000" w:fill="000000"/>
                <w:fitText w:val="150" w:id="-1032109560"/>
                <w14:textFill>
                  <w14:solidFill>
                    <w14:srgbClr w14:val="000000">
                      <w14:alpha w14:val="100000"/>
                    </w14:srgbClr>
                  </w14:solidFill>
                </w14:textFill>
              </w:rPr>
              <w:t xml:space="preserve">　</w:t>
            </w:r>
            <w:r w:rsidR="00F262CA" w:rsidRPr="004C7B1B">
              <w:t>%</w:t>
            </w:r>
          </w:p>
        </w:tc>
        <w:tc>
          <w:tcPr>
            <w:tcW w:w="1102" w:type="dxa"/>
            <w:shd w:val="clear" w:color="auto" w:fill="auto"/>
            <w:noWrap/>
            <w:tcMar>
              <w:left w:w="57" w:type="dxa"/>
              <w:right w:w="57" w:type="dxa"/>
            </w:tcMar>
            <w:vAlign w:val="bottom"/>
          </w:tcPr>
          <w:p w14:paraId="4E0A807F" w14:textId="67BF46E6" w:rsidR="00F262CA" w:rsidRPr="004C7B1B" w:rsidRDefault="00640308" w:rsidP="00141DB3">
            <w:pPr>
              <w:pStyle w:val="COMTabletext"/>
              <w:jc w:val="center"/>
              <w:rPr>
                <w:b/>
                <w:bCs w:val="0"/>
              </w:rPr>
            </w:pPr>
            <w:r w:rsidRPr="00640308">
              <w:t xml:space="preserve"> </w:t>
            </w:r>
            <w:r w:rsidRPr="00640308">
              <w:rPr>
                <w:rFonts w:hint="eastAsia"/>
                <w:color w:val="000000"/>
                <w:w w:val="33"/>
                <w:shd w:val="solid" w:color="000000" w:fill="000000"/>
                <w:fitText w:val="150" w:id="-1032109559"/>
                <w14:textFill>
                  <w14:solidFill>
                    <w14:srgbClr w14:val="000000">
                      <w14:alpha w14:val="100000"/>
                    </w14:srgbClr>
                  </w14:solidFill>
                </w14:textFill>
              </w:rPr>
              <w:t xml:space="preserve">　</w:t>
            </w:r>
            <w:r w:rsidRPr="00640308">
              <w:rPr>
                <w:color w:val="000000"/>
                <w:w w:val="33"/>
                <w:shd w:val="solid" w:color="000000" w:fill="000000"/>
                <w:fitText w:val="150" w:id="-1032109559"/>
                <w14:textFill>
                  <w14:solidFill>
                    <w14:srgbClr w14:val="000000">
                      <w14:alpha w14:val="100000"/>
                    </w14:srgbClr>
                  </w14:solidFill>
                </w14:textFill>
              </w:rPr>
              <w:t>|</w:t>
            </w:r>
            <w:r w:rsidRPr="00640308">
              <w:rPr>
                <w:rFonts w:hint="eastAsia"/>
                <w:color w:val="000000"/>
                <w:spacing w:val="4"/>
                <w:w w:val="33"/>
                <w:shd w:val="solid" w:color="000000" w:fill="000000"/>
                <w:fitText w:val="150" w:id="-1032109559"/>
                <w14:textFill>
                  <w14:solidFill>
                    <w14:srgbClr w14:val="000000">
                      <w14:alpha w14:val="100000"/>
                    </w14:srgbClr>
                  </w14:solidFill>
                </w14:textFill>
              </w:rPr>
              <w:t xml:space="preserve">　</w:t>
            </w:r>
            <w:r w:rsidR="00F262CA" w:rsidRPr="004C7B1B">
              <w:t>%</w:t>
            </w:r>
          </w:p>
        </w:tc>
        <w:tc>
          <w:tcPr>
            <w:tcW w:w="1102" w:type="dxa"/>
            <w:shd w:val="clear" w:color="auto" w:fill="auto"/>
            <w:noWrap/>
            <w:tcMar>
              <w:left w:w="57" w:type="dxa"/>
              <w:right w:w="57" w:type="dxa"/>
            </w:tcMar>
            <w:vAlign w:val="bottom"/>
          </w:tcPr>
          <w:p w14:paraId="03F05983" w14:textId="0C4DBD8B" w:rsidR="00F262CA" w:rsidRPr="004C7B1B" w:rsidRDefault="00640308" w:rsidP="00141DB3">
            <w:pPr>
              <w:pStyle w:val="COMTabletext"/>
              <w:jc w:val="center"/>
              <w:rPr>
                <w:b/>
                <w:bCs w:val="0"/>
              </w:rPr>
            </w:pPr>
            <w:r w:rsidRPr="00640308">
              <w:t xml:space="preserve"> </w:t>
            </w:r>
            <w:r w:rsidRPr="00640308">
              <w:rPr>
                <w:rFonts w:hint="eastAsia"/>
                <w:color w:val="000000"/>
                <w:w w:val="33"/>
                <w:shd w:val="solid" w:color="000000" w:fill="000000"/>
                <w:fitText w:val="150" w:id="-1032109558"/>
                <w14:textFill>
                  <w14:solidFill>
                    <w14:srgbClr w14:val="000000">
                      <w14:alpha w14:val="100000"/>
                    </w14:srgbClr>
                  </w14:solidFill>
                </w14:textFill>
              </w:rPr>
              <w:t xml:space="preserve">　</w:t>
            </w:r>
            <w:r w:rsidRPr="00640308">
              <w:rPr>
                <w:color w:val="000000"/>
                <w:w w:val="33"/>
                <w:shd w:val="solid" w:color="000000" w:fill="000000"/>
                <w:fitText w:val="150" w:id="-1032109558"/>
                <w14:textFill>
                  <w14:solidFill>
                    <w14:srgbClr w14:val="000000">
                      <w14:alpha w14:val="100000"/>
                    </w14:srgbClr>
                  </w14:solidFill>
                </w14:textFill>
              </w:rPr>
              <w:t>|</w:t>
            </w:r>
            <w:r w:rsidRPr="00640308">
              <w:rPr>
                <w:rFonts w:hint="eastAsia"/>
                <w:color w:val="000000"/>
                <w:spacing w:val="4"/>
                <w:w w:val="33"/>
                <w:shd w:val="solid" w:color="000000" w:fill="000000"/>
                <w:fitText w:val="150" w:id="-1032109558"/>
                <w14:textFill>
                  <w14:solidFill>
                    <w14:srgbClr w14:val="000000">
                      <w14:alpha w14:val="100000"/>
                    </w14:srgbClr>
                  </w14:solidFill>
                </w14:textFill>
              </w:rPr>
              <w:t xml:space="preserve">　</w:t>
            </w:r>
            <w:r w:rsidR="00F262CA" w:rsidRPr="004C7B1B">
              <w:t>%</w:t>
            </w:r>
          </w:p>
        </w:tc>
      </w:tr>
      <w:tr w:rsidR="003B2ED8" w:rsidRPr="00980134" w14:paraId="225DD4CE" w14:textId="77777777" w:rsidTr="003B2ED8">
        <w:trPr>
          <w:trHeight w:val="300"/>
        </w:trPr>
        <w:tc>
          <w:tcPr>
            <w:tcW w:w="1838" w:type="dxa"/>
            <w:shd w:val="clear" w:color="auto" w:fill="auto"/>
            <w:noWrap/>
            <w:tcMar>
              <w:left w:w="57" w:type="dxa"/>
              <w:right w:w="57" w:type="dxa"/>
            </w:tcMar>
            <w:vAlign w:val="bottom"/>
          </w:tcPr>
          <w:p w14:paraId="5AF60F94" w14:textId="04FC67E6" w:rsidR="00F262CA" w:rsidRPr="00980134" w:rsidRDefault="00F262CA" w:rsidP="00141DB3">
            <w:pPr>
              <w:pStyle w:val="COMTabletext"/>
              <w:rPr>
                <w:b/>
                <w:bCs w:val="0"/>
              </w:rPr>
            </w:pPr>
            <w:r w:rsidRPr="00980134">
              <w:rPr>
                <w:b/>
                <w:bCs w:val="0"/>
              </w:rPr>
              <w:t>Total HR neg/HER2 low patients</w:t>
            </w:r>
          </w:p>
        </w:tc>
        <w:tc>
          <w:tcPr>
            <w:tcW w:w="567" w:type="dxa"/>
            <w:shd w:val="clear" w:color="auto" w:fill="auto"/>
            <w:noWrap/>
            <w:tcMar>
              <w:left w:w="28" w:type="dxa"/>
              <w:right w:w="28" w:type="dxa"/>
            </w:tcMar>
            <w:vAlign w:val="bottom"/>
          </w:tcPr>
          <w:p w14:paraId="2CC08DCA" w14:textId="77777777" w:rsidR="00F262CA" w:rsidRPr="00980134" w:rsidRDefault="00F262CA" w:rsidP="00141DB3">
            <w:pPr>
              <w:pStyle w:val="COMTabletext"/>
              <w:rPr>
                <w:b/>
                <w:bCs w:val="0"/>
              </w:rPr>
            </w:pPr>
          </w:p>
        </w:tc>
        <w:tc>
          <w:tcPr>
            <w:tcW w:w="1134" w:type="dxa"/>
            <w:shd w:val="clear" w:color="auto" w:fill="auto"/>
            <w:noWrap/>
            <w:tcMar>
              <w:left w:w="57" w:type="dxa"/>
              <w:right w:w="57" w:type="dxa"/>
            </w:tcMar>
            <w:vAlign w:val="bottom"/>
          </w:tcPr>
          <w:p w14:paraId="720C3CDF" w14:textId="54F7BD1B"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557"/>
                <w14:textFill>
                  <w14:solidFill>
                    <w14:srgbClr w14:val="000000">
                      <w14:alpha w14:val="100000"/>
                    </w14:srgbClr>
                  </w14:solidFill>
                </w14:textFill>
              </w:rPr>
              <w:t xml:space="preserve">　</w:t>
            </w:r>
            <w:r w:rsidRPr="00640308">
              <w:rPr>
                <w:b/>
                <w:bCs w:val="0"/>
                <w:color w:val="000000"/>
                <w:w w:val="31"/>
                <w:shd w:val="solid" w:color="000000" w:fill="000000"/>
                <w:fitText w:val="140" w:id="-1032109557"/>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557"/>
                <w14:textFill>
                  <w14:solidFill>
                    <w14:srgbClr w14:val="000000">
                      <w14:alpha w14:val="100000"/>
                    </w14:srgbClr>
                  </w14:solidFill>
                </w14:textFill>
              </w:rPr>
              <w:t xml:space="preserve">　</w:t>
            </w:r>
            <w:r w:rsidR="00761CF4">
              <w:rPr>
                <w:vertAlign w:val="superscript"/>
              </w:rPr>
              <w:t>2</w:t>
            </w:r>
          </w:p>
        </w:tc>
        <w:tc>
          <w:tcPr>
            <w:tcW w:w="1134" w:type="dxa"/>
            <w:shd w:val="clear" w:color="auto" w:fill="auto"/>
            <w:noWrap/>
            <w:tcMar>
              <w:left w:w="57" w:type="dxa"/>
              <w:right w:w="57" w:type="dxa"/>
            </w:tcMar>
            <w:vAlign w:val="bottom"/>
          </w:tcPr>
          <w:p w14:paraId="5A882395" w14:textId="2CB5C0FD"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556"/>
                <w14:textFill>
                  <w14:solidFill>
                    <w14:srgbClr w14:val="000000">
                      <w14:alpha w14:val="100000"/>
                    </w14:srgbClr>
                  </w14:solidFill>
                </w14:textFill>
              </w:rPr>
              <w:t xml:space="preserve">　</w:t>
            </w:r>
            <w:r w:rsidRPr="00640308">
              <w:rPr>
                <w:b/>
                <w:bCs w:val="0"/>
                <w:color w:val="000000"/>
                <w:w w:val="31"/>
                <w:shd w:val="solid" w:color="000000" w:fill="000000"/>
                <w:fitText w:val="140" w:id="-1032109556"/>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556"/>
                <w14:textFill>
                  <w14:solidFill>
                    <w14:srgbClr w14:val="000000">
                      <w14:alpha w14:val="100000"/>
                    </w14:srgbClr>
                  </w14:solidFill>
                </w14:textFill>
              </w:rPr>
              <w:t xml:space="preserve">　</w:t>
            </w:r>
            <w:r w:rsidR="00761CF4">
              <w:rPr>
                <w:vertAlign w:val="superscript"/>
              </w:rPr>
              <w:t>2</w:t>
            </w:r>
          </w:p>
        </w:tc>
        <w:tc>
          <w:tcPr>
            <w:tcW w:w="1038" w:type="dxa"/>
            <w:shd w:val="clear" w:color="auto" w:fill="auto"/>
            <w:noWrap/>
            <w:tcMar>
              <w:left w:w="57" w:type="dxa"/>
              <w:right w:w="57" w:type="dxa"/>
            </w:tcMar>
            <w:vAlign w:val="bottom"/>
          </w:tcPr>
          <w:p w14:paraId="33C9EC9D" w14:textId="3666D7AC" w:rsidR="00F262CA" w:rsidRPr="00A760D0" w:rsidRDefault="00640308" w:rsidP="00141DB3">
            <w:pPr>
              <w:pStyle w:val="COMTabletext"/>
              <w:jc w:val="center"/>
              <w:rPr>
                <w:b/>
                <w:bCs w:val="0"/>
                <w:highlight w:val="darkGray"/>
              </w:rPr>
            </w:pPr>
            <w:r w:rsidRPr="00640308">
              <w:rPr>
                <w:b/>
                <w:bCs w:val="0"/>
              </w:rPr>
              <w:t xml:space="preserve"> </w:t>
            </w:r>
            <w:r w:rsidRPr="00640308">
              <w:rPr>
                <w:b/>
                <w:bCs w:val="0"/>
                <w:color w:val="000000"/>
                <w:spacing w:val="88"/>
                <w:shd w:val="solid" w:color="000000" w:fill="000000"/>
                <w:fitText w:val="180" w:id="-1032109555"/>
                <w14:textFill>
                  <w14:solidFill>
                    <w14:srgbClr w14:val="000000">
                      <w14:alpha w14:val="100000"/>
                    </w14:srgbClr>
                  </w14:solidFill>
                </w14:textFill>
              </w:rPr>
              <w:t>|</w:t>
            </w:r>
            <w:r w:rsidRPr="00640308">
              <w:rPr>
                <w:b/>
                <w:bCs w:val="0"/>
                <w:color w:val="000000"/>
                <w:spacing w:val="1"/>
                <w:shd w:val="solid" w:color="000000" w:fill="000000"/>
                <w:fitText w:val="180" w:id="-1032109555"/>
                <w14:textFill>
                  <w14:solidFill>
                    <w14:srgbClr w14:val="000000">
                      <w14:alpha w14:val="100000"/>
                    </w14:srgbClr>
                  </w14:solidFill>
                </w14:textFill>
              </w:rPr>
              <w:t>|</w:t>
            </w:r>
            <w:r w:rsidR="00761CF4">
              <w:rPr>
                <w:vertAlign w:val="superscript"/>
              </w:rPr>
              <w:t>2</w:t>
            </w:r>
          </w:p>
        </w:tc>
        <w:tc>
          <w:tcPr>
            <w:tcW w:w="1102" w:type="dxa"/>
            <w:shd w:val="clear" w:color="auto" w:fill="auto"/>
            <w:noWrap/>
            <w:tcMar>
              <w:left w:w="57" w:type="dxa"/>
              <w:right w:w="57" w:type="dxa"/>
            </w:tcMar>
            <w:vAlign w:val="bottom"/>
          </w:tcPr>
          <w:p w14:paraId="64870293" w14:textId="637D096F"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54"/>
                <w14:textFill>
                  <w14:solidFill>
                    <w14:srgbClr w14:val="000000">
                      <w14:alpha w14:val="100000"/>
                    </w14:srgbClr>
                  </w14:solidFill>
                </w14:textFill>
              </w:rPr>
              <w:t xml:space="preserve">　</w:t>
            </w:r>
            <w:r w:rsidRPr="00640308">
              <w:rPr>
                <w:b/>
                <w:bCs w:val="0"/>
                <w:color w:val="000000"/>
                <w:w w:val="33"/>
                <w:shd w:val="solid" w:color="000000" w:fill="000000"/>
                <w:fitText w:val="150" w:id="-1032109554"/>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54"/>
                <w14:textFill>
                  <w14:solidFill>
                    <w14:srgbClr w14:val="000000">
                      <w14:alpha w14:val="100000"/>
                    </w14:srgbClr>
                  </w14:solidFill>
                </w14:textFill>
              </w:rPr>
              <w:t xml:space="preserve">　</w:t>
            </w:r>
            <w:r w:rsidR="00761CF4">
              <w:rPr>
                <w:vertAlign w:val="superscript"/>
              </w:rPr>
              <w:t>2</w:t>
            </w:r>
          </w:p>
        </w:tc>
        <w:tc>
          <w:tcPr>
            <w:tcW w:w="1102" w:type="dxa"/>
            <w:shd w:val="clear" w:color="auto" w:fill="auto"/>
            <w:noWrap/>
            <w:tcMar>
              <w:left w:w="57" w:type="dxa"/>
              <w:right w:w="57" w:type="dxa"/>
            </w:tcMar>
            <w:vAlign w:val="bottom"/>
          </w:tcPr>
          <w:p w14:paraId="2A7A9C71" w14:textId="68886A9C"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53"/>
                <w14:textFill>
                  <w14:solidFill>
                    <w14:srgbClr w14:val="000000">
                      <w14:alpha w14:val="100000"/>
                    </w14:srgbClr>
                  </w14:solidFill>
                </w14:textFill>
              </w:rPr>
              <w:t xml:space="preserve">　</w:t>
            </w:r>
            <w:r w:rsidRPr="00640308">
              <w:rPr>
                <w:b/>
                <w:bCs w:val="0"/>
                <w:color w:val="000000"/>
                <w:w w:val="33"/>
                <w:shd w:val="solid" w:color="000000" w:fill="000000"/>
                <w:fitText w:val="150" w:id="-1032109553"/>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53"/>
                <w14:textFill>
                  <w14:solidFill>
                    <w14:srgbClr w14:val="000000">
                      <w14:alpha w14:val="100000"/>
                    </w14:srgbClr>
                  </w14:solidFill>
                </w14:textFill>
              </w:rPr>
              <w:t xml:space="preserve">　</w:t>
            </w:r>
            <w:r w:rsidR="00761CF4">
              <w:rPr>
                <w:vertAlign w:val="superscript"/>
              </w:rPr>
              <w:t>2</w:t>
            </w:r>
          </w:p>
        </w:tc>
        <w:tc>
          <w:tcPr>
            <w:tcW w:w="1102" w:type="dxa"/>
            <w:shd w:val="clear" w:color="auto" w:fill="auto"/>
            <w:noWrap/>
            <w:tcMar>
              <w:left w:w="57" w:type="dxa"/>
              <w:right w:w="57" w:type="dxa"/>
            </w:tcMar>
            <w:vAlign w:val="bottom"/>
          </w:tcPr>
          <w:p w14:paraId="3CD06920" w14:textId="31DCB08C"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52"/>
                <w14:textFill>
                  <w14:solidFill>
                    <w14:srgbClr w14:val="000000">
                      <w14:alpha w14:val="100000"/>
                    </w14:srgbClr>
                  </w14:solidFill>
                </w14:textFill>
              </w:rPr>
              <w:t xml:space="preserve">　</w:t>
            </w:r>
            <w:r w:rsidRPr="00640308">
              <w:rPr>
                <w:b/>
                <w:bCs w:val="0"/>
                <w:color w:val="000000"/>
                <w:w w:val="33"/>
                <w:shd w:val="solid" w:color="000000" w:fill="000000"/>
                <w:fitText w:val="150" w:id="-1032109552"/>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52"/>
                <w14:textFill>
                  <w14:solidFill>
                    <w14:srgbClr w14:val="000000">
                      <w14:alpha w14:val="100000"/>
                    </w14:srgbClr>
                  </w14:solidFill>
                </w14:textFill>
              </w:rPr>
              <w:t xml:space="preserve">　</w:t>
            </w:r>
            <w:r w:rsidR="00761CF4">
              <w:rPr>
                <w:vertAlign w:val="superscript"/>
              </w:rPr>
              <w:t>2</w:t>
            </w:r>
          </w:p>
        </w:tc>
      </w:tr>
      <w:tr w:rsidR="003B2ED8" w:rsidRPr="00980134" w14:paraId="1DC9C8A7" w14:textId="77777777" w:rsidTr="003B2ED8">
        <w:trPr>
          <w:trHeight w:val="300"/>
        </w:trPr>
        <w:tc>
          <w:tcPr>
            <w:tcW w:w="1838" w:type="dxa"/>
            <w:shd w:val="clear" w:color="auto" w:fill="auto"/>
            <w:noWrap/>
            <w:tcMar>
              <w:left w:w="57" w:type="dxa"/>
              <w:right w:w="57" w:type="dxa"/>
            </w:tcMar>
            <w:vAlign w:val="bottom"/>
            <w:hideMark/>
          </w:tcPr>
          <w:p w14:paraId="4D60A655" w14:textId="77777777" w:rsidR="00F262CA" w:rsidRPr="00980134" w:rsidRDefault="00F262CA" w:rsidP="00141DB3">
            <w:pPr>
              <w:pStyle w:val="COMTabletext"/>
              <w:rPr>
                <w:b/>
                <w:bCs w:val="0"/>
              </w:rPr>
            </w:pPr>
            <w:r w:rsidRPr="00980134">
              <w:rPr>
                <w:b/>
                <w:bCs w:val="0"/>
              </w:rPr>
              <w:t>Total all patients</w:t>
            </w:r>
          </w:p>
        </w:tc>
        <w:tc>
          <w:tcPr>
            <w:tcW w:w="567" w:type="dxa"/>
            <w:shd w:val="clear" w:color="auto" w:fill="auto"/>
            <w:noWrap/>
            <w:tcMar>
              <w:left w:w="28" w:type="dxa"/>
              <w:right w:w="28" w:type="dxa"/>
            </w:tcMar>
            <w:vAlign w:val="bottom"/>
            <w:hideMark/>
          </w:tcPr>
          <w:p w14:paraId="0FD9EA91" w14:textId="77777777" w:rsidR="00F262CA" w:rsidRPr="00980134" w:rsidRDefault="00F262CA" w:rsidP="00141DB3">
            <w:pPr>
              <w:pStyle w:val="COMTabletext"/>
              <w:rPr>
                <w:b/>
                <w:bCs w:val="0"/>
              </w:rPr>
            </w:pPr>
            <w:r w:rsidRPr="00980134">
              <w:rPr>
                <w:b/>
                <w:bCs w:val="0"/>
              </w:rPr>
              <w:t> </w:t>
            </w:r>
          </w:p>
        </w:tc>
        <w:tc>
          <w:tcPr>
            <w:tcW w:w="1134" w:type="dxa"/>
            <w:shd w:val="clear" w:color="auto" w:fill="auto"/>
            <w:noWrap/>
            <w:tcMar>
              <w:left w:w="57" w:type="dxa"/>
              <w:right w:w="57" w:type="dxa"/>
            </w:tcMar>
            <w:vAlign w:val="bottom"/>
            <w:hideMark/>
          </w:tcPr>
          <w:p w14:paraId="36086E6E" w14:textId="36A511EB"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568"/>
                <w14:textFill>
                  <w14:solidFill>
                    <w14:srgbClr w14:val="000000">
                      <w14:alpha w14:val="100000"/>
                    </w14:srgbClr>
                  </w14:solidFill>
                </w14:textFill>
              </w:rPr>
              <w:t xml:space="preserve">　</w:t>
            </w:r>
            <w:r w:rsidRPr="00640308">
              <w:rPr>
                <w:b/>
                <w:bCs w:val="0"/>
                <w:color w:val="000000"/>
                <w:w w:val="31"/>
                <w:shd w:val="solid" w:color="000000" w:fill="000000"/>
                <w:fitText w:val="140" w:id="-1032109568"/>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568"/>
                <w14:textFill>
                  <w14:solidFill>
                    <w14:srgbClr w14:val="000000">
                      <w14:alpha w14:val="100000"/>
                    </w14:srgbClr>
                  </w14:solidFill>
                </w14:textFill>
              </w:rPr>
              <w:t xml:space="preserve">　</w:t>
            </w:r>
            <w:r w:rsidR="004448DC">
              <w:rPr>
                <w:vertAlign w:val="superscript"/>
              </w:rPr>
              <w:t>1</w:t>
            </w:r>
          </w:p>
        </w:tc>
        <w:tc>
          <w:tcPr>
            <w:tcW w:w="1134" w:type="dxa"/>
            <w:shd w:val="clear" w:color="auto" w:fill="auto"/>
            <w:noWrap/>
            <w:tcMar>
              <w:left w:w="57" w:type="dxa"/>
              <w:right w:w="57" w:type="dxa"/>
            </w:tcMar>
            <w:vAlign w:val="bottom"/>
            <w:hideMark/>
          </w:tcPr>
          <w:p w14:paraId="7C813CD0" w14:textId="71AFBA5B"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1"/>
                <w:shd w:val="solid" w:color="000000" w:fill="000000"/>
                <w:fitText w:val="140" w:id="-1032109567"/>
                <w14:textFill>
                  <w14:solidFill>
                    <w14:srgbClr w14:val="000000">
                      <w14:alpha w14:val="100000"/>
                    </w14:srgbClr>
                  </w14:solidFill>
                </w14:textFill>
              </w:rPr>
              <w:t xml:space="preserve">　</w:t>
            </w:r>
            <w:r w:rsidRPr="00640308">
              <w:rPr>
                <w:b/>
                <w:bCs w:val="0"/>
                <w:color w:val="000000"/>
                <w:w w:val="31"/>
                <w:shd w:val="solid" w:color="000000" w:fill="000000"/>
                <w:fitText w:val="140" w:id="-1032109567"/>
                <w14:textFill>
                  <w14:solidFill>
                    <w14:srgbClr w14:val="000000">
                      <w14:alpha w14:val="100000"/>
                    </w14:srgbClr>
                  </w14:solidFill>
                </w14:textFill>
              </w:rPr>
              <w:t>|</w:t>
            </w:r>
            <w:r w:rsidRPr="00640308">
              <w:rPr>
                <w:rFonts w:hint="eastAsia"/>
                <w:b/>
                <w:bCs w:val="0"/>
                <w:color w:val="000000"/>
                <w:spacing w:val="3"/>
                <w:w w:val="31"/>
                <w:shd w:val="solid" w:color="000000" w:fill="000000"/>
                <w:fitText w:val="140" w:id="-1032109567"/>
                <w14:textFill>
                  <w14:solidFill>
                    <w14:srgbClr w14:val="000000">
                      <w14:alpha w14:val="100000"/>
                    </w14:srgbClr>
                  </w14:solidFill>
                </w14:textFill>
              </w:rPr>
              <w:t xml:space="preserve">　</w:t>
            </w:r>
            <w:r w:rsidR="004448DC">
              <w:rPr>
                <w:vertAlign w:val="superscript"/>
              </w:rPr>
              <w:t>1</w:t>
            </w:r>
          </w:p>
        </w:tc>
        <w:tc>
          <w:tcPr>
            <w:tcW w:w="1038" w:type="dxa"/>
            <w:shd w:val="clear" w:color="auto" w:fill="auto"/>
            <w:noWrap/>
            <w:tcMar>
              <w:left w:w="57" w:type="dxa"/>
              <w:right w:w="57" w:type="dxa"/>
            </w:tcMar>
            <w:vAlign w:val="bottom"/>
            <w:hideMark/>
          </w:tcPr>
          <w:p w14:paraId="0506E303" w14:textId="3FF87D12" w:rsidR="00F262CA" w:rsidRPr="00A760D0" w:rsidRDefault="00640308" w:rsidP="00141DB3">
            <w:pPr>
              <w:pStyle w:val="COMTabletext"/>
              <w:jc w:val="center"/>
              <w:rPr>
                <w:b/>
                <w:bCs w:val="0"/>
                <w:highlight w:val="darkGray"/>
              </w:rPr>
            </w:pPr>
            <w:r w:rsidRPr="00640308">
              <w:rPr>
                <w:b/>
                <w:bCs w:val="0"/>
              </w:rPr>
              <w:t xml:space="preserve"> </w:t>
            </w:r>
            <w:r w:rsidRPr="00640308">
              <w:rPr>
                <w:b/>
                <w:bCs w:val="0"/>
                <w:color w:val="000000"/>
                <w:spacing w:val="88"/>
                <w:shd w:val="solid" w:color="000000" w:fill="000000"/>
                <w:fitText w:val="180" w:id="-1032109566"/>
                <w14:textFill>
                  <w14:solidFill>
                    <w14:srgbClr w14:val="000000">
                      <w14:alpha w14:val="100000"/>
                    </w14:srgbClr>
                  </w14:solidFill>
                </w14:textFill>
              </w:rPr>
              <w:t>|</w:t>
            </w:r>
            <w:r w:rsidRPr="00640308">
              <w:rPr>
                <w:b/>
                <w:bCs w:val="0"/>
                <w:color w:val="000000"/>
                <w:spacing w:val="1"/>
                <w:shd w:val="solid" w:color="000000" w:fill="000000"/>
                <w:fitText w:val="180" w:id="-1032109566"/>
                <w14:textFill>
                  <w14:solidFill>
                    <w14:srgbClr w14:val="000000">
                      <w14:alpha w14:val="100000"/>
                    </w14:srgbClr>
                  </w14:solidFill>
                </w14:textFill>
              </w:rPr>
              <w:t>|</w:t>
            </w:r>
            <w:r w:rsidR="004448DC">
              <w:rPr>
                <w:vertAlign w:val="superscript"/>
              </w:rPr>
              <w:t>1</w:t>
            </w:r>
          </w:p>
        </w:tc>
        <w:tc>
          <w:tcPr>
            <w:tcW w:w="1102" w:type="dxa"/>
            <w:shd w:val="clear" w:color="auto" w:fill="auto"/>
            <w:noWrap/>
            <w:tcMar>
              <w:left w:w="57" w:type="dxa"/>
              <w:right w:w="57" w:type="dxa"/>
            </w:tcMar>
            <w:vAlign w:val="bottom"/>
            <w:hideMark/>
          </w:tcPr>
          <w:p w14:paraId="743FAFD8" w14:textId="440FEE96"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65"/>
                <w14:textFill>
                  <w14:solidFill>
                    <w14:srgbClr w14:val="000000">
                      <w14:alpha w14:val="100000"/>
                    </w14:srgbClr>
                  </w14:solidFill>
                </w14:textFill>
              </w:rPr>
              <w:t xml:space="preserve">　</w:t>
            </w:r>
            <w:r w:rsidRPr="00640308">
              <w:rPr>
                <w:b/>
                <w:bCs w:val="0"/>
                <w:color w:val="000000"/>
                <w:w w:val="33"/>
                <w:shd w:val="solid" w:color="000000" w:fill="000000"/>
                <w:fitText w:val="150" w:id="-1032109565"/>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65"/>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hideMark/>
          </w:tcPr>
          <w:p w14:paraId="4A49F5CB" w14:textId="4C068EE8"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64"/>
                <w14:textFill>
                  <w14:solidFill>
                    <w14:srgbClr w14:val="000000">
                      <w14:alpha w14:val="100000"/>
                    </w14:srgbClr>
                  </w14:solidFill>
                </w14:textFill>
              </w:rPr>
              <w:t xml:space="preserve">　</w:t>
            </w:r>
            <w:r w:rsidRPr="00640308">
              <w:rPr>
                <w:b/>
                <w:bCs w:val="0"/>
                <w:color w:val="000000"/>
                <w:w w:val="33"/>
                <w:shd w:val="solid" w:color="000000" w:fill="000000"/>
                <w:fitText w:val="150" w:id="-1032109564"/>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64"/>
                <w14:textFill>
                  <w14:solidFill>
                    <w14:srgbClr w14:val="000000">
                      <w14:alpha w14:val="100000"/>
                    </w14:srgbClr>
                  </w14:solidFill>
                </w14:textFill>
              </w:rPr>
              <w:t xml:space="preserve">　</w:t>
            </w:r>
            <w:r w:rsidR="004448DC">
              <w:rPr>
                <w:vertAlign w:val="superscript"/>
              </w:rPr>
              <w:t>1</w:t>
            </w:r>
          </w:p>
        </w:tc>
        <w:tc>
          <w:tcPr>
            <w:tcW w:w="1102" w:type="dxa"/>
            <w:shd w:val="clear" w:color="auto" w:fill="auto"/>
            <w:noWrap/>
            <w:tcMar>
              <w:left w:w="57" w:type="dxa"/>
              <w:right w:w="57" w:type="dxa"/>
            </w:tcMar>
            <w:vAlign w:val="bottom"/>
            <w:hideMark/>
          </w:tcPr>
          <w:p w14:paraId="12673E32" w14:textId="0BB2F1C0" w:rsidR="00F262CA" w:rsidRPr="00A760D0" w:rsidRDefault="00640308" w:rsidP="00141DB3">
            <w:pPr>
              <w:pStyle w:val="COMTabletext"/>
              <w:jc w:val="center"/>
              <w:rPr>
                <w:b/>
                <w:bCs w:val="0"/>
                <w:highlight w:val="darkGray"/>
              </w:rPr>
            </w:pPr>
            <w:r w:rsidRPr="00640308">
              <w:rPr>
                <w:b/>
                <w:bCs w:val="0"/>
              </w:rPr>
              <w:t xml:space="preserve"> </w:t>
            </w:r>
            <w:r w:rsidRPr="00640308">
              <w:rPr>
                <w:rFonts w:hint="eastAsia"/>
                <w:b/>
                <w:bCs w:val="0"/>
                <w:color w:val="000000"/>
                <w:w w:val="33"/>
                <w:shd w:val="solid" w:color="000000" w:fill="000000"/>
                <w:fitText w:val="150" w:id="-1032109563"/>
                <w14:textFill>
                  <w14:solidFill>
                    <w14:srgbClr w14:val="000000">
                      <w14:alpha w14:val="100000"/>
                    </w14:srgbClr>
                  </w14:solidFill>
                </w14:textFill>
              </w:rPr>
              <w:t xml:space="preserve">　</w:t>
            </w:r>
            <w:r w:rsidRPr="00640308">
              <w:rPr>
                <w:b/>
                <w:bCs w:val="0"/>
                <w:color w:val="000000"/>
                <w:w w:val="33"/>
                <w:shd w:val="solid" w:color="000000" w:fill="000000"/>
                <w:fitText w:val="150" w:id="-1032109563"/>
                <w14:textFill>
                  <w14:solidFill>
                    <w14:srgbClr w14:val="000000">
                      <w14:alpha w14:val="100000"/>
                    </w14:srgbClr>
                  </w14:solidFill>
                </w14:textFill>
              </w:rPr>
              <w:t>|</w:t>
            </w:r>
            <w:r w:rsidRPr="00640308">
              <w:rPr>
                <w:rFonts w:hint="eastAsia"/>
                <w:b/>
                <w:bCs w:val="0"/>
                <w:color w:val="000000"/>
                <w:spacing w:val="3"/>
                <w:w w:val="33"/>
                <w:shd w:val="solid" w:color="000000" w:fill="000000"/>
                <w:fitText w:val="150" w:id="-1032109563"/>
                <w14:textFill>
                  <w14:solidFill>
                    <w14:srgbClr w14:val="000000">
                      <w14:alpha w14:val="100000"/>
                    </w14:srgbClr>
                  </w14:solidFill>
                </w14:textFill>
              </w:rPr>
              <w:t xml:space="preserve">　</w:t>
            </w:r>
            <w:r w:rsidR="004448DC">
              <w:rPr>
                <w:vertAlign w:val="superscript"/>
              </w:rPr>
              <w:t>1</w:t>
            </w:r>
          </w:p>
        </w:tc>
      </w:tr>
      <w:tr w:rsidR="003B2ED8" w:rsidRPr="00980134" w14:paraId="7ADA5E68" w14:textId="77777777" w:rsidTr="003B2ED8">
        <w:trPr>
          <w:trHeight w:val="315"/>
        </w:trPr>
        <w:tc>
          <w:tcPr>
            <w:tcW w:w="1838" w:type="dxa"/>
            <w:shd w:val="clear" w:color="auto" w:fill="auto"/>
            <w:noWrap/>
            <w:tcMar>
              <w:left w:w="57" w:type="dxa"/>
              <w:right w:w="57" w:type="dxa"/>
            </w:tcMar>
            <w:vAlign w:val="bottom"/>
            <w:hideMark/>
          </w:tcPr>
          <w:p w14:paraId="612362E4" w14:textId="5DF3729A" w:rsidR="00F262CA" w:rsidRPr="00980134" w:rsidRDefault="00F262CA" w:rsidP="00141DB3">
            <w:pPr>
              <w:pStyle w:val="COMTabletext"/>
              <w:rPr>
                <w:b/>
                <w:bCs w:val="0"/>
              </w:rPr>
            </w:pPr>
            <w:r w:rsidRPr="00980134">
              <w:rPr>
                <w:b/>
                <w:bCs w:val="0"/>
              </w:rPr>
              <w:t>Net cost PBS/RPBS</w:t>
            </w:r>
            <w:r w:rsidR="006C36E3">
              <w:rPr>
                <w:b/>
                <w:bCs w:val="0"/>
              </w:rPr>
              <w:t>*</w:t>
            </w:r>
          </w:p>
        </w:tc>
        <w:tc>
          <w:tcPr>
            <w:tcW w:w="567" w:type="dxa"/>
            <w:shd w:val="clear" w:color="auto" w:fill="auto"/>
            <w:noWrap/>
            <w:tcMar>
              <w:left w:w="28" w:type="dxa"/>
              <w:right w:w="28" w:type="dxa"/>
            </w:tcMar>
            <w:vAlign w:val="bottom"/>
            <w:hideMark/>
          </w:tcPr>
          <w:p w14:paraId="2595B5D2" w14:textId="77777777" w:rsidR="00F262CA" w:rsidRPr="00980134" w:rsidRDefault="00F262CA" w:rsidP="00141DB3">
            <w:pPr>
              <w:pStyle w:val="COMTabletext"/>
              <w:rPr>
                <w:b/>
                <w:bCs w:val="0"/>
              </w:rPr>
            </w:pPr>
            <w:r w:rsidRPr="00980134">
              <w:rPr>
                <w:b/>
                <w:bCs w:val="0"/>
              </w:rPr>
              <w:t> </w:t>
            </w:r>
          </w:p>
        </w:tc>
        <w:tc>
          <w:tcPr>
            <w:tcW w:w="1134" w:type="dxa"/>
            <w:shd w:val="clear" w:color="auto" w:fill="auto"/>
            <w:noWrap/>
            <w:tcMar>
              <w:left w:w="57" w:type="dxa"/>
              <w:right w:w="57" w:type="dxa"/>
            </w:tcMar>
            <w:vAlign w:val="bottom"/>
            <w:hideMark/>
          </w:tcPr>
          <w:p w14:paraId="7B6D0FD4" w14:textId="63A5B367"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88"/>
                <w:shd w:val="solid" w:color="000000" w:fill="000000"/>
                <w:fitText w:val="180" w:id="-1032109562"/>
                <w14:textFill>
                  <w14:solidFill>
                    <w14:srgbClr w14:val="000000">
                      <w14:alpha w14:val="100000"/>
                    </w14:srgbClr>
                  </w14:solidFill>
                </w14:textFill>
              </w:rPr>
              <w:t>|</w:t>
            </w:r>
            <w:r w:rsidR="00640308" w:rsidRPr="00640308">
              <w:rPr>
                <w:b/>
                <w:bCs w:val="0"/>
                <w:color w:val="000000"/>
                <w:spacing w:val="1"/>
                <w:shd w:val="solid" w:color="000000" w:fill="000000"/>
                <w:fitText w:val="180" w:id="-1032109562"/>
                <w14:textFill>
                  <w14:solidFill>
                    <w14:srgbClr w14:val="000000">
                      <w14:alpha w14:val="100000"/>
                    </w14:srgbClr>
                  </w14:solidFill>
                </w14:textFill>
              </w:rPr>
              <w:t>|</w:t>
            </w:r>
            <w:r w:rsidR="004448DC">
              <w:rPr>
                <w:vertAlign w:val="superscript"/>
              </w:rPr>
              <w:t>4</w:t>
            </w:r>
          </w:p>
        </w:tc>
        <w:tc>
          <w:tcPr>
            <w:tcW w:w="1134" w:type="dxa"/>
            <w:shd w:val="clear" w:color="auto" w:fill="auto"/>
            <w:noWrap/>
            <w:tcMar>
              <w:left w:w="57" w:type="dxa"/>
              <w:right w:w="57" w:type="dxa"/>
            </w:tcMar>
            <w:vAlign w:val="bottom"/>
            <w:hideMark/>
          </w:tcPr>
          <w:p w14:paraId="2205305A" w14:textId="0339AE7C"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88"/>
                <w:shd w:val="solid" w:color="000000" w:fill="000000"/>
                <w:fitText w:val="180" w:id="-1032109561"/>
                <w14:textFill>
                  <w14:solidFill>
                    <w14:srgbClr w14:val="000000">
                      <w14:alpha w14:val="100000"/>
                    </w14:srgbClr>
                  </w14:solidFill>
                </w14:textFill>
              </w:rPr>
              <w:t>|</w:t>
            </w:r>
            <w:r w:rsidR="00640308" w:rsidRPr="00640308">
              <w:rPr>
                <w:b/>
                <w:bCs w:val="0"/>
                <w:color w:val="000000"/>
                <w:spacing w:val="1"/>
                <w:shd w:val="solid" w:color="000000" w:fill="000000"/>
                <w:fitText w:val="180" w:id="-1032109561"/>
                <w14:textFill>
                  <w14:solidFill>
                    <w14:srgbClr w14:val="000000">
                      <w14:alpha w14:val="100000"/>
                    </w14:srgbClr>
                  </w14:solidFill>
                </w14:textFill>
              </w:rPr>
              <w:t>|</w:t>
            </w:r>
            <w:r w:rsidR="004448DC">
              <w:rPr>
                <w:vertAlign w:val="superscript"/>
              </w:rPr>
              <w:t>4</w:t>
            </w:r>
          </w:p>
        </w:tc>
        <w:tc>
          <w:tcPr>
            <w:tcW w:w="1038" w:type="dxa"/>
            <w:shd w:val="clear" w:color="auto" w:fill="auto"/>
            <w:noWrap/>
            <w:tcMar>
              <w:left w:w="57" w:type="dxa"/>
              <w:right w:w="57" w:type="dxa"/>
            </w:tcMar>
            <w:vAlign w:val="bottom"/>
            <w:hideMark/>
          </w:tcPr>
          <w:p w14:paraId="3C1CBBBF" w14:textId="19C91BDF"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46"/>
                <w:shd w:val="solid" w:color="000000" w:fill="000000"/>
                <w:fitText w:val="230" w:id="-1032109560"/>
                <w14:textFill>
                  <w14:solidFill>
                    <w14:srgbClr w14:val="000000">
                      <w14:alpha w14:val="100000"/>
                    </w14:srgbClr>
                  </w14:solidFill>
                </w14:textFill>
              </w:rPr>
              <w:t>||</w:t>
            </w:r>
            <w:r w:rsidR="00640308" w:rsidRPr="00640308">
              <w:rPr>
                <w:b/>
                <w:bCs w:val="0"/>
                <w:color w:val="000000"/>
                <w:spacing w:val="1"/>
                <w:shd w:val="solid" w:color="000000" w:fill="000000"/>
                <w:fitText w:val="230" w:id="-1032109560"/>
                <w14:textFill>
                  <w14:solidFill>
                    <w14:srgbClr w14:val="000000">
                      <w14:alpha w14:val="100000"/>
                    </w14:srgbClr>
                  </w14:solidFill>
                </w14:textFill>
              </w:rPr>
              <w:t>|</w:t>
            </w:r>
            <w:r w:rsidR="004448DC">
              <w:rPr>
                <w:vertAlign w:val="superscript"/>
              </w:rPr>
              <w:t>5</w:t>
            </w:r>
          </w:p>
        </w:tc>
        <w:tc>
          <w:tcPr>
            <w:tcW w:w="1102" w:type="dxa"/>
            <w:shd w:val="clear" w:color="auto" w:fill="auto"/>
            <w:noWrap/>
            <w:tcMar>
              <w:left w:w="57" w:type="dxa"/>
              <w:right w:w="57" w:type="dxa"/>
            </w:tcMar>
            <w:vAlign w:val="bottom"/>
            <w:hideMark/>
          </w:tcPr>
          <w:p w14:paraId="355B5A11" w14:textId="3E62BFAC"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108"/>
                <w:shd w:val="solid" w:color="000000" w:fill="000000"/>
                <w:fitText w:val="200" w:id="-1032109559"/>
                <w14:textFill>
                  <w14:solidFill>
                    <w14:srgbClr w14:val="000000">
                      <w14:alpha w14:val="100000"/>
                    </w14:srgbClr>
                  </w14:solidFill>
                </w14:textFill>
              </w:rPr>
              <w:t>|</w:t>
            </w:r>
            <w:r w:rsidR="00640308" w:rsidRPr="00640308">
              <w:rPr>
                <w:b/>
                <w:bCs w:val="0"/>
                <w:color w:val="000000"/>
                <w:spacing w:val="1"/>
                <w:shd w:val="solid" w:color="000000" w:fill="000000"/>
                <w:fitText w:val="200" w:id="-1032109559"/>
                <w14:textFill>
                  <w14:solidFill>
                    <w14:srgbClr w14:val="000000">
                      <w14:alpha w14:val="100000"/>
                    </w14:srgbClr>
                  </w14:solidFill>
                </w14:textFill>
              </w:rPr>
              <w:t>|</w:t>
            </w:r>
            <w:r w:rsidR="004448DC">
              <w:rPr>
                <w:vertAlign w:val="superscript"/>
              </w:rPr>
              <w:t>5</w:t>
            </w:r>
          </w:p>
        </w:tc>
        <w:tc>
          <w:tcPr>
            <w:tcW w:w="1102" w:type="dxa"/>
            <w:shd w:val="clear" w:color="auto" w:fill="auto"/>
            <w:noWrap/>
            <w:tcMar>
              <w:left w:w="57" w:type="dxa"/>
              <w:right w:w="57" w:type="dxa"/>
            </w:tcMar>
            <w:vAlign w:val="bottom"/>
            <w:hideMark/>
          </w:tcPr>
          <w:p w14:paraId="0C9B0330" w14:textId="55B5631F"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108"/>
                <w:shd w:val="solid" w:color="000000" w:fill="000000"/>
                <w:fitText w:val="200" w:id="-1032109558"/>
                <w14:textFill>
                  <w14:solidFill>
                    <w14:srgbClr w14:val="000000">
                      <w14:alpha w14:val="100000"/>
                    </w14:srgbClr>
                  </w14:solidFill>
                </w14:textFill>
              </w:rPr>
              <w:t>|</w:t>
            </w:r>
            <w:r w:rsidR="00640308" w:rsidRPr="00640308">
              <w:rPr>
                <w:b/>
                <w:bCs w:val="0"/>
                <w:color w:val="000000"/>
                <w:spacing w:val="1"/>
                <w:shd w:val="solid" w:color="000000" w:fill="000000"/>
                <w:fitText w:val="200" w:id="-1032109558"/>
                <w14:textFill>
                  <w14:solidFill>
                    <w14:srgbClr w14:val="000000">
                      <w14:alpha w14:val="100000"/>
                    </w14:srgbClr>
                  </w14:solidFill>
                </w14:textFill>
              </w:rPr>
              <w:t>|</w:t>
            </w:r>
            <w:r w:rsidR="004448DC">
              <w:rPr>
                <w:vertAlign w:val="superscript"/>
              </w:rPr>
              <w:t>5</w:t>
            </w:r>
          </w:p>
        </w:tc>
        <w:tc>
          <w:tcPr>
            <w:tcW w:w="1102" w:type="dxa"/>
            <w:shd w:val="clear" w:color="auto" w:fill="auto"/>
            <w:noWrap/>
            <w:tcMar>
              <w:left w:w="57" w:type="dxa"/>
              <w:right w:w="57" w:type="dxa"/>
            </w:tcMar>
            <w:vAlign w:val="bottom"/>
            <w:hideMark/>
          </w:tcPr>
          <w:p w14:paraId="31D60714" w14:textId="56838607" w:rsidR="00F262CA" w:rsidRPr="00980134" w:rsidRDefault="00F262CA" w:rsidP="00141DB3">
            <w:pPr>
              <w:pStyle w:val="COMTabletext"/>
              <w:jc w:val="center"/>
              <w:rPr>
                <w:b/>
                <w:bCs w:val="0"/>
              </w:rPr>
            </w:pPr>
            <w:r w:rsidRPr="00980134">
              <w:rPr>
                <w:b/>
                <w:bCs w:val="0"/>
              </w:rPr>
              <w:t>$</w:t>
            </w:r>
            <w:r w:rsidR="00640308" w:rsidRPr="00640308">
              <w:rPr>
                <w:b/>
                <w:bCs w:val="0"/>
              </w:rPr>
              <w:t xml:space="preserve"> </w:t>
            </w:r>
            <w:r w:rsidR="00640308" w:rsidRPr="00640308">
              <w:rPr>
                <w:b/>
                <w:bCs w:val="0"/>
                <w:color w:val="000000"/>
                <w:spacing w:val="108"/>
                <w:shd w:val="solid" w:color="000000" w:fill="000000"/>
                <w:fitText w:val="200" w:id="-1032109557"/>
                <w14:textFill>
                  <w14:solidFill>
                    <w14:srgbClr w14:val="000000">
                      <w14:alpha w14:val="100000"/>
                    </w14:srgbClr>
                  </w14:solidFill>
                </w14:textFill>
              </w:rPr>
              <w:t>|</w:t>
            </w:r>
            <w:r w:rsidR="00640308" w:rsidRPr="00640308">
              <w:rPr>
                <w:b/>
                <w:bCs w:val="0"/>
                <w:color w:val="000000"/>
                <w:spacing w:val="1"/>
                <w:shd w:val="solid" w:color="000000" w:fill="000000"/>
                <w:fitText w:val="200" w:id="-1032109557"/>
                <w14:textFill>
                  <w14:solidFill>
                    <w14:srgbClr w14:val="000000">
                      <w14:alpha w14:val="100000"/>
                    </w14:srgbClr>
                  </w14:solidFill>
                </w14:textFill>
              </w:rPr>
              <w:t>|</w:t>
            </w:r>
            <w:r w:rsidR="004448DC">
              <w:rPr>
                <w:vertAlign w:val="superscript"/>
              </w:rPr>
              <w:t>5</w:t>
            </w:r>
          </w:p>
        </w:tc>
      </w:tr>
    </w:tbl>
    <w:p w14:paraId="26BC75DC" w14:textId="45162971" w:rsidR="006C36E3" w:rsidRDefault="006C36E3" w:rsidP="00141DB3">
      <w:pPr>
        <w:keepNext/>
        <w:rPr>
          <w:rFonts w:ascii="Arial Narrow" w:hAnsi="Arial Narrow"/>
          <w:sz w:val="18"/>
          <w:szCs w:val="20"/>
        </w:rPr>
      </w:pPr>
      <w:r w:rsidRPr="00980134">
        <w:rPr>
          <w:rFonts w:ascii="Arial Narrow" w:hAnsi="Arial Narrow"/>
          <w:sz w:val="18"/>
        </w:rPr>
        <w:t xml:space="preserve">HER2 = human epidermal growth factor receptor 2; </w:t>
      </w:r>
      <w:r w:rsidRPr="00980134">
        <w:rPr>
          <w:rFonts w:ascii="Arial Narrow" w:hAnsi="Arial Narrow"/>
          <w:sz w:val="18"/>
          <w:szCs w:val="20"/>
        </w:rPr>
        <w:t xml:space="preserve">HR = hormone receptor; </w:t>
      </w:r>
      <w:r>
        <w:rPr>
          <w:rFonts w:ascii="Arial Narrow" w:hAnsi="Arial Narrow"/>
          <w:sz w:val="18"/>
          <w:szCs w:val="20"/>
        </w:rPr>
        <w:t xml:space="preserve">IHC = immunohistochemistry, </w:t>
      </w:r>
      <w:proofErr w:type="spellStart"/>
      <w:r>
        <w:rPr>
          <w:rFonts w:ascii="Arial Narrow" w:hAnsi="Arial Narrow"/>
          <w:sz w:val="18"/>
          <w:szCs w:val="20"/>
        </w:rPr>
        <w:t>mBC</w:t>
      </w:r>
      <w:proofErr w:type="spellEnd"/>
      <w:r>
        <w:rPr>
          <w:rFonts w:ascii="Arial Narrow" w:hAnsi="Arial Narrow"/>
          <w:sz w:val="18"/>
          <w:szCs w:val="20"/>
        </w:rPr>
        <w:t xml:space="preserve"> = metastatic breast cancer; SG = </w:t>
      </w:r>
      <w:proofErr w:type="spellStart"/>
      <w:r>
        <w:rPr>
          <w:rFonts w:ascii="Arial Narrow" w:hAnsi="Arial Narrow"/>
          <w:sz w:val="18"/>
          <w:szCs w:val="20"/>
        </w:rPr>
        <w:t>sacituzumab</w:t>
      </w:r>
      <w:proofErr w:type="spellEnd"/>
      <w:r>
        <w:rPr>
          <w:rFonts w:ascii="Arial Narrow" w:hAnsi="Arial Narrow"/>
          <w:sz w:val="18"/>
          <w:szCs w:val="20"/>
        </w:rPr>
        <w:t xml:space="preserve"> </w:t>
      </w:r>
      <w:proofErr w:type="spellStart"/>
      <w:r>
        <w:rPr>
          <w:rFonts w:ascii="Arial Narrow" w:hAnsi="Arial Narrow"/>
          <w:sz w:val="18"/>
          <w:szCs w:val="20"/>
        </w:rPr>
        <w:t>govitecan</w:t>
      </w:r>
      <w:proofErr w:type="spellEnd"/>
      <w:r>
        <w:rPr>
          <w:rFonts w:ascii="Arial Narrow" w:hAnsi="Arial Narrow"/>
          <w:sz w:val="18"/>
          <w:szCs w:val="20"/>
        </w:rPr>
        <w:t xml:space="preserve">; </w:t>
      </w:r>
      <w:r w:rsidRPr="00980134">
        <w:rPr>
          <w:rFonts w:ascii="Arial Narrow" w:hAnsi="Arial Narrow"/>
          <w:sz w:val="18"/>
          <w:szCs w:val="20"/>
        </w:rPr>
        <w:t>T-</w:t>
      </w:r>
      <w:proofErr w:type="spellStart"/>
      <w:r w:rsidRPr="00980134">
        <w:rPr>
          <w:rFonts w:ascii="Arial Narrow" w:hAnsi="Arial Narrow"/>
          <w:sz w:val="18"/>
          <w:szCs w:val="20"/>
        </w:rPr>
        <w:t>DXd</w:t>
      </w:r>
      <w:proofErr w:type="spellEnd"/>
      <w:r w:rsidRPr="00980134">
        <w:rPr>
          <w:rFonts w:ascii="Arial Narrow" w:hAnsi="Arial Narrow"/>
          <w:sz w:val="18"/>
          <w:szCs w:val="20"/>
        </w:rPr>
        <w:t xml:space="preserve"> = trastuzumab </w:t>
      </w:r>
      <w:proofErr w:type="spellStart"/>
      <w:r w:rsidRPr="00980134">
        <w:rPr>
          <w:rFonts w:ascii="Arial Narrow" w:hAnsi="Arial Narrow"/>
          <w:sz w:val="18"/>
          <w:szCs w:val="20"/>
        </w:rPr>
        <w:t>deruxtecan</w:t>
      </w:r>
      <w:proofErr w:type="spellEnd"/>
      <w:r w:rsidRPr="00980134">
        <w:rPr>
          <w:rFonts w:ascii="Arial Narrow" w:hAnsi="Arial Narrow"/>
          <w:sz w:val="18"/>
          <w:szCs w:val="20"/>
        </w:rPr>
        <w:t>; TPC = treatment of physician’s choice</w:t>
      </w:r>
      <w:r>
        <w:rPr>
          <w:rFonts w:ascii="Arial Narrow" w:hAnsi="Arial Narrow"/>
          <w:sz w:val="18"/>
          <w:szCs w:val="20"/>
        </w:rPr>
        <w:t xml:space="preserve">; </w:t>
      </w:r>
      <w:proofErr w:type="spellStart"/>
      <w:r>
        <w:rPr>
          <w:rFonts w:ascii="Arial Narrow" w:hAnsi="Arial Narrow"/>
          <w:sz w:val="18"/>
          <w:szCs w:val="20"/>
        </w:rPr>
        <w:t>uBC</w:t>
      </w:r>
      <w:proofErr w:type="spellEnd"/>
      <w:r>
        <w:rPr>
          <w:rFonts w:ascii="Arial Narrow" w:hAnsi="Arial Narrow"/>
          <w:sz w:val="18"/>
          <w:szCs w:val="20"/>
        </w:rPr>
        <w:t xml:space="preserve"> = unresectable breast cancer;</w:t>
      </w:r>
    </w:p>
    <w:p w14:paraId="2BFBCE6A" w14:textId="33A80AF0" w:rsidR="006C36E3" w:rsidRDefault="006C36E3" w:rsidP="00141DB3">
      <w:pPr>
        <w:keepNext/>
        <w:rPr>
          <w:rFonts w:ascii="Arial Narrow" w:hAnsi="Arial Narrow"/>
          <w:sz w:val="18"/>
        </w:rPr>
      </w:pPr>
      <w:r>
        <w:rPr>
          <w:rFonts w:ascii="Arial Narrow" w:hAnsi="Arial Narrow"/>
          <w:sz w:val="18"/>
        </w:rPr>
        <w:t xml:space="preserve">* Applying RDI of 90% as per submission. </w:t>
      </w:r>
    </w:p>
    <w:p w14:paraId="52EC1385" w14:textId="6775B634" w:rsidR="003B2ED8" w:rsidRDefault="003B2ED8" w:rsidP="00141DB3">
      <w:pPr>
        <w:keepNext/>
        <w:rPr>
          <w:rFonts w:ascii="Arial Narrow" w:hAnsi="Arial Narrow"/>
          <w:i/>
          <w:iCs/>
          <w:sz w:val="18"/>
        </w:rPr>
      </w:pPr>
      <w:r w:rsidRPr="003B2ED8">
        <w:rPr>
          <w:rFonts w:ascii="Arial Narrow" w:hAnsi="Arial Narrow"/>
          <w:i/>
          <w:iCs/>
          <w:sz w:val="18"/>
        </w:rPr>
        <w:t>The redacted values correspond to the following ranges:</w:t>
      </w:r>
    </w:p>
    <w:p w14:paraId="4FC6DAD6" w14:textId="4CD84CDB" w:rsidR="004448DC" w:rsidRPr="004448DC" w:rsidRDefault="004448DC" w:rsidP="004448DC">
      <w:pPr>
        <w:keepNext/>
        <w:rPr>
          <w:rFonts w:ascii="Arial Narrow" w:hAnsi="Arial Narrow"/>
          <w:i/>
          <w:iCs/>
          <w:sz w:val="18"/>
        </w:rPr>
      </w:pPr>
      <w:r w:rsidRPr="004448DC">
        <w:rPr>
          <w:rFonts w:ascii="Arial Narrow" w:hAnsi="Arial Narrow"/>
          <w:i/>
          <w:iCs/>
          <w:sz w:val="18"/>
          <w:vertAlign w:val="superscript"/>
        </w:rPr>
        <w:t>1</w:t>
      </w:r>
      <w:r w:rsidR="00EF78E6">
        <w:rPr>
          <w:rFonts w:ascii="Arial Narrow" w:hAnsi="Arial Narrow"/>
          <w:i/>
          <w:iCs/>
          <w:sz w:val="18"/>
          <w:vertAlign w:val="superscript"/>
        </w:rPr>
        <w:t xml:space="preserve"> </w:t>
      </w:r>
      <w:r w:rsidRPr="004448DC">
        <w:rPr>
          <w:rFonts w:ascii="Arial Narrow" w:hAnsi="Arial Narrow"/>
          <w:i/>
          <w:iCs/>
          <w:sz w:val="18"/>
        </w:rPr>
        <w:t>500 to &lt; 5,000</w:t>
      </w:r>
    </w:p>
    <w:p w14:paraId="42ACEDA0" w14:textId="738BAB65" w:rsidR="00A760D0" w:rsidRPr="00A760D0" w:rsidRDefault="004448DC" w:rsidP="00141DB3">
      <w:pPr>
        <w:keepNext/>
        <w:rPr>
          <w:rFonts w:ascii="Arial Narrow" w:hAnsi="Arial Narrow"/>
          <w:sz w:val="18"/>
        </w:rPr>
      </w:pPr>
      <w:r>
        <w:rPr>
          <w:rFonts w:ascii="Arial Narrow" w:hAnsi="Arial Narrow"/>
          <w:sz w:val="18"/>
          <w:vertAlign w:val="superscript"/>
        </w:rPr>
        <w:t>2</w:t>
      </w:r>
      <w:r w:rsidR="00EF78E6">
        <w:rPr>
          <w:rFonts w:ascii="Arial Narrow" w:hAnsi="Arial Narrow"/>
          <w:sz w:val="18"/>
          <w:vertAlign w:val="superscript"/>
        </w:rPr>
        <w:t xml:space="preserve"> </w:t>
      </w:r>
      <w:r w:rsidR="00A760D0" w:rsidRPr="00A760D0">
        <w:rPr>
          <w:rFonts w:ascii="Arial Narrow" w:hAnsi="Arial Narrow"/>
          <w:sz w:val="18"/>
        </w:rPr>
        <w:t>&lt; 500</w:t>
      </w:r>
    </w:p>
    <w:p w14:paraId="18E25871" w14:textId="19C36B59" w:rsidR="00A760D0" w:rsidRDefault="003B2ED8" w:rsidP="00141DB3">
      <w:pPr>
        <w:keepNext/>
        <w:rPr>
          <w:rFonts w:ascii="Arial Narrow" w:hAnsi="Arial Narrow"/>
          <w:sz w:val="18"/>
        </w:rPr>
      </w:pPr>
      <w:r w:rsidRPr="003B2ED8">
        <w:rPr>
          <w:rFonts w:ascii="Arial Narrow" w:hAnsi="Arial Narrow"/>
          <w:sz w:val="18"/>
          <w:vertAlign w:val="superscript"/>
        </w:rPr>
        <w:t>3</w:t>
      </w:r>
      <w:r w:rsidR="00EF78E6">
        <w:rPr>
          <w:rFonts w:ascii="Arial Narrow" w:hAnsi="Arial Narrow"/>
          <w:sz w:val="18"/>
          <w:vertAlign w:val="superscript"/>
        </w:rPr>
        <w:t xml:space="preserve"> </w:t>
      </w:r>
      <w:r w:rsidR="00A760D0" w:rsidRPr="00A760D0">
        <w:rPr>
          <w:rFonts w:ascii="Arial Narrow" w:hAnsi="Arial Narrow"/>
          <w:sz w:val="18"/>
        </w:rPr>
        <w:t>20,000 to &lt; 30,000</w:t>
      </w:r>
    </w:p>
    <w:p w14:paraId="7ACA21DB" w14:textId="61D7713E" w:rsidR="004448DC" w:rsidRDefault="004448DC" w:rsidP="00141DB3">
      <w:pPr>
        <w:keepNext/>
        <w:rPr>
          <w:rFonts w:ascii="Arial Narrow" w:hAnsi="Arial Narrow"/>
          <w:sz w:val="18"/>
        </w:rPr>
      </w:pPr>
      <w:r w:rsidRPr="004448DC">
        <w:rPr>
          <w:rFonts w:ascii="Arial Narrow" w:hAnsi="Arial Narrow"/>
          <w:sz w:val="18"/>
          <w:vertAlign w:val="superscript"/>
        </w:rPr>
        <w:t>4</w:t>
      </w:r>
      <w:r w:rsidR="00EF78E6">
        <w:rPr>
          <w:rFonts w:ascii="Arial Narrow" w:hAnsi="Arial Narrow"/>
          <w:sz w:val="18"/>
          <w:vertAlign w:val="superscript"/>
        </w:rPr>
        <w:t xml:space="preserve"> </w:t>
      </w:r>
      <w:r w:rsidRPr="004448DC">
        <w:rPr>
          <w:rFonts w:ascii="Arial Narrow" w:hAnsi="Arial Narrow"/>
          <w:sz w:val="18"/>
        </w:rPr>
        <w:t>$100 million to &lt; $200 million</w:t>
      </w:r>
    </w:p>
    <w:p w14:paraId="76220069" w14:textId="5ABDE14E" w:rsidR="004448DC" w:rsidRPr="00A760D0" w:rsidRDefault="004448DC" w:rsidP="00761CF4">
      <w:pPr>
        <w:keepNext/>
        <w:rPr>
          <w:rFonts w:ascii="Arial Narrow" w:hAnsi="Arial Narrow"/>
          <w:sz w:val="18"/>
        </w:rPr>
      </w:pPr>
      <w:r w:rsidRPr="004448DC">
        <w:rPr>
          <w:rFonts w:ascii="Arial Narrow" w:hAnsi="Arial Narrow"/>
          <w:sz w:val="18"/>
          <w:vertAlign w:val="superscript"/>
        </w:rPr>
        <w:t>5</w:t>
      </w:r>
      <w:r w:rsidR="00EF78E6">
        <w:rPr>
          <w:rFonts w:ascii="Arial Narrow" w:hAnsi="Arial Narrow"/>
          <w:sz w:val="18"/>
          <w:vertAlign w:val="superscript"/>
        </w:rPr>
        <w:t xml:space="preserve"> </w:t>
      </w:r>
      <w:r w:rsidR="000528BF" w:rsidRPr="004448DC">
        <w:rPr>
          <w:rFonts w:ascii="Arial Narrow" w:hAnsi="Arial Narrow"/>
          <w:sz w:val="18"/>
        </w:rPr>
        <w:t>$</w:t>
      </w:r>
      <w:r w:rsidRPr="004448DC">
        <w:rPr>
          <w:rFonts w:ascii="Arial Narrow" w:hAnsi="Arial Narrow"/>
          <w:sz w:val="18"/>
        </w:rPr>
        <w:t>70 million to &lt; $80 million</w:t>
      </w:r>
    </w:p>
    <w:p w14:paraId="0319262C" w14:textId="77777777" w:rsidR="00C95EEE" w:rsidRPr="00980134" w:rsidRDefault="00C95EEE" w:rsidP="00C95EEE">
      <w:pPr>
        <w:pStyle w:val="4-SubsectionHeading"/>
      </w:pPr>
      <w:bookmarkStart w:id="108" w:name="_Toc145452645"/>
      <w:bookmarkEnd w:id="94"/>
      <w:r w:rsidRPr="00980134">
        <w:t>Quality Use of Medicines</w:t>
      </w:r>
      <w:bookmarkEnd w:id="95"/>
      <w:bookmarkEnd w:id="96"/>
      <w:bookmarkEnd w:id="97"/>
      <w:bookmarkEnd w:id="108"/>
    </w:p>
    <w:p w14:paraId="76DA200D" w14:textId="036ED048" w:rsidR="00C95EEE" w:rsidRPr="00980134" w:rsidRDefault="00C95EEE" w:rsidP="00C95EEE">
      <w:pPr>
        <w:pStyle w:val="3-BodyText"/>
      </w:pPr>
      <w:r w:rsidRPr="00980134">
        <w:t xml:space="preserve">The sponsor has developed a bespoke </w:t>
      </w:r>
      <w:r w:rsidR="006C36E3" w:rsidRPr="00980134">
        <w:t>quality use of medicine</w:t>
      </w:r>
      <w:r w:rsidR="006C36E3">
        <w:t xml:space="preserve"> (</w:t>
      </w:r>
      <w:r w:rsidRPr="00980134">
        <w:t>QUM</w:t>
      </w:r>
      <w:r w:rsidR="006C36E3">
        <w:t>)</w:t>
      </w:r>
      <w:r w:rsidRPr="00980134">
        <w:t xml:space="preserve"> strategy for T-</w:t>
      </w:r>
      <w:proofErr w:type="spellStart"/>
      <w:r w:rsidRPr="00980134">
        <w:t>DXd</w:t>
      </w:r>
      <w:proofErr w:type="spellEnd"/>
      <w:r w:rsidRPr="00980134">
        <w:t>, using current Australian medicines policies, contemporary international evidence on QUM, industry documents, clinical guidelines along with insights shared from multiple stakeholder interviews.</w:t>
      </w:r>
    </w:p>
    <w:p w14:paraId="290C8A2A" w14:textId="77777777" w:rsidR="00C95EEE" w:rsidRPr="00980134" w:rsidRDefault="00C95EEE" w:rsidP="00C95EEE">
      <w:pPr>
        <w:pStyle w:val="4-SubsectionHeading"/>
      </w:pPr>
      <w:bookmarkStart w:id="109" w:name="_Toc22897649"/>
      <w:bookmarkStart w:id="110" w:name="_Toc142092397"/>
      <w:bookmarkStart w:id="111" w:name="_Toc142576853"/>
      <w:bookmarkStart w:id="112" w:name="_Toc145452646"/>
      <w:r w:rsidRPr="00980134">
        <w:lastRenderedPageBreak/>
        <w:t>Financial Management – Risk Sharing Arrangements</w:t>
      </w:r>
      <w:bookmarkEnd w:id="109"/>
      <w:bookmarkEnd w:id="110"/>
      <w:bookmarkEnd w:id="111"/>
      <w:bookmarkEnd w:id="112"/>
    </w:p>
    <w:p w14:paraId="611D25FA" w14:textId="62A02105" w:rsidR="00C95EEE" w:rsidRPr="00980134" w:rsidRDefault="00C95EEE" w:rsidP="00C95EEE">
      <w:pPr>
        <w:pStyle w:val="3-BodyText"/>
        <w:ind w:left="709" w:hanging="709"/>
      </w:pPr>
      <w:r w:rsidRPr="00980134">
        <w:t xml:space="preserve">The submission indicated that the sponsor is willing to work with the PBAC and </w:t>
      </w:r>
      <w:r w:rsidR="00602FF7">
        <w:t xml:space="preserve">the </w:t>
      </w:r>
      <w:r w:rsidRPr="00980134">
        <w:t xml:space="preserve">Department to determine appropriate terms for listing that share the risk of uncertainty in utilisation and budget impact between the company and the Commonwealth, if required. </w:t>
      </w:r>
    </w:p>
    <w:p w14:paraId="1345E3F8" w14:textId="3D04D2BB" w:rsidR="00A30A62" w:rsidRPr="00BC4CED" w:rsidRDefault="00A30A62" w:rsidP="00BC4CED">
      <w:pPr>
        <w:pStyle w:val="2-SectionHeading"/>
      </w:pPr>
      <w:bookmarkStart w:id="113" w:name="_Toc142092399"/>
      <w:bookmarkEnd w:id="98"/>
      <w:bookmarkEnd w:id="99"/>
      <w:r w:rsidRPr="00BC4CED">
        <w:t>PBAC Outcome</w:t>
      </w:r>
    </w:p>
    <w:p w14:paraId="42207209" w14:textId="23117767" w:rsidR="00A30A62" w:rsidRPr="00980134" w:rsidRDefault="00A30A62" w:rsidP="00697B0C">
      <w:pPr>
        <w:pStyle w:val="3-BodyText"/>
        <w:rPr>
          <w:rFonts w:ascii="Calibri" w:hAnsi="Calibri" w:cs="Calibri"/>
          <w:sz w:val="22"/>
          <w:szCs w:val="22"/>
        </w:rPr>
      </w:pPr>
      <w:r w:rsidRPr="00980134">
        <w:t xml:space="preserve">The PBAC did not recommended the listing of trastuzumab </w:t>
      </w:r>
      <w:proofErr w:type="spellStart"/>
      <w:r w:rsidRPr="00980134">
        <w:t>deruxtecan</w:t>
      </w:r>
      <w:proofErr w:type="spellEnd"/>
      <w:r w:rsidRPr="00980134">
        <w:t xml:space="preserve"> </w:t>
      </w:r>
      <w:r w:rsidR="00712FD4" w:rsidRPr="00980134">
        <w:t>(T-</w:t>
      </w:r>
      <w:proofErr w:type="spellStart"/>
      <w:r w:rsidR="00712FD4" w:rsidRPr="00980134">
        <w:t>DXd</w:t>
      </w:r>
      <w:proofErr w:type="spellEnd"/>
      <w:r w:rsidR="00712FD4" w:rsidRPr="00980134">
        <w:t xml:space="preserve">) </w:t>
      </w:r>
      <w:r w:rsidRPr="00980134">
        <w:t>for the treatment of patients with HER2</w:t>
      </w:r>
      <w:r w:rsidR="009C26A5" w:rsidRPr="00980134">
        <w:t xml:space="preserve"> </w:t>
      </w:r>
      <w:r w:rsidRPr="00980134">
        <w:t>low unresectable or metastatic breast cancer. The PBAC considered there was a moderate clinical need for additional treatments in this therapeutic area</w:t>
      </w:r>
      <w:r w:rsidR="00980134">
        <w:t xml:space="preserve">. </w:t>
      </w:r>
      <w:r w:rsidRPr="00980134">
        <w:t>The PBAC considered</w:t>
      </w:r>
      <w:r w:rsidR="001117D3" w:rsidRPr="00980134">
        <w:t xml:space="preserve"> T-</w:t>
      </w:r>
      <w:proofErr w:type="spellStart"/>
      <w:r w:rsidR="001117D3" w:rsidRPr="00980134">
        <w:t>DXd</w:t>
      </w:r>
      <w:proofErr w:type="spellEnd"/>
      <w:r w:rsidRPr="00980134">
        <w:t xml:space="preserve"> was superior to chemotherapy based on progression free survival </w:t>
      </w:r>
      <w:r w:rsidR="001117D3" w:rsidRPr="00980134">
        <w:t xml:space="preserve">(PFS) </w:t>
      </w:r>
      <w:r w:rsidRPr="00980134">
        <w:t>and overall survival</w:t>
      </w:r>
      <w:r w:rsidR="001117D3" w:rsidRPr="00980134">
        <w:t xml:space="preserve"> (OS)</w:t>
      </w:r>
      <w:r w:rsidRPr="00980134">
        <w:t>. However, the PBAC considered</w:t>
      </w:r>
      <w:r w:rsidR="001117D3" w:rsidRPr="00980134">
        <w:t xml:space="preserve"> T-</w:t>
      </w:r>
      <w:proofErr w:type="spellStart"/>
      <w:r w:rsidR="001117D3" w:rsidRPr="00980134">
        <w:t>DXd</w:t>
      </w:r>
      <w:proofErr w:type="spellEnd"/>
      <w:r w:rsidRPr="00980134">
        <w:t xml:space="preserve"> was not cost-effective at the price proposed in the submission given optimistic assumptions included in the economic model. The PBAC considered the financial estimates provided in the submission were substantially overestimated. </w:t>
      </w:r>
    </w:p>
    <w:p w14:paraId="3BFBAFA5" w14:textId="0FD40172" w:rsidR="0069087F" w:rsidRPr="00980134" w:rsidRDefault="0069087F" w:rsidP="0069087F">
      <w:pPr>
        <w:widowControl w:val="0"/>
        <w:numPr>
          <w:ilvl w:val="1"/>
          <w:numId w:val="1"/>
        </w:numPr>
        <w:spacing w:after="120"/>
        <w:rPr>
          <w:rFonts w:asciiTheme="minorHAnsi" w:hAnsiTheme="minorHAnsi"/>
          <w:snapToGrid w:val="0"/>
          <w:lang w:eastAsia="en-US"/>
        </w:rPr>
      </w:pPr>
      <w:r w:rsidRPr="00980134">
        <w:rPr>
          <w:rFonts w:asciiTheme="minorHAnsi" w:hAnsiTheme="minorHAnsi"/>
          <w:snapToGrid w:val="0"/>
          <w:lang w:eastAsia="en-US"/>
        </w:rPr>
        <w:t xml:space="preserve">The PBAC considered the primary reason for this outcome was due to </w:t>
      </w:r>
      <w:r w:rsidR="00426BBB" w:rsidRPr="00980134">
        <w:rPr>
          <w:rFonts w:asciiTheme="minorHAnsi" w:hAnsiTheme="minorHAnsi"/>
          <w:snapToGrid w:val="0"/>
          <w:lang w:eastAsia="en-US"/>
        </w:rPr>
        <w:t>the economic evaluation</w:t>
      </w:r>
      <w:r w:rsidRPr="00980134">
        <w:rPr>
          <w:rFonts w:asciiTheme="minorHAnsi" w:hAnsiTheme="minorHAnsi"/>
          <w:snapToGrid w:val="0"/>
          <w:lang w:eastAsia="en-US"/>
        </w:rPr>
        <w:t>.</w:t>
      </w:r>
    </w:p>
    <w:p w14:paraId="3072AEF2" w14:textId="2A070BED" w:rsidR="0069087F" w:rsidRPr="00980134" w:rsidRDefault="0069087F" w:rsidP="0069087F">
      <w:pPr>
        <w:pStyle w:val="3-BodyText"/>
      </w:pPr>
      <w:r w:rsidRPr="00980134">
        <w:t xml:space="preserve">The PBAC noted the input </w:t>
      </w:r>
      <w:r w:rsidR="00E16218" w:rsidRPr="00980134">
        <w:t>received from individuals and organisations expressing their support for listing T-</w:t>
      </w:r>
      <w:proofErr w:type="spellStart"/>
      <w:r w:rsidR="00E16218" w:rsidRPr="00980134">
        <w:t>DXd</w:t>
      </w:r>
      <w:proofErr w:type="spellEnd"/>
      <w:r w:rsidR="002E4629" w:rsidRPr="00980134">
        <w:t xml:space="preserve"> and emphasising the need for additional treatment options for this condition</w:t>
      </w:r>
      <w:r w:rsidR="00980134">
        <w:t xml:space="preserve">. </w:t>
      </w:r>
      <w:r w:rsidR="002E4629" w:rsidRPr="00980134">
        <w:t xml:space="preserve">The PBAC noted the value to patients of any additional progression-free survival and overall survival and the significant financial barriers of funding treatment privately. </w:t>
      </w:r>
      <w:r w:rsidRPr="00980134">
        <w:t xml:space="preserve">In addition, the PBAC noted the Medical Oncology Group of Australia’s support for the submission. </w:t>
      </w:r>
    </w:p>
    <w:p w14:paraId="5A6DFAD6" w14:textId="35A276BE" w:rsidR="0069087F" w:rsidRPr="00980134" w:rsidRDefault="009C26A5" w:rsidP="0069087F">
      <w:pPr>
        <w:pStyle w:val="3-BodyText"/>
      </w:pPr>
      <w:r w:rsidRPr="00980134">
        <w:t xml:space="preserve">The PBAC noted </w:t>
      </w:r>
      <w:r w:rsidR="00FA742A" w:rsidRPr="00980134">
        <w:t xml:space="preserve">there were a number of lines of therapy available to patients with HER2 low breast cancer </w:t>
      </w:r>
      <w:r w:rsidR="00874955" w:rsidRPr="00980134">
        <w:t xml:space="preserve">(particularly for patients with HR positive disease) </w:t>
      </w:r>
      <w:r w:rsidR="00FA742A" w:rsidRPr="00980134">
        <w:t>but</w:t>
      </w:r>
      <w:r w:rsidR="000711C1" w:rsidRPr="00980134">
        <w:t xml:space="preserve"> </w:t>
      </w:r>
      <w:r w:rsidR="00874955" w:rsidRPr="00980134">
        <w:t>considered t</w:t>
      </w:r>
      <w:r w:rsidR="0069087F" w:rsidRPr="00980134">
        <w:t xml:space="preserve">here </w:t>
      </w:r>
      <w:r w:rsidR="00EC3EA3" w:rsidRPr="00980134">
        <w:t xml:space="preserve">was </w:t>
      </w:r>
      <w:r w:rsidR="0069087F" w:rsidRPr="00980134">
        <w:t xml:space="preserve">a moderate clinical need for </w:t>
      </w:r>
      <w:r w:rsidR="0029638A" w:rsidRPr="00980134">
        <w:t xml:space="preserve">additional </w:t>
      </w:r>
      <w:r w:rsidR="0069087F" w:rsidRPr="00980134">
        <w:t>treatment</w:t>
      </w:r>
      <w:r w:rsidR="0029638A" w:rsidRPr="00980134">
        <w:t>s for patients with HER2 low breast cancer</w:t>
      </w:r>
      <w:r w:rsidR="00980134">
        <w:t xml:space="preserve">. </w:t>
      </w:r>
      <w:r w:rsidR="00001605">
        <w:t xml:space="preserve">The PBAC noted </w:t>
      </w:r>
      <w:proofErr w:type="spellStart"/>
      <w:r w:rsidR="00001605">
        <w:t>sacituzumab</w:t>
      </w:r>
      <w:proofErr w:type="spellEnd"/>
      <w:r w:rsidR="00001605">
        <w:t xml:space="preserve"> </w:t>
      </w:r>
      <w:proofErr w:type="spellStart"/>
      <w:r w:rsidR="00001605">
        <w:t>govitecan</w:t>
      </w:r>
      <w:proofErr w:type="spellEnd"/>
      <w:r w:rsidR="00001605">
        <w:t xml:space="preserve"> (SG) was </w:t>
      </w:r>
      <w:r w:rsidR="006C36E3">
        <w:t xml:space="preserve">also </w:t>
      </w:r>
      <w:r w:rsidR="00001605">
        <w:t xml:space="preserve">considered at </w:t>
      </w:r>
      <w:r w:rsidR="006C36E3">
        <w:t xml:space="preserve">the November 2023 </w:t>
      </w:r>
      <w:r w:rsidR="00001605">
        <w:t xml:space="preserve">PBAC meeting for the </w:t>
      </w:r>
      <w:r w:rsidR="00001605" w:rsidRPr="00001605">
        <w:t>treatment of adult patients with unresectable locally advanced or metastatic</w:t>
      </w:r>
      <w:r w:rsidR="00001605">
        <w:t xml:space="preserve"> HR positive/ </w:t>
      </w:r>
      <w:r w:rsidR="00001605" w:rsidRPr="00001605">
        <w:t>HER2 negative</w:t>
      </w:r>
      <w:r w:rsidR="00001605">
        <w:t xml:space="preserve"> </w:t>
      </w:r>
      <w:r w:rsidR="00001605" w:rsidRPr="00001605">
        <w:t>breast cancer, who have previously received at least two prior chemotherapeutic regimens.</w:t>
      </w:r>
    </w:p>
    <w:p w14:paraId="747B122F" w14:textId="5F57B996" w:rsidR="00F30321" w:rsidRPr="00980134" w:rsidRDefault="00874955" w:rsidP="0069087F">
      <w:pPr>
        <w:pStyle w:val="3-BodyText"/>
      </w:pPr>
      <w:r w:rsidRPr="00980134">
        <w:t xml:space="preserve">The PBAC considered the proposed restriction, including the suggestions and additions proposed by the Secretariat, as outlined in paragraph </w:t>
      </w:r>
      <w:r w:rsidRPr="00980134">
        <w:fldChar w:fldCharType="begin" w:fldLock="1"/>
      </w:r>
      <w:r w:rsidRPr="00980134">
        <w:instrText xml:space="preserve"> REF _Ref152324015 \r \h  \* MERGEFORMAT </w:instrText>
      </w:r>
      <w:r w:rsidRPr="00980134">
        <w:fldChar w:fldCharType="separate"/>
      </w:r>
      <w:r w:rsidR="00DF66B3">
        <w:t>3.1</w:t>
      </w:r>
      <w:r w:rsidRPr="00980134">
        <w:fldChar w:fldCharType="end"/>
      </w:r>
      <w:r w:rsidRPr="00980134">
        <w:t xml:space="preserve">, was reasonable. </w:t>
      </w:r>
    </w:p>
    <w:p w14:paraId="3BEDED27" w14:textId="3FB962C5" w:rsidR="0069087F" w:rsidRPr="00980134" w:rsidRDefault="00001605" w:rsidP="0069087F">
      <w:pPr>
        <w:pStyle w:val="3-BodyText"/>
      </w:pPr>
      <w:r w:rsidRPr="00001605">
        <w:t xml:space="preserve">The PBAC noted the submission nominated TPC as the comparator for the HR positive population and SG as the comparator for the HR negative population. </w:t>
      </w:r>
      <w:r>
        <w:t>However, t</w:t>
      </w:r>
      <w:r w:rsidRPr="00001605">
        <w:t xml:space="preserve">he PBAC considered SG was likely to be </w:t>
      </w:r>
      <w:r>
        <w:t xml:space="preserve">the preferred treatment </w:t>
      </w:r>
      <w:r w:rsidRPr="00001605">
        <w:t>in the HR negative population given the available clinical evidence for SG was more robust. The PBAC therefore considered the appropriate comparator was TPC for the entire HER2 low population.</w:t>
      </w:r>
    </w:p>
    <w:p w14:paraId="134F39E2" w14:textId="598B711B" w:rsidR="00F30321" w:rsidRPr="00980134" w:rsidRDefault="0069087F" w:rsidP="00F30321">
      <w:pPr>
        <w:pStyle w:val="3-BodyText"/>
      </w:pPr>
      <w:r w:rsidRPr="00980134">
        <w:t>The</w:t>
      </w:r>
      <w:r w:rsidR="00DE60C5" w:rsidRPr="00980134">
        <w:t xml:space="preserve"> PBAC noted the </w:t>
      </w:r>
      <w:r w:rsidR="00426BBB" w:rsidRPr="00980134">
        <w:t>submission was based on the DESTINY-Breast04 (DB-04) study, an open-label, randomised, controlled trial</w:t>
      </w:r>
      <w:r w:rsidRPr="00980134">
        <w:t xml:space="preserve"> </w:t>
      </w:r>
      <w:r w:rsidR="00426BBB" w:rsidRPr="00980134">
        <w:t>comparing T-</w:t>
      </w:r>
      <w:proofErr w:type="spellStart"/>
      <w:r w:rsidR="00426BBB" w:rsidRPr="00980134">
        <w:t>DXd</w:t>
      </w:r>
      <w:proofErr w:type="spellEnd"/>
      <w:r w:rsidR="00426BBB" w:rsidRPr="00980134">
        <w:t xml:space="preserve"> (n=373) and </w:t>
      </w:r>
      <w:r w:rsidR="0047650B" w:rsidRPr="00980134">
        <w:t xml:space="preserve">treatment of </w:t>
      </w:r>
      <w:r w:rsidR="0047650B" w:rsidRPr="00980134">
        <w:lastRenderedPageBreak/>
        <w:t>physician’s choice (</w:t>
      </w:r>
      <w:r w:rsidR="00426BBB" w:rsidRPr="00980134">
        <w:t>TPC</w:t>
      </w:r>
      <w:r w:rsidR="0047650B" w:rsidRPr="00980134">
        <w:t>)</w:t>
      </w:r>
      <w:r w:rsidR="00426BBB" w:rsidRPr="00980134">
        <w:t xml:space="preserve"> (n=184) in </w:t>
      </w:r>
      <w:r w:rsidRPr="00980134">
        <w:t>patients with</w:t>
      </w:r>
      <w:r w:rsidR="00426BBB" w:rsidRPr="00980134">
        <w:t xml:space="preserve"> HER2 low unresectable or metastatic breast cancer who had previously received prior chemotherapy in the metastatic setting or developed disease recurrence during or within 6 months of completing adjuvant chemotherapy. The PBAC noted the median progression free survival in the T-</w:t>
      </w:r>
      <w:proofErr w:type="spellStart"/>
      <w:r w:rsidR="00426BBB" w:rsidRPr="00980134">
        <w:t>D</w:t>
      </w:r>
      <w:r w:rsidR="0047650B" w:rsidRPr="00980134">
        <w:t>X</w:t>
      </w:r>
      <w:r w:rsidR="00426BBB" w:rsidRPr="00980134">
        <w:t>d</w:t>
      </w:r>
      <w:proofErr w:type="spellEnd"/>
      <w:r w:rsidR="00426BBB" w:rsidRPr="00980134">
        <w:t xml:space="preserve"> arm was 9.9 months compared to 5.1 months in the TPC arm [hazard ratio (HR) 0.50 (95% CI: 0.40, 0.63)] (date cut off (DCO) January 2022 with a median follow up of 15.3 months). The PBAC noted the median overall survival in the T-</w:t>
      </w:r>
      <w:proofErr w:type="spellStart"/>
      <w:r w:rsidR="00426BBB" w:rsidRPr="00980134">
        <w:t>D</w:t>
      </w:r>
      <w:r w:rsidR="0047650B" w:rsidRPr="00980134">
        <w:t>X</w:t>
      </w:r>
      <w:r w:rsidR="00426BBB" w:rsidRPr="00980134">
        <w:t>d</w:t>
      </w:r>
      <w:proofErr w:type="spellEnd"/>
      <w:r w:rsidR="00426BBB" w:rsidRPr="00980134">
        <w:t xml:space="preserve"> arm was 22.9 months compared to 16.8 months in the TPC arm (HR 0.69 (95% CI: 0.55, 0.86) (DCO March 2023 with a median follow up of 32 months). </w:t>
      </w:r>
      <w:r w:rsidR="00160F78" w:rsidRPr="00980134">
        <w:t>The PBAC noted</w:t>
      </w:r>
      <w:r w:rsidR="00F23844">
        <w:t>, consistent with the submission’s nominated comparators,</w:t>
      </w:r>
      <w:r w:rsidR="00160F78" w:rsidRPr="00980134">
        <w:t xml:space="preserve"> results </w:t>
      </w:r>
      <w:r w:rsidR="00F23844">
        <w:t xml:space="preserve">were presented </w:t>
      </w:r>
      <w:r w:rsidR="00160F78" w:rsidRPr="00980134">
        <w:t>separately for the HR</w:t>
      </w:r>
      <w:r w:rsidR="00D60C9E" w:rsidRPr="00980134">
        <w:t xml:space="preserve"> positive</w:t>
      </w:r>
      <w:r w:rsidR="00160F78" w:rsidRPr="00980134">
        <w:t xml:space="preserve"> and HR</w:t>
      </w:r>
      <w:r w:rsidR="00D60C9E" w:rsidRPr="00980134">
        <w:t xml:space="preserve"> negative</w:t>
      </w:r>
      <w:r w:rsidR="00160F78" w:rsidRPr="00980134">
        <w:t xml:space="preserve"> populations</w:t>
      </w:r>
      <w:r w:rsidR="00F23844">
        <w:t xml:space="preserve">. However, noting TPC is the appropriate comparator for all patients, the PBAC considered </w:t>
      </w:r>
      <w:r w:rsidR="00160F78" w:rsidRPr="00980134">
        <w:t>the intention to treat (ITT) results were the most relevant</w:t>
      </w:r>
      <w:r w:rsidR="00F23844">
        <w:t>.</w:t>
      </w:r>
      <w:r w:rsidR="00640308">
        <w:t xml:space="preserve"> </w:t>
      </w:r>
      <w:r w:rsidR="00160F78" w:rsidRPr="00980134">
        <w:t xml:space="preserve"> </w:t>
      </w:r>
      <w:r w:rsidR="00F30321" w:rsidRPr="00980134">
        <w:t>The PBAC considered that the claim of superior comparative effectiveness, in terms of PFS and OS, was reasonable for the HER2 low population.</w:t>
      </w:r>
    </w:p>
    <w:p w14:paraId="7E93E8E8" w14:textId="12DC3F8C" w:rsidR="00A30A62" w:rsidRPr="00980134" w:rsidRDefault="000E5202" w:rsidP="00A30A62">
      <w:pPr>
        <w:pStyle w:val="3-BodyText"/>
      </w:pPr>
      <w:r w:rsidRPr="00980134">
        <w:rPr>
          <w:szCs w:val="20"/>
        </w:rPr>
        <w:t>The PBAC noted the incidence of Grade ≥ 3 treatment emergent adverse events (TEAEs) was higher in the TPC arm (67.4%) than in the T-</w:t>
      </w:r>
      <w:proofErr w:type="spellStart"/>
      <w:r w:rsidRPr="00980134">
        <w:rPr>
          <w:szCs w:val="20"/>
        </w:rPr>
        <w:t>DXd</w:t>
      </w:r>
      <w:proofErr w:type="spellEnd"/>
      <w:r w:rsidRPr="00980134">
        <w:rPr>
          <w:szCs w:val="20"/>
        </w:rPr>
        <w:t xml:space="preserve"> arm (54.4%), whereas patients receiving T-</w:t>
      </w:r>
      <w:proofErr w:type="spellStart"/>
      <w:r w:rsidRPr="00980134">
        <w:rPr>
          <w:szCs w:val="20"/>
        </w:rPr>
        <w:t>DXd</w:t>
      </w:r>
      <w:proofErr w:type="spellEnd"/>
      <w:r w:rsidRPr="00980134">
        <w:rPr>
          <w:szCs w:val="20"/>
        </w:rPr>
        <w:t xml:space="preserve"> had a greater risk of experiencing TEAEs leading to treatment discontinuation (16.7% vs 8.1%). The PBAC noted drug-related interstitial lung disease occurred in 12.1% patients in the T-</w:t>
      </w:r>
      <w:proofErr w:type="spellStart"/>
      <w:r w:rsidRPr="00980134">
        <w:rPr>
          <w:szCs w:val="20"/>
        </w:rPr>
        <w:t>DXd</w:t>
      </w:r>
      <w:proofErr w:type="spellEnd"/>
      <w:r w:rsidRPr="00980134">
        <w:rPr>
          <w:szCs w:val="20"/>
        </w:rPr>
        <w:t xml:space="preserve"> arm compared to 0.6% in the TPC arm and left ventricular dysfunction was reported in 17.9% patients in the T-</w:t>
      </w:r>
      <w:proofErr w:type="spellStart"/>
      <w:r w:rsidRPr="00980134">
        <w:rPr>
          <w:szCs w:val="20"/>
        </w:rPr>
        <w:t>DXd</w:t>
      </w:r>
      <w:proofErr w:type="spellEnd"/>
      <w:r w:rsidRPr="00980134">
        <w:rPr>
          <w:szCs w:val="20"/>
        </w:rPr>
        <w:t xml:space="preserve"> compared to 7.7% in the TPC arm. </w:t>
      </w:r>
      <w:r w:rsidR="006C36E3">
        <w:rPr>
          <w:szCs w:val="20"/>
        </w:rPr>
        <w:t>T</w:t>
      </w:r>
      <w:r w:rsidR="00C455CC" w:rsidRPr="00980134">
        <w:rPr>
          <w:szCs w:val="20"/>
        </w:rPr>
        <w:t xml:space="preserve">he PBAC </w:t>
      </w:r>
      <w:r w:rsidR="006C36E3">
        <w:rPr>
          <w:szCs w:val="20"/>
        </w:rPr>
        <w:t>did not accept th</w:t>
      </w:r>
      <w:r w:rsidR="00BC4CED">
        <w:rPr>
          <w:szCs w:val="20"/>
        </w:rPr>
        <w:t xml:space="preserve">e submission’s </w:t>
      </w:r>
      <w:r w:rsidR="006C36E3">
        <w:rPr>
          <w:szCs w:val="20"/>
        </w:rPr>
        <w:t xml:space="preserve">claim </w:t>
      </w:r>
      <w:r w:rsidR="00BC4CED">
        <w:rPr>
          <w:szCs w:val="20"/>
        </w:rPr>
        <w:t xml:space="preserve">of non-inferior safety </w:t>
      </w:r>
      <w:r w:rsidR="006C36E3">
        <w:rPr>
          <w:szCs w:val="20"/>
        </w:rPr>
        <w:t xml:space="preserve">and </w:t>
      </w:r>
      <w:r w:rsidR="00C455CC" w:rsidRPr="00980134">
        <w:rPr>
          <w:szCs w:val="20"/>
        </w:rPr>
        <w:t xml:space="preserve">considered </w:t>
      </w:r>
      <w:r w:rsidR="006C36E3">
        <w:rPr>
          <w:szCs w:val="20"/>
        </w:rPr>
        <w:t xml:space="preserve">that, overall, </w:t>
      </w:r>
      <w:r w:rsidR="00C455CC" w:rsidRPr="00980134">
        <w:rPr>
          <w:szCs w:val="20"/>
        </w:rPr>
        <w:t>T-</w:t>
      </w:r>
      <w:proofErr w:type="spellStart"/>
      <w:r w:rsidR="00C455CC" w:rsidRPr="00980134">
        <w:rPr>
          <w:szCs w:val="20"/>
        </w:rPr>
        <w:t>DXd</w:t>
      </w:r>
      <w:proofErr w:type="spellEnd"/>
      <w:r w:rsidR="00C455CC" w:rsidRPr="00980134">
        <w:rPr>
          <w:szCs w:val="20"/>
        </w:rPr>
        <w:t xml:space="preserve"> was of inferior safety compared with TPC, however considered the side effects </w:t>
      </w:r>
      <w:r w:rsidR="00001605">
        <w:rPr>
          <w:szCs w:val="20"/>
        </w:rPr>
        <w:t>associated with T-</w:t>
      </w:r>
      <w:proofErr w:type="spellStart"/>
      <w:r w:rsidR="00001605">
        <w:rPr>
          <w:szCs w:val="20"/>
        </w:rPr>
        <w:t>DXd</w:t>
      </w:r>
      <w:proofErr w:type="spellEnd"/>
      <w:r w:rsidR="00001605">
        <w:rPr>
          <w:szCs w:val="20"/>
        </w:rPr>
        <w:t xml:space="preserve"> </w:t>
      </w:r>
      <w:r w:rsidR="00C455CC" w:rsidRPr="00980134">
        <w:rPr>
          <w:szCs w:val="20"/>
        </w:rPr>
        <w:t>were manageable.</w:t>
      </w:r>
    </w:p>
    <w:p w14:paraId="73C58CCD" w14:textId="4141A259" w:rsidR="00A30A62" w:rsidRPr="00980134" w:rsidRDefault="00CE1887" w:rsidP="00A30A62">
      <w:pPr>
        <w:pStyle w:val="3-BodyText"/>
        <w:rPr>
          <w:rFonts w:cs="Calibri"/>
          <w:i/>
          <w:iCs/>
          <w:sz w:val="22"/>
          <w:szCs w:val="22"/>
        </w:rPr>
      </w:pPr>
      <w:bookmarkStart w:id="114" w:name="_Ref152166406"/>
      <w:r w:rsidRPr="00980134">
        <w:t>The PBAC noted that the submission presented a cost-utility analysis based on the outcomes of the DB-04 trial with outcomes extrapolated to 12 years in the base case. The PBAC noted the ESC identified a number of key drivers of the model that all highly favoured T-</w:t>
      </w:r>
      <w:proofErr w:type="spellStart"/>
      <w:r w:rsidRPr="00980134">
        <w:t>DXd</w:t>
      </w:r>
      <w:proofErr w:type="spellEnd"/>
      <w:r w:rsidR="00E91E29" w:rsidRPr="00980134">
        <w:t xml:space="preserve"> (as outlined in </w:t>
      </w:r>
      <w:r w:rsidR="00E91E29" w:rsidRPr="00980134">
        <w:fldChar w:fldCharType="begin" w:fldLock="1"/>
      </w:r>
      <w:r w:rsidR="00E91E29" w:rsidRPr="00980134">
        <w:instrText xml:space="preserve"> REF _Ref104805122 \h </w:instrText>
      </w:r>
      <w:r w:rsidR="00E91E29" w:rsidRPr="00980134">
        <w:fldChar w:fldCharType="separate"/>
      </w:r>
      <w:r w:rsidR="00DF66B3" w:rsidRPr="00980134">
        <w:t xml:space="preserve">Table </w:t>
      </w:r>
      <w:r w:rsidR="00DF66B3">
        <w:rPr>
          <w:noProof/>
        </w:rPr>
        <w:t>9</w:t>
      </w:r>
      <w:r w:rsidR="00E91E29" w:rsidRPr="00980134">
        <w:fldChar w:fldCharType="end"/>
      </w:r>
      <w:r w:rsidR="00E91E29" w:rsidRPr="00980134">
        <w:t>)</w:t>
      </w:r>
      <w:r w:rsidRPr="00980134">
        <w:t>. The PBAC noted the respecified base case economic model, with more conservative assumptions for the key drivers</w:t>
      </w:r>
      <w:r w:rsidR="000B574F">
        <w:t xml:space="preserve"> </w:t>
      </w:r>
      <w:r w:rsidR="000B574F" w:rsidRPr="00980134">
        <w:t xml:space="preserve">(as outlined in paragraph </w:t>
      </w:r>
      <w:r w:rsidR="000B574F" w:rsidRPr="00980134">
        <w:fldChar w:fldCharType="begin" w:fldLock="1"/>
      </w:r>
      <w:r w:rsidR="000B574F" w:rsidRPr="00980134">
        <w:instrText xml:space="preserve"> REF _Ref148467204 \r \h </w:instrText>
      </w:r>
      <w:r w:rsidR="000B574F" w:rsidRPr="00980134">
        <w:fldChar w:fldCharType="separate"/>
      </w:r>
      <w:r w:rsidR="00DF66B3">
        <w:t>6.58</w:t>
      </w:r>
      <w:r w:rsidR="000B574F" w:rsidRPr="00980134">
        <w:fldChar w:fldCharType="end"/>
      </w:r>
      <w:r w:rsidR="000B574F" w:rsidRPr="00980134">
        <w:t>)</w:t>
      </w:r>
      <w:r w:rsidRPr="00980134">
        <w:t>, increased the ICER from $</w:t>
      </w:r>
      <w:r w:rsidR="003B2ED8" w:rsidRPr="003B2ED8">
        <w:t>75,000 to &lt; $95,000</w:t>
      </w:r>
      <w:r w:rsidR="003B2ED8">
        <w:t xml:space="preserve"> </w:t>
      </w:r>
      <w:r w:rsidRPr="00980134">
        <w:t>per QALY to $</w:t>
      </w:r>
      <w:r w:rsidR="003B2ED8" w:rsidRPr="003B2ED8">
        <w:t>$155,000 to &lt; $255,000</w:t>
      </w:r>
      <w:r w:rsidR="003B2ED8">
        <w:t xml:space="preserve"> </w:t>
      </w:r>
      <w:r w:rsidRPr="00980134">
        <w:t>per QALY</w:t>
      </w:r>
      <w:bookmarkEnd w:id="114"/>
      <w:r w:rsidR="00980134">
        <w:t xml:space="preserve">. </w:t>
      </w:r>
    </w:p>
    <w:p w14:paraId="2194E868" w14:textId="58051A2A" w:rsidR="00824AE4" w:rsidRPr="00980134" w:rsidRDefault="00824AE4" w:rsidP="00A30A62">
      <w:pPr>
        <w:pStyle w:val="3-BodyText"/>
        <w:rPr>
          <w:rFonts w:cs="Calibri"/>
          <w:i/>
          <w:iCs/>
          <w:sz w:val="22"/>
          <w:szCs w:val="22"/>
        </w:rPr>
      </w:pPr>
      <w:bookmarkStart w:id="115" w:name="_Ref152086534"/>
      <w:r w:rsidRPr="00980134">
        <w:t xml:space="preserve">The PBAC considered that a base case ICER </w:t>
      </w:r>
      <w:r w:rsidRPr="00DF66B3">
        <w:t xml:space="preserve">of $45,000 </w:t>
      </w:r>
      <w:r w:rsidR="00874955" w:rsidRPr="00DF66B3">
        <w:t xml:space="preserve">to $50,000 </w:t>
      </w:r>
      <w:r w:rsidRPr="00DF66B3">
        <w:t xml:space="preserve">per QALY </w:t>
      </w:r>
      <w:r w:rsidRPr="00980134">
        <w:t xml:space="preserve">would be appropriate in the HER2 low population, based on previous considerations in similar patient populations (i.e., </w:t>
      </w:r>
      <w:proofErr w:type="spellStart"/>
      <w:r w:rsidRPr="00980134">
        <w:t>eribulin</w:t>
      </w:r>
      <w:proofErr w:type="spellEnd"/>
      <w:r w:rsidRPr="00980134">
        <w:t>, CDK4/6 inhibitors) and the moderate clinical need</w:t>
      </w:r>
      <w:r w:rsidR="00980134">
        <w:t xml:space="preserve">. </w:t>
      </w:r>
      <w:r w:rsidRPr="00980134">
        <w:t xml:space="preserve">The PBAC recalled it had recommended pembrolizumab and SG for </w:t>
      </w:r>
      <w:r w:rsidR="00FA742A" w:rsidRPr="00980134">
        <w:t>triple negative breast cancer (</w:t>
      </w:r>
      <w:r w:rsidRPr="00980134">
        <w:t>TNBC</w:t>
      </w:r>
      <w:r w:rsidR="00FA742A" w:rsidRPr="00980134">
        <w:t>)</w:t>
      </w:r>
      <w:r w:rsidRPr="00980134">
        <w:t xml:space="preserve"> with higher ICERs but noted TNBC was an aggressive condition, with poorer survival and fewer treatment options. The PBAC also recalled it had recommended T-</w:t>
      </w:r>
      <w:proofErr w:type="spellStart"/>
      <w:r w:rsidRPr="00980134">
        <w:t>DXd</w:t>
      </w:r>
      <w:proofErr w:type="spellEnd"/>
      <w:r w:rsidRPr="00980134">
        <w:t xml:space="preserve"> for HER2</w:t>
      </w:r>
      <w:r w:rsidR="00FA742A" w:rsidRPr="00980134">
        <w:t xml:space="preserve"> positive</w:t>
      </w:r>
      <w:r w:rsidRPr="00980134">
        <w:t xml:space="preserve"> breast cancer with a higher ICER but noted </w:t>
      </w:r>
      <w:r w:rsidR="00FA742A" w:rsidRPr="00980134">
        <w:t xml:space="preserve">this </w:t>
      </w:r>
      <w:bookmarkEnd w:id="115"/>
      <w:r w:rsidRPr="00980134">
        <w:t xml:space="preserve">was </w:t>
      </w:r>
      <w:r w:rsidR="00FA742A" w:rsidRPr="00980134">
        <w:t xml:space="preserve">also </w:t>
      </w:r>
      <w:r w:rsidRPr="00980134">
        <w:t>an aggressive condition and the relative benefit of treatment was substantially higher</w:t>
      </w:r>
      <w:r w:rsidR="00980134">
        <w:t xml:space="preserve">. </w:t>
      </w:r>
    </w:p>
    <w:p w14:paraId="3BFE771E" w14:textId="5371177F" w:rsidR="00B04F32" w:rsidRPr="000B574F" w:rsidRDefault="00B04F32" w:rsidP="00FF12FF">
      <w:pPr>
        <w:pStyle w:val="3-BodyText"/>
        <w:rPr>
          <w:rFonts w:cs="Calibri"/>
          <w:i/>
          <w:iCs/>
          <w:sz w:val="22"/>
          <w:szCs w:val="22"/>
        </w:rPr>
      </w:pPr>
      <w:r w:rsidRPr="00980134">
        <w:t xml:space="preserve">The PBAC noted the economic model was based on the HR positive cohort of </w:t>
      </w:r>
      <w:r w:rsidR="00DD66F2">
        <w:t xml:space="preserve">the </w:t>
      </w:r>
      <w:r w:rsidRPr="00980134">
        <w:t>DB-04 study</w:t>
      </w:r>
      <w:r w:rsidR="000B574F">
        <w:t xml:space="preserve"> rather than the ITT population</w:t>
      </w:r>
      <w:r w:rsidRPr="00980134">
        <w:t>. However, the PBAC considered that,</w:t>
      </w:r>
      <w:r w:rsidR="000B574F">
        <w:t xml:space="preserve"> for the </w:t>
      </w:r>
      <w:r w:rsidR="000B574F">
        <w:lastRenderedPageBreak/>
        <w:t xml:space="preserve">purposes of an early re-entry submission (see paragraph </w:t>
      </w:r>
      <w:r w:rsidR="00001605">
        <w:fldChar w:fldCharType="begin" w:fldLock="1"/>
      </w:r>
      <w:r w:rsidR="00001605">
        <w:instrText xml:space="preserve"> REF _Ref152571102 \r \h </w:instrText>
      </w:r>
      <w:r w:rsidR="00001605">
        <w:fldChar w:fldCharType="separate"/>
      </w:r>
      <w:r w:rsidR="00DF66B3">
        <w:t>7.15</w:t>
      </w:r>
      <w:r w:rsidR="00001605">
        <w:fldChar w:fldCharType="end"/>
      </w:r>
      <w:r w:rsidR="000B574F">
        <w:t>), this was acceptable because the HR positive cohort represented 90% of the ITT population</w:t>
      </w:r>
      <w:r w:rsidR="00980134">
        <w:t xml:space="preserve">. </w:t>
      </w:r>
    </w:p>
    <w:p w14:paraId="13091D1D" w14:textId="04DD6E78" w:rsidR="0047650B" w:rsidRPr="00980134" w:rsidRDefault="00C81FCD" w:rsidP="004D21F2">
      <w:pPr>
        <w:pStyle w:val="3-BodyText"/>
        <w:rPr>
          <w:rFonts w:cs="Calibri"/>
          <w:i/>
          <w:iCs/>
          <w:sz w:val="22"/>
          <w:szCs w:val="22"/>
        </w:rPr>
      </w:pPr>
      <w:r w:rsidRPr="00980134">
        <w:t>The PBAC noted that the submission utilised an epidemiological approach to estimate the extent of use of T-</w:t>
      </w:r>
      <w:proofErr w:type="spellStart"/>
      <w:r w:rsidRPr="00980134">
        <w:t>DXd</w:t>
      </w:r>
      <w:proofErr w:type="spellEnd"/>
      <w:r w:rsidRPr="00980134">
        <w:t xml:space="preserve"> and the financial impact of listing on the PBS. </w:t>
      </w:r>
      <w:r w:rsidR="00602FF7" w:rsidRPr="00980134">
        <w:t>However,</w:t>
      </w:r>
      <w:r w:rsidRPr="00980134">
        <w:t xml:space="preserve"> the PBAC considered that there was a high level of uncertainty with a number of the assumptions driving the estimated patient numbers. </w:t>
      </w:r>
      <w:r w:rsidR="00E91E29" w:rsidRPr="00980134">
        <w:t xml:space="preserve">The PBAC noted that the submission estimated a total net cost to the PBS/RPBS of </w:t>
      </w:r>
      <w:r w:rsidR="00605D58" w:rsidRPr="00605D58">
        <w:t xml:space="preserve">&gt; $1 </w:t>
      </w:r>
      <w:r w:rsidR="00E91E29" w:rsidRPr="00980134">
        <w:t xml:space="preserve">billion over the first six years of listing. </w:t>
      </w:r>
      <w:r w:rsidR="0069087F" w:rsidRPr="00980134">
        <w:t xml:space="preserve">The PBAC </w:t>
      </w:r>
      <w:r w:rsidR="00DE60C5" w:rsidRPr="00980134">
        <w:t xml:space="preserve">considered the </w:t>
      </w:r>
      <w:r w:rsidR="00E91E29" w:rsidRPr="00980134">
        <w:t xml:space="preserve">estimated number of treated patients was </w:t>
      </w:r>
      <w:r w:rsidR="00DE60C5" w:rsidRPr="00980134">
        <w:t>overestimated</w:t>
      </w:r>
      <w:r w:rsidR="00E91E29" w:rsidRPr="00980134">
        <w:t xml:space="preserve"> and agreed with changes proposed by DUSC in </w:t>
      </w:r>
      <w:r w:rsidR="0047650B" w:rsidRPr="00980134">
        <w:fldChar w:fldCharType="begin" w:fldLock="1"/>
      </w:r>
      <w:r w:rsidR="0047650B" w:rsidRPr="00980134">
        <w:instrText xml:space="preserve"> REF _Ref152165518 \h  \* MERGEFORMAT </w:instrText>
      </w:r>
      <w:r w:rsidR="0047650B" w:rsidRPr="00980134">
        <w:fldChar w:fldCharType="separate"/>
      </w:r>
      <w:r w:rsidR="00DF66B3" w:rsidRPr="00DF66B3">
        <w:t>Table 14</w:t>
      </w:r>
      <w:r w:rsidR="0047650B" w:rsidRPr="00980134">
        <w:fldChar w:fldCharType="end"/>
      </w:r>
      <w:r w:rsidR="0047650B" w:rsidRPr="00980134">
        <w:t>. In addition to the changes proposed by DUSC, the PBAC considered the assumption that 34% of incident patients with HR positive/ HER2 low breast cancer would have unresectable or metastatic disease was not supported and was likely to be an overestimate</w:t>
      </w:r>
      <w:r w:rsidR="00980134">
        <w:t xml:space="preserve">. </w:t>
      </w:r>
    </w:p>
    <w:p w14:paraId="4BFA9B65" w14:textId="4741F986" w:rsidR="00E91E29" w:rsidRPr="00DD66F2" w:rsidRDefault="00E91E29" w:rsidP="004D21F2">
      <w:pPr>
        <w:pStyle w:val="3-BodyText"/>
        <w:rPr>
          <w:rFonts w:cs="Calibri"/>
          <w:i/>
          <w:iCs/>
          <w:sz w:val="22"/>
          <w:szCs w:val="22"/>
        </w:rPr>
      </w:pPr>
      <w:bookmarkStart w:id="116" w:name="_Ref152166436"/>
      <w:r w:rsidRPr="00980134">
        <w:t>The PBAC noted the alternative approach to estimating the number of patients with HR</w:t>
      </w:r>
      <w:r w:rsidR="00694697" w:rsidRPr="00980134">
        <w:t xml:space="preserve"> positive</w:t>
      </w:r>
      <w:r w:rsidRPr="00980134">
        <w:t xml:space="preserve">/HER2 low </w:t>
      </w:r>
      <w:r w:rsidR="0047650B" w:rsidRPr="00980134">
        <w:t>unresectable or metastatic breast cancer</w:t>
      </w:r>
      <w:r w:rsidR="007456D7" w:rsidRPr="00980134">
        <w:t>,</w:t>
      </w:r>
      <w:r w:rsidR="0047650B" w:rsidRPr="00980134">
        <w:t xml:space="preserve"> </w:t>
      </w:r>
      <w:r w:rsidRPr="00980134">
        <w:t>proposed by DUSC</w:t>
      </w:r>
      <w:r w:rsidR="007456D7" w:rsidRPr="00980134">
        <w:t>, based on CDK4/6 inhibitor data (see</w:t>
      </w:r>
      <w:r w:rsidRPr="00980134">
        <w:t xml:space="preserve"> </w:t>
      </w:r>
      <w:r w:rsidRPr="00980134">
        <w:fldChar w:fldCharType="begin" w:fldLock="1"/>
      </w:r>
      <w:r w:rsidRPr="00980134">
        <w:instrText xml:space="preserve"> REF _Ref152083882 \h  \* MERGEFORMAT </w:instrText>
      </w:r>
      <w:r w:rsidRPr="00980134">
        <w:fldChar w:fldCharType="separate"/>
      </w:r>
      <w:r w:rsidR="00DF66B3" w:rsidRPr="00DF66B3">
        <w:t>Table 16</w:t>
      </w:r>
      <w:r w:rsidRPr="00980134">
        <w:fldChar w:fldCharType="end"/>
      </w:r>
      <w:r w:rsidR="007456D7" w:rsidRPr="00980134">
        <w:t>) and the PBAC</w:t>
      </w:r>
      <w:r w:rsidRPr="00980134">
        <w:t xml:space="preserve"> considered </w:t>
      </w:r>
      <w:r w:rsidR="007456D7" w:rsidRPr="00980134">
        <w:t>this</w:t>
      </w:r>
      <w:r w:rsidR="0047650B" w:rsidRPr="00980134">
        <w:t xml:space="preserve"> was a </w:t>
      </w:r>
      <w:r w:rsidRPr="00980134">
        <w:t xml:space="preserve">reasonable approach to </w:t>
      </w:r>
      <w:r w:rsidR="00874955" w:rsidRPr="00980134">
        <w:t xml:space="preserve">estimate the likely number of eligible </w:t>
      </w:r>
      <w:r w:rsidRPr="00980134">
        <w:t>patient</w:t>
      </w:r>
      <w:r w:rsidR="00874955" w:rsidRPr="00980134">
        <w:t>s</w:t>
      </w:r>
      <w:r w:rsidRPr="00980134">
        <w:t>.</w:t>
      </w:r>
      <w:bookmarkEnd w:id="116"/>
      <w:r w:rsidR="00874955" w:rsidRPr="00980134">
        <w:t xml:space="preserve"> The PBAC noted the financial estimates need to be updated to apply (</w:t>
      </w:r>
      <w:proofErr w:type="spellStart"/>
      <w:r w:rsidR="00874955" w:rsidRPr="00980134">
        <w:t>i</w:t>
      </w:r>
      <w:proofErr w:type="spellEnd"/>
      <w:r w:rsidR="00874955" w:rsidRPr="00980134">
        <w:t xml:space="preserve">) the modelled treatment </w:t>
      </w:r>
      <w:r w:rsidR="00874955" w:rsidRPr="00DD66F2">
        <w:t xml:space="preserve">duration based on the respecified economic model and (ii) an RDI of 94% (consistent with the respecified economic model) and addressing the issues raised in paragraph </w:t>
      </w:r>
      <w:r w:rsidR="00874955" w:rsidRPr="00DD66F2">
        <w:fldChar w:fldCharType="begin" w:fldLock="1"/>
      </w:r>
      <w:r w:rsidR="00874955" w:rsidRPr="00DD66F2">
        <w:instrText xml:space="preserve"> REF _Ref152322469 \r \h </w:instrText>
      </w:r>
      <w:r w:rsidR="00DD66F2" w:rsidRPr="00DD66F2">
        <w:instrText xml:space="preserve"> \* MERGEFORMAT </w:instrText>
      </w:r>
      <w:r w:rsidR="00874955" w:rsidRPr="00DD66F2">
        <w:fldChar w:fldCharType="separate"/>
      </w:r>
      <w:r w:rsidR="00DF66B3">
        <w:t>6.63</w:t>
      </w:r>
      <w:r w:rsidR="00874955" w:rsidRPr="00DD66F2">
        <w:fldChar w:fldCharType="end"/>
      </w:r>
      <w:r w:rsidR="00874955" w:rsidRPr="00DD66F2">
        <w:t>.</w:t>
      </w:r>
    </w:p>
    <w:p w14:paraId="27542C71" w14:textId="52BD1A81" w:rsidR="0011508D" w:rsidRPr="00DD66F2" w:rsidRDefault="00DD66F2" w:rsidP="004D21F2">
      <w:pPr>
        <w:pStyle w:val="3-BodyText"/>
        <w:rPr>
          <w:rFonts w:cs="Calibri"/>
          <w:i/>
          <w:iCs/>
          <w:sz w:val="22"/>
          <w:szCs w:val="22"/>
        </w:rPr>
      </w:pPr>
      <w:bookmarkStart w:id="117" w:name="_Ref152572723"/>
      <w:r w:rsidRPr="00DD66F2">
        <w:t>The PBAC noted the significant cost of listing T-</w:t>
      </w:r>
      <w:proofErr w:type="spellStart"/>
      <w:r w:rsidRPr="00DD66F2">
        <w:t>DXd</w:t>
      </w:r>
      <w:proofErr w:type="spellEnd"/>
      <w:r w:rsidRPr="00DD66F2">
        <w:t xml:space="preserve"> for this population and considered a risk share arrangement (RSA) </w:t>
      </w:r>
      <w:r>
        <w:t xml:space="preserve">with expenditure caps </w:t>
      </w:r>
      <w:r w:rsidRPr="00DD66F2">
        <w:t>would be required to address the uncertainty in the patient numbers.</w:t>
      </w:r>
      <w:bookmarkEnd w:id="117"/>
    </w:p>
    <w:p w14:paraId="0A6E200D" w14:textId="20C42193" w:rsidR="00B065BF" w:rsidRPr="00DD66F2" w:rsidRDefault="00B065BF" w:rsidP="00B065BF">
      <w:pPr>
        <w:pStyle w:val="3-BodyText"/>
      </w:pPr>
      <w:bookmarkStart w:id="118" w:name="_Ref152571102"/>
      <w:r w:rsidRPr="00DD66F2">
        <w:t>The PBAC considered the outstanding issues could be easily resolved in a simple resubmission for T-</w:t>
      </w:r>
      <w:proofErr w:type="spellStart"/>
      <w:r w:rsidRPr="00DD66F2">
        <w:t>DXd</w:t>
      </w:r>
      <w:proofErr w:type="spellEnd"/>
      <w:r w:rsidRPr="00DD66F2">
        <w:t xml:space="preserve"> using the early re-entry pathway. If the sponsor accepts this pathway, the following changes may address these outstanding issues without requiring further re-evaluation:</w:t>
      </w:r>
      <w:bookmarkEnd w:id="118"/>
    </w:p>
    <w:p w14:paraId="6BBEA405" w14:textId="2772831D" w:rsidR="00F30321" w:rsidRPr="00980134" w:rsidRDefault="00F30321" w:rsidP="005027E2">
      <w:pPr>
        <w:pStyle w:val="TableBullet"/>
        <w:spacing w:before="0" w:after="120" w:line="240" w:lineRule="auto"/>
        <w:ind w:left="1134" w:hanging="357"/>
        <w:rPr>
          <w:rFonts w:asciiTheme="minorHAnsi" w:eastAsia="SimSun" w:hAnsiTheme="minorHAnsi" w:cs="Arial"/>
          <w:snapToGrid w:val="0"/>
          <w:sz w:val="24"/>
          <w:szCs w:val="24"/>
          <w:lang w:eastAsia="en-AU"/>
        </w:rPr>
      </w:pPr>
      <w:r w:rsidRPr="00DD66F2">
        <w:rPr>
          <w:rFonts w:asciiTheme="minorHAnsi" w:eastAsia="SimSun" w:hAnsiTheme="minorHAnsi" w:cs="Arial"/>
          <w:snapToGrid w:val="0"/>
          <w:sz w:val="24"/>
          <w:szCs w:val="24"/>
          <w:lang w:eastAsia="en-AU"/>
        </w:rPr>
        <w:t xml:space="preserve">Propose a price reduction to achieve an ICER of </w:t>
      </w:r>
      <w:r w:rsidR="00874955" w:rsidRPr="00DF66B3">
        <w:rPr>
          <w:rFonts w:asciiTheme="minorHAnsi" w:eastAsia="SimSun" w:hAnsiTheme="minorHAnsi" w:cs="Arial"/>
          <w:snapToGrid w:val="0"/>
          <w:sz w:val="24"/>
          <w:szCs w:val="24"/>
          <w:lang w:eastAsia="en-AU"/>
        </w:rPr>
        <w:t>$45,000 to $50,000</w:t>
      </w:r>
      <w:r w:rsidR="00874955" w:rsidRPr="00DF66B3">
        <w:t xml:space="preserve"> </w:t>
      </w:r>
      <w:r w:rsidRPr="00DF66B3">
        <w:rPr>
          <w:rFonts w:asciiTheme="minorHAnsi" w:eastAsia="SimSun" w:hAnsiTheme="minorHAnsi" w:cs="Arial"/>
          <w:snapToGrid w:val="0"/>
          <w:sz w:val="24"/>
          <w:szCs w:val="24"/>
          <w:lang w:eastAsia="en-AU"/>
        </w:rPr>
        <w:t>per QALY,</w:t>
      </w:r>
      <w:r w:rsidRPr="00980134">
        <w:rPr>
          <w:rFonts w:asciiTheme="minorHAnsi" w:eastAsia="SimSun" w:hAnsiTheme="minorHAnsi" w:cs="Arial"/>
          <w:snapToGrid w:val="0"/>
          <w:sz w:val="24"/>
          <w:szCs w:val="24"/>
          <w:lang w:eastAsia="en-AU"/>
        </w:rPr>
        <w:t xml:space="preserve"> using the respecified base case model referred to in paragraph </w:t>
      </w:r>
      <w:r w:rsidRPr="00980134">
        <w:rPr>
          <w:rFonts w:asciiTheme="minorHAnsi" w:eastAsia="SimSun" w:hAnsiTheme="minorHAnsi" w:cs="Arial"/>
          <w:snapToGrid w:val="0"/>
          <w:sz w:val="24"/>
          <w:szCs w:val="24"/>
          <w:lang w:eastAsia="en-AU"/>
        </w:rPr>
        <w:fldChar w:fldCharType="begin" w:fldLock="1"/>
      </w:r>
      <w:r w:rsidRPr="00980134">
        <w:rPr>
          <w:rFonts w:asciiTheme="minorHAnsi" w:eastAsia="SimSun" w:hAnsiTheme="minorHAnsi" w:cs="Arial"/>
          <w:snapToGrid w:val="0"/>
          <w:sz w:val="24"/>
          <w:szCs w:val="24"/>
          <w:lang w:eastAsia="en-AU"/>
        </w:rPr>
        <w:instrText xml:space="preserve"> REF _Ref152166406 \r \h </w:instrText>
      </w:r>
      <w:r w:rsidRPr="00980134">
        <w:rPr>
          <w:rFonts w:asciiTheme="minorHAnsi" w:eastAsia="SimSun" w:hAnsiTheme="minorHAnsi" w:cs="Arial"/>
          <w:snapToGrid w:val="0"/>
          <w:sz w:val="24"/>
          <w:szCs w:val="24"/>
          <w:lang w:eastAsia="en-AU"/>
        </w:rPr>
      </w:r>
      <w:r w:rsidRPr="00980134">
        <w:rPr>
          <w:rFonts w:asciiTheme="minorHAnsi" w:eastAsia="SimSun" w:hAnsiTheme="minorHAnsi" w:cs="Arial"/>
          <w:snapToGrid w:val="0"/>
          <w:sz w:val="24"/>
          <w:szCs w:val="24"/>
          <w:lang w:eastAsia="en-AU"/>
        </w:rPr>
        <w:fldChar w:fldCharType="separate"/>
      </w:r>
      <w:r w:rsidR="00DF66B3">
        <w:rPr>
          <w:rFonts w:asciiTheme="minorHAnsi" w:eastAsia="SimSun" w:hAnsiTheme="minorHAnsi" w:cs="Arial"/>
          <w:snapToGrid w:val="0"/>
          <w:sz w:val="24"/>
          <w:szCs w:val="24"/>
          <w:lang w:eastAsia="en-AU"/>
        </w:rPr>
        <w:t>7.9</w:t>
      </w:r>
      <w:r w:rsidRPr="00980134">
        <w:rPr>
          <w:rFonts w:asciiTheme="minorHAnsi" w:eastAsia="SimSun" w:hAnsiTheme="minorHAnsi" w:cs="Arial"/>
          <w:snapToGrid w:val="0"/>
          <w:sz w:val="24"/>
          <w:szCs w:val="24"/>
          <w:lang w:eastAsia="en-AU"/>
        </w:rPr>
        <w:fldChar w:fldCharType="end"/>
      </w:r>
      <w:r w:rsidRPr="00980134">
        <w:rPr>
          <w:rFonts w:asciiTheme="minorHAnsi" w:eastAsia="SimSun" w:hAnsiTheme="minorHAnsi" w:cs="Arial"/>
          <w:snapToGrid w:val="0"/>
          <w:sz w:val="24"/>
          <w:szCs w:val="24"/>
          <w:lang w:eastAsia="en-AU"/>
        </w:rPr>
        <w:t xml:space="preserve">. </w:t>
      </w:r>
    </w:p>
    <w:p w14:paraId="61D5280A" w14:textId="6AF2D862" w:rsidR="00B065BF" w:rsidRPr="00980134" w:rsidRDefault="00B065BF" w:rsidP="005027E2">
      <w:pPr>
        <w:pStyle w:val="TableBullet"/>
        <w:spacing w:before="0" w:after="120" w:line="240" w:lineRule="auto"/>
        <w:ind w:left="1134" w:hanging="357"/>
        <w:rPr>
          <w:rFonts w:asciiTheme="minorHAnsi" w:eastAsia="SimSun" w:hAnsiTheme="minorHAnsi" w:cs="Arial"/>
          <w:snapToGrid w:val="0"/>
          <w:sz w:val="24"/>
          <w:szCs w:val="24"/>
          <w:lang w:eastAsia="en-AU"/>
        </w:rPr>
      </w:pPr>
      <w:r w:rsidRPr="00980134">
        <w:rPr>
          <w:rFonts w:asciiTheme="minorHAnsi" w:eastAsia="SimSun" w:hAnsiTheme="minorHAnsi" w:cs="Arial"/>
          <w:snapToGrid w:val="0"/>
          <w:sz w:val="24"/>
          <w:szCs w:val="24"/>
          <w:lang w:eastAsia="en-AU"/>
        </w:rPr>
        <w:t xml:space="preserve">Revision of the financial estimates as described in </w:t>
      </w:r>
      <w:r w:rsidR="00F30321" w:rsidRPr="00980134">
        <w:rPr>
          <w:rFonts w:asciiTheme="minorHAnsi" w:eastAsia="SimSun" w:hAnsiTheme="minorHAnsi" w:cs="Arial"/>
          <w:snapToGrid w:val="0"/>
          <w:sz w:val="24"/>
          <w:szCs w:val="24"/>
          <w:lang w:eastAsia="en-AU"/>
        </w:rPr>
        <w:t xml:space="preserve">paragraph </w:t>
      </w:r>
      <w:r w:rsidR="00F30321" w:rsidRPr="00980134">
        <w:rPr>
          <w:rFonts w:asciiTheme="minorHAnsi" w:eastAsia="SimSun" w:hAnsiTheme="minorHAnsi" w:cs="Arial"/>
          <w:snapToGrid w:val="0"/>
          <w:sz w:val="24"/>
          <w:szCs w:val="24"/>
          <w:lang w:eastAsia="en-AU"/>
        </w:rPr>
        <w:fldChar w:fldCharType="begin" w:fldLock="1"/>
      </w:r>
      <w:r w:rsidR="00F30321" w:rsidRPr="00980134">
        <w:rPr>
          <w:rFonts w:asciiTheme="minorHAnsi" w:eastAsia="SimSun" w:hAnsiTheme="minorHAnsi" w:cs="Arial"/>
          <w:snapToGrid w:val="0"/>
          <w:sz w:val="24"/>
          <w:szCs w:val="24"/>
          <w:lang w:eastAsia="en-AU"/>
        </w:rPr>
        <w:instrText xml:space="preserve"> REF _Ref152166436 \r \h </w:instrText>
      </w:r>
      <w:r w:rsidR="00F30321" w:rsidRPr="00980134">
        <w:rPr>
          <w:rFonts w:asciiTheme="minorHAnsi" w:eastAsia="SimSun" w:hAnsiTheme="minorHAnsi" w:cs="Arial"/>
          <w:snapToGrid w:val="0"/>
          <w:sz w:val="24"/>
          <w:szCs w:val="24"/>
          <w:lang w:eastAsia="en-AU"/>
        </w:rPr>
      </w:r>
      <w:r w:rsidR="00F30321" w:rsidRPr="00980134">
        <w:rPr>
          <w:rFonts w:asciiTheme="minorHAnsi" w:eastAsia="SimSun" w:hAnsiTheme="minorHAnsi" w:cs="Arial"/>
          <w:snapToGrid w:val="0"/>
          <w:sz w:val="24"/>
          <w:szCs w:val="24"/>
          <w:lang w:eastAsia="en-AU"/>
        </w:rPr>
        <w:fldChar w:fldCharType="separate"/>
      </w:r>
      <w:r w:rsidR="00DF66B3">
        <w:rPr>
          <w:rFonts w:asciiTheme="minorHAnsi" w:eastAsia="SimSun" w:hAnsiTheme="minorHAnsi" w:cs="Arial"/>
          <w:snapToGrid w:val="0"/>
          <w:sz w:val="24"/>
          <w:szCs w:val="24"/>
          <w:lang w:eastAsia="en-AU"/>
        </w:rPr>
        <w:t>7.13</w:t>
      </w:r>
      <w:r w:rsidR="00F30321" w:rsidRPr="00980134">
        <w:rPr>
          <w:rFonts w:asciiTheme="minorHAnsi" w:eastAsia="SimSun" w:hAnsiTheme="minorHAnsi" w:cs="Arial"/>
          <w:snapToGrid w:val="0"/>
          <w:sz w:val="24"/>
          <w:szCs w:val="24"/>
          <w:lang w:eastAsia="en-AU"/>
        </w:rPr>
        <w:fldChar w:fldCharType="end"/>
      </w:r>
      <w:r w:rsidR="00874955" w:rsidRPr="00980134">
        <w:rPr>
          <w:rFonts w:asciiTheme="minorHAnsi" w:eastAsia="SimSun" w:hAnsiTheme="minorHAnsi" w:cs="Arial"/>
          <w:snapToGrid w:val="0"/>
          <w:sz w:val="24"/>
          <w:szCs w:val="24"/>
          <w:lang w:eastAsia="en-AU"/>
        </w:rPr>
        <w:t xml:space="preserve">. </w:t>
      </w:r>
    </w:p>
    <w:p w14:paraId="290510B8" w14:textId="79E4E0C1" w:rsidR="00F30321" w:rsidRPr="00980134" w:rsidRDefault="00F30321" w:rsidP="005027E2">
      <w:pPr>
        <w:pStyle w:val="TableBullet"/>
        <w:spacing w:before="0" w:after="120" w:line="240" w:lineRule="auto"/>
        <w:ind w:left="1134" w:hanging="357"/>
        <w:rPr>
          <w:rFonts w:asciiTheme="minorHAnsi" w:eastAsia="SimSun" w:hAnsiTheme="minorHAnsi" w:cs="Arial"/>
          <w:snapToGrid w:val="0"/>
          <w:sz w:val="24"/>
          <w:szCs w:val="24"/>
          <w:lang w:eastAsia="en-AU"/>
        </w:rPr>
      </w:pPr>
      <w:r w:rsidRPr="00980134">
        <w:rPr>
          <w:rFonts w:asciiTheme="minorHAnsi" w:eastAsia="SimSun" w:hAnsiTheme="minorHAnsi" w:cs="Arial"/>
          <w:snapToGrid w:val="0"/>
          <w:sz w:val="24"/>
          <w:szCs w:val="24"/>
          <w:lang w:eastAsia="en-AU"/>
        </w:rPr>
        <w:t xml:space="preserve">Propose </w:t>
      </w:r>
      <w:r w:rsidR="00DD66F2">
        <w:rPr>
          <w:rFonts w:asciiTheme="minorHAnsi" w:eastAsia="SimSun" w:hAnsiTheme="minorHAnsi" w:cs="Arial"/>
          <w:snapToGrid w:val="0"/>
          <w:sz w:val="24"/>
          <w:szCs w:val="24"/>
          <w:lang w:eastAsia="en-AU"/>
        </w:rPr>
        <w:t>an RSA</w:t>
      </w:r>
      <w:r w:rsidRPr="00980134">
        <w:rPr>
          <w:rFonts w:asciiTheme="minorHAnsi" w:eastAsia="SimSun" w:hAnsiTheme="minorHAnsi" w:cs="Arial"/>
          <w:snapToGrid w:val="0"/>
          <w:sz w:val="24"/>
          <w:szCs w:val="24"/>
          <w:lang w:eastAsia="en-AU"/>
        </w:rPr>
        <w:t xml:space="preserve"> </w:t>
      </w:r>
      <w:r w:rsidR="00AB7527" w:rsidRPr="00980134">
        <w:rPr>
          <w:rFonts w:asciiTheme="minorHAnsi" w:eastAsia="SimSun" w:hAnsiTheme="minorHAnsi" w:cs="Arial"/>
          <w:snapToGrid w:val="0"/>
          <w:sz w:val="24"/>
          <w:szCs w:val="24"/>
          <w:lang w:eastAsia="en-AU"/>
        </w:rPr>
        <w:t>wit</w:t>
      </w:r>
      <w:r w:rsidR="00AB7527" w:rsidRPr="00001605">
        <w:rPr>
          <w:rFonts w:asciiTheme="minorHAnsi" w:eastAsia="SimSun" w:hAnsiTheme="minorHAnsi" w:cs="Arial"/>
          <w:snapToGrid w:val="0"/>
          <w:sz w:val="24"/>
          <w:szCs w:val="24"/>
          <w:lang w:eastAsia="en-AU"/>
        </w:rPr>
        <w:t xml:space="preserve">h expenditure caps and a rebate above the caps </w:t>
      </w:r>
      <w:r w:rsidR="00DD66F2">
        <w:rPr>
          <w:rFonts w:asciiTheme="minorHAnsi" w:eastAsia="SimSun" w:hAnsiTheme="minorHAnsi" w:cs="Arial"/>
          <w:snapToGrid w:val="0"/>
          <w:sz w:val="24"/>
          <w:szCs w:val="24"/>
          <w:lang w:eastAsia="en-AU"/>
        </w:rPr>
        <w:t>(</w:t>
      </w:r>
      <w:r w:rsidR="0011508D" w:rsidRPr="00001605">
        <w:rPr>
          <w:rFonts w:asciiTheme="minorHAnsi" w:eastAsia="SimSun" w:hAnsiTheme="minorHAnsi" w:cs="Arial"/>
          <w:snapToGrid w:val="0"/>
          <w:sz w:val="24"/>
          <w:szCs w:val="24"/>
          <w:lang w:eastAsia="en-AU"/>
        </w:rPr>
        <w:t>as</w:t>
      </w:r>
      <w:r w:rsidR="00DD66F2">
        <w:rPr>
          <w:rFonts w:asciiTheme="minorHAnsi" w:eastAsia="SimSun" w:hAnsiTheme="minorHAnsi" w:cs="Arial"/>
          <w:snapToGrid w:val="0"/>
          <w:sz w:val="24"/>
          <w:szCs w:val="24"/>
          <w:lang w:eastAsia="en-AU"/>
        </w:rPr>
        <w:t xml:space="preserve"> discussed in</w:t>
      </w:r>
      <w:r w:rsidR="0011508D" w:rsidRPr="00001605">
        <w:rPr>
          <w:rFonts w:asciiTheme="minorHAnsi" w:eastAsia="SimSun" w:hAnsiTheme="minorHAnsi" w:cs="Arial"/>
          <w:snapToGrid w:val="0"/>
          <w:sz w:val="24"/>
          <w:szCs w:val="24"/>
          <w:lang w:eastAsia="en-AU"/>
        </w:rPr>
        <w:t xml:space="preserve"> paragraph </w:t>
      </w:r>
      <w:r w:rsidR="00824C3B">
        <w:rPr>
          <w:rFonts w:asciiTheme="minorHAnsi" w:eastAsia="SimSun" w:hAnsiTheme="minorHAnsi" w:cs="Arial"/>
          <w:snapToGrid w:val="0"/>
          <w:sz w:val="24"/>
          <w:szCs w:val="24"/>
          <w:lang w:eastAsia="en-AU"/>
        </w:rPr>
        <w:fldChar w:fldCharType="begin" w:fldLock="1"/>
      </w:r>
      <w:r w:rsidR="00824C3B">
        <w:rPr>
          <w:rFonts w:asciiTheme="minorHAnsi" w:eastAsia="SimSun" w:hAnsiTheme="minorHAnsi" w:cs="Arial"/>
          <w:snapToGrid w:val="0"/>
          <w:sz w:val="24"/>
          <w:szCs w:val="24"/>
          <w:lang w:eastAsia="en-AU"/>
        </w:rPr>
        <w:instrText xml:space="preserve"> REF _Ref152572723 \r \h </w:instrText>
      </w:r>
      <w:r w:rsidR="00824C3B">
        <w:rPr>
          <w:rFonts w:asciiTheme="minorHAnsi" w:eastAsia="SimSun" w:hAnsiTheme="minorHAnsi" w:cs="Arial"/>
          <w:snapToGrid w:val="0"/>
          <w:sz w:val="24"/>
          <w:szCs w:val="24"/>
          <w:lang w:eastAsia="en-AU"/>
        </w:rPr>
      </w:r>
      <w:r w:rsidR="00824C3B">
        <w:rPr>
          <w:rFonts w:asciiTheme="minorHAnsi" w:eastAsia="SimSun" w:hAnsiTheme="minorHAnsi" w:cs="Arial"/>
          <w:snapToGrid w:val="0"/>
          <w:sz w:val="24"/>
          <w:szCs w:val="24"/>
          <w:lang w:eastAsia="en-AU"/>
        </w:rPr>
        <w:fldChar w:fldCharType="separate"/>
      </w:r>
      <w:r w:rsidR="00DF66B3">
        <w:rPr>
          <w:rFonts w:asciiTheme="minorHAnsi" w:eastAsia="SimSun" w:hAnsiTheme="minorHAnsi" w:cs="Arial"/>
          <w:snapToGrid w:val="0"/>
          <w:sz w:val="24"/>
          <w:szCs w:val="24"/>
          <w:lang w:eastAsia="en-AU"/>
        </w:rPr>
        <w:t>7.14</w:t>
      </w:r>
      <w:r w:rsidR="00824C3B">
        <w:rPr>
          <w:rFonts w:asciiTheme="minorHAnsi" w:eastAsia="SimSun" w:hAnsiTheme="minorHAnsi" w:cs="Arial"/>
          <w:snapToGrid w:val="0"/>
          <w:sz w:val="24"/>
          <w:szCs w:val="24"/>
          <w:lang w:eastAsia="en-AU"/>
        </w:rPr>
        <w:fldChar w:fldCharType="end"/>
      </w:r>
      <w:r w:rsidR="00DD66F2">
        <w:rPr>
          <w:rFonts w:asciiTheme="minorHAnsi" w:eastAsia="SimSun" w:hAnsiTheme="minorHAnsi" w:cs="Arial"/>
          <w:snapToGrid w:val="0"/>
          <w:sz w:val="24"/>
          <w:szCs w:val="24"/>
          <w:lang w:eastAsia="en-AU"/>
        </w:rPr>
        <w:t>)</w:t>
      </w:r>
      <w:r w:rsidR="00980134" w:rsidRPr="00001605">
        <w:rPr>
          <w:rFonts w:asciiTheme="minorHAnsi" w:eastAsia="SimSun" w:hAnsiTheme="minorHAnsi" w:cs="Arial"/>
          <w:snapToGrid w:val="0"/>
          <w:sz w:val="24"/>
          <w:szCs w:val="24"/>
          <w:lang w:eastAsia="en-AU"/>
        </w:rPr>
        <w:t xml:space="preserve">. </w:t>
      </w:r>
    </w:p>
    <w:p w14:paraId="496DE751" w14:textId="31BBED79" w:rsidR="00B065BF" w:rsidRPr="00980134" w:rsidRDefault="00B065BF" w:rsidP="00B065BF">
      <w:pPr>
        <w:widowControl w:val="0"/>
        <w:spacing w:after="120"/>
        <w:ind w:left="720"/>
        <w:rPr>
          <w:rFonts w:asciiTheme="minorHAnsi" w:hAnsiTheme="minorHAnsi"/>
          <w:bCs/>
          <w:snapToGrid w:val="0"/>
        </w:rPr>
      </w:pPr>
      <w:r w:rsidRPr="00980134">
        <w:rPr>
          <w:rFonts w:asciiTheme="minorHAnsi" w:hAnsiTheme="minorHAnsi"/>
          <w:bCs/>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9F0CE4C" w14:textId="77777777" w:rsidR="0069087F" w:rsidRPr="00980134" w:rsidRDefault="0069087F" w:rsidP="0069087F">
      <w:pPr>
        <w:pStyle w:val="3-BodyText"/>
      </w:pPr>
      <w:r w:rsidRPr="00980134">
        <w:rPr>
          <w:bCs/>
        </w:rPr>
        <w:t>The PBAC noted that this submission is eligible for an Independent Review.</w:t>
      </w:r>
    </w:p>
    <w:p w14:paraId="5BF30EFF" w14:textId="3F6C4B97" w:rsidR="0069087F" w:rsidRPr="00980134" w:rsidRDefault="00A30A62" w:rsidP="00A30A62">
      <w:pPr>
        <w:spacing w:before="240"/>
        <w:rPr>
          <w:rFonts w:asciiTheme="minorHAnsi" w:hAnsiTheme="minorHAnsi"/>
          <w:b/>
          <w:bCs/>
          <w:snapToGrid w:val="0"/>
        </w:rPr>
      </w:pPr>
      <w:r w:rsidRPr="00980134">
        <w:rPr>
          <w:rFonts w:asciiTheme="minorHAnsi" w:hAnsiTheme="minorHAnsi"/>
          <w:b/>
          <w:bCs/>
          <w:snapToGrid w:val="0"/>
        </w:rPr>
        <w:t>Outcome:</w:t>
      </w:r>
    </w:p>
    <w:p w14:paraId="2A544689" w14:textId="3DE3B75A" w:rsidR="006101A6" w:rsidRDefault="00A30A62" w:rsidP="0088704B">
      <w:pPr>
        <w:rPr>
          <w:rFonts w:asciiTheme="minorHAnsi" w:hAnsiTheme="minorHAnsi"/>
          <w:bCs/>
          <w:snapToGrid w:val="0"/>
        </w:rPr>
      </w:pPr>
      <w:r w:rsidRPr="00980134">
        <w:rPr>
          <w:rFonts w:asciiTheme="minorHAnsi" w:hAnsiTheme="minorHAnsi"/>
          <w:bCs/>
          <w:snapToGrid w:val="0"/>
        </w:rPr>
        <w:t>Not recommended</w:t>
      </w:r>
      <w:bookmarkStart w:id="119" w:name="_Hlk155861372"/>
      <w:bookmarkEnd w:id="88"/>
      <w:bookmarkEnd w:id="113"/>
    </w:p>
    <w:p w14:paraId="7BDC1097" w14:textId="3A8B82CD" w:rsidR="003D45C0" w:rsidRPr="00490DAE" w:rsidRDefault="003D45C0" w:rsidP="003D45C0">
      <w:pPr>
        <w:pStyle w:val="2-SectionHeading"/>
        <w:rPr>
          <w:b w:val="0"/>
          <w:bCs/>
          <w:lang w:val="en-GB"/>
        </w:rPr>
      </w:pPr>
      <w:r w:rsidRPr="00490DAE">
        <w:lastRenderedPageBreak/>
        <w:t>Context for Decision</w:t>
      </w:r>
    </w:p>
    <w:p w14:paraId="44755C3A" w14:textId="77777777" w:rsidR="003D45C0" w:rsidRPr="00490DAE" w:rsidRDefault="003D45C0" w:rsidP="003D45C0">
      <w:pPr>
        <w:spacing w:after="120"/>
        <w:ind w:left="720"/>
        <w:rPr>
          <w:rFonts w:asciiTheme="minorHAnsi" w:hAnsiTheme="minorHAnsi"/>
          <w:bCs/>
          <w:lang w:val="en-GB"/>
        </w:rPr>
      </w:pPr>
      <w:r w:rsidRPr="00490DAE">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600226" w14:textId="5B3356D7" w:rsidR="003D45C0" w:rsidRPr="00490DAE" w:rsidRDefault="003D45C0" w:rsidP="003D45C0">
      <w:pPr>
        <w:pStyle w:val="2-SectionHeading"/>
        <w:rPr>
          <w:b w:val="0"/>
        </w:rPr>
      </w:pPr>
      <w:r w:rsidRPr="00490DAE">
        <w:t>Sponsor’s Comment</w:t>
      </w:r>
    </w:p>
    <w:p w14:paraId="77BEB056" w14:textId="7B0DD232" w:rsidR="003D45C0" w:rsidRPr="00640308" w:rsidRDefault="003D45C0" w:rsidP="00640308">
      <w:pPr>
        <w:spacing w:after="160" w:line="259" w:lineRule="auto"/>
        <w:ind w:firstLine="720"/>
        <w:jc w:val="left"/>
        <w:rPr>
          <w:rFonts w:eastAsiaTheme="minorHAnsi" w:cs="Times New Roman"/>
          <w:b/>
          <w:i/>
          <w:lang w:eastAsia="en-US"/>
        </w:rPr>
      </w:pPr>
      <w:r w:rsidRPr="00490DAE">
        <w:rPr>
          <w:rFonts w:asciiTheme="minorHAnsi" w:eastAsiaTheme="minorHAnsi" w:hAnsiTheme="minorHAnsi"/>
          <w:bCs/>
          <w:szCs w:val="22"/>
          <w:lang w:eastAsia="en-US"/>
        </w:rPr>
        <w:t>The sponsor had no comment.</w:t>
      </w:r>
      <w:bookmarkEnd w:id="119"/>
    </w:p>
    <w:sectPr w:rsidR="003D45C0" w:rsidRPr="00640308" w:rsidSect="00561A80">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669A" w14:textId="77777777" w:rsidR="0075337D" w:rsidRDefault="0075337D" w:rsidP="00124A51">
      <w:r>
        <w:separator/>
      </w:r>
    </w:p>
    <w:p w14:paraId="21AED4AD" w14:textId="77777777" w:rsidR="0075337D" w:rsidRDefault="0075337D"/>
  </w:endnote>
  <w:endnote w:type="continuationSeparator" w:id="0">
    <w:p w14:paraId="647EB7C3" w14:textId="77777777" w:rsidR="0075337D" w:rsidRDefault="0075337D" w:rsidP="00124A51">
      <w:r>
        <w:continuationSeparator/>
      </w:r>
    </w:p>
    <w:p w14:paraId="6C5CA4AE" w14:textId="77777777" w:rsidR="0075337D" w:rsidRDefault="0075337D"/>
  </w:endnote>
  <w:endnote w:type="continuationNotice" w:id="1">
    <w:p w14:paraId="185C3D01" w14:textId="77777777" w:rsidR="0075337D" w:rsidRDefault="00753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2CE4" w14:textId="77777777" w:rsidR="005149D2" w:rsidRDefault="0051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1F6A7D26" w:rsidR="00D843F2" w:rsidRPr="009E709A" w:rsidRDefault="006E03AE"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9E709A">
          <w:rPr>
            <w:b/>
            <w:bCs/>
          </w:rPr>
          <w:fldChar w:fldCharType="begin"/>
        </w:r>
        <w:r w:rsidR="00D843F2" w:rsidRPr="009E709A">
          <w:rPr>
            <w:b/>
            <w:bCs/>
          </w:rPr>
          <w:instrText xml:space="preserve"> PAGE   \* MERGEFORMAT </w:instrText>
        </w:r>
        <w:r w:rsidR="00D843F2" w:rsidRPr="009E709A">
          <w:rPr>
            <w:b/>
            <w:bCs/>
          </w:rPr>
          <w:fldChar w:fldCharType="separate"/>
        </w:r>
        <w:r w:rsidR="00005920" w:rsidRPr="009E709A">
          <w:rPr>
            <w:b/>
            <w:bCs/>
            <w:noProof/>
          </w:rPr>
          <w:t>80</w:t>
        </w:r>
        <w:r w:rsidR="00D843F2" w:rsidRPr="009E709A">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A635" w14:textId="77777777" w:rsidR="005149D2" w:rsidRDefault="0051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DC30" w14:textId="77777777" w:rsidR="0075337D" w:rsidRDefault="0075337D">
      <w:r>
        <w:separator/>
      </w:r>
    </w:p>
  </w:footnote>
  <w:footnote w:type="continuationSeparator" w:id="0">
    <w:p w14:paraId="4E0258C9" w14:textId="77777777" w:rsidR="0075337D" w:rsidRDefault="0075337D" w:rsidP="00124A51">
      <w:r>
        <w:continuationSeparator/>
      </w:r>
    </w:p>
    <w:p w14:paraId="4B14FB46" w14:textId="77777777" w:rsidR="0075337D" w:rsidRDefault="0075337D"/>
  </w:footnote>
  <w:footnote w:type="continuationNotice" w:id="1">
    <w:p w14:paraId="1F77946A" w14:textId="77777777" w:rsidR="0075337D" w:rsidRDefault="0075337D"/>
  </w:footnote>
  <w:footnote w:id="2">
    <w:p w14:paraId="4CA83BD2" w14:textId="77777777" w:rsidR="00EE5515" w:rsidRPr="00543B98" w:rsidRDefault="00EE5515" w:rsidP="00561A80">
      <w:pPr>
        <w:pStyle w:val="FootnoteText"/>
        <w:jc w:val="lef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C</w:t>
      </w:r>
      <w:r>
        <w:rPr>
          <w:rFonts w:ascii="Arial Narrow" w:hAnsi="Arial Narrow"/>
          <w:sz w:val="18"/>
          <w:szCs w:val="18"/>
        </w:rPr>
        <w:t>ancer</w:t>
      </w:r>
      <w:r w:rsidRPr="00543B98">
        <w:rPr>
          <w:rFonts w:ascii="Arial Narrow" w:hAnsi="Arial Narrow"/>
          <w:sz w:val="18"/>
          <w:szCs w:val="18"/>
        </w:rPr>
        <w:t xml:space="preserve"> Australia. Breast cancer in Australia statistics. Retrieved Jan 4, 2023, from Cancer Australia: https://wwwcanceraustraliagovau/cancer-types/breast-cancer/statistics. 2023.</w:t>
      </w:r>
    </w:p>
  </w:footnote>
  <w:footnote w:id="3">
    <w:p w14:paraId="6D0BC8C5" w14:textId="2FAC4EC3" w:rsidR="00EE5515" w:rsidRPr="00543B98" w:rsidRDefault="00EE5515" w:rsidP="00561A80">
      <w:pPr>
        <w:pStyle w:val="FootnoteText"/>
        <w:jc w:val="lef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AIHW. </w:t>
      </w:r>
      <w:proofErr w:type="spellStart"/>
      <w:r w:rsidRPr="00543B98">
        <w:rPr>
          <w:rFonts w:ascii="Arial Narrow" w:hAnsi="Arial Narrow"/>
          <w:sz w:val="18"/>
          <w:szCs w:val="18"/>
        </w:rPr>
        <w:t>BreastScreen</w:t>
      </w:r>
      <w:proofErr w:type="spellEnd"/>
      <w:r w:rsidRPr="00543B98">
        <w:rPr>
          <w:rFonts w:ascii="Arial Narrow" w:hAnsi="Arial Narrow"/>
          <w:sz w:val="18"/>
          <w:szCs w:val="18"/>
        </w:rPr>
        <w:t xml:space="preserve"> Australia monitoring report.</w:t>
      </w:r>
      <w:r w:rsidR="00FD14C4">
        <w:rPr>
          <w:rFonts w:ascii="Arial Narrow" w:hAnsi="Arial Narrow"/>
          <w:sz w:val="18"/>
          <w:szCs w:val="18"/>
        </w:rPr>
        <w:t xml:space="preserve"> </w:t>
      </w:r>
      <w:r w:rsidRPr="00543B98">
        <w:rPr>
          <w:rFonts w:ascii="Arial Narrow" w:hAnsi="Arial Narrow"/>
          <w:sz w:val="18"/>
          <w:szCs w:val="18"/>
        </w:rPr>
        <w:t>Canberra: AIHW Retrieved Dec 14, 2022, from https://wwwaihwgovau/getmedia/54b2ae42-b1a6-43aa-a751-b23bf7ba9fea/aihw-can-150pdfaspx?inline=true. 2022.</w:t>
      </w:r>
    </w:p>
  </w:footnote>
  <w:footnote w:id="4">
    <w:p w14:paraId="4E51BDA2" w14:textId="77777777" w:rsidR="00EE5515" w:rsidRPr="00543B98" w:rsidRDefault="00EE5515" w:rsidP="00561A80">
      <w:pPr>
        <w:pStyle w:val="FootnoteText"/>
        <w:jc w:val="lef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Iqbal N, Iqbal N. Human Epidermal Growth Factor Receptor 2 (HER2) in Cancers: Overexpression and Therapeutic Implications. Mol Biol Int. 2014;2014:852748.</w:t>
      </w:r>
    </w:p>
  </w:footnote>
  <w:footnote w:id="5">
    <w:p w14:paraId="30E4BE01" w14:textId="77777777" w:rsidR="00EE5515" w:rsidRPr="00543B98" w:rsidRDefault="00EE5515" w:rsidP="00561A80">
      <w:pPr>
        <w:pStyle w:val="FootnoteText"/>
        <w:jc w:val="lef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Morey AL, Brown B, </w:t>
      </w:r>
      <w:proofErr w:type="spellStart"/>
      <w:r w:rsidRPr="00543B98">
        <w:rPr>
          <w:rFonts w:ascii="Arial Narrow" w:hAnsi="Arial Narrow"/>
          <w:sz w:val="18"/>
          <w:szCs w:val="18"/>
        </w:rPr>
        <w:t>Farshid</w:t>
      </w:r>
      <w:proofErr w:type="spellEnd"/>
      <w:r w:rsidRPr="00543B98">
        <w:rPr>
          <w:rFonts w:ascii="Arial Narrow" w:hAnsi="Arial Narrow"/>
          <w:sz w:val="18"/>
          <w:szCs w:val="18"/>
        </w:rPr>
        <w:t xml:space="preserve"> G, Fox SB, Francis GD, McCue G, et al. Determining HER2 (ERBB2) amplification status in women with breast cancer: final results from the Australian in situ hybridisation program. Pathology. 2016 Oct;48(6):535-42.</w:t>
      </w:r>
    </w:p>
  </w:footnote>
  <w:footnote w:id="6">
    <w:p w14:paraId="5259F126" w14:textId="77777777" w:rsidR="00EE5515" w:rsidRPr="00543B98" w:rsidRDefault="00EE5515" w:rsidP="00561A80">
      <w:pPr>
        <w:pStyle w:val="FootnoteText"/>
        <w:jc w:val="lef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Wang J, Xu B. Targeted therapeutic options and future perspectives for HER2-positive breast cancer. Signal Transduction and Targeted Therapy. 2019 2019/09/13;4(1):34.</w:t>
      </w:r>
    </w:p>
  </w:footnote>
  <w:footnote w:id="7">
    <w:p w14:paraId="5F850EE7" w14:textId="77777777" w:rsidR="00EE5515" w:rsidRDefault="00EE5515" w:rsidP="00561A80">
      <w:pPr>
        <w:pStyle w:val="FootnoteText"/>
        <w:jc w:val="left"/>
      </w:pPr>
      <w:r w:rsidRPr="00543B98">
        <w:rPr>
          <w:rStyle w:val="FootnoteReference"/>
          <w:rFonts w:ascii="Arial Narrow" w:hAnsi="Arial Narrow"/>
          <w:sz w:val="18"/>
          <w:szCs w:val="18"/>
        </w:rPr>
        <w:footnoteRef/>
      </w:r>
      <w:r w:rsidRPr="00543B98">
        <w:rPr>
          <w:rFonts w:ascii="Arial Narrow" w:hAnsi="Arial Narrow"/>
          <w:sz w:val="18"/>
          <w:szCs w:val="18"/>
        </w:rPr>
        <w:t xml:space="preserve"> Zhang H, </w:t>
      </w:r>
      <w:proofErr w:type="spellStart"/>
      <w:r w:rsidRPr="00543B98">
        <w:rPr>
          <w:rFonts w:ascii="Arial Narrow" w:hAnsi="Arial Narrow"/>
          <w:sz w:val="18"/>
          <w:szCs w:val="18"/>
        </w:rPr>
        <w:t>Katerji</w:t>
      </w:r>
      <w:proofErr w:type="spellEnd"/>
      <w:r w:rsidRPr="00543B98">
        <w:rPr>
          <w:rFonts w:ascii="Arial Narrow" w:hAnsi="Arial Narrow"/>
          <w:sz w:val="18"/>
          <w:szCs w:val="18"/>
        </w:rPr>
        <w:t xml:space="preserve"> H, Turner BM, Hicks DG. HER2-Low Breast Cancers. Am J Clin </w:t>
      </w:r>
      <w:proofErr w:type="spellStart"/>
      <w:r w:rsidRPr="00543B98">
        <w:rPr>
          <w:rFonts w:ascii="Arial Narrow" w:hAnsi="Arial Narrow"/>
          <w:sz w:val="18"/>
          <w:szCs w:val="18"/>
        </w:rPr>
        <w:t>Pathol</w:t>
      </w:r>
      <w:proofErr w:type="spellEnd"/>
      <w:r w:rsidRPr="00543B98">
        <w:rPr>
          <w:rFonts w:ascii="Arial Narrow" w:hAnsi="Arial Narrow"/>
          <w:sz w:val="18"/>
          <w:szCs w:val="18"/>
        </w:rPr>
        <w:t>. 2022 Mar 3;157(3):328-36.</w:t>
      </w:r>
    </w:p>
  </w:footnote>
  <w:footnote w:id="8">
    <w:p w14:paraId="0E99946E" w14:textId="77777777" w:rsidR="00EE5515" w:rsidRPr="00543B98" w:rsidRDefault="00EE5515" w:rsidP="00EE5515">
      <w:pPr>
        <w:pStyle w:val="FootnoteTex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Wolff AC, Somerfield MR, </w:t>
      </w:r>
      <w:proofErr w:type="spellStart"/>
      <w:r w:rsidRPr="00543B98">
        <w:rPr>
          <w:rFonts w:ascii="Arial Narrow" w:hAnsi="Arial Narrow"/>
          <w:sz w:val="18"/>
          <w:szCs w:val="18"/>
        </w:rPr>
        <w:t>Dowsett</w:t>
      </w:r>
      <w:proofErr w:type="spellEnd"/>
      <w:r w:rsidRPr="00543B98">
        <w:rPr>
          <w:rFonts w:ascii="Arial Narrow" w:hAnsi="Arial Narrow"/>
          <w:sz w:val="18"/>
          <w:szCs w:val="18"/>
        </w:rPr>
        <w:t xml:space="preserve"> M, Hammond MEH, Hayes DF, McShane LM, et al. Human Epidermal Growth Factor Receptor 2 Testing in Breast Cancer: American Society of Clinical Oncology–College of American Pathologists Guideline Update. Archives of Pathology &amp; Laboratory Medicine. 2023.</w:t>
      </w:r>
    </w:p>
  </w:footnote>
  <w:footnote w:id="9">
    <w:p w14:paraId="34DFF1A4" w14:textId="77777777" w:rsidR="00EE5515" w:rsidRPr="00543B98" w:rsidRDefault="00EE5515" w:rsidP="00EE5515">
      <w:pPr>
        <w:pStyle w:val="FootnoteTex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Reinert T, Barrios CH. Optimal management of hormone receptor positive metastatic breast cancer in 2016. </w:t>
      </w:r>
      <w:proofErr w:type="spellStart"/>
      <w:r w:rsidRPr="00543B98">
        <w:rPr>
          <w:rFonts w:ascii="Arial Narrow" w:hAnsi="Arial Narrow"/>
          <w:sz w:val="18"/>
          <w:szCs w:val="18"/>
        </w:rPr>
        <w:t>Ther</w:t>
      </w:r>
      <w:proofErr w:type="spellEnd"/>
      <w:r w:rsidRPr="00543B98">
        <w:rPr>
          <w:rFonts w:ascii="Arial Narrow" w:hAnsi="Arial Narrow"/>
          <w:sz w:val="18"/>
          <w:szCs w:val="18"/>
        </w:rPr>
        <w:t xml:space="preserve"> Adv Med Oncol. 2015 Nov;7(6):304-20.</w:t>
      </w:r>
    </w:p>
  </w:footnote>
  <w:footnote w:id="10">
    <w:p w14:paraId="2CF613C2" w14:textId="2DD01785" w:rsidR="00A410F3" w:rsidRDefault="00A410F3">
      <w:pPr>
        <w:pStyle w:val="FootnoteText"/>
      </w:pPr>
      <w:r w:rsidRPr="00A410F3">
        <w:rPr>
          <w:rFonts w:ascii="Arial Narrow" w:hAnsi="Arial Narrow" w:cs="Calibri"/>
          <w:noProof/>
          <w:sz w:val="18"/>
          <w:szCs w:val="18"/>
        </w:rPr>
        <w:footnoteRef/>
      </w:r>
      <w:r w:rsidRPr="00A410F3">
        <w:rPr>
          <w:rFonts w:ascii="Arial Narrow" w:hAnsi="Arial Narrow" w:cs="Calibri"/>
          <w:noProof/>
          <w:sz w:val="18"/>
          <w:szCs w:val="18"/>
        </w:rPr>
        <w:t xml:space="preserve"> Tarantino P, et al. ESMO expert consensus statements (ECS) on the definition, diagnosis, and management of HER2-low breast cancer. Ann Oncol. 2023 Aug;34(8):645-659. doi: 10.1016/j.annonc.2023.05.008. Epub 2023 Jun 1. PMID: 37269905.</w:t>
      </w:r>
    </w:p>
  </w:footnote>
  <w:footnote w:id="11">
    <w:p w14:paraId="0E45E477" w14:textId="77777777" w:rsidR="00EE5515" w:rsidRPr="00543B98" w:rsidRDefault="00EE5515" w:rsidP="00EE5515">
      <w:pPr>
        <w:pStyle w:val="FootnoteText"/>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Cortés J, Kim SB, Chung WP, </w:t>
      </w:r>
      <w:proofErr w:type="spellStart"/>
      <w:r w:rsidRPr="00543B98">
        <w:rPr>
          <w:rFonts w:ascii="Arial Narrow" w:hAnsi="Arial Narrow"/>
          <w:sz w:val="18"/>
          <w:szCs w:val="18"/>
        </w:rPr>
        <w:t>Im</w:t>
      </w:r>
      <w:proofErr w:type="spellEnd"/>
      <w:r w:rsidRPr="00543B98">
        <w:rPr>
          <w:rFonts w:ascii="Arial Narrow" w:hAnsi="Arial Narrow"/>
          <w:sz w:val="18"/>
          <w:szCs w:val="18"/>
        </w:rPr>
        <w:t xml:space="preserve"> SA, Park YH, </w:t>
      </w:r>
      <w:proofErr w:type="spellStart"/>
      <w:r w:rsidRPr="00543B98">
        <w:rPr>
          <w:rFonts w:ascii="Arial Narrow" w:hAnsi="Arial Narrow"/>
          <w:sz w:val="18"/>
          <w:szCs w:val="18"/>
        </w:rPr>
        <w:t>Hegg</w:t>
      </w:r>
      <w:proofErr w:type="spellEnd"/>
      <w:r w:rsidRPr="00543B98">
        <w:rPr>
          <w:rFonts w:ascii="Arial Narrow" w:hAnsi="Arial Narrow"/>
          <w:sz w:val="18"/>
          <w:szCs w:val="18"/>
        </w:rPr>
        <w:t xml:space="preserve"> R, et al. Trastuzumab </w:t>
      </w:r>
      <w:proofErr w:type="spellStart"/>
      <w:r w:rsidRPr="00543B98">
        <w:rPr>
          <w:rFonts w:ascii="Arial Narrow" w:hAnsi="Arial Narrow"/>
          <w:sz w:val="18"/>
          <w:szCs w:val="18"/>
        </w:rPr>
        <w:t>Deruxtecan</w:t>
      </w:r>
      <w:proofErr w:type="spellEnd"/>
      <w:r w:rsidRPr="00543B98">
        <w:rPr>
          <w:rFonts w:ascii="Arial Narrow" w:hAnsi="Arial Narrow"/>
          <w:sz w:val="18"/>
          <w:szCs w:val="18"/>
        </w:rPr>
        <w:t xml:space="preserve"> versus Trastuzumab Emtansine for Breast Cancer. N Engl J Med. 2022 Mar 24;386(12):1143-54. </w:t>
      </w:r>
    </w:p>
  </w:footnote>
  <w:footnote w:id="12">
    <w:p w14:paraId="2A5A7270" w14:textId="77777777" w:rsidR="00EE5515" w:rsidRPr="00543B98" w:rsidRDefault="00EE5515" w:rsidP="00EE5515">
      <w:pPr>
        <w:pStyle w:val="EndNoteBibliography"/>
        <w:rPr>
          <w:rFonts w:ascii="Arial Narrow" w:hAnsi="Arial Narrow"/>
          <w:sz w:val="18"/>
          <w:szCs w:val="18"/>
        </w:rPr>
      </w:pPr>
      <w:r w:rsidRPr="00543B98">
        <w:rPr>
          <w:rStyle w:val="FootnoteReference"/>
          <w:rFonts w:ascii="Arial Narrow" w:hAnsi="Arial Narrow"/>
          <w:sz w:val="18"/>
          <w:szCs w:val="18"/>
        </w:rPr>
        <w:footnoteRef/>
      </w:r>
      <w:r w:rsidRPr="00543B98">
        <w:rPr>
          <w:rFonts w:ascii="Arial Narrow" w:hAnsi="Arial Narrow"/>
          <w:sz w:val="18"/>
          <w:szCs w:val="18"/>
        </w:rPr>
        <w:t xml:space="preserve"> Ogino M, Fujii T, Nakazawa Y, Higuchi T, Koibuchi Y, Oyama T, et al. Implications of Topoisomerase (TOP1 and TOP2α) Expression in Patients With Breast Cancer. </w:t>
      </w:r>
      <w:r w:rsidRPr="00543B98">
        <w:rPr>
          <w:rFonts w:ascii="Arial Narrow" w:hAnsi="Arial Narrow"/>
          <w:i/>
          <w:sz w:val="18"/>
          <w:szCs w:val="18"/>
        </w:rPr>
        <w:t>In Vivo</w:t>
      </w:r>
      <w:r w:rsidRPr="00543B98">
        <w:rPr>
          <w:rFonts w:ascii="Arial Narrow" w:hAnsi="Arial Narrow"/>
          <w:sz w:val="18"/>
          <w:szCs w:val="18"/>
        </w:rPr>
        <w:t>. 2020 Nov-Dec;34(6):3483-7.</w:t>
      </w:r>
    </w:p>
    <w:p w14:paraId="6AE4F7EB" w14:textId="77777777" w:rsidR="00EE5515" w:rsidRDefault="00EE5515" w:rsidP="00EE5515">
      <w:pPr>
        <w:pStyle w:val="FootnoteText"/>
      </w:pPr>
    </w:p>
  </w:footnote>
  <w:footnote w:id="13">
    <w:p w14:paraId="1240F6E1" w14:textId="10EBC015" w:rsidR="00313157" w:rsidRDefault="00313157">
      <w:pPr>
        <w:pStyle w:val="FootnoteText"/>
      </w:pPr>
      <w:r>
        <w:rPr>
          <w:rStyle w:val="FootnoteReference"/>
        </w:rPr>
        <w:footnoteRef/>
      </w:r>
      <w:r>
        <w:t xml:space="preserve"> </w:t>
      </w:r>
      <w:proofErr w:type="spellStart"/>
      <w:r w:rsidRPr="00525B39">
        <w:rPr>
          <w:snapToGrid w:val="0"/>
          <w:sz w:val="16"/>
        </w:rPr>
        <w:t>Cherny</w:t>
      </w:r>
      <w:proofErr w:type="spellEnd"/>
      <w:r w:rsidRPr="00525B39">
        <w:rPr>
          <w:snapToGrid w:val="0"/>
          <w:sz w:val="16"/>
        </w:rPr>
        <w:t xml:space="preserve"> NI, Dafni U, Bogaerts J, et al: ESMO-Magnitude of Clinical Benefit Scale version 1.1. Annals of Oncology 28:2340-2366, 2017</w:t>
      </w:r>
    </w:p>
  </w:footnote>
  <w:footnote w:id="14">
    <w:p w14:paraId="593FC933" w14:textId="77777777" w:rsidR="00EE5515" w:rsidRPr="005E335E" w:rsidRDefault="00EE5515" w:rsidP="00EE5515">
      <w:pPr>
        <w:pStyle w:val="FootnoteText"/>
        <w:rPr>
          <w:rFonts w:ascii="Arial Narrow" w:hAnsi="Arial Narrow"/>
          <w:sz w:val="18"/>
          <w:szCs w:val="18"/>
        </w:rPr>
      </w:pPr>
      <w:r w:rsidRPr="005E335E">
        <w:rPr>
          <w:rStyle w:val="FootnoteReference"/>
          <w:rFonts w:ascii="Arial Narrow" w:hAnsi="Arial Narrow"/>
          <w:sz w:val="18"/>
          <w:szCs w:val="18"/>
        </w:rPr>
        <w:footnoteRef/>
      </w:r>
      <w:r w:rsidRPr="005E335E">
        <w:rPr>
          <w:rFonts w:ascii="Arial Narrow" w:hAnsi="Arial Narrow"/>
          <w:sz w:val="18"/>
          <w:szCs w:val="18"/>
        </w:rPr>
        <w:t xml:space="preserve"> Safety analysis set included all patients who received at least one dose of study drug (N=543).</w:t>
      </w:r>
    </w:p>
  </w:footnote>
  <w:footnote w:id="15">
    <w:p w14:paraId="363BE7FB" w14:textId="77777777" w:rsidR="00C270F2" w:rsidRPr="00364B95" w:rsidRDefault="00C270F2" w:rsidP="00C270F2">
      <w:pPr>
        <w:pStyle w:val="FootnoteText"/>
        <w:rPr>
          <w:rFonts w:ascii="Arial Narrow" w:hAnsi="Arial Narrow"/>
        </w:rPr>
      </w:pPr>
      <w:r w:rsidRPr="00364B95">
        <w:rPr>
          <w:rStyle w:val="FootnoteReference"/>
          <w:rFonts w:ascii="Arial Narrow" w:hAnsi="Arial Narrow"/>
        </w:rPr>
        <w:footnoteRef/>
      </w:r>
      <w:r w:rsidRPr="00364B95">
        <w:rPr>
          <w:rFonts w:ascii="Arial Narrow" w:hAnsi="Arial Narrow"/>
        </w:rPr>
        <w:t xml:space="preserve"> </w:t>
      </w:r>
      <w:proofErr w:type="spellStart"/>
      <w:r w:rsidRPr="00364B95">
        <w:rPr>
          <w:rFonts w:ascii="Arial Narrow" w:hAnsi="Arial Narrow" w:cs="Segoe UI"/>
          <w:sz w:val="18"/>
          <w:szCs w:val="18"/>
        </w:rPr>
        <w:t>Hurvitz</w:t>
      </w:r>
      <w:proofErr w:type="spellEnd"/>
      <w:r w:rsidRPr="00364B95">
        <w:rPr>
          <w:rFonts w:ascii="Arial Narrow" w:hAnsi="Arial Narrow" w:cs="Segoe UI"/>
          <w:sz w:val="18"/>
          <w:szCs w:val="18"/>
        </w:rPr>
        <w:t xml:space="preserve"> SA, </w:t>
      </w:r>
      <w:proofErr w:type="spellStart"/>
      <w:r w:rsidRPr="00364B95">
        <w:rPr>
          <w:rFonts w:ascii="Arial Narrow" w:hAnsi="Arial Narrow" w:cs="Segoe UI"/>
          <w:sz w:val="18"/>
          <w:szCs w:val="18"/>
        </w:rPr>
        <w:t>Hegg</w:t>
      </w:r>
      <w:proofErr w:type="spellEnd"/>
      <w:r w:rsidRPr="00364B95">
        <w:rPr>
          <w:rFonts w:ascii="Arial Narrow" w:hAnsi="Arial Narrow" w:cs="Segoe UI"/>
          <w:sz w:val="18"/>
          <w:szCs w:val="18"/>
        </w:rPr>
        <w:t xml:space="preserve"> R, Chung W-P, </w:t>
      </w:r>
      <w:proofErr w:type="spellStart"/>
      <w:r w:rsidRPr="00364B95">
        <w:rPr>
          <w:rFonts w:ascii="Arial Narrow" w:hAnsi="Arial Narrow" w:cs="Segoe UI"/>
          <w:sz w:val="18"/>
          <w:szCs w:val="18"/>
        </w:rPr>
        <w:t>Im</w:t>
      </w:r>
      <w:proofErr w:type="spellEnd"/>
      <w:r w:rsidRPr="00364B95">
        <w:rPr>
          <w:rFonts w:ascii="Arial Narrow" w:hAnsi="Arial Narrow" w:cs="Segoe UI"/>
          <w:sz w:val="18"/>
          <w:szCs w:val="18"/>
        </w:rPr>
        <w:t xml:space="preserve"> S-A, </w:t>
      </w:r>
      <w:proofErr w:type="spellStart"/>
      <w:r w:rsidRPr="00364B95">
        <w:rPr>
          <w:rFonts w:ascii="Arial Narrow" w:hAnsi="Arial Narrow" w:cs="Segoe UI"/>
          <w:sz w:val="18"/>
          <w:szCs w:val="18"/>
        </w:rPr>
        <w:t>Jacot</w:t>
      </w:r>
      <w:proofErr w:type="spellEnd"/>
      <w:r w:rsidRPr="00364B95">
        <w:rPr>
          <w:rFonts w:ascii="Arial Narrow" w:hAnsi="Arial Narrow" w:cs="Segoe UI"/>
          <w:sz w:val="18"/>
          <w:szCs w:val="18"/>
        </w:rPr>
        <w:t xml:space="preserve"> W, </w:t>
      </w:r>
      <w:proofErr w:type="spellStart"/>
      <w:r w:rsidRPr="00364B95">
        <w:rPr>
          <w:rFonts w:ascii="Arial Narrow" w:hAnsi="Arial Narrow" w:cs="Segoe UI"/>
          <w:sz w:val="18"/>
          <w:szCs w:val="18"/>
        </w:rPr>
        <w:t>Ganju</w:t>
      </w:r>
      <w:proofErr w:type="spellEnd"/>
      <w:r w:rsidRPr="00364B95">
        <w:rPr>
          <w:rFonts w:ascii="Arial Narrow" w:hAnsi="Arial Narrow" w:cs="Segoe UI"/>
          <w:sz w:val="18"/>
          <w:szCs w:val="18"/>
        </w:rPr>
        <w:t xml:space="preserve"> V, et al. Trastuzumab </w:t>
      </w:r>
      <w:proofErr w:type="spellStart"/>
      <w:r w:rsidRPr="00364B95">
        <w:rPr>
          <w:rFonts w:ascii="Arial Narrow" w:hAnsi="Arial Narrow" w:cs="Segoe UI"/>
          <w:sz w:val="18"/>
          <w:szCs w:val="18"/>
        </w:rPr>
        <w:t>deruxtecan</w:t>
      </w:r>
      <w:proofErr w:type="spellEnd"/>
      <w:r w:rsidRPr="00364B95">
        <w:rPr>
          <w:rFonts w:ascii="Arial Narrow" w:hAnsi="Arial Narrow" w:cs="Segoe UI"/>
          <w:sz w:val="18"/>
          <w:szCs w:val="18"/>
        </w:rPr>
        <w:t xml:space="preserve"> versus trastuzumab emtansine in patients with HER2-positive metastatic breast cancer: updated results from DESTINY-Breast03, a randomised, open-label, phase 3 trial. </w:t>
      </w:r>
      <w:r w:rsidRPr="00364B95">
        <w:rPr>
          <w:rFonts w:ascii="Arial Narrow" w:hAnsi="Arial Narrow" w:cs="Segoe UI"/>
          <w:i/>
          <w:iCs/>
          <w:sz w:val="18"/>
          <w:szCs w:val="18"/>
        </w:rPr>
        <w:t>The Lancet</w:t>
      </w:r>
      <w:r w:rsidRPr="00364B95">
        <w:rPr>
          <w:rFonts w:ascii="Arial Narrow" w:hAnsi="Arial Narrow" w:cs="Segoe UI"/>
          <w:sz w:val="18"/>
          <w:szCs w:val="18"/>
        </w:rPr>
        <w:t>. 2023;401(10371):105-17.</w:t>
      </w:r>
    </w:p>
  </w:footnote>
  <w:footnote w:id="16">
    <w:p w14:paraId="333F5E81" w14:textId="77777777" w:rsidR="00C270F2" w:rsidRDefault="00C270F2" w:rsidP="00C270F2">
      <w:pPr>
        <w:pStyle w:val="FootnoteText"/>
      </w:pPr>
      <w:r w:rsidRPr="00364B95">
        <w:rPr>
          <w:rStyle w:val="FootnoteReference"/>
          <w:rFonts w:ascii="Arial Narrow" w:hAnsi="Arial Narrow"/>
        </w:rPr>
        <w:footnoteRef/>
      </w:r>
      <w:r w:rsidRPr="00364B95">
        <w:rPr>
          <w:rFonts w:ascii="Arial Narrow" w:hAnsi="Arial Narrow"/>
        </w:rPr>
        <w:t xml:space="preserve"> </w:t>
      </w:r>
      <w:r w:rsidRPr="00364B95">
        <w:rPr>
          <w:rFonts w:ascii="Arial Narrow" w:hAnsi="Arial Narrow" w:cs="Segoe UI"/>
          <w:sz w:val="18"/>
          <w:szCs w:val="18"/>
        </w:rPr>
        <w:t xml:space="preserve">Clemens S, Begum N, Harper C, Whitty JA, </w:t>
      </w:r>
      <w:proofErr w:type="spellStart"/>
      <w:r w:rsidRPr="00364B95">
        <w:rPr>
          <w:rFonts w:ascii="Arial Narrow" w:hAnsi="Arial Narrow" w:cs="Segoe UI"/>
          <w:sz w:val="18"/>
          <w:szCs w:val="18"/>
        </w:rPr>
        <w:t>Scuffham</w:t>
      </w:r>
      <w:proofErr w:type="spellEnd"/>
      <w:r w:rsidRPr="00364B95">
        <w:rPr>
          <w:rFonts w:ascii="Arial Narrow" w:hAnsi="Arial Narrow" w:cs="Segoe UI"/>
          <w:sz w:val="18"/>
          <w:szCs w:val="18"/>
        </w:rPr>
        <w:t xml:space="preserve"> PA. A comparison of EQ-5D-3L population norms in Queensland, Australia, estimated using utility value sets from Australia, the UK and USA. </w:t>
      </w:r>
      <w:r w:rsidRPr="00364B95">
        <w:rPr>
          <w:rFonts w:ascii="Arial Narrow" w:hAnsi="Arial Narrow" w:cs="Segoe UI"/>
          <w:i/>
          <w:iCs/>
          <w:sz w:val="18"/>
          <w:szCs w:val="18"/>
        </w:rPr>
        <w:t>Quality of Life Research</w:t>
      </w:r>
      <w:r w:rsidRPr="00364B95">
        <w:rPr>
          <w:rFonts w:ascii="Arial Narrow" w:hAnsi="Arial Narrow" w:cs="Segoe UI"/>
          <w:sz w:val="18"/>
          <w:szCs w:val="18"/>
        </w:rPr>
        <w:t>. 2014;23:2375-81.</w:t>
      </w:r>
    </w:p>
  </w:footnote>
  <w:footnote w:id="17">
    <w:p w14:paraId="211937EF" w14:textId="77777777" w:rsidR="00C270F2" w:rsidRPr="00364B95" w:rsidRDefault="00C270F2" w:rsidP="00C270F2">
      <w:pPr>
        <w:pStyle w:val="FootnoteText"/>
        <w:rPr>
          <w:rFonts w:ascii="Arial Narrow" w:hAnsi="Arial Narrow" w:cstheme="minorHAnsi"/>
          <w:sz w:val="18"/>
          <w:szCs w:val="18"/>
        </w:rPr>
      </w:pPr>
      <w:r w:rsidRPr="00364B95">
        <w:rPr>
          <w:rStyle w:val="FootnoteReference"/>
          <w:rFonts w:ascii="Arial Narrow" w:hAnsi="Arial Narrow" w:cstheme="minorHAnsi"/>
          <w:sz w:val="18"/>
          <w:szCs w:val="18"/>
        </w:rPr>
        <w:footnoteRef/>
      </w:r>
      <w:r w:rsidRPr="00364B95">
        <w:rPr>
          <w:rFonts w:ascii="Arial Narrow" w:hAnsi="Arial Narrow" w:cstheme="minorHAnsi"/>
          <w:sz w:val="18"/>
          <w:szCs w:val="18"/>
        </w:rPr>
        <w:t xml:space="preserve"> Norman R, Mulhern B, </w:t>
      </w:r>
      <w:proofErr w:type="spellStart"/>
      <w:r w:rsidRPr="00364B95">
        <w:rPr>
          <w:rFonts w:ascii="Arial Narrow" w:hAnsi="Arial Narrow" w:cstheme="minorHAnsi"/>
          <w:sz w:val="18"/>
          <w:szCs w:val="18"/>
        </w:rPr>
        <w:t>Lancsar</w:t>
      </w:r>
      <w:proofErr w:type="spellEnd"/>
      <w:r w:rsidRPr="00364B95">
        <w:rPr>
          <w:rFonts w:ascii="Arial Narrow" w:hAnsi="Arial Narrow" w:cstheme="minorHAnsi"/>
          <w:sz w:val="18"/>
          <w:szCs w:val="18"/>
        </w:rPr>
        <w:t xml:space="preserve"> E, </w:t>
      </w:r>
      <w:proofErr w:type="spellStart"/>
      <w:r w:rsidRPr="00364B95">
        <w:rPr>
          <w:rFonts w:ascii="Arial Narrow" w:hAnsi="Arial Narrow" w:cstheme="minorHAnsi"/>
          <w:sz w:val="18"/>
          <w:szCs w:val="18"/>
        </w:rPr>
        <w:t>Lorgelly</w:t>
      </w:r>
      <w:proofErr w:type="spellEnd"/>
      <w:r w:rsidRPr="00364B95">
        <w:rPr>
          <w:rFonts w:ascii="Arial Narrow" w:hAnsi="Arial Narrow" w:cstheme="minorHAnsi"/>
          <w:sz w:val="18"/>
          <w:szCs w:val="18"/>
        </w:rPr>
        <w:t xml:space="preserve"> P, Ratcliffe J, Street D, et al. The Use of a Discrete Choice Experiment Including Both Duration and Dead for the Development of an EQ-5D-5L Value Set for Australia. </w:t>
      </w:r>
      <w:proofErr w:type="spellStart"/>
      <w:r w:rsidRPr="00364B95">
        <w:rPr>
          <w:rFonts w:ascii="Arial Narrow" w:hAnsi="Arial Narrow" w:cstheme="minorHAnsi"/>
          <w:i/>
          <w:iCs/>
          <w:sz w:val="18"/>
          <w:szCs w:val="18"/>
        </w:rPr>
        <w:t>PharmacoEconomics</w:t>
      </w:r>
      <w:proofErr w:type="spellEnd"/>
      <w:r w:rsidRPr="00364B95">
        <w:rPr>
          <w:rFonts w:ascii="Arial Narrow" w:hAnsi="Arial Narrow" w:cstheme="minorHAnsi"/>
          <w:sz w:val="18"/>
          <w:szCs w:val="18"/>
        </w:rPr>
        <w:t>. 2023 Apr;41(4):427-38.</w:t>
      </w:r>
    </w:p>
  </w:footnote>
  <w:footnote w:id="18">
    <w:p w14:paraId="5F8380B9" w14:textId="77777777" w:rsidR="00C270F2" w:rsidRPr="0061329E" w:rsidRDefault="00C270F2" w:rsidP="00C270F2">
      <w:pPr>
        <w:pStyle w:val="FootnoteText"/>
        <w:rPr>
          <w:rFonts w:ascii="Arial Narrow" w:hAnsi="Arial Narrow"/>
          <w:sz w:val="18"/>
          <w:szCs w:val="18"/>
        </w:rPr>
      </w:pPr>
      <w:r w:rsidRPr="0061329E">
        <w:rPr>
          <w:rStyle w:val="FootnoteReference"/>
          <w:rFonts w:ascii="Arial Narrow" w:hAnsi="Arial Narrow"/>
          <w:sz w:val="18"/>
          <w:szCs w:val="18"/>
        </w:rPr>
        <w:footnoteRef/>
      </w:r>
      <w:r w:rsidRPr="0061329E">
        <w:rPr>
          <w:rFonts w:ascii="Arial Narrow" w:hAnsi="Arial Narrow"/>
          <w:sz w:val="18"/>
          <w:szCs w:val="18"/>
        </w:rPr>
        <w:t xml:space="preserve"> </w:t>
      </w:r>
      <w:r w:rsidRPr="0061329E">
        <w:rPr>
          <w:rFonts w:ascii="Arial Narrow" w:hAnsi="Arial Narrow" w:cs="Segoe UI"/>
          <w:sz w:val="18"/>
          <w:szCs w:val="18"/>
        </w:rPr>
        <w:t xml:space="preserve">Powell CA, Modi S, Iwata H, Takahashi S, Smit EF, Siena S, et al. Pooled analysis of drug-related interstitial lung disease and/or pneumonitis in nine trastuzumab </w:t>
      </w:r>
      <w:proofErr w:type="spellStart"/>
      <w:r w:rsidRPr="0061329E">
        <w:rPr>
          <w:rFonts w:ascii="Arial Narrow" w:hAnsi="Arial Narrow" w:cs="Segoe UI"/>
          <w:sz w:val="18"/>
          <w:szCs w:val="18"/>
        </w:rPr>
        <w:t>deruxtecan</w:t>
      </w:r>
      <w:proofErr w:type="spellEnd"/>
      <w:r w:rsidRPr="0061329E">
        <w:rPr>
          <w:rFonts w:ascii="Arial Narrow" w:hAnsi="Arial Narrow" w:cs="Segoe UI"/>
          <w:sz w:val="18"/>
          <w:szCs w:val="18"/>
        </w:rPr>
        <w:t xml:space="preserve"> monotherapy studies. </w:t>
      </w:r>
      <w:r w:rsidRPr="0061329E">
        <w:rPr>
          <w:rFonts w:ascii="Arial Narrow" w:hAnsi="Arial Narrow" w:cs="Segoe UI"/>
          <w:i/>
          <w:iCs/>
          <w:sz w:val="18"/>
          <w:szCs w:val="18"/>
        </w:rPr>
        <w:t>ESMO Open</w:t>
      </w:r>
      <w:r w:rsidRPr="0061329E">
        <w:rPr>
          <w:rFonts w:ascii="Arial Narrow" w:hAnsi="Arial Narrow" w:cs="Segoe UI"/>
          <w:sz w:val="18"/>
          <w:szCs w:val="18"/>
        </w:rPr>
        <w:t>. 2022;7(4).</w:t>
      </w:r>
    </w:p>
  </w:footnote>
  <w:footnote w:id="19">
    <w:p w14:paraId="52EE1C30" w14:textId="77777777" w:rsidR="00C270F2" w:rsidRPr="00364B95" w:rsidRDefault="00C270F2" w:rsidP="00C270F2">
      <w:pPr>
        <w:pStyle w:val="FootnoteText"/>
        <w:rPr>
          <w:rFonts w:ascii="Arial Narrow" w:hAnsi="Arial Narrow"/>
          <w:sz w:val="18"/>
          <w:szCs w:val="18"/>
        </w:rPr>
      </w:pPr>
      <w:r w:rsidRPr="00364B95">
        <w:rPr>
          <w:rStyle w:val="FootnoteReference"/>
          <w:rFonts w:ascii="Arial Narrow" w:hAnsi="Arial Narrow" w:cstheme="minorHAnsi"/>
          <w:sz w:val="18"/>
          <w:szCs w:val="18"/>
        </w:rPr>
        <w:footnoteRef/>
      </w:r>
      <w:r w:rsidRPr="00364B95">
        <w:rPr>
          <w:rFonts w:ascii="Arial Narrow" w:hAnsi="Arial Narrow" w:cstheme="minorHAnsi"/>
          <w:sz w:val="18"/>
          <w:szCs w:val="18"/>
        </w:rPr>
        <w:t xml:space="preserve"> Clemens S, Begum N, Harper C, Whitty JA, </w:t>
      </w:r>
      <w:proofErr w:type="spellStart"/>
      <w:r w:rsidRPr="00364B95">
        <w:rPr>
          <w:rFonts w:ascii="Arial Narrow" w:hAnsi="Arial Narrow" w:cstheme="minorHAnsi"/>
          <w:sz w:val="18"/>
          <w:szCs w:val="18"/>
        </w:rPr>
        <w:t>Scuffham</w:t>
      </w:r>
      <w:proofErr w:type="spellEnd"/>
      <w:r w:rsidRPr="00364B95">
        <w:rPr>
          <w:rFonts w:ascii="Arial Narrow" w:hAnsi="Arial Narrow" w:cstheme="minorHAnsi"/>
          <w:sz w:val="18"/>
          <w:szCs w:val="18"/>
        </w:rPr>
        <w:t xml:space="preserve"> PA. A comparison of EQ-5D-3L population norms in Queensland, Australia, estimated using utility value sets from Australia, the UK and USA. </w:t>
      </w:r>
      <w:r w:rsidRPr="00364B95">
        <w:rPr>
          <w:rFonts w:ascii="Arial Narrow" w:hAnsi="Arial Narrow" w:cstheme="minorHAnsi"/>
          <w:i/>
          <w:iCs/>
          <w:sz w:val="18"/>
          <w:szCs w:val="18"/>
        </w:rPr>
        <w:t>Quality of Life Research</w:t>
      </w:r>
      <w:r w:rsidRPr="00364B95">
        <w:rPr>
          <w:rFonts w:ascii="Arial Narrow" w:hAnsi="Arial Narrow" w:cstheme="minorHAnsi"/>
          <w:sz w:val="18"/>
          <w:szCs w:val="18"/>
        </w:rPr>
        <w:t>. 2014;23:2375-81.</w:t>
      </w:r>
    </w:p>
  </w:footnote>
  <w:footnote w:id="20">
    <w:p w14:paraId="13BC3542" w14:textId="77777777" w:rsidR="00C270F2" w:rsidRPr="00364B95" w:rsidRDefault="00C270F2" w:rsidP="00C270F2">
      <w:pPr>
        <w:pStyle w:val="FootnoteText"/>
        <w:rPr>
          <w:rFonts w:ascii="Arial Narrow" w:hAnsi="Arial Narrow"/>
          <w:sz w:val="18"/>
          <w:szCs w:val="18"/>
        </w:rPr>
      </w:pPr>
      <w:r w:rsidRPr="00364B95">
        <w:rPr>
          <w:rStyle w:val="FootnoteReference"/>
          <w:rFonts w:ascii="Arial Narrow" w:hAnsi="Arial Narrow"/>
          <w:sz w:val="18"/>
          <w:szCs w:val="18"/>
        </w:rPr>
        <w:footnoteRef/>
      </w:r>
      <w:r w:rsidRPr="00364B95">
        <w:rPr>
          <w:rFonts w:ascii="Arial Narrow" w:hAnsi="Arial Narrow"/>
          <w:sz w:val="18"/>
          <w:szCs w:val="18"/>
        </w:rPr>
        <w:t xml:space="preserve"> The previous T-</w:t>
      </w:r>
      <w:proofErr w:type="spellStart"/>
      <w:r w:rsidRPr="00364B95">
        <w:rPr>
          <w:rFonts w:ascii="Arial Narrow" w:hAnsi="Arial Narrow"/>
          <w:sz w:val="18"/>
          <w:szCs w:val="18"/>
        </w:rPr>
        <w:t>DXd</w:t>
      </w:r>
      <w:proofErr w:type="spellEnd"/>
      <w:r w:rsidRPr="00364B95">
        <w:rPr>
          <w:rFonts w:ascii="Arial Narrow" w:hAnsi="Arial Narrow"/>
          <w:sz w:val="18"/>
          <w:szCs w:val="18"/>
        </w:rPr>
        <w:t xml:space="preserve"> submission (for HER2 positive advanced breast cancer) reported a pooled PF utility value of 0.812, PF utilities of 0.736 and 0.712 were applied for </w:t>
      </w:r>
      <w:proofErr w:type="spellStart"/>
      <w:r w:rsidRPr="00364B95">
        <w:rPr>
          <w:rFonts w:ascii="Arial Narrow" w:hAnsi="Arial Narrow"/>
          <w:sz w:val="18"/>
          <w:szCs w:val="18"/>
        </w:rPr>
        <w:t>palbociclib</w:t>
      </w:r>
      <w:proofErr w:type="spellEnd"/>
      <w:r w:rsidRPr="00364B95">
        <w:rPr>
          <w:rFonts w:ascii="Arial Narrow" w:hAnsi="Arial Narrow"/>
          <w:sz w:val="18"/>
          <w:szCs w:val="18"/>
        </w:rPr>
        <w:t xml:space="preserve"> + letrozole and letrozole alone, respectively (Table 9, Palbociclib PSD, November 2017 PBAC Meeting) and PF utility values of 0.746 and 0.662 were applied for SG and TPC, respectively (para 6.48, Sacituzumab </w:t>
      </w:r>
      <w:proofErr w:type="spellStart"/>
      <w:r w:rsidRPr="00364B95">
        <w:rPr>
          <w:rFonts w:ascii="Arial Narrow" w:hAnsi="Arial Narrow"/>
          <w:sz w:val="18"/>
          <w:szCs w:val="18"/>
        </w:rPr>
        <w:t>govetican</w:t>
      </w:r>
      <w:proofErr w:type="spellEnd"/>
      <w:r w:rsidRPr="00364B95">
        <w:rPr>
          <w:rFonts w:ascii="Arial Narrow" w:hAnsi="Arial Narrow"/>
          <w:sz w:val="18"/>
          <w:szCs w:val="18"/>
        </w:rPr>
        <w:t xml:space="preserve"> PSD, March 2022 PBAC Meeting).</w:t>
      </w:r>
    </w:p>
  </w:footnote>
  <w:footnote w:id="21">
    <w:p w14:paraId="3653D3F5" w14:textId="77777777" w:rsidR="00C270F2" w:rsidRDefault="00C270F2" w:rsidP="00C270F2">
      <w:pPr>
        <w:pStyle w:val="FootnoteText"/>
      </w:pPr>
      <w:r w:rsidRPr="00364B95">
        <w:rPr>
          <w:rStyle w:val="FootnoteReference"/>
          <w:rFonts w:ascii="Arial Narrow" w:hAnsi="Arial Narrow"/>
          <w:sz w:val="18"/>
          <w:szCs w:val="18"/>
        </w:rPr>
        <w:footnoteRef/>
      </w:r>
      <w:r w:rsidRPr="00364B95">
        <w:rPr>
          <w:rFonts w:ascii="Arial Narrow" w:hAnsi="Arial Narrow"/>
          <w:sz w:val="18"/>
          <w:szCs w:val="18"/>
        </w:rPr>
        <w:t xml:space="preserve"> </w:t>
      </w:r>
      <w:r w:rsidRPr="00364B95">
        <w:rPr>
          <w:rFonts w:ascii="Arial Narrow" w:hAnsi="Arial Narrow" w:cs="Segoe UI"/>
          <w:sz w:val="18"/>
          <w:szCs w:val="18"/>
        </w:rPr>
        <w:t xml:space="preserve">Lloyd A, Nafees B, </w:t>
      </w:r>
      <w:proofErr w:type="spellStart"/>
      <w:r w:rsidRPr="00364B95">
        <w:rPr>
          <w:rFonts w:ascii="Arial Narrow" w:hAnsi="Arial Narrow" w:cs="Segoe UI"/>
          <w:sz w:val="18"/>
          <w:szCs w:val="18"/>
        </w:rPr>
        <w:t>Narewska</w:t>
      </w:r>
      <w:proofErr w:type="spellEnd"/>
      <w:r w:rsidRPr="00364B95">
        <w:rPr>
          <w:rFonts w:ascii="Arial Narrow" w:hAnsi="Arial Narrow" w:cs="Segoe UI"/>
          <w:sz w:val="18"/>
          <w:szCs w:val="18"/>
        </w:rPr>
        <w:t xml:space="preserve"> J, </w:t>
      </w:r>
      <w:proofErr w:type="spellStart"/>
      <w:r w:rsidRPr="00364B95">
        <w:rPr>
          <w:rFonts w:ascii="Arial Narrow" w:hAnsi="Arial Narrow" w:cs="Segoe UI"/>
          <w:sz w:val="18"/>
          <w:szCs w:val="18"/>
        </w:rPr>
        <w:t>Dewilde</w:t>
      </w:r>
      <w:proofErr w:type="spellEnd"/>
      <w:r w:rsidRPr="00364B95">
        <w:rPr>
          <w:rFonts w:ascii="Arial Narrow" w:hAnsi="Arial Narrow" w:cs="Segoe UI"/>
          <w:sz w:val="18"/>
          <w:szCs w:val="18"/>
        </w:rPr>
        <w:t xml:space="preserve"> S, Watkins J. Health state utilities for metastatic breast cancer. </w:t>
      </w:r>
      <w:r w:rsidRPr="00364B95">
        <w:rPr>
          <w:rFonts w:ascii="Arial Narrow" w:hAnsi="Arial Narrow" w:cs="Segoe UI"/>
          <w:i/>
          <w:iCs/>
          <w:sz w:val="18"/>
          <w:szCs w:val="18"/>
        </w:rPr>
        <w:t>British Journal of Cancer</w:t>
      </w:r>
      <w:r w:rsidRPr="00364B95">
        <w:rPr>
          <w:rFonts w:ascii="Arial Narrow" w:hAnsi="Arial Narrow" w:cs="Segoe UI"/>
          <w:sz w:val="18"/>
          <w:szCs w:val="18"/>
        </w:rPr>
        <w:t>. 2006 2006/09/01;95(6):683-90.</w:t>
      </w:r>
    </w:p>
  </w:footnote>
  <w:footnote w:id="22">
    <w:p w14:paraId="48F73392" w14:textId="77777777" w:rsidR="00C270F2" w:rsidRPr="00364B95" w:rsidRDefault="00C270F2" w:rsidP="00C270F2">
      <w:pPr>
        <w:pStyle w:val="FootnoteText"/>
        <w:rPr>
          <w:rFonts w:ascii="Arial Narrow" w:hAnsi="Arial Narrow"/>
          <w:sz w:val="18"/>
          <w:szCs w:val="18"/>
        </w:rPr>
      </w:pPr>
      <w:r w:rsidRPr="00364B95">
        <w:rPr>
          <w:rStyle w:val="FootnoteReference"/>
          <w:rFonts w:ascii="Arial Narrow" w:hAnsi="Arial Narrow"/>
          <w:sz w:val="18"/>
          <w:szCs w:val="18"/>
        </w:rPr>
        <w:footnoteRef/>
      </w:r>
      <w:r w:rsidRPr="00364B95">
        <w:rPr>
          <w:rFonts w:ascii="Arial Narrow" w:hAnsi="Arial Narrow"/>
          <w:sz w:val="18"/>
          <w:szCs w:val="18"/>
        </w:rPr>
        <w:t xml:space="preserve"> 5.1 / 5.4</w:t>
      </w:r>
    </w:p>
  </w:footnote>
  <w:footnote w:id="23">
    <w:p w14:paraId="78A449B2" w14:textId="6B25966D" w:rsidR="00C270F2" w:rsidRDefault="00C270F2" w:rsidP="00C270F2">
      <w:pPr>
        <w:pStyle w:val="FootnoteText"/>
      </w:pPr>
      <w:r w:rsidRPr="00364B95">
        <w:rPr>
          <w:rStyle w:val="FootnoteReference"/>
          <w:rFonts w:ascii="Arial Narrow" w:hAnsi="Arial Narrow"/>
          <w:sz w:val="18"/>
          <w:szCs w:val="18"/>
        </w:rPr>
        <w:footnoteRef/>
      </w:r>
      <w:r w:rsidRPr="00364B95">
        <w:rPr>
          <w:rFonts w:ascii="Arial Narrow" w:hAnsi="Arial Narrow"/>
          <w:sz w:val="18"/>
          <w:szCs w:val="18"/>
        </w:rPr>
        <w:t xml:space="preserve"> Denominator of the proportion of patients receiving subsequent therapy was the number of patients who had progressed at the latest data cut as per BICR in each arm. The result was &gt;100% in both arms, hence it was assumed all patients received subsequent therapy upon progression. Denominator of the proportion of patients receiving each subsequent therapy was the number of patients receiving subsequent therapy in each arms.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BBB0" w14:textId="77777777" w:rsidR="005149D2" w:rsidRDefault="0051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9A15839" w:rsidR="00D843F2" w:rsidRPr="00195452" w:rsidRDefault="00F23505" w:rsidP="00D822E2">
    <w:pPr>
      <w:pStyle w:val="Header"/>
      <w:rPr>
        <w:rFonts w:asciiTheme="minorHAnsi" w:hAnsiTheme="minorHAnsi"/>
        <w:i/>
        <w:color w:val="808080"/>
      </w:rPr>
    </w:pPr>
    <w:r w:rsidRPr="00F23505">
      <w:rPr>
        <w:rFonts w:asciiTheme="minorHAnsi" w:hAnsiTheme="minorHAnsi"/>
        <w:i/>
        <w:color w:val="808080"/>
      </w:rPr>
      <w:t xml:space="preserve">Public Summary Document </w:t>
    </w:r>
    <w:r w:rsidR="009A13A0">
      <w:rPr>
        <w:rFonts w:asciiTheme="minorHAnsi" w:hAnsiTheme="minorHAnsi"/>
        <w:i/>
        <w:color w:val="808080"/>
      </w:rPr>
      <w:t xml:space="preserve">- </w:t>
    </w:r>
    <w:r w:rsidR="00E95572">
      <w:rPr>
        <w:rFonts w:asciiTheme="minorHAnsi" w:hAnsiTheme="minorHAnsi"/>
        <w:i/>
        <w:color w:val="808080"/>
      </w:rPr>
      <w:t xml:space="preserve">November </w:t>
    </w:r>
    <w:r w:rsidR="00D843F2">
      <w:rPr>
        <w:rFonts w:asciiTheme="minorHAnsi" w:hAnsiTheme="minorHAnsi"/>
        <w:i/>
        <w:color w:val="808080"/>
      </w:rPr>
      <w:t>202</w:t>
    </w:r>
    <w:r w:rsidR="00E95572">
      <w:rPr>
        <w:rFonts w:asciiTheme="minorHAnsi" w:hAnsiTheme="minorHAnsi"/>
        <w:i/>
        <w:color w:val="808080"/>
      </w:rPr>
      <w:t>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39B3" w14:textId="77777777" w:rsidR="005149D2" w:rsidRDefault="0051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B961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1EE7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C82468"/>
    <w:multiLevelType w:val="hybridMultilevel"/>
    <w:tmpl w:val="EB92E2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D1F778A"/>
    <w:multiLevelType w:val="hybridMultilevel"/>
    <w:tmpl w:val="018E0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40B9C"/>
    <w:multiLevelType w:val="hybridMultilevel"/>
    <w:tmpl w:val="2DB0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55592D"/>
    <w:multiLevelType w:val="hybridMultilevel"/>
    <w:tmpl w:val="F760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45503E"/>
    <w:multiLevelType w:val="hybridMultilevel"/>
    <w:tmpl w:val="47B0C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4653D1"/>
    <w:multiLevelType w:val="hybridMultilevel"/>
    <w:tmpl w:val="5614A8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71DA9"/>
    <w:multiLevelType w:val="hybridMultilevel"/>
    <w:tmpl w:val="090EB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579A1"/>
    <w:multiLevelType w:val="hybridMultilevel"/>
    <w:tmpl w:val="38F097F6"/>
    <w:lvl w:ilvl="0" w:tplc="1EE24504">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4B43BA"/>
    <w:multiLevelType w:val="hybridMultilevel"/>
    <w:tmpl w:val="1EF277E8"/>
    <w:lvl w:ilvl="0" w:tplc="92ECD830">
      <w:numFmt w:val="bullet"/>
      <w:lvlText w:val="•"/>
      <w:lvlJc w:val="left"/>
      <w:pPr>
        <w:ind w:left="720" w:hanging="360"/>
      </w:pPr>
      <w:rPr>
        <w:rFonts w:hint="default"/>
        <w:lang w:val="en-AU" w:eastAsia="en-AU" w:bidi="en-AU"/>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BA6D49"/>
    <w:multiLevelType w:val="hybridMultilevel"/>
    <w:tmpl w:val="B816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8134EA"/>
    <w:multiLevelType w:val="hybridMultilevel"/>
    <w:tmpl w:val="496E5B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A43CEE"/>
    <w:multiLevelType w:val="hybridMultilevel"/>
    <w:tmpl w:val="C5340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783F47"/>
    <w:multiLevelType w:val="hybridMultilevel"/>
    <w:tmpl w:val="70D63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AD3663A"/>
    <w:multiLevelType w:val="hybridMultilevel"/>
    <w:tmpl w:val="1678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82039"/>
    <w:multiLevelType w:val="hybridMultilevel"/>
    <w:tmpl w:val="DB1EC588"/>
    <w:lvl w:ilvl="0" w:tplc="3732024E">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742FB"/>
    <w:multiLevelType w:val="hybridMultilevel"/>
    <w:tmpl w:val="92B6EA10"/>
    <w:lvl w:ilvl="0" w:tplc="6930B7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64CAF"/>
    <w:multiLevelType w:val="hybridMultilevel"/>
    <w:tmpl w:val="461868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7C52F2"/>
    <w:multiLevelType w:val="hybridMultilevel"/>
    <w:tmpl w:val="C0922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0DD623E"/>
    <w:multiLevelType w:val="hybridMultilevel"/>
    <w:tmpl w:val="F18AD6BC"/>
    <w:lvl w:ilvl="0" w:tplc="4C6893BA">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534868"/>
    <w:multiLevelType w:val="hybridMultilevel"/>
    <w:tmpl w:val="1CC2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1C4B58"/>
    <w:multiLevelType w:val="hybridMultilevel"/>
    <w:tmpl w:val="82C89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DAC5FFD"/>
    <w:multiLevelType w:val="multilevel"/>
    <w:tmpl w:val="28C227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E024E54"/>
    <w:multiLevelType w:val="hybridMultilevel"/>
    <w:tmpl w:val="A92694DC"/>
    <w:lvl w:ilvl="0" w:tplc="0C090001">
      <w:start w:val="1"/>
      <w:numFmt w:val="bullet"/>
      <w:lvlText w:val=""/>
      <w:lvlJc w:val="left"/>
      <w:pPr>
        <w:ind w:left="786" w:hanging="360"/>
      </w:pPr>
      <w:rPr>
        <w:rFonts w:ascii="Symbol" w:hAnsi="Symbol" w:hint="default"/>
      </w:rPr>
    </w:lvl>
    <w:lvl w:ilvl="1" w:tplc="0C09000F">
      <w:start w:val="1"/>
      <w:numFmt w:val="decimal"/>
      <w:lvlText w:val="%2."/>
      <w:lvlJc w:val="left"/>
      <w:pPr>
        <w:ind w:left="1506" w:hanging="360"/>
      </w:p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6F81816"/>
    <w:multiLevelType w:val="hybridMultilevel"/>
    <w:tmpl w:val="7AF6B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A7733"/>
    <w:multiLevelType w:val="hybridMultilevel"/>
    <w:tmpl w:val="2FB0EC28"/>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95516F"/>
    <w:multiLevelType w:val="hybridMultilevel"/>
    <w:tmpl w:val="A60C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937128002">
    <w:abstractNumId w:val="32"/>
  </w:num>
  <w:num w:numId="2" w16cid:durableId="1136725119">
    <w:abstractNumId w:val="18"/>
  </w:num>
  <w:num w:numId="3" w16cid:durableId="1144665109">
    <w:abstractNumId w:val="20"/>
  </w:num>
  <w:num w:numId="4" w16cid:durableId="190803045">
    <w:abstractNumId w:val="1"/>
  </w:num>
  <w:num w:numId="5" w16cid:durableId="1403479446">
    <w:abstractNumId w:val="32"/>
  </w:num>
  <w:num w:numId="6" w16cid:durableId="8565830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0480010">
    <w:abstractNumId w:val="34"/>
  </w:num>
  <w:num w:numId="8" w16cid:durableId="2112049311">
    <w:abstractNumId w:val="28"/>
  </w:num>
  <w:num w:numId="9" w16cid:durableId="41905944">
    <w:abstractNumId w:val="27"/>
  </w:num>
  <w:num w:numId="10" w16cid:durableId="2026982415">
    <w:abstractNumId w:val="16"/>
  </w:num>
  <w:num w:numId="11" w16cid:durableId="481822768">
    <w:abstractNumId w:val="12"/>
  </w:num>
  <w:num w:numId="12" w16cid:durableId="1207641966">
    <w:abstractNumId w:val="11"/>
  </w:num>
  <w:num w:numId="13" w16cid:durableId="1037388128">
    <w:abstractNumId w:val="14"/>
  </w:num>
  <w:num w:numId="14" w16cid:durableId="566378215">
    <w:abstractNumId w:val="3"/>
  </w:num>
  <w:num w:numId="15" w16cid:durableId="1024480515">
    <w:abstractNumId w:val="7"/>
  </w:num>
  <w:num w:numId="16" w16cid:durableId="354114736">
    <w:abstractNumId w:val="33"/>
  </w:num>
  <w:num w:numId="17" w16cid:durableId="849834651">
    <w:abstractNumId w:val="29"/>
  </w:num>
  <w:num w:numId="18" w16cid:durableId="1359508899">
    <w:abstractNumId w:val="6"/>
  </w:num>
  <w:num w:numId="19" w16cid:durableId="500849392">
    <w:abstractNumId w:val="2"/>
  </w:num>
  <w:num w:numId="20" w16cid:durableId="582764880">
    <w:abstractNumId w:val="10"/>
  </w:num>
  <w:num w:numId="21" w16cid:durableId="944926934">
    <w:abstractNumId w:val="9"/>
  </w:num>
  <w:num w:numId="22" w16cid:durableId="352806080">
    <w:abstractNumId w:val="8"/>
  </w:num>
  <w:num w:numId="23" w16cid:durableId="965816156">
    <w:abstractNumId w:val="31"/>
  </w:num>
  <w:num w:numId="24" w16cid:durableId="909076307">
    <w:abstractNumId w:val="35"/>
  </w:num>
  <w:num w:numId="25" w16cid:durableId="1573198177">
    <w:abstractNumId w:val="24"/>
  </w:num>
  <w:num w:numId="26" w16cid:durableId="97142659">
    <w:abstractNumId w:val="30"/>
  </w:num>
  <w:num w:numId="27" w16cid:durableId="335495883">
    <w:abstractNumId w:val="5"/>
  </w:num>
  <w:num w:numId="28" w16cid:durableId="415634444">
    <w:abstractNumId w:val="32"/>
  </w:num>
  <w:num w:numId="29" w16cid:durableId="1715082416">
    <w:abstractNumId w:val="4"/>
  </w:num>
  <w:num w:numId="30" w16cid:durableId="965818522">
    <w:abstractNumId w:val="0"/>
  </w:num>
  <w:num w:numId="31" w16cid:durableId="1164931724">
    <w:abstractNumId w:val="21"/>
  </w:num>
  <w:num w:numId="32" w16cid:durableId="1140148155">
    <w:abstractNumId w:val="22"/>
  </w:num>
  <w:num w:numId="33" w16cid:durableId="204294765">
    <w:abstractNumId w:val="15"/>
  </w:num>
  <w:num w:numId="34" w16cid:durableId="197622553">
    <w:abstractNumId w:val="25"/>
  </w:num>
  <w:num w:numId="35" w16cid:durableId="1290696870">
    <w:abstractNumId w:val="19"/>
  </w:num>
  <w:num w:numId="36" w16cid:durableId="2080982054">
    <w:abstractNumId w:val="13"/>
  </w:num>
  <w:num w:numId="37" w16cid:durableId="913273448">
    <w:abstractNumId w:val="4"/>
  </w:num>
  <w:num w:numId="38" w16cid:durableId="855533494">
    <w:abstractNumId w:val="26"/>
  </w:num>
  <w:num w:numId="39" w16cid:durableId="1188837043">
    <w:abstractNumId w:val="32"/>
  </w:num>
  <w:num w:numId="40" w16cid:durableId="1195730082">
    <w:abstractNumId w:val="32"/>
  </w:num>
  <w:num w:numId="41" w16cid:durableId="1317957765">
    <w:abstractNumId w:val="32"/>
  </w:num>
  <w:num w:numId="42" w16cid:durableId="2052924020">
    <w:abstractNumId w:val="32"/>
  </w:num>
  <w:num w:numId="43" w16cid:durableId="2120836964">
    <w:abstractNumId w:val="23"/>
  </w:num>
  <w:num w:numId="44" w16cid:durableId="147871666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as50pjdatsrea02s5rs515xrsxtvvfpza&quot;&gt;T-DXd PBAC&lt;record-ids&gt;&lt;item&gt;2&lt;/item&gt;&lt;item&gt;3&lt;/item&gt;&lt;item&gt;4&lt;/item&gt;&lt;item&gt;8&lt;/item&gt;&lt;item&gt;13&lt;/item&gt;&lt;item&gt;18&lt;/item&gt;&lt;item&gt;23&lt;/item&gt;&lt;item&gt;24&lt;/item&gt;&lt;item&gt;25&lt;/item&gt;&lt;item&gt;26&lt;/item&gt;&lt;item&gt;29&lt;/item&gt;&lt;item&gt;30&lt;/item&gt;&lt;item&gt;31&lt;/item&gt;&lt;item&gt;32&lt;/item&gt;&lt;item&gt;33&lt;/item&gt;&lt;item&gt;34&lt;/item&gt;&lt;item&gt;35&lt;/item&gt;&lt;item&gt;36&lt;/item&gt;&lt;item&gt;37&lt;/item&gt;&lt;item&gt;38&lt;/item&gt;&lt;item&gt;39&lt;/item&gt;&lt;item&gt;41&lt;/item&gt;&lt;item&gt;42&lt;/item&gt;&lt;item&gt;45&lt;/item&gt;&lt;item&gt;46&lt;/item&gt;&lt;item&gt;48&lt;/item&gt;&lt;item&gt;49&lt;/item&gt;&lt;item&gt;50&lt;/item&gt;&lt;item&gt;51&lt;/item&gt;&lt;item&gt;52&lt;/item&gt;&lt;item&gt;53&lt;/item&gt;&lt;item&gt;54&lt;/item&gt;&lt;item&gt;55&lt;/item&gt;&lt;item&gt;56&lt;/item&gt;&lt;/record-ids&gt;&lt;/item&gt;&lt;/Libraries&gt;"/>
  </w:docVars>
  <w:rsids>
    <w:rsidRoot w:val="00E65E79"/>
    <w:rsid w:val="00000104"/>
    <w:rsid w:val="00000790"/>
    <w:rsid w:val="00000DC8"/>
    <w:rsid w:val="0000110B"/>
    <w:rsid w:val="00001605"/>
    <w:rsid w:val="000024B3"/>
    <w:rsid w:val="00002D96"/>
    <w:rsid w:val="00003499"/>
    <w:rsid w:val="00003734"/>
    <w:rsid w:val="000039B7"/>
    <w:rsid w:val="00003D87"/>
    <w:rsid w:val="00004CB8"/>
    <w:rsid w:val="000056B9"/>
    <w:rsid w:val="00005920"/>
    <w:rsid w:val="0000639A"/>
    <w:rsid w:val="00007C53"/>
    <w:rsid w:val="00013247"/>
    <w:rsid w:val="00013EBF"/>
    <w:rsid w:val="00014CBA"/>
    <w:rsid w:val="000150C8"/>
    <w:rsid w:val="00015886"/>
    <w:rsid w:val="000162EF"/>
    <w:rsid w:val="000207C9"/>
    <w:rsid w:val="0002225F"/>
    <w:rsid w:val="00022742"/>
    <w:rsid w:val="00022F74"/>
    <w:rsid w:val="00023763"/>
    <w:rsid w:val="00024EB5"/>
    <w:rsid w:val="000256A3"/>
    <w:rsid w:val="000274B8"/>
    <w:rsid w:val="000311E0"/>
    <w:rsid w:val="00033863"/>
    <w:rsid w:val="0003466E"/>
    <w:rsid w:val="000354B1"/>
    <w:rsid w:val="00035AD5"/>
    <w:rsid w:val="00035DC0"/>
    <w:rsid w:val="00036829"/>
    <w:rsid w:val="000374FC"/>
    <w:rsid w:val="000401FB"/>
    <w:rsid w:val="000406F5"/>
    <w:rsid w:val="00040895"/>
    <w:rsid w:val="000410A0"/>
    <w:rsid w:val="000435EE"/>
    <w:rsid w:val="00043C37"/>
    <w:rsid w:val="00045017"/>
    <w:rsid w:val="00045A2B"/>
    <w:rsid w:val="0004698F"/>
    <w:rsid w:val="00046D64"/>
    <w:rsid w:val="000506B3"/>
    <w:rsid w:val="000508C2"/>
    <w:rsid w:val="000515FC"/>
    <w:rsid w:val="000528BF"/>
    <w:rsid w:val="00052D9B"/>
    <w:rsid w:val="000539D0"/>
    <w:rsid w:val="00054539"/>
    <w:rsid w:val="00054621"/>
    <w:rsid w:val="000546D7"/>
    <w:rsid w:val="00054A8D"/>
    <w:rsid w:val="00055A8A"/>
    <w:rsid w:val="00056ECF"/>
    <w:rsid w:val="00057983"/>
    <w:rsid w:val="000602A9"/>
    <w:rsid w:val="000604DF"/>
    <w:rsid w:val="00061F3B"/>
    <w:rsid w:val="00062324"/>
    <w:rsid w:val="00063856"/>
    <w:rsid w:val="00063AA0"/>
    <w:rsid w:val="00064C03"/>
    <w:rsid w:val="000653B5"/>
    <w:rsid w:val="00066360"/>
    <w:rsid w:val="00066AF8"/>
    <w:rsid w:val="00070307"/>
    <w:rsid w:val="000711C1"/>
    <w:rsid w:val="00071248"/>
    <w:rsid w:val="000720B9"/>
    <w:rsid w:val="000737F7"/>
    <w:rsid w:val="0007515C"/>
    <w:rsid w:val="000751E3"/>
    <w:rsid w:val="0007672F"/>
    <w:rsid w:val="00076B54"/>
    <w:rsid w:val="000774F0"/>
    <w:rsid w:val="000803E1"/>
    <w:rsid w:val="00080909"/>
    <w:rsid w:val="000812CA"/>
    <w:rsid w:val="0008190B"/>
    <w:rsid w:val="00081E63"/>
    <w:rsid w:val="0008258D"/>
    <w:rsid w:val="000832DE"/>
    <w:rsid w:val="00083E99"/>
    <w:rsid w:val="00084376"/>
    <w:rsid w:val="00084FA8"/>
    <w:rsid w:val="000856C5"/>
    <w:rsid w:val="00085C31"/>
    <w:rsid w:val="00086EE2"/>
    <w:rsid w:val="00087634"/>
    <w:rsid w:val="00087887"/>
    <w:rsid w:val="00087ED8"/>
    <w:rsid w:val="000902D9"/>
    <w:rsid w:val="00090C7E"/>
    <w:rsid w:val="000911AC"/>
    <w:rsid w:val="00091ECA"/>
    <w:rsid w:val="00092600"/>
    <w:rsid w:val="0009262B"/>
    <w:rsid w:val="0009275C"/>
    <w:rsid w:val="00093310"/>
    <w:rsid w:val="0009445C"/>
    <w:rsid w:val="00094E7F"/>
    <w:rsid w:val="00095200"/>
    <w:rsid w:val="00095FE5"/>
    <w:rsid w:val="00096284"/>
    <w:rsid w:val="00096B73"/>
    <w:rsid w:val="00097132"/>
    <w:rsid w:val="000A03F0"/>
    <w:rsid w:val="000A1BC0"/>
    <w:rsid w:val="000A27AC"/>
    <w:rsid w:val="000A2F9E"/>
    <w:rsid w:val="000A34BE"/>
    <w:rsid w:val="000A3E47"/>
    <w:rsid w:val="000A4CE5"/>
    <w:rsid w:val="000A522B"/>
    <w:rsid w:val="000A6039"/>
    <w:rsid w:val="000A7453"/>
    <w:rsid w:val="000A7D08"/>
    <w:rsid w:val="000B0121"/>
    <w:rsid w:val="000B0670"/>
    <w:rsid w:val="000B0E75"/>
    <w:rsid w:val="000B2DCB"/>
    <w:rsid w:val="000B574F"/>
    <w:rsid w:val="000B5CE0"/>
    <w:rsid w:val="000B6CAC"/>
    <w:rsid w:val="000B7612"/>
    <w:rsid w:val="000B78AE"/>
    <w:rsid w:val="000B79B3"/>
    <w:rsid w:val="000C0C48"/>
    <w:rsid w:val="000C3DF9"/>
    <w:rsid w:val="000C4CF2"/>
    <w:rsid w:val="000C6713"/>
    <w:rsid w:val="000C7D44"/>
    <w:rsid w:val="000D0431"/>
    <w:rsid w:val="000D161D"/>
    <w:rsid w:val="000D1BFC"/>
    <w:rsid w:val="000D1D5D"/>
    <w:rsid w:val="000D281A"/>
    <w:rsid w:val="000D2848"/>
    <w:rsid w:val="000D326A"/>
    <w:rsid w:val="000D51FB"/>
    <w:rsid w:val="000D6E83"/>
    <w:rsid w:val="000D7C31"/>
    <w:rsid w:val="000E0640"/>
    <w:rsid w:val="000E0E09"/>
    <w:rsid w:val="000E135D"/>
    <w:rsid w:val="000E29F4"/>
    <w:rsid w:val="000E35D1"/>
    <w:rsid w:val="000E5202"/>
    <w:rsid w:val="000E75E9"/>
    <w:rsid w:val="000F00BA"/>
    <w:rsid w:val="000F210F"/>
    <w:rsid w:val="000F316A"/>
    <w:rsid w:val="000F3C74"/>
    <w:rsid w:val="000F49A2"/>
    <w:rsid w:val="000F4BB8"/>
    <w:rsid w:val="000F4FA9"/>
    <w:rsid w:val="000F53FB"/>
    <w:rsid w:val="000F7127"/>
    <w:rsid w:val="000F7574"/>
    <w:rsid w:val="000F7B54"/>
    <w:rsid w:val="001000B3"/>
    <w:rsid w:val="00100F8A"/>
    <w:rsid w:val="0010452E"/>
    <w:rsid w:val="00105AE2"/>
    <w:rsid w:val="00105D1E"/>
    <w:rsid w:val="001060C6"/>
    <w:rsid w:val="00106B80"/>
    <w:rsid w:val="00106DE7"/>
    <w:rsid w:val="0011032E"/>
    <w:rsid w:val="001117D3"/>
    <w:rsid w:val="0011348B"/>
    <w:rsid w:val="001147B3"/>
    <w:rsid w:val="0011508D"/>
    <w:rsid w:val="00115982"/>
    <w:rsid w:val="00116C53"/>
    <w:rsid w:val="00117E07"/>
    <w:rsid w:val="001207EA"/>
    <w:rsid w:val="0012143B"/>
    <w:rsid w:val="00121799"/>
    <w:rsid w:val="001222FC"/>
    <w:rsid w:val="00122B43"/>
    <w:rsid w:val="00123902"/>
    <w:rsid w:val="00124A51"/>
    <w:rsid w:val="00125446"/>
    <w:rsid w:val="00126621"/>
    <w:rsid w:val="00126AA7"/>
    <w:rsid w:val="00126B1D"/>
    <w:rsid w:val="001301E9"/>
    <w:rsid w:val="00130FFB"/>
    <w:rsid w:val="00131181"/>
    <w:rsid w:val="00131748"/>
    <w:rsid w:val="00131D82"/>
    <w:rsid w:val="0013239C"/>
    <w:rsid w:val="00132B22"/>
    <w:rsid w:val="00133B13"/>
    <w:rsid w:val="00133D36"/>
    <w:rsid w:val="00135060"/>
    <w:rsid w:val="00135376"/>
    <w:rsid w:val="0013645E"/>
    <w:rsid w:val="00136856"/>
    <w:rsid w:val="00137645"/>
    <w:rsid w:val="0014015A"/>
    <w:rsid w:val="00140E99"/>
    <w:rsid w:val="00141351"/>
    <w:rsid w:val="00141DB3"/>
    <w:rsid w:val="00142810"/>
    <w:rsid w:val="00142FEC"/>
    <w:rsid w:val="00143366"/>
    <w:rsid w:val="00143F67"/>
    <w:rsid w:val="00145234"/>
    <w:rsid w:val="00145540"/>
    <w:rsid w:val="001456B0"/>
    <w:rsid w:val="00145E4F"/>
    <w:rsid w:val="00150DF6"/>
    <w:rsid w:val="001547AB"/>
    <w:rsid w:val="001550BD"/>
    <w:rsid w:val="00155DAE"/>
    <w:rsid w:val="00155F28"/>
    <w:rsid w:val="00156F8F"/>
    <w:rsid w:val="00157130"/>
    <w:rsid w:val="001576B1"/>
    <w:rsid w:val="0016047B"/>
    <w:rsid w:val="00160937"/>
    <w:rsid w:val="00160A4C"/>
    <w:rsid w:val="00160F78"/>
    <w:rsid w:val="0016124A"/>
    <w:rsid w:val="001621A7"/>
    <w:rsid w:val="00162913"/>
    <w:rsid w:val="00163DB0"/>
    <w:rsid w:val="00163EFF"/>
    <w:rsid w:val="00163F66"/>
    <w:rsid w:val="0016478E"/>
    <w:rsid w:val="001647EF"/>
    <w:rsid w:val="00164FC1"/>
    <w:rsid w:val="00165EC4"/>
    <w:rsid w:val="001661FB"/>
    <w:rsid w:val="001671A0"/>
    <w:rsid w:val="0016767F"/>
    <w:rsid w:val="00170449"/>
    <w:rsid w:val="00172A79"/>
    <w:rsid w:val="00172B0B"/>
    <w:rsid w:val="00172F35"/>
    <w:rsid w:val="00173565"/>
    <w:rsid w:val="00173570"/>
    <w:rsid w:val="00173B07"/>
    <w:rsid w:val="001751FA"/>
    <w:rsid w:val="00181C10"/>
    <w:rsid w:val="00181D9C"/>
    <w:rsid w:val="001837FF"/>
    <w:rsid w:val="00184B0E"/>
    <w:rsid w:val="001852D2"/>
    <w:rsid w:val="001862AB"/>
    <w:rsid w:val="0018752F"/>
    <w:rsid w:val="00187CD0"/>
    <w:rsid w:val="00187EC4"/>
    <w:rsid w:val="0019041E"/>
    <w:rsid w:val="00190496"/>
    <w:rsid w:val="00193838"/>
    <w:rsid w:val="00194AD8"/>
    <w:rsid w:val="00195222"/>
    <w:rsid w:val="00195452"/>
    <w:rsid w:val="00195E50"/>
    <w:rsid w:val="001967A4"/>
    <w:rsid w:val="00196BC6"/>
    <w:rsid w:val="001975D8"/>
    <w:rsid w:val="001A0079"/>
    <w:rsid w:val="001A174F"/>
    <w:rsid w:val="001A178E"/>
    <w:rsid w:val="001A43FA"/>
    <w:rsid w:val="001A47C5"/>
    <w:rsid w:val="001A559C"/>
    <w:rsid w:val="001A577C"/>
    <w:rsid w:val="001A59FB"/>
    <w:rsid w:val="001A5E9E"/>
    <w:rsid w:val="001A6354"/>
    <w:rsid w:val="001A6366"/>
    <w:rsid w:val="001A7AE8"/>
    <w:rsid w:val="001B1ECB"/>
    <w:rsid w:val="001B204E"/>
    <w:rsid w:val="001B2372"/>
    <w:rsid w:val="001B2C9B"/>
    <w:rsid w:val="001B3443"/>
    <w:rsid w:val="001B3DC9"/>
    <w:rsid w:val="001B4D20"/>
    <w:rsid w:val="001B7451"/>
    <w:rsid w:val="001B76BB"/>
    <w:rsid w:val="001B7F84"/>
    <w:rsid w:val="001C2A9B"/>
    <w:rsid w:val="001C3DD6"/>
    <w:rsid w:val="001C4299"/>
    <w:rsid w:val="001C4874"/>
    <w:rsid w:val="001C5D9E"/>
    <w:rsid w:val="001C5F94"/>
    <w:rsid w:val="001C6E66"/>
    <w:rsid w:val="001C6F92"/>
    <w:rsid w:val="001D0E94"/>
    <w:rsid w:val="001D1100"/>
    <w:rsid w:val="001D1391"/>
    <w:rsid w:val="001D25D7"/>
    <w:rsid w:val="001D421D"/>
    <w:rsid w:val="001D50B2"/>
    <w:rsid w:val="001D5BE1"/>
    <w:rsid w:val="001D61E5"/>
    <w:rsid w:val="001D71F4"/>
    <w:rsid w:val="001D7645"/>
    <w:rsid w:val="001D765C"/>
    <w:rsid w:val="001D7F78"/>
    <w:rsid w:val="001E11C2"/>
    <w:rsid w:val="001E1E86"/>
    <w:rsid w:val="001E238E"/>
    <w:rsid w:val="001E2483"/>
    <w:rsid w:val="001E2B1E"/>
    <w:rsid w:val="001E2C0C"/>
    <w:rsid w:val="001E2CFF"/>
    <w:rsid w:val="001E2E44"/>
    <w:rsid w:val="001E2F24"/>
    <w:rsid w:val="001E30D4"/>
    <w:rsid w:val="001E34DF"/>
    <w:rsid w:val="001E52EB"/>
    <w:rsid w:val="001E58EE"/>
    <w:rsid w:val="001E5DD2"/>
    <w:rsid w:val="001E5FF8"/>
    <w:rsid w:val="001E61D2"/>
    <w:rsid w:val="001E740C"/>
    <w:rsid w:val="001F1235"/>
    <w:rsid w:val="001F1CB3"/>
    <w:rsid w:val="001F1FD3"/>
    <w:rsid w:val="001F2A7C"/>
    <w:rsid w:val="001F38B5"/>
    <w:rsid w:val="001F39B6"/>
    <w:rsid w:val="001F4081"/>
    <w:rsid w:val="001F43F5"/>
    <w:rsid w:val="001F49DB"/>
    <w:rsid w:val="001F5B46"/>
    <w:rsid w:val="001F672E"/>
    <w:rsid w:val="001F7361"/>
    <w:rsid w:val="002011B0"/>
    <w:rsid w:val="00201EB2"/>
    <w:rsid w:val="00203181"/>
    <w:rsid w:val="00203783"/>
    <w:rsid w:val="0020385F"/>
    <w:rsid w:val="002068A0"/>
    <w:rsid w:val="00206E9A"/>
    <w:rsid w:val="00207021"/>
    <w:rsid w:val="002072C6"/>
    <w:rsid w:val="0020732F"/>
    <w:rsid w:val="00207D00"/>
    <w:rsid w:val="002105C1"/>
    <w:rsid w:val="0021134E"/>
    <w:rsid w:val="002116FD"/>
    <w:rsid w:val="00213A3B"/>
    <w:rsid w:val="00213EC7"/>
    <w:rsid w:val="00213EF5"/>
    <w:rsid w:val="00215172"/>
    <w:rsid w:val="0021693C"/>
    <w:rsid w:val="00216BF5"/>
    <w:rsid w:val="00217A74"/>
    <w:rsid w:val="002239C2"/>
    <w:rsid w:val="00223B49"/>
    <w:rsid w:val="00223D5A"/>
    <w:rsid w:val="00224820"/>
    <w:rsid w:val="00224ACB"/>
    <w:rsid w:val="00224DD4"/>
    <w:rsid w:val="002278A0"/>
    <w:rsid w:val="002309CC"/>
    <w:rsid w:val="00231BA9"/>
    <w:rsid w:val="0023209F"/>
    <w:rsid w:val="00233C01"/>
    <w:rsid w:val="0023413C"/>
    <w:rsid w:val="002346F0"/>
    <w:rsid w:val="0023629D"/>
    <w:rsid w:val="00237255"/>
    <w:rsid w:val="00237E84"/>
    <w:rsid w:val="002423E9"/>
    <w:rsid w:val="002424AF"/>
    <w:rsid w:val="002439DC"/>
    <w:rsid w:val="002441D2"/>
    <w:rsid w:val="00244DC8"/>
    <w:rsid w:val="00244E0F"/>
    <w:rsid w:val="002458BA"/>
    <w:rsid w:val="00245CE9"/>
    <w:rsid w:val="0024636C"/>
    <w:rsid w:val="00246A4E"/>
    <w:rsid w:val="00247925"/>
    <w:rsid w:val="002503C1"/>
    <w:rsid w:val="00251006"/>
    <w:rsid w:val="002524D5"/>
    <w:rsid w:val="002528BB"/>
    <w:rsid w:val="00252B37"/>
    <w:rsid w:val="002537FE"/>
    <w:rsid w:val="00253B1D"/>
    <w:rsid w:val="00253C8D"/>
    <w:rsid w:val="00254B5E"/>
    <w:rsid w:val="00254DCF"/>
    <w:rsid w:val="0025534B"/>
    <w:rsid w:val="00255BB7"/>
    <w:rsid w:val="00256680"/>
    <w:rsid w:val="00257541"/>
    <w:rsid w:val="00257A39"/>
    <w:rsid w:val="00257AC4"/>
    <w:rsid w:val="00257BBE"/>
    <w:rsid w:val="0026069D"/>
    <w:rsid w:val="00261EEF"/>
    <w:rsid w:val="00262A1A"/>
    <w:rsid w:val="00262A87"/>
    <w:rsid w:val="00264D26"/>
    <w:rsid w:val="00265C28"/>
    <w:rsid w:val="00265C4F"/>
    <w:rsid w:val="00265D4A"/>
    <w:rsid w:val="00266D26"/>
    <w:rsid w:val="00266F68"/>
    <w:rsid w:val="00267642"/>
    <w:rsid w:val="00267AEA"/>
    <w:rsid w:val="002700E6"/>
    <w:rsid w:val="00270C78"/>
    <w:rsid w:val="00271EFF"/>
    <w:rsid w:val="002720E9"/>
    <w:rsid w:val="0027294B"/>
    <w:rsid w:val="00273EB4"/>
    <w:rsid w:val="002741F9"/>
    <w:rsid w:val="00274682"/>
    <w:rsid w:val="00274881"/>
    <w:rsid w:val="00275158"/>
    <w:rsid w:val="00275727"/>
    <w:rsid w:val="00275C5A"/>
    <w:rsid w:val="002772FF"/>
    <w:rsid w:val="00280311"/>
    <w:rsid w:val="00281014"/>
    <w:rsid w:val="002817AD"/>
    <w:rsid w:val="00285BCE"/>
    <w:rsid w:val="0028665D"/>
    <w:rsid w:val="00291186"/>
    <w:rsid w:val="00293D59"/>
    <w:rsid w:val="0029407D"/>
    <w:rsid w:val="002959A6"/>
    <w:rsid w:val="00296116"/>
    <w:rsid w:val="0029638A"/>
    <w:rsid w:val="0029647F"/>
    <w:rsid w:val="002969CF"/>
    <w:rsid w:val="002A14AB"/>
    <w:rsid w:val="002A2ADE"/>
    <w:rsid w:val="002A2F50"/>
    <w:rsid w:val="002A324B"/>
    <w:rsid w:val="002A3C75"/>
    <w:rsid w:val="002A3DB2"/>
    <w:rsid w:val="002A3FB9"/>
    <w:rsid w:val="002A50C1"/>
    <w:rsid w:val="002A60AA"/>
    <w:rsid w:val="002A6F0C"/>
    <w:rsid w:val="002A7943"/>
    <w:rsid w:val="002B05A1"/>
    <w:rsid w:val="002B09A4"/>
    <w:rsid w:val="002B1C1F"/>
    <w:rsid w:val="002B432F"/>
    <w:rsid w:val="002B4425"/>
    <w:rsid w:val="002B62B3"/>
    <w:rsid w:val="002B62CC"/>
    <w:rsid w:val="002B6754"/>
    <w:rsid w:val="002B6CCE"/>
    <w:rsid w:val="002B7080"/>
    <w:rsid w:val="002C2510"/>
    <w:rsid w:val="002C2775"/>
    <w:rsid w:val="002C27C1"/>
    <w:rsid w:val="002C36E3"/>
    <w:rsid w:val="002C37E2"/>
    <w:rsid w:val="002C5099"/>
    <w:rsid w:val="002C5889"/>
    <w:rsid w:val="002C6517"/>
    <w:rsid w:val="002C71CE"/>
    <w:rsid w:val="002C76C5"/>
    <w:rsid w:val="002D08F8"/>
    <w:rsid w:val="002D3610"/>
    <w:rsid w:val="002D4285"/>
    <w:rsid w:val="002D4939"/>
    <w:rsid w:val="002D4E53"/>
    <w:rsid w:val="002D5184"/>
    <w:rsid w:val="002D577C"/>
    <w:rsid w:val="002D6512"/>
    <w:rsid w:val="002D6625"/>
    <w:rsid w:val="002D7832"/>
    <w:rsid w:val="002D7EA2"/>
    <w:rsid w:val="002E060D"/>
    <w:rsid w:val="002E1071"/>
    <w:rsid w:val="002E15B9"/>
    <w:rsid w:val="002E2158"/>
    <w:rsid w:val="002E4629"/>
    <w:rsid w:val="002E4E9C"/>
    <w:rsid w:val="002E4F02"/>
    <w:rsid w:val="002E52F8"/>
    <w:rsid w:val="002E623B"/>
    <w:rsid w:val="002E663F"/>
    <w:rsid w:val="002E7722"/>
    <w:rsid w:val="002F07BA"/>
    <w:rsid w:val="002F0CCC"/>
    <w:rsid w:val="002F0DA9"/>
    <w:rsid w:val="002F1014"/>
    <w:rsid w:val="002F14FE"/>
    <w:rsid w:val="002F1E3B"/>
    <w:rsid w:val="002F4FBE"/>
    <w:rsid w:val="002F56C6"/>
    <w:rsid w:val="002F643C"/>
    <w:rsid w:val="002F71C0"/>
    <w:rsid w:val="002F74F1"/>
    <w:rsid w:val="00300A32"/>
    <w:rsid w:val="00300FA4"/>
    <w:rsid w:val="00301017"/>
    <w:rsid w:val="0030155F"/>
    <w:rsid w:val="00301A29"/>
    <w:rsid w:val="00301D42"/>
    <w:rsid w:val="00302751"/>
    <w:rsid w:val="003030B5"/>
    <w:rsid w:val="0030587B"/>
    <w:rsid w:val="003059AB"/>
    <w:rsid w:val="00306D98"/>
    <w:rsid w:val="0030786C"/>
    <w:rsid w:val="0031031A"/>
    <w:rsid w:val="00310636"/>
    <w:rsid w:val="00310981"/>
    <w:rsid w:val="003111B9"/>
    <w:rsid w:val="00311D9B"/>
    <w:rsid w:val="003124D9"/>
    <w:rsid w:val="00312594"/>
    <w:rsid w:val="00313157"/>
    <w:rsid w:val="00314517"/>
    <w:rsid w:val="00315498"/>
    <w:rsid w:val="00315FB7"/>
    <w:rsid w:val="00316474"/>
    <w:rsid w:val="00317734"/>
    <w:rsid w:val="00320F6F"/>
    <w:rsid w:val="00322107"/>
    <w:rsid w:val="00322355"/>
    <w:rsid w:val="0032271C"/>
    <w:rsid w:val="00322846"/>
    <w:rsid w:val="00323F47"/>
    <w:rsid w:val="00324BE0"/>
    <w:rsid w:val="00326686"/>
    <w:rsid w:val="00326DA7"/>
    <w:rsid w:val="003270E4"/>
    <w:rsid w:val="00330DAA"/>
    <w:rsid w:val="00330F5C"/>
    <w:rsid w:val="00331C4E"/>
    <w:rsid w:val="003365BD"/>
    <w:rsid w:val="003366C9"/>
    <w:rsid w:val="003371B0"/>
    <w:rsid w:val="00340DF1"/>
    <w:rsid w:val="00342764"/>
    <w:rsid w:val="00343553"/>
    <w:rsid w:val="003437C4"/>
    <w:rsid w:val="00343BC5"/>
    <w:rsid w:val="003473C1"/>
    <w:rsid w:val="00350186"/>
    <w:rsid w:val="003517F9"/>
    <w:rsid w:val="00351BA9"/>
    <w:rsid w:val="00351EEF"/>
    <w:rsid w:val="00352D66"/>
    <w:rsid w:val="00352F18"/>
    <w:rsid w:val="00353311"/>
    <w:rsid w:val="0035418D"/>
    <w:rsid w:val="003543EE"/>
    <w:rsid w:val="00354F64"/>
    <w:rsid w:val="0035620E"/>
    <w:rsid w:val="00356AFB"/>
    <w:rsid w:val="003575BE"/>
    <w:rsid w:val="00360345"/>
    <w:rsid w:val="00360D6F"/>
    <w:rsid w:val="00360DD5"/>
    <w:rsid w:val="00361A05"/>
    <w:rsid w:val="003624C4"/>
    <w:rsid w:val="00363B00"/>
    <w:rsid w:val="00363F4F"/>
    <w:rsid w:val="00364B95"/>
    <w:rsid w:val="003654AC"/>
    <w:rsid w:val="0037041E"/>
    <w:rsid w:val="003710CF"/>
    <w:rsid w:val="00371EF0"/>
    <w:rsid w:val="00372260"/>
    <w:rsid w:val="00373432"/>
    <w:rsid w:val="0037358A"/>
    <w:rsid w:val="00373D57"/>
    <w:rsid w:val="003746EE"/>
    <w:rsid w:val="003750F6"/>
    <w:rsid w:val="003760FC"/>
    <w:rsid w:val="00376E58"/>
    <w:rsid w:val="0037746E"/>
    <w:rsid w:val="00377F52"/>
    <w:rsid w:val="00381246"/>
    <w:rsid w:val="003819F6"/>
    <w:rsid w:val="0038365C"/>
    <w:rsid w:val="0038369B"/>
    <w:rsid w:val="00383B78"/>
    <w:rsid w:val="00384A6C"/>
    <w:rsid w:val="00385637"/>
    <w:rsid w:val="00385A9D"/>
    <w:rsid w:val="00387121"/>
    <w:rsid w:val="003876DA"/>
    <w:rsid w:val="00387CF6"/>
    <w:rsid w:val="003902B1"/>
    <w:rsid w:val="0039179C"/>
    <w:rsid w:val="00393CC9"/>
    <w:rsid w:val="00394121"/>
    <w:rsid w:val="003947FB"/>
    <w:rsid w:val="00396896"/>
    <w:rsid w:val="00396FD0"/>
    <w:rsid w:val="0039770C"/>
    <w:rsid w:val="003A1A7A"/>
    <w:rsid w:val="003A1AAD"/>
    <w:rsid w:val="003A2392"/>
    <w:rsid w:val="003A2831"/>
    <w:rsid w:val="003A3284"/>
    <w:rsid w:val="003A3CB6"/>
    <w:rsid w:val="003A3ED1"/>
    <w:rsid w:val="003A44DB"/>
    <w:rsid w:val="003A474A"/>
    <w:rsid w:val="003A4C14"/>
    <w:rsid w:val="003A72E9"/>
    <w:rsid w:val="003B0AA5"/>
    <w:rsid w:val="003B2795"/>
    <w:rsid w:val="003B2ED8"/>
    <w:rsid w:val="003B337E"/>
    <w:rsid w:val="003B3971"/>
    <w:rsid w:val="003B4604"/>
    <w:rsid w:val="003B55D1"/>
    <w:rsid w:val="003B5B61"/>
    <w:rsid w:val="003B6034"/>
    <w:rsid w:val="003B7172"/>
    <w:rsid w:val="003B7A8C"/>
    <w:rsid w:val="003C1352"/>
    <w:rsid w:val="003C1654"/>
    <w:rsid w:val="003C3E38"/>
    <w:rsid w:val="003C450D"/>
    <w:rsid w:val="003C5542"/>
    <w:rsid w:val="003C7C15"/>
    <w:rsid w:val="003C7D19"/>
    <w:rsid w:val="003C7D2F"/>
    <w:rsid w:val="003D011B"/>
    <w:rsid w:val="003D0C5A"/>
    <w:rsid w:val="003D1828"/>
    <w:rsid w:val="003D1DE4"/>
    <w:rsid w:val="003D1E9A"/>
    <w:rsid w:val="003D2422"/>
    <w:rsid w:val="003D2C52"/>
    <w:rsid w:val="003D39A1"/>
    <w:rsid w:val="003D3FBF"/>
    <w:rsid w:val="003D45C0"/>
    <w:rsid w:val="003D4A30"/>
    <w:rsid w:val="003D6347"/>
    <w:rsid w:val="003D725B"/>
    <w:rsid w:val="003D7452"/>
    <w:rsid w:val="003D79BB"/>
    <w:rsid w:val="003D7C98"/>
    <w:rsid w:val="003D7D9D"/>
    <w:rsid w:val="003E0543"/>
    <w:rsid w:val="003E0791"/>
    <w:rsid w:val="003E5603"/>
    <w:rsid w:val="003E5628"/>
    <w:rsid w:val="003E749E"/>
    <w:rsid w:val="003F37EC"/>
    <w:rsid w:val="003F3FB2"/>
    <w:rsid w:val="003F4156"/>
    <w:rsid w:val="003F4615"/>
    <w:rsid w:val="003F4851"/>
    <w:rsid w:val="003F4ACF"/>
    <w:rsid w:val="003F4D23"/>
    <w:rsid w:val="003F5ADF"/>
    <w:rsid w:val="003F691B"/>
    <w:rsid w:val="003F7061"/>
    <w:rsid w:val="003F7D9C"/>
    <w:rsid w:val="00400B29"/>
    <w:rsid w:val="00400FEA"/>
    <w:rsid w:val="00401D81"/>
    <w:rsid w:val="00402812"/>
    <w:rsid w:val="0040504B"/>
    <w:rsid w:val="00405509"/>
    <w:rsid w:val="004059F4"/>
    <w:rsid w:val="00407FE5"/>
    <w:rsid w:val="00407FFB"/>
    <w:rsid w:val="004101B0"/>
    <w:rsid w:val="00410326"/>
    <w:rsid w:val="00410708"/>
    <w:rsid w:val="00410C68"/>
    <w:rsid w:val="00410EC7"/>
    <w:rsid w:val="00411B39"/>
    <w:rsid w:val="004127A7"/>
    <w:rsid w:val="004127C6"/>
    <w:rsid w:val="00413A1E"/>
    <w:rsid w:val="00413ABA"/>
    <w:rsid w:val="00414476"/>
    <w:rsid w:val="00414672"/>
    <w:rsid w:val="00414C2E"/>
    <w:rsid w:val="004151CF"/>
    <w:rsid w:val="004158F0"/>
    <w:rsid w:val="00416364"/>
    <w:rsid w:val="0041726C"/>
    <w:rsid w:val="0042047F"/>
    <w:rsid w:val="00420AA6"/>
    <w:rsid w:val="00420B9F"/>
    <w:rsid w:val="0042192C"/>
    <w:rsid w:val="00422260"/>
    <w:rsid w:val="0042367E"/>
    <w:rsid w:val="0042413F"/>
    <w:rsid w:val="00426598"/>
    <w:rsid w:val="00426BBB"/>
    <w:rsid w:val="00427C7E"/>
    <w:rsid w:val="00430684"/>
    <w:rsid w:val="004319F8"/>
    <w:rsid w:val="00431E55"/>
    <w:rsid w:val="004321F6"/>
    <w:rsid w:val="00433044"/>
    <w:rsid w:val="00434088"/>
    <w:rsid w:val="004347B2"/>
    <w:rsid w:val="00434CFD"/>
    <w:rsid w:val="00434F5C"/>
    <w:rsid w:val="004362FA"/>
    <w:rsid w:val="004375B9"/>
    <w:rsid w:val="00440527"/>
    <w:rsid w:val="00441780"/>
    <w:rsid w:val="004428D0"/>
    <w:rsid w:val="00443276"/>
    <w:rsid w:val="00444185"/>
    <w:rsid w:val="004443A7"/>
    <w:rsid w:val="0044442C"/>
    <w:rsid w:val="00444632"/>
    <w:rsid w:val="004448DC"/>
    <w:rsid w:val="00445941"/>
    <w:rsid w:val="004464EB"/>
    <w:rsid w:val="00447D26"/>
    <w:rsid w:val="00447DFC"/>
    <w:rsid w:val="00450AEA"/>
    <w:rsid w:val="00455D45"/>
    <w:rsid w:val="00461ECB"/>
    <w:rsid w:val="00462B4F"/>
    <w:rsid w:val="004643EA"/>
    <w:rsid w:val="00464595"/>
    <w:rsid w:val="004658B5"/>
    <w:rsid w:val="00471EA5"/>
    <w:rsid w:val="0047218A"/>
    <w:rsid w:val="00472A79"/>
    <w:rsid w:val="00473F19"/>
    <w:rsid w:val="00474A32"/>
    <w:rsid w:val="00475B6E"/>
    <w:rsid w:val="00475E22"/>
    <w:rsid w:val="0047650B"/>
    <w:rsid w:val="004774A5"/>
    <w:rsid w:val="0048088E"/>
    <w:rsid w:val="00480E81"/>
    <w:rsid w:val="00480E99"/>
    <w:rsid w:val="00480F2B"/>
    <w:rsid w:val="00482720"/>
    <w:rsid w:val="00482936"/>
    <w:rsid w:val="004835E7"/>
    <w:rsid w:val="00484DE4"/>
    <w:rsid w:val="004859E1"/>
    <w:rsid w:val="004865FB"/>
    <w:rsid w:val="004867E2"/>
    <w:rsid w:val="0048708E"/>
    <w:rsid w:val="00490B17"/>
    <w:rsid w:val="00491B3A"/>
    <w:rsid w:val="00492CFD"/>
    <w:rsid w:val="00494207"/>
    <w:rsid w:val="00494DD5"/>
    <w:rsid w:val="00495A0F"/>
    <w:rsid w:val="004962D2"/>
    <w:rsid w:val="00496625"/>
    <w:rsid w:val="0049737E"/>
    <w:rsid w:val="004A0DA1"/>
    <w:rsid w:val="004A104D"/>
    <w:rsid w:val="004A13D6"/>
    <w:rsid w:val="004A20C9"/>
    <w:rsid w:val="004A52E9"/>
    <w:rsid w:val="004A6040"/>
    <w:rsid w:val="004A6597"/>
    <w:rsid w:val="004A7848"/>
    <w:rsid w:val="004A793B"/>
    <w:rsid w:val="004B1961"/>
    <w:rsid w:val="004B1CB4"/>
    <w:rsid w:val="004B2F18"/>
    <w:rsid w:val="004B3DDB"/>
    <w:rsid w:val="004B44FD"/>
    <w:rsid w:val="004B5CFC"/>
    <w:rsid w:val="004B60B0"/>
    <w:rsid w:val="004B6F79"/>
    <w:rsid w:val="004B774D"/>
    <w:rsid w:val="004C2AC2"/>
    <w:rsid w:val="004C4AED"/>
    <w:rsid w:val="004C572D"/>
    <w:rsid w:val="004C705C"/>
    <w:rsid w:val="004C742F"/>
    <w:rsid w:val="004C7B1B"/>
    <w:rsid w:val="004D02C4"/>
    <w:rsid w:val="004D2C2D"/>
    <w:rsid w:val="004D444B"/>
    <w:rsid w:val="004D5511"/>
    <w:rsid w:val="004D69B5"/>
    <w:rsid w:val="004D7227"/>
    <w:rsid w:val="004D7B5E"/>
    <w:rsid w:val="004D7B9A"/>
    <w:rsid w:val="004E0E7F"/>
    <w:rsid w:val="004E0EB8"/>
    <w:rsid w:val="004E18D7"/>
    <w:rsid w:val="004E18E9"/>
    <w:rsid w:val="004E28BC"/>
    <w:rsid w:val="004E2ADC"/>
    <w:rsid w:val="004E30CD"/>
    <w:rsid w:val="004E334B"/>
    <w:rsid w:val="004E350F"/>
    <w:rsid w:val="004E3597"/>
    <w:rsid w:val="004E39A9"/>
    <w:rsid w:val="004E3CC0"/>
    <w:rsid w:val="004E43B2"/>
    <w:rsid w:val="004E64DA"/>
    <w:rsid w:val="004E79D8"/>
    <w:rsid w:val="004F0A70"/>
    <w:rsid w:val="004F1D02"/>
    <w:rsid w:val="004F2679"/>
    <w:rsid w:val="004F2F21"/>
    <w:rsid w:val="004F3D0D"/>
    <w:rsid w:val="004F3DE5"/>
    <w:rsid w:val="004F4752"/>
    <w:rsid w:val="004F50FC"/>
    <w:rsid w:val="004F6913"/>
    <w:rsid w:val="004F7865"/>
    <w:rsid w:val="0050135E"/>
    <w:rsid w:val="0050174E"/>
    <w:rsid w:val="00501854"/>
    <w:rsid w:val="0050219B"/>
    <w:rsid w:val="005027E2"/>
    <w:rsid w:val="00503F17"/>
    <w:rsid w:val="00503F3A"/>
    <w:rsid w:val="00506581"/>
    <w:rsid w:val="00506928"/>
    <w:rsid w:val="005077EF"/>
    <w:rsid w:val="00511115"/>
    <w:rsid w:val="005119B0"/>
    <w:rsid w:val="00511AD5"/>
    <w:rsid w:val="00511AE1"/>
    <w:rsid w:val="00511DC7"/>
    <w:rsid w:val="00512196"/>
    <w:rsid w:val="005142C5"/>
    <w:rsid w:val="005149D2"/>
    <w:rsid w:val="00514FB7"/>
    <w:rsid w:val="0051501B"/>
    <w:rsid w:val="005152B5"/>
    <w:rsid w:val="00515886"/>
    <w:rsid w:val="00515C2A"/>
    <w:rsid w:val="005170C9"/>
    <w:rsid w:val="0051745D"/>
    <w:rsid w:val="00520707"/>
    <w:rsid w:val="0052123C"/>
    <w:rsid w:val="00521319"/>
    <w:rsid w:val="005214C5"/>
    <w:rsid w:val="00522BC8"/>
    <w:rsid w:val="00523130"/>
    <w:rsid w:val="00523A10"/>
    <w:rsid w:val="00523C28"/>
    <w:rsid w:val="005243E7"/>
    <w:rsid w:val="00524A6B"/>
    <w:rsid w:val="0052520A"/>
    <w:rsid w:val="00530823"/>
    <w:rsid w:val="0053097B"/>
    <w:rsid w:val="0053176B"/>
    <w:rsid w:val="00531C16"/>
    <w:rsid w:val="00532DDE"/>
    <w:rsid w:val="005341B3"/>
    <w:rsid w:val="00534F23"/>
    <w:rsid w:val="0053541E"/>
    <w:rsid w:val="00536F42"/>
    <w:rsid w:val="00537182"/>
    <w:rsid w:val="00541EDD"/>
    <w:rsid w:val="00542743"/>
    <w:rsid w:val="00542AF0"/>
    <w:rsid w:val="00542C2D"/>
    <w:rsid w:val="005478BD"/>
    <w:rsid w:val="005479E3"/>
    <w:rsid w:val="00547E3C"/>
    <w:rsid w:val="00551985"/>
    <w:rsid w:val="00552BD3"/>
    <w:rsid w:val="005532A0"/>
    <w:rsid w:val="00553CA1"/>
    <w:rsid w:val="00555109"/>
    <w:rsid w:val="00555DD0"/>
    <w:rsid w:val="00555DFE"/>
    <w:rsid w:val="00556A56"/>
    <w:rsid w:val="00556B35"/>
    <w:rsid w:val="0055741A"/>
    <w:rsid w:val="00560152"/>
    <w:rsid w:val="0056102E"/>
    <w:rsid w:val="00561106"/>
    <w:rsid w:val="005611B7"/>
    <w:rsid w:val="005618D4"/>
    <w:rsid w:val="00561A80"/>
    <w:rsid w:val="005640FC"/>
    <w:rsid w:val="00564867"/>
    <w:rsid w:val="00564A09"/>
    <w:rsid w:val="00565C79"/>
    <w:rsid w:val="00565DF0"/>
    <w:rsid w:val="00566903"/>
    <w:rsid w:val="0056696F"/>
    <w:rsid w:val="00566A38"/>
    <w:rsid w:val="00570098"/>
    <w:rsid w:val="005704F7"/>
    <w:rsid w:val="00570B58"/>
    <w:rsid w:val="00571B4A"/>
    <w:rsid w:val="00572269"/>
    <w:rsid w:val="0057244A"/>
    <w:rsid w:val="00572F26"/>
    <w:rsid w:val="005732C4"/>
    <w:rsid w:val="0057335F"/>
    <w:rsid w:val="00573F6E"/>
    <w:rsid w:val="00574012"/>
    <w:rsid w:val="00574657"/>
    <w:rsid w:val="005750C5"/>
    <w:rsid w:val="005751AB"/>
    <w:rsid w:val="005752DE"/>
    <w:rsid w:val="00575D60"/>
    <w:rsid w:val="00575D8D"/>
    <w:rsid w:val="00576972"/>
    <w:rsid w:val="00577248"/>
    <w:rsid w:val="005833CB"/>
    <w:rsid w:val="00583699"/>
    <w:rsid w:val="005842B3"/>
    <w:rsid w:val="00584C62"/>
    <w:rsid w:val="00585CDD"/>
    <w:rsid w:val="00587058"/>
    <w:rsid w:val="005909CF"/>
    <w:rsid w:val="00590DE7"/>
    <w:rsid w:val="00591957"/>
    <w:rsid w:val="00592519"/>
    <w:rsid w:val="00594312"/>
    <w:rsid w:val="00597BF9"/>
    <w:rsid w:val="00597DA6"/>
    <w:rsid w:val="005A0C11"/>
    <w:rsid w:val="005A2607"/>
    <w:rsid w:val="005A309A"/>
    <w:rsid w:val="005A373D"/>
    <w:rsid w:val="005B0B58"/>
    <w:rsid w:val="005B0B78"/>
    <w:rsid w:val="005B115F"/>
    <w:rsid w:val="005B1DC5"/>
    <w:rsid w:val="005B3237"/>
    <w:rsid w:val="005B41EB"/>
    <w:rsid w:val="005B4E53"/>
    <w:rsid w:val="005B5622"/>
    <w:rsid w:val="005B5857"/>
    <w:rsid w:val="005B59DF"/>
    <w:rsid w:val="005C17D8"/>
    <w:rsid w:val="005C19C4"/>
    <w:rsid w:val="005C1B83"/>
    <w:rsid w:val="005C25FF"/>
    <w:rsid w:val="005C2D55"/>
    <w:rsid w:val="005C346B"/>
    <w:rsid w:val="005C3560"/>
    <w:rsid w:val="005C413A"/>
    <w:rsid w:val="005C5ABC"/>
    <w:rsid w:val="005C6540"/>
    <w:rsid w:val="005C712F"/>
    <w:rsid w:val="005D044D"/>
    <w:rsid w:val="005D0ABD"/>
    <w:rsid w:val="005D18AD"/>
    <w:rsid w:val="005D26B4"/>
    <w:rsid w:val="005D2BC1"/>
    <w:rsid w:val="005D3073"/>
    <w:rsid w:val="005D6D8D"/>
    <w:rsid w:val="005D6F8A"/>
    <w:rsid w:val="005D71BA"/>
    <w:rsid w:val="005D7D39"/>
    <w:rsid w:val="005E1995"/>
    <w:rsid w:val="005E23FD"/>
    <w:rsid w:val="005E3354"/>
    <w:rsid w:val="005E3F83"/>
    <w:rsid w:val="005E58CC"/>
    <w:rsid w:val="005E6CBC"/>
    <w:rsid w:val="005E72FF"/>
    <w:rsid w:val="005E73C0"/>
    <w:rsid w:val="005F07ED"/>
    <w:rsid w:val="005F2706"/>
    <w:rsid w:val="005F6A8F"/>
    <w:rsid w:val="005F6BB7"/>
    <w:rsid w:val="005F741A"/>
    <w:rsid w:val="005F7588"/>
    <w:rsid w:val="0060066D"/>
    <w:rsid w:val="00602FF7"/>
    <w:rsid w:val="00603DB9"/>
    <w:rsid w:val="00605414"/>
    <w:rsid w:val="00605D58"/>
    <w:rsid w:val="00605DE5"/>
    <w:rsid w:val="00605E86"/>
    <w:rsid w:val="00606083"/>
    <w:rsid w:val="006062AB"/>
    <w:rsid w:val="006063FE"/>
    <w:rsid w:val="00606FBA"/>
    <w:rsid w:val="00607669"/>
    <w:rsid w:val="006076F4"/>
    <w:rsid w:val="00607AFD"/>
    <w:rsid w:val="006101A6"/>
    <w:rsid w:val="00610ED2"/>
    <w:rsid w:val="00611941"/>
    <w:rsid w:val="00611B12"/>
    <w:rsid w:val="00612ADD"/>
    <w:rsid w:val="00612F97"/>
    <w:rsid w:val="0061329E"/>
    <w:rsid w:val="0061345D"/>
    <w:rsid w:val="00613DDF"/>
    <w:rsid w:val="0061549B"/>
    <w:rsid w:val="00615DBA"/>
    <w:rsid w:val="00615E0B"/>
    <w:rsid w:val="00616802"/>
    <w:rsid w:val="00617E12"/>
    <w:rsid w:val="00620C25"/>
    <w:rsid w:val="006211F7"/>
    <w:rsid w:val="00621477"/>
    <w:rsid w:val="00621ADA"/>
    <w:rsid w:val="00621BCB"/>
    <w:rsid w:val="0062302F"/>
    <w:rsid w:val="00623074"/>
    <w:rsid w:val="00623F24"/>
    <w:rsid w:val="00623F7B"/>
    <w:rsid w:val="0062431F"/>
    <w:rsid w:val="006249C7"/>
    <w:rsid w:val="00624BD4"/>
    <w:rsid w:val="0062689E"/>
    <w:rsid w:val="006277A6"/>
    <w:rsid w:val="00627C5A"/>
    <w:rsid w:val="0063158F"/>
    <w:rsid w:val="00631D6B"/>
    <w:rsid w:val="00632183"/>
    <w:rsid w:val="00632BA7"/>
    <w:rsid w:val="006330A1"/>
    <w:rsid w:val="0063479F"/>
    <w:rsid w:val="00634DE7"/>
    <w:rsid w:val="006353F0"/>
    <w:rsid w:val="006357B5"/>
    <w:rsid w:val="00635A9C"/>
    <w:rsid w:val="006364A1"/>
    <w:rsid w:val="0063678E"/>
    <w:rsid w:val="006369FB"/>
    <w:rsid w:val="00637BFD"/>
    <w:rsid w:val="00637C5C"/>
    <w:rsid w:val="00640308"/>
    <w:rsid w:val="00641C4E"/>
    <w:rsid w:val="00641FB3"/>
    <w:rsid w:val="00642B62"/>
    <w:rsid w:val="00644204"/>
    <w:rsid w:val="0064434C"/>
    <w:rsid w:val="00645136"/>
    <w:rsid w:val="006468C2"/>
    <w:rsid w:val="00646F32"/>
    <w:rsid w:val="006471CC"/>
    <w:rsid w:val="006472FE"/>
    <w:rsid w:val="00647451"/>
    <w:rsid w:val="00647A29"/>
    <w:rsid w:val="0065079F"/>
    <w:rsid w:val="006513E5"/>
    <w:rsid w:val="00651AA2"/>
    <w:rsid w:val="006528BD"/>
    <w:rsid w:val="00652A28"/>
    <w:rsid w:val="0065379F"/>
    <w:rsid w:val="006541ED"/>
    <w:rsid w:val="0065420D"/>
    <w:rsid w:val="00654609"/>
    <w:rsid w:val="00655553"/>
    <w:rsid w:val="006555C6"/>
    <w:rsid w:val="00656188"/>
    <w:rsid w:val="006562D6"/>
    <w:rsid w:val="0065715A"/>
    <w:rsid w:val="006610F1"/>
    <w:rsid w:val="00661C6B"/>
    <w:rsid w:val="00662D3E"/>
    <w:rsid w:val="00665476"/>
    <w:rsid w:val="00667BE3"/>
    <w:rsid w:val="00667BEF"/>
    <w:rsid w:val="00667D6B"/>
    <w:rsid w:val="00670A60"/>
    <w:rsid w:val="00670E56"/>
    <w:rsid w:val="00671004"/>
    <w:rsid w:val="00671849"/>
    <w:rsid w:val="00672646"/>
    <w:rsid w:val="006736CC"/>
    <w:rsid w:val="00673E7C"/>
    <w:rsid w:val="00674E42"/>
    <w:rsid w:val="00676563"/>
    <w:rsid w:val="006805FB"/>
    <w:rsid w:val="0068134F"/>
    <w:rsid w:val="006813F8"/>
    <w:rsid w:val="00682112"/>
    <w:rsid w:val="00682BA6"/>
    <w:rsid w:val="0068317C"/>
    <w:rsid w:val="0068407C"/>
    <w:rsid w:val="0068609D"/>
    <w:rsid w:val="00686856"/>
    <w:rsid w:val="00686957"/>
    <w:rsid w:val="00687237"/>
    <w:rsid w:val="006872BA"/>
    <w:rsid w:val="006872FE"/>
    <w:rsid w:val="00690795"/>
    <w:rsid w:val="0069087F"/>
    <w:rsid w:val="00691648"/>
    <w:rsid w:val="006917D7"/>
    <w:rsid w:val="00692495"/>
    <w:rsid w:val="0069434C"/>
    <w:rsid w:val="00694697"/>
    <w:rsid w:val="00694F44"/>
    <w:rsid w:val="00694F4A"/>
    <w:rsid w:val="00696EF9"/>
    <w:rsid w:val="00696F51"/>
    <w:rsid w:val="00697434"/>
    <w:rsid w:val="006979A5"/>
    <w:rsid w:val="00697B0C"/>
    <w:rsid w:val="006A016F"/>
    <w:rsid w:val="006A03A3"/>
    <w:rsid w:val="006A0652"/>
    <w:rsid w:val="006A0DF7"/>
    <w:rsid w:val="006A27DE"/>
    <w:rsid w:val="006A3167"/>
    <w:rsid w:val="006A4321"/>
    <w:rsid w:val="006A43D9"/>
    <w:rsid w:val="006A516A"/>
    <w:rsid w:val="006A6B99"/>
    <w:rsid w:val="006A7E5F"/>
    <w:rsid w:val="006B261B"/>
    <w:rsid w:val="006B2C90"/>
    <w:rsid w:val="006B35E6"/>
    <w:rsid w:val="006B465A"/>
    <w:rsid w:val="006B4A28"/>
    <w:rsid w:val="006B4F7B"/>
    <w:rsid w:val="006B6DD0"/>
    <w:rsid w:val="006C0399"/>
    <w:rsid w:val="006C2A8E"/>
    <w:rsid w:val="006C3255"/>
    <w:rsid w:val="006C36E3"/>
    <w:rsid w:val="006C3F26"/>
    <w:rsid w:val="006C4A05"/>
    <w:rsid w:val="006C7589"/>
    <w:rsid w:val="006D0431"/>
    <w:rsid w:val="006D0D17"/>
    <w:rsid w:val="006D3C7D"/>
    <w:rsid w:val="006D4659"/>
    <w:rsid w:val="006D55A1"/>
    <w:rsid w:val="006D5D5F"/>
    <w:rsid w:val="006D68FB"/>
    <w:rsid w:val="006E03AE"/>
    <w:rsid w:val="006E0B8C"/>
    <w:rsid w:val="006E2868"/>
    <w:rsid w:val="006E2AA8"/>
    <w:rsid w:val="006E367B"/>
    <w:rsid w:val="006E3C41"/>
    <w:rsid w:val="006E4209"/>
    <w:rsid w:val="006E5547"/>
    <w:rsid w:val="006E559D"/>
    <w:rsid w:val="006E5ED7"/>
    <w:rsid w:val="006E6A52"/>
    <w:rsid w:val="006F19A8"/>
    <w:rsid w:val="006F1BE6"/>
    <w:rsid w:val="006F306C"/>
    <w:rsid w:val="006F5737"/>
    <w:rsid w:val="006F63A5"/>
    <w:rsid w:val="006F683E"/>
    <w:rsid w:val="006F6F52"/>
    <w:rsid w:val="0070142B"/>
    <w:rsid w:val="0070276E"/>
    <w:rsid w:val="00702F8F"/>
    <w:rsid w:val="0070338D"/>
    <w:rsid w:val="007042B5"/>
    <w:rsid w:val="00705462"/>
    <w:rsid w:val="00705B5C"/>
    <w:rsid w:val="007079FC"/>
    <w:rsid w:val="00710F02"/>
    <w:rsid w:val="007118EF"/>
    <w:rsid w:val="00711A36"/>
    <w:rsid w:val="007125D3"/>
    <w:rsid w:val="00712FD4"/>
    <w:rsid w:val="00714C26"/>
    <w:rsid w:val="0071529C"/>
    <w:rsid w:val="007170DA"/>
    <w:rsid w:val="007172AD"/>
    <w:rsid w:val="007174A0"/>
    <w:rsid w:val="00717546"/>
    <w:rsid w:val="007207DE"/>
    <w:rsid w:val="00720801"/>
    <w:rsid w:val="00720E40"/>
    <w:rsid w:val="00721EF5"/>
    <w:rsid w:val="00722358"/>
    <w:rsid w:val="00722B1B"/>
    <w:rsid w:val="00723FCC"/>
    <w:rsid w:val="0072416F"/>
    <w:rsid w:val="00727C94"/>
    <w:rsid w:val="00731B0A"/>
    <w:rsid w:val="00731EAE"/>
    <w:rsid w:val="00733073"/>
    <w:rsid w:val="00735033"/>
    <w:rsid w:val="00735328"/>
    <w:rsid w:val="0073682B"/>
    <w:rsid w:val="0073685B"/>
    <w:rsid w:val="00736D9F"/>
    <w:rsid w:val="00737184"/>
    <w:rsid w:val="00741D3C"/>
    <w:rsid w:val="00743670"/>
    <w:rsid w:val="007449BF"/>
    <w:rsid w:val="00744A2C"/>
    <w:rsid w:val="00745263"/>
    <w:rsid w:val="007456D7"/>
    <w:rsid w:val="007463FE"/>
    <w:rsid w:val="00746BC0"/>
    <w:rsid w:val="00747BA0"/>
    <w:rsid w:val="007510B4"/>
    <w:rsid w:val="007516F8"/>
    <w:rsid w:val="00752142"/>
    <w:rsid w:val="007523F9"/>
    <w:rsid w:val="00752766"/>
    <w:rsid w:val="00753136"/>
    <w:rsid w:val="0075337D"/>
    <w:rsid w:val="0075357E"/>
    <w:rsid w:val="00753B29"/>
    <w:rsid w:val="00753BB8"/>
    <w:rsid w:val="00753C05"/>
    <w:rsid w:val="00756C06"/>
    <w:rsid w:val="007573E8"/>
    <w:rsid w:val="0075775A"/>
    <w:rsid w:val="00760487"/>
    <w:rsid w:val="00760C4E"/>
    <w:rsid w:val="00760F9E"/>
    <w:rsid w:val="007616E6"/>
    <w:rsid w:val="00761CF4"/>
    <w:rsid w:val="007627BE"/>
    <w:rsid w:val="00763BCE"/>
    <w:rsid w:val="00764F03"/>
    <w:rsid w:val="00765B1A"/>
    <w:rsid w:val="00765DC1"/>
    <w:rsid w:val="00765FBF"/>
    <w:rsid w:val="00766144"/>
    <w:rsid w:val="007667CD"/>
    <w:rsid w:val="007705D7"/>
    <w:rsid w:val="007706D7"/>
    <w:rsid w:val="00773513"/>
    <w:rsid w:val="00774655"/>
    <w:rsid w:val="00775118"/>
    <w:rsid w:val="00777335"/>
    <w:rsid w:val="00780B62"/>
    <w:rsid w:val="00781536"/>
    <w:rsid w:val="00782214"/>
    <w:rsid w:val="007843F2"/>
    <w:rsid w:val="00784416"/>
    <w:rsid w:val="007846F4"/>
    <w:rsid w:val="007846FA"/>
    <w:rsid w:val="00785A9F"/>
    <w:rsid w:val="00791659"/>
    <w:rsid w:val="00791C72"/>
    <w:rsid w:val="007925DF"/>
    <w:rsid w:val="00792B76"/>
    <w:rsid w:val="00796049"/>
    <w:rsid w:val="00797377"/>
    <w:rsid w:val="007A08AA"/>
    <w:rsid w:val="007A0A12"/>
    <w:rsid w:val="007A132D"/>
    <w:rsid w:val="007A1345"/>
    <w:rsid w:val="007A2158"/>
    <w:rsid w:val="007A247B"/>
    <w:rsid w:val="007A2DDB"/>
    <w:rsid w:val="007A4AA6"/>
    <w:rsid w:val="007A70BA"/>
    <w:rsid w:val="007A744D"/>
    <w:rsid w:val="007B029D"/>
    <w:rsid w:val="007B0D68"/>
    <w:rsid w:val="007B251D"/>
    <w:rsid w:val="007B3533"/>
    <w:rsid w:val="007B353B"/>
    <w:rsid w:val="007B4F58"/>
    <w:rsid w:val="007B528D"/>
    <w:rsid w:val="007B63CA"/>
    <w:rsid w:val="007B6430"/>
    <w:rsid w:val="007B77D1"/>
    <w:rsid w:val="007C07C7"/>
    <w:rsid w:val="007C1CD9"/>
    <w:rsid w:val="007C2D08"/>
    <w:rsid w:val="007C30B8"/>
    <w:rsid w:val="007C32EF"/>
    <w:rsid w:val="007C361D"/>
    <w:rsid w:val="007C4B84"/>
    <w:rsid w:val="007C5F59"/>
    <w:rsid w:val="007C70FF"/>
    <w:rsid w:val="007C7175"/>
    <w:rsid w:val="007C7C25"/>
    <w:rsid w:val="007D004F"/>
    <w:rsid w:val="007D0132"/>
    <w:rsid w:val="007D035F"/>
    <w:rsid w:val="007D06B2"/>
    <w:rsid w:val="007D0B38"/>
    <w:rsid w:val="007D234F"/>
    <w:rsid w:val="007D28A7"/>
    <w:rsid w:val="007D5440"/>
    <w:rsid w:val="007D55DD"/>
    <w:rsid w:val="007D69EB"/>
    <w:rsid w:val="007E03BC"/>
    <w:rsid w:val="007E128F"/>
    <w:rsid w:val="007E1354"/>
    <w:rsid w:val="007E17CF"/>
    <w:rsid w:val="007E1D99"/>
    <w:rsid w:val="007E4969"/>
    <w:rsid w:val="007E6AC7"/>
    <w:rsid w:val="007F1017"/>
    <w:rsid w:val="007F35AD"/>
    <w:rsid w:val="007F3D53"/>
    <w:rsid w:val="007F4A3F"/>
    <w:rsid w:val="007F4A61"/>
    <w:rsid w:val="007F5255"/>
    <w:rsid w:val="007F56CC"/>
    <w:rsid w:val="007F5BAD"/>
    <w:rsid w:val="007F5BBF"/>
    <w:rsid w:val="007F61C2"/>
    <w:rsid w:val="007F62D7"/>
    <w:rsid w:val="007F6D45"/>
    <w:rsid w:val="007F72FE"/>
    <w:rsid w:val="00800C35"/>
    <w:rsid w:val="00801519"/>
    <w:rsid w:val="00801B41"/>
    <w:rsid w:val="00802CEA"/>
    <w:rsid w:val="00805142"/>
    <w:rsid w:val="00805FCE"/>
    <w:rsid w:val="0080698F"/>
    <w:rsid w:val="00806C27"/>
    <w:rsid w:val="00807A8B"/>
    <w:rsid w:val="008103EE"/>
    <w:rsid w:val="0081047D"/>
    <w:rsid w:val="00810598"/>
    <w:rsid w:val="008105F5"/>
    <w:rsid w:val="00811383"/>
    <w:rsid w:val="00812149"/>
    <w:rsid w:val="00812CAC"/>
    <w:rsid w:val="00814CD2"/>
    <w:rsid w:val="00816122"/>
    <w:rsid w:val="00816361"/>
    <w:rsid w:val="008166EF"/>
    <w:rsid w:val="00816FEF"/>
    <w:rsid w:val="0081741D"/>
    <w:rsid w:val="00820A8C"/>
    <w:rsid w:val="00820D81"/>
    <w:rsid w:val="008215FB"/>
    <w:rsid w:val="008218DC"/>
    <w:rsid w:val="00821A58"/>
    <w:rsid w:val="008220CC"/>
    <w:rsid w:val="00823174"/>
    <w:rsid w:val="00823E12"/>
    <w:rsid w:val="00824AE4"/>
    <w:rsid w:val="00824C3B"/>
    <w:rsid w:val="00825751"/>
    <w:rsid w:val="008264EB"/>
    <w:rsid w:val="00826635"/>
    <w:rsid w:val="00826854"/>
    <w:rsid w:val="008268CE"/>
    <w:rsid w:val="00826F89"/>
    <w:rsid w:val="00827ABF"/>
    <w:rsid w:val="00827C23"/>
    <w:rsid w:val="0083089E"/>
    <w:rsid w:val="00830AE4"/>
    <w:rsid w:val="00830CDE"/>
    <w:rsid w:val="00833272"/>
    <w:rsid w:val="0083379E"/>
    <w:rsid w:val="00833B05"/>
    <w:rsid w:val="008344F9"/>
    <w:rsid w:val="00834850"/>
    <w:rsid w:val="00834F46"/>
    <w:rsid w:val="00835B03"/>
    <w:rsid w:val="008362B4"/>
    <w:rsid w:val="00840CA2"/>
    <w:rsid w:val="0084374F"/>
    <w:rsid w:val="0084394D"/>
    <w:rsid w:val="00843CE1"/>
    <w:rsid w:val="00844A22"/>
    <w:rsid w:val="008458A7"/>
    <w:rsid w:val="00847703"/>
    <w:rsid w:val="00847DF5"/>
    <w:rsid w:val="0085008A"/>
    <w:rsid w:val="00852F09"/>
    <w:rsid w:val="0085309D"/>
    <w:rsid w:val="008540B9"/>
    <w:rsid w:val="008556A3"/>
    <w:rsid w:val="00856897"/>
    <w:rsid w:val="00856E9A"/>
    <w:rsid w:val="0086075D"/>
    <w:rsid w:val="008607F5"/>
    <w:rsid w:val="00862502"/>
    <w:rsid w:val="00862CC1"/>
    <w:rsid w:val="008642A7"/>
    <w:rsid w:val="0086464D"/>
    <w:rsid w:val="008660D4"/>
    <w:rsid w:val="00870117"/>
    <w:rsid w:val="00870BB3"/>
    <w:rsid w:val="008713A3"/>
    <w:rsid w:val="00871FA9"/>
    <w:rsid w:val="008728E9"/>
    <w:rsid w:val="008734A0"/>
    <w:rsid w:val="0087373D"/>
    <w:rsid w:val="00874761"/>
    <w:rsid w:val="00874955"/>
    <w:rsid w:val="00876CCE"/>
    <w:rsid w:val="00877E6F"/>
    <w:rsid w:val="00880580"/>
    <w:rsid w:val="00880709"/>
    <w:rsid w:val="00882874"/>
    <w:rsid w:val="00882A88"/>
    <w:rsid w:val="00882E3C"/>
    <w:rsid w:val="0088308A"/>
    <w:rsid w:val="00883741"/>
    <w:rsid w:val="00883787"/>
    <w:rsid w:val="00884CA6"/>
    <w:rsid w:val="00884DFC"/>
    <w:rsid w:val="008855E4"/>
    <w:rsid w:val="00886CD2"/>
    <w:rsid w:val="00886EB5"/>
    <w:rsid w:val="0088704B"/>
    <w:rsid w:val="00887487"/>
    <w:rsid w:val="008901F4"/>
    <w:rsid w:val="00891188"/>
    <w:rsid w:val="00891262"/>
    <w:rsid w:val="00891BB2"/>
    <w:rsid w:val="00891E6F"/>
    <w:rsid w:val="008920F8"/>
    <w:rsid w:val="0089275D"/>
    <w:rsid w:val="00892A36"/>
    <w:rsid w:val="00892C7D"/>
    <w:rsid w:val="00893239"/>
    <w:rsid w:val="00893452"/>
    <w:rsid w:val="00893E18"/>
    <w:rsid w:val="00894489"/>
    <w:rsid w:val="00894CD6"/>
    <w:rsid w:val="008963A5"/>
    <w:rsid w:val="008968F6"/>
    <w:rsid w:val="00896D5D"/>
    <w:rsid w:val="00897583"/>
    <w:rsid w:val="008A159D"/>
    <w:rsid w:val="008A167C"/>
    <w:rsid w:val="008A2DFE"/>
    <w:rsid w:val="008A3158"/>
    <w:rsid w:val="008A3363"/>
    <w:rsid w:val="008A3371"/>
    <w:rsid w:val="008A3C3E"/>
    <w:rsid w:val="008A416A"/>
    <w:rsid w:val="008A4515"/>
    <w:rsid w:val="008A50BB"/>
    <w:rsid w:val="008A52F2"/>
    <w:rsid w:val="008A6075"/>
    <w:rsid w:val="008A79DE"/>
    <w:rsid w:val="008B1757"/>
    <w:rsid w:val="008B1C33"/>
    <w:rsid w:val="008B381E"/>
    <w:rsid w:val="008B391F"/>
    <w:rsid w:val="008B4B6F"/>
    <w:rsid w:val="008B7992"/>
    <w:rsid w:val="008B7D7E"/>
    <w:rsid w:val="008C2A63"/>
    <w:rsid w:val="008C2CC4"/>
    <w:rsid w:val="008C3652"/>
    <w:rsid w:val="008C51CC"/>
    <w:rsid w:val="008C5610"/>
    <w:rsid w:val="008C5739"/>
    <w:rsid w:val="008C5B95"/>
    <w:rsid w:val="008C6770"/>
    <w:rsid w:val="008C7282"/>
    <w:rsid w:val="008C7ECB"/>
    <w:rsid w:val="008C7F88"/>
    <w:rsid w:val="008D10F2"/>
    <w:rsid w:val="008D2CD7"/>
    <w:rsid w:val="008D3B86"/>
    <w:rsid w:val="008D43FD"/>
    <w:rsid w:val="008D4755"/>
    <w:rsid w:val="008D4C3D"/>
    <w:rsid w:val="008D743C"/>
    <w:rsid w:val="008D7531"/>
    <w:rsid w:val="008E0D3C"/>
    <w:rsid w:val="008E1749"/>
    <w:rsid w:val="008E1B9E"/>
    <w:rsid w:val="008E2831"/>
    <w:rsid w:val="008E55AB"/>
    <w:rsid w:val="008E7BF1"/>
    <w:rsid w:val="008F0595"/>
    <w:rsid w:val="008F11A0"/>
    <w:rsid w:val="008F120A"/>
    <w:rsid w:val="008F1B48"/>
    <w:rsid w:val="008F221D"/>
    <w:rsid w:val="008F27E0"/>
    <w:rsid w:val="008F2B78"/>
    <w:rsid w:val="008F48EB"/>
    <w:rsid w:val="008F4F0B"/>
    <w:rsid w:val="008F608F"/>
    <w:rsid w:val="00901AFB"/>
    <w:rsid w:val="00901D2C"/>
    <w:rsid w:val="0090217F"/>
    <w:rsid w:val="00902B09"/>
    <w:rsid w:val="00903088"/>
    <w:rsid w:val="009046C4"/>
    <w:rsid w:val="00904A1F"/>
    <w:rsid w:val="009057BA"/>
    <w:rsid w:val="009062A5"/>
    <w:rsid w:val="00906794"/>
    <w:rsid w:val="00907699"/>
    <w:rsid w:val="00910FA7"/>
    <w:rsid w:val="00911272"/>
    <w:rsid w:val="00911339"/>
    <w:rsid w:val="009135D6"/>
    <w:rsid w:val="00913DB2"/>
    <w:rsid w:val="00914C77"/>
    <w:rsid w:val="0091515D"/>
    <w:rsid w:val="00917E52"/>
    <w:rsid w:val="009207B7"/>
    <w:rsid w:val="00920F1F"/>
    <w:rsid w:val="00921ACB"/>
    <w:rsid w:val="00921E5B"/>
    <w:rsid w:val="0092369B"/>
    <w:rsid w:val="009241E2"/>
    <w:rsid w:val="00927337"/>
    <w:rsid w:val="00927F32"/>
    <w:rsid w:val="00931E9B"/>
    <w:rsid w:val="009333A4"/>
    <w:rsid w:val="00934514"/>
    <w:rsid w:val="00934988"/>
    <w:rsid w:val="00934BF1"/>
    <w:rsid w:val="00937089"/>
    <w:rsid w:val="00937F6D"/>
    <w:rsid w:val="0094024D"/>
    <w:rsid w:val="00941119"/>
    <w:rsid w:val="00943E11"/>
    <w:rsid w:val="00944F8A"/>
    <w:rsid w:val="009465FE"/>
    <w:rsid w:val="009510A2"/>
    <w:rsid w:val="00952EBB"/>
    <w:rsid w:val="00953257"/>
    <w:rsid w:val="009534AC"/>
    <w:rsid w:val="00953AA2"/>
    <w:rsid w:val="0095474C"/>
    <w:rsid w:val="0095494E"/>
    <w:rsid w:val="009568BB"/>
    <w:rsid w:val="00956C92"/>
    <w:rsid w:val="00957D92"/>
    <w:rsid w:val="00961433"/>
    <w:rsid w:val="00961A04"/>
    <w:rsid w:val="00962CB9"/>
    <w:rsid w:val="00963FD4"/>
    <w:rsid w:val="00964312"/>
    <w:rsid w:val="00965B8A"/>
    <w:rsid w:val="0097071F"/>
    <w:rsid w:val="0097161B"/>
    <w:rsid w:val="009717AC"/>
    <w:rsid w:val="009749E0"/>
    <w:rsid w:val="009751C1"/>
    <w:rsid w:val="00975664"/>
    <w:rsid w:val="00975D14"/>
    <w:rsid w:val="00975D9C"/>
    <w:rsid w:val="00980134"/>
    <w:rsid w:val="009811F1"/>
    <w:rsid w:val="009812A3"/>
    <w:rsid w:val="0098155B"/>
    <w:rsid w:val="00981CBF"/>
    <w:rsid w:val="00982113"/>
    <w:rsid w:val="00983C6C"/>
    <w:rsid w:val="00983E57"/>
    <w:rsid w:val="0098537B"/>
    <w:rsid w:val="00985630"/>
    <w:rsid w:val="00985DE2"/>
    <w:rsid w:val="0098675D"/>
    <w:rsid w:val="00987BA4"/>
    <w:rsid w:val="00987EC0"/>
    <w:rsid w:val="009910F1"/>
    <w:rsid w:val="009926E0"/>
    <w:rsid w:val="00993A57"/>
    <w:rsid w:val="0099451E"/>
    <w:rsid w:val="00994645"/>
    <w:rsid w:val="00994705"/>
    <w:rsid w:val="00995B68"/>
    <w:rsid w:val="00996B1A"/>
    <w:rsid w:val="00996C57"/>
    <w:rsid w:val="0099712F"/>
    <w:rsid w:val="009A0D50"/>
    <w:rsid w:val="009A13A0"/>
    <w:rsid w:val="009A18F6"/>
    <w:rsid w:val="009A26C6"/>
    <w:rsid w:val="009A2A84"/>
    <w:rsid w:val="009A2DCC"/>
    <w:rsid w:val="009A3DA5"/>
    <w:rsid w:val="009A5ABC"/>
    <w:rsid w:val="009A7D8D"/>
    <w:rsid w:val="009A7F10"/>
    <w:rsid w:val="009B08FF"/>
    <w:rsid w:val="009B0EB9"/>
    <w:rsid w:val="009B2CDC"/>
    <w:rsid w:val="009B3E26"/>
    <w:rsid w:val="009B453C"/>
    <w:rsid w:val="009B7348"/>
    <w:rsid w:val="009C0269"/>
    <w:rsid w:val="009C1271"/>
    <w:rsid w:val="009C196F"/>
    <w:rsid w:val="009C1C84"/>
    <w:rsid w:val="009C1EB0"/>
    <w:rsid w:val="009C23BB"/>
    <w:rsid w:val="009C26A5"/>
    <w:rsid w:val="009C3706"/>
    <w:rsid w:val="009C378C"/>
    <w:rsid w:val="009C3A3A"/>
    <w:rsid w:val="009C3FF1"/>
    <w:rsid w:val="009C64E2"/>
    <w:rsid w:val="009C6CEA"/>
    <w:rsid w:val="009C6FAE"/>
    <w:rsid w:val="009C7B85"/>
    <w:rsid w:val="009D0254"/>
    <w:rsid w:val="009D1A64"/>
    <w:rsid w:val="009D3152"/>
    <w:rsid w:val="009D5B91"/>
    <w:rsid w:val="009D6C21"/>
    <w:rsid w:val="009D763A"/>
    <w:rsid w:val="009D792E"/>
    <w:rsid w:val="009E0562"/>
    <w:rsid w:val="009E0DFE"/>
    <w:rsid w:val="009E31F6"/>
    <w:rsid w:val="009E4C07"/>
    <w:rsid w:val="009E602C"/>
    <w:rsid w:val="009E709A"/>
    <w:rsid w:val="009E777F"/>
    <w:rsid w:val="009F2779"/>
    <w:rsid w:val="009F3B75"/>
    <w:rsid w:val="009F55BE"/>
    <w:rsid w:val="009F6120"/>
    <w:rsid w:val="00A00D76"/>
    <w:rsid w:val="00A01184"/>
    <w:rsid w:val="00A01449"/>
    <w:rsid w:val="00A01AC3"/>
    <w:rsid w:val="00A037C2"/>
    <w:rsid w:val="00A038ED"/>
    <w:rsid w:val="00A03BF1"/>
    <w:rsid w:val="00A03D43"/>
    <w:rsid w:val="00A04380"/>
    <w:rsid w:val="00A04786"/>
    <w:rsid w:val="00A05472"/>
    <w:rsid w:val="00A05C32"/>
    <w:rsid w:val="00A061E1"/>
    <w:rsid w:val="00A0653F"/>
    <w:rsid w:val="00A11CD0"/>
    <w:rsid w:val="00A13948"/>
    <w:rsid w:val="00A1555B"/>
    <w:rsid w:val="00A155C5"/>
    <w:rsid w:val="00A1570B"/>
    <w:rsid w:val="00A16AD8"/>
    <w:rsid w:val="00A16F20"/>
    <w:rsid w:val="00A17761"/>
    <w:rsid w:val="00A17853"/>
    <w:rsid w:val="00A17F1A"/>
    <w:rsid w:val="00A2021E"/>
    <w:rsid w:val="00A206EC"/>
    <w:rsid w:val="00A20D01"/>
    <w:rsid w:val="00A21C73"/>
    <w:rsid w:val="00A21C95"/>
    <w:rsid w:val="00A21CF3"/>
    <w:rsid w:val="00A2269D"/>
    <w:rsid w:val="00A24813"/>
    <w:rsid w:val="00A26075"/>
    <w:rsid w:val="00A27AEC"/>
    <w:rsid w:val="00A30598"/>
    <w:rsid w:val="00A30A62"/>
    <w:rsid w:val="00A313CF"/>
    <w:rsid w:val="00A320DB"/>
    <w:rsid w:val="00A35D16"/>
    <w:rsid w:val="00A37BCD"/>
    <w:rsid w:val="00A410F3"/>
    <w:rsid w:val="00A41689"/>
    <w:rsid w:val="00A42592"/>
    <w:rsid w:val="00A43C59"/>
    <w:rsid w:val="00A44681"/>
    <w:rsid w:val="00A46734"/>
    <w:rsid w:val="00A50ECD"/>
    <w:rsid w:val="00A518F3"/>
    <w:rsid w:val="00A51C73"/>
    <w:rsid w:val="00A52074"/>
    <w:rsid w:val="00A52729"/>
    <w:rsid w:val="00A53675"/>
    <w:rsid w:val="00A553BE"/>
    <w:rsid w:val="00A564D7"/>
    <w:rsid w:val="00A56B6A"/>
    <w:rsid w:val="00A578DC"/>
    <w:rsid w:val="00A60FFA"/>
    <w:rsid w:val="00A640E2"/>
    <w:rsid w:val="00A64D65"/>
    <w:rsid w:val="00A6725B"/>
    <w:rsid w:val="00A67C44"/>
    <w:rsid w:val="00A70605"/>
    <w:rsid w:val="00A70FEB"/>
    <w:rsid w:val="00A73134"/>
    <w:rsid w:val="00A7365A"/>
    <w:rsid w:val="00A749F6"/>
    <w:rsid w:val="00A7564D"/>
    <w:rsid w:val="00A76001"/>
    <w:rsid w:val="00A760D0"/>
    <w:rsid w:val="00A76996"/>
    <w:rsid w:val="00A777B2"/>
    <w:rsid w:val="00A77C7A"/>
    <w:rsid w:val="00A81641"/>
    <w:rsid w:val="00A825D4"/>
    <w:rsid w:val="00A828F6"/>
    <w:rsid w:val="00A82B73"/>
    <w:rsid w:val="00A8402F"/>
    <w:rsid w:val="00A85615"/>
    <w:rsid w:val="00A86938"/>
    <w:rsid w:val="00A86E8B"/>
    <w:rsid w:val="00A8700D"/>
    <w:rsid w:val="00A87164"/>
    <w:rsid w:val="00A871A9"/>
    <w:rsid w:val="00A87720"/>
    <w:rsid w:val="00A9006A"/>
    <w:rsid w:val="00A90DBF"/>
    <w:rsid w:val="00A93072"/>
    <w:rsid w:val="00A938BD"/>
    <w:rsid w:val="00A93953"/>
    <w:rsid w:val="00A93E1E"/>
    <w:rsid w:val="00A95561"/>
    <w:rsid w:val="00A959D8"/>
    <w:rsid w:val="00A96427"/>
    <w:rsid w:val="00A96ED1"/>
    <w:rsid w:val="00A97069"/>
    <w:rsid w:val="00AA013E"/>
    <w:rsid w:val="00AA03BD"/>
    <w:rsid w:val="00AA113D"/>
    <w:rsid w:val="00AA351C"/>
    <w:rsid w:val="00AA4E75"/>
    <w:rsid w:val="00AA6B4E"/>
    <w:rsid w:val="00AA6BC4"/>
    <w:rsid w:val="00AA6BD5"/>
    <w:rsid w:val="00AA6BD8"/>
    <w:rsid w:val="00AA6C7D"/>
    <w:rsid w:val="00AA7FD6"/>
    <w:rsid w:val="00AB042A"/>
    <w:rsid w:val="00AB0892"/>
    <w:rsid w:val="00AB11AD"/>
    <w:rsid w:val="00AB19EF"/>
    <w:rsid w:val="00AB2495"/>
    <w:rsid w:val="00AB2D34"/>
    <w:rsid w:val="00AB3430"/>
    <w:rsid w:val="00AB37B9"/>
    <w:rsid w:val="00AB37F9"/>
    <w:rsid w:val="00AB4AD1"/>
    <w:rsid w:val="00AB5E07"/>
    <w:rsid w:val="00AB7527"/>
    <w:rsid w:val="00AB7CFA"/>
    <w:rsid w:val="00AC3AA7"/>
    <w:rsid w:val="00AC43E6"/>
    <w:rsid w:val="00AC47A7"/>
    <w:rsid w:val="00AC4D9B"/>
    <w:rsid w:val="00AC5B42"/>
    <w:rsid w:val="00AC5B48"/>
    <w:rsid w:val="00AC777F"/>
    <w:rsid w:val="00AD1450"/>
    <w:rsid w:val="00AD15E8"/>
    <w:rsid w:val="00AD1EA2"/>
    <w:rsid w:val="00AD356D"/>
    <w:rsid w:val="00AD3707"/>
    <w:rsid w:val="00AD4328"/>
    <w:rsid w:val="00AD4786"/>
    <w:rsid w:val="00AD6502"/>
    <w:rsid w:val="00AD787D"/>
    <w:rsid w:val="00AE0695"/>
    <w:rsid w:val="00AE07FF"/>
    <w:rsid w:val="00AE3E7E"/>
    <w:rsid w:val="00AE4F59"/>
    <w:rsid w:val="00AE5641"/>
    <w:rsid w:val="00AE7E53"/>
    <w:rsid w:val="00AF0633"/>
    <w:rsid w:val="00AF0FC0"/>
    <w:rsid w:val="00AF1315"/>
    <w:rsid w:val="00AF19BF"/>
    <w:rsid w:val="00AF2DC3"/>
    <w:rsid w:val="00AF7332"/>
    <w:rsid w:val="00AF7D2B"/>
    <w:rsid w:val="00B033E5"/>
    <w:rsid w:val="00B03A63"/>
    <w:rsid w:val="00B04E99"/>
    <w:rsid w:val="00B04F32"/>
    <w:rsid w:val="00B0504D"/>
    <w:rsid w:val="00B065BF"/>
    <w:rsid w:val="00B067E2"/>
    <w:rsid w:val="00B07BC4"/>
    <w:rsid w:val="00B10500"/>
    <w:rsid w:val="00B117BD"/>
    <w:rsid w:val="00B11F70"/>
    <w:rsid w:val="00B129A4"/>
    <w:rsid w:val="00B13FC8"/>
    <w:rsid w:val="00B201A4"/>
    <w:rsid w:val="00B201D1"/>
    <w:rsid w:val="00B213A6"/>
    <w:rsid w:val="00B22529"/>
    <w:rsid w:val="00B235B0"/>
    <w:rsid w:val="00B24DF6"/>
    <w:rsid w:val="00B251B3"/>
    <w:rsid w:val="00B27893"/>
    <w:rsid w:val="00B278EF"/>
    <w:rsid w:val="00B27A61"/>
    <w:rsid w:val="00B30AB2"/>
    <w:rsid w:val="00B30F4C"/>
    <w:rsid w:val="00B310F3"/>
    <w:rsid w:val="00B34FE2"/>
    <w:rsid w:val="00B35166"/>
    <w:rsid w:val="00B357D8"/>
    <w:rsid w:val="00B360F4"/>
    <w:rsid w:val="00B36A00"/>
    <w:rsid w:val="00B36CFD"/>
    <w:rsid w:val="00B3792B"/>
    <w:rsid w:val="00B37A60"/>
    <w:rsid w:val="00B37BFC"/>
    <w:rsid w:val="00B4004B"/>
    <w:rsid w:val="00B40358"/>
    <w:rsid w:val="00B406F7"/>
    <w:rsid w:val="00B41614"/>
    <w:rsid w:val="00B42851"/>
    <w:rsid w:val="00B42F80"/>
    <w:rsid w:val="00B435CB"/>
    <w:rsid w:val="00B43EFE"/>
    <w:rsid w:val="00B44509"/>
    <w:rsid w:val="00B4515F"/>
    <w:rsid w:val="00B454A5"/>
    <w:rsid w:val="00B465EC"/>
    <w:rsid w:val="00B50182"/>
    <w:rsid w:val="00B505C8"/>
    <w:rsid w:val="00B50DB8"/>
    <w:rsid w:val="00B51871"/>
    <w:rsid w:val="00B53654"/>
    <w:rsid w:val="00B53905"/>
    <w:rsid w:val="00B546DB"/>
    <w:rsid w:val="00B54B5B"/>
    <w:rsid w:val="00B5562E"/>
    <w:rsid w:val="00B55862"/>
    <w:rsid w:val="00B55D65"/>
    <w:rsid w:val="00B56305"/>
    <w:rsid w:val="00B57000"/>
    <w:rsid w:val="00B57782"/>
    <w:rsid w:val="00B60939"/>
    <w:rsid w:val="00B60AFD"/>
    <w:rsid w:val="00B62078"/>
    <w:rsid w:val="00B62715"/>
    <w:rsid w:val="00B65611"/>
    <w:rsid w:val="00B663F3"/>
    <w:rsid w:val="00B70E8E"/>
    <w:rsid w:val="00B712B7"/>
    <w:rsid w:val="00B7169F"/>
    <w:rsid w:val="00B7214F"/>
    <w:rsid w:val="00B75D1A"/>
    <w:rsid w:val="00B75DB1"/>
    <w:rsid w:val="00B76C92"/>
    <w:rsid w:val="00B80EFD"/>
    <w:rsid w:val="00B81191"/>
    <w:rsid w:val="00B818A4"/>
    <w:rsid w:val="00B81AE6"/>
    <w:rsid w:val="00B81D90"/>
    <w:rsid w:val="00B830EB"/>
    <w:rsid w:val="00B83739"/>
    <w:rsid w:val="00B84117"/>
    <w:rsid w:val="00B858F0"/>
    <w:rsid w:val="00B85AA2"/>
    <w:rsid w:val="00B8649C"/>
    <w:rsid w:val="00B8695D"/>
    <w:rsid w:val="00B86C14"/>
    <w:rsid w:val="00B87F0A"/>
    <w:rsid w:val="00B90FC9"/>
    <w:rsid w:val="00B92D0B"/>
    <w:rsid w:val="00B93F03"/>
    <w:rsid w:val="00B94945"/>
    <w:rsid w:val="00B94DD6"/>
    <w:rsid w:val="00B9774B"/>
    <w:rsid w:val="00B979DC"/>
    <w:rsid w:val="00BA04E9"/>
    <w:rsid w:val="00BA0D47"/>
    <w:rsid w:val="00BA322D"/>
    <w:rsid w:val="00BA4D8F"/>
    <w:rsid w:val="00BA5633"/>
    <w:rsid w:val="00BA602F"/>
    <w:rsid w:val="00BA63FA"/>
    <w:rsid w:val="00BA6E8A"/>
    <w:rsid w:val="00BA7AAB"/>
    <w:rsid w:val="00BB00B3"/>
    <w:rsid w:val="00BB0250"/>
    <w:rsid w:val="00BB0BB3"/>
    <w:rsid w:val="00BB0BDD"/>
    <w:rsid w:val="00BB176C"/>
    <w:rsid w:val="00BB2A73"/>
    <w:rsid w:val="00BB307B"/>
    <w:rsid w:val="00BB3A45"/>
    <w:rsid w:val="00BB4ACC"/>
    <w:rsid w:val="00BB577D"/>
    <w:rsid w:val="00BB6857"/>
    <w:rsid w:val="00BB703E"/>
    <w:rsid w:val="00BB732D"/>
    <w:rsid w:val="00BB7405"/>
    <w:rsid w:val="00BC1712"/>
    <w:rsid w:val="00BC3631"/>
    <w:rsid w:val="00BC4CED"/>
    <w:rsid w:val="00BC591F"/>
    <w:rsid w:val="00BC7D6D"/>
    <w:rsid w:val="00BD019E"/>
    <w:rsid w:val="00BD159C"/>
    <w:rsid w:val="00BD2108"/>
    <w:rsid w:val="00BD28F0"/>
    <w:rsid w:val="00BD4183"/>
    <w:rsid w:val="00BD4854"/>
    <w:rsid w:val="00BD68A3"/>
    <w:rsid w:val="00BD6938"/>
    <w:rsid w:val="00BD6CF3"/>
    <w:rsid w:val="00BD7F72"/>
    <w:rsid w:val="00BE0ECA"/>
    <w:rsid w:val="00BE1FA0"/>
    <w:rsid w:val="00BE2180"/>
    <w:rsid w:val="00BE21F2"/>
    <w:rsid w:val="00BE2D62"/>
    <w:rsid w:val="00BE3B9E"/>
    <w:rsid w:val="00BE4275"/>
    <w:rsid w:val="00BE7E77"/>
    <w:rsid w:val="00BF06AE"/>
    <w:rsid w:val="00BF0F88"/>
    <w:rsid w:val="00BF0F95"/>
    <w:rsid w:val="00BF174C"/>
    <w:rsid w:val="00BF2211"/>
    <w:rsid w:val="00BF2433"/>
    <w:rsid w:val="00BF2E6E"/>
    <w:rsid w:val="00BF3ECD"/>
    <w:rsid w:val="00BF5395"/>
    <w:rsid w:val="00BF61C9"/>
    <w:rsid w:val="00BF6C94"/>
    <w:rsid w:val="00C00424"/>
    <w:rsid w:val="00C00A71"/>
    <w:rsid w:val="00C00BB0"/>
    <w:rsid w:val="00C03E60"/>
    <w:rsid w:val="00C05363"/>
    <w:rsid w:val="00C077CD"/>
    <w:rsid w:val="00C078FC"/>
    <w:rsid w:val="00C11715"/>
    <w:rsid w:val="00C1179F"/>
    <w:rsid w:val="00C127B9"/>
    <w:rsid w:val="00C128FA"/>
    <w:rsid w:val="00C12C14"/>
    <w:rsid w:val="00C12DA9"/>
    <w:rsid w:val="00C15879"/>
    <w:rsid w:val="00C15C33"/>
    <w:rsid w:val="00C15F04"/>
    <w:rsid w:val="00C16C08"/>
    <w:rsid w:val="00C179B3"/>
    <w:rsid w:val="00C17E3F"/>
    <w:rsid w:val="00C200AA"/>
    <w:rsid w:val="00C201F9"/>
    <w:rsid w:val="00C23471"/>
    <w:rsid w:val="00C237ED"/>
    <w:rsid w:val="00C24632"/>
    <w:rsid w:val="00C25418"/>
    <w:rsid w:val="00C25D9C"/>
    <w:rsid w:val="00C26FB3"/>
    <w:rsid w:val="00C270F2"/>
    <w:rsid w:val="00C2778B"/>
    <w:rsid w:val="00C27DC0"/>
    <w:rsid w:val="00C309D6"/>
    <w:rsid w:val="00C31649"/>
    <w:rsid w:val="00C3360D"/>
    <w:rsid w:val="00C3434C"/>
    <w:rsid w:val="00C35FE5"/>
    <w:rsid w:val="00C40385"/>
    <w:rsid w:val="00C40DA2"/>
    <w:rsid w:val="00C41768"/>
    <w:rsid w:val="00C445A1"/>
    <w:rsid w:val="00C455CC"/>
    <w:rsid w:val="00C45CEA"/>
    <w:rsid w:val="00C46A2D"/>
    <w:rsid w:val="00C475AA"/>
    <w:rsid w:val="00C47D41"/>
    <w:rsid w:val="00C52633"/>
    <w:rsid w:val="00C527C7"/>
    <w:rsid w:val="00C53270"/>
    <w:rsid w:val="00C53385"/>
    <w:rsid w:val="00C538F4"/>
    <w:rsid w:val="00C53C98"/>
    <w:rsid w:val="00C56FCF"/>
    <w:rsid w:val="00C5771A"/>
    <w:rsid w:val="00C57B6C"/>
    <w:rsid w:val="00C61A59"/>
    <w:rsid w:val="00C628A6"/>
    <w:rsid w:val="00C62B59"/>
    <w:rsid w:val="00C64344"/>
    <w:rsid w:val="00C64DA7"/>
    <w:rsid w:val="00C65108"/>
    <w:rsid w:val="00C65576"/>
    <w:rsid w:val="00C66165"/>
    <w:rsid w:val="00C661C4"/>
    <w:rsid w:val="00C7060A"/>
    <w:rsid w:val="00C7151A"/>
    <w:rsid w:val="00C717E3"/>
    <w:rsid w:val="00C71F60"/>
    <w:rsid w:val="00C72241"/>
    <w:rsid w:val="00C741EE"/>
    <w:rsid w:val="00C74BB2"/>
    <w:rsid w:val="00C750C8"/>
    <w:rsid w:val="00C7560F"/>
    <w:rsid w:val="00C76B1A"/>
    <w:rsid w:val="00C76CD9"/>
    <w:rsid w:val="00C7700E"/>
    <w:rsid w:val="00C7780B"/>
    <w:rsid w:val="00C80A0E"/>
    <w:rsid w:val="00C81F31"/>
    <w:rsid w:val="00C81FCD"/>
    <w:rsid w:val="00C8213F"/>
    <w:rsid w:val="00C8254C"/>
    <w:rsid w:val="00C82C19"/>
    <w:rsid w:val="00C82CFB"/>
    <w:rsid w:val="00C8303F"/>
    <w:rsid w:val="00C83051"/>
    <w:rsid w:val="00C85154"/>
    <w:rsid w:val="00C85A70"/>
    <w:rsid w:val="00C86960"/>
    <w:rsid w:val="00C86DAF"/>
    <w:rsid w:val="00C86EB1"/>
    <w:rsid w:val="00C8797A"/>
    <w:rsid w:val="00C900B8"/>
    <w:rsid w:val="00C90197"/>
    <w:rsid w:val="00C90C71"/>
    <w:rsid w:val="00C91DCB"/>
    <w:rsid w:val="00C91FD1"/>
    <w:rsid w:val="00C921C9"/>
    <w:rsid w:val="00C92C63"/>
    <w:rsid w:val="00C92DF2"/>
    <w:rsid w:val="00C931CF"/>
    <w:rsid w:val="00C938CF"/>
    <w:rsid w:val="00C94053"/>
    <w:rsid w:val="00C95118"/>
    <w:rsid w:val="00C95EEE"/>
    <w:rsid w:val="00C9624D"/>
    <w:rsid w:val="00C969DA"/>
    <w:rsid w:val="00C97D31"/>
    <w:rsid w:val="00CA0724"/>
    <w:rsid w:val="00CA2C77"/>
    <w:rsid w:val="00CA444F"/>
    <w:rsid w:val="00CA5245"/>
    <w:rsid w:val="00CA71F4"/>
    <w:rsid w:val="00CA7437"/>
    <w:rsid w:val="00CA7B09"/>
    <w:rsid w:val="00CB12A5"/>
    <w:rsid w:val="00CB1CAC"/>
    <w:rsid w:val="00CB2694"/>
    <w:rsid w:val="00CB2F2A"/>
    <w:rsid w:val="00CB5B1A"/>
    <w:rsid w:val="00CB6B22"/>
    <w:rsid w:val="00CB6DE5"/>
    <w:rsid w:val="00CB76DF"/>
    <w:rsid w:val="00CB7F5F"/>
    <w:rsid w:val="00CC1B39"/>
    <w:rsid w:val="00CC1B5A"/>
    <w:rsid w:val="00CC1BFA"/>
    <w:rsid w:val="00CC2E9F"/>
    <w:rsid w:val="00CC35EA"/>
    <w:rsid w:val="00CC3848"/>
    <w:rsid w:val="00CC4251"/>
    <w:rsid w:val="00CC4B96"/>
    <w:rsid w:val="00CC5571"/>
    <w:rsid w:val="00CC6135"/>
    <w:rsid w:val="00CC6D5E"/>
    <w:rsid w:val="00CC6EF6"/>
    <w:rsid w:val="00CC743F"/>
    <w:rsid w:val="00CD0200"/>
    <w:rsid w:val="00CD1D8E"/>
    <w:rsid w:val="00CD3F77"/>
    <w:rsid w:val="00CD4852"/>
    <w:rsid w:val="00CD56B6"/>
    <w:rsid w:val="00CD6A05"/>
    <w:rsid w:val="00CD6ADC"/>
    <w:rsid w:val="00CD7193"/>
    <w:rsid w:val="00CD7C80"/>
    <w:rsid w:val="00CE03EE"/>
    <w:rsid w:val="00CE1887"/>
    <w:rsid w:val="00CE2F74"/>
    <w:rsid w:val="00CE38C8"/>
    <w:rsid w:val="00CE524F"/>
    <w:rsid w:val="00CE58CC"/>
    <w:rsid w:val="00CE5B54"/>
    <w:rsid w:val="00CE6274"/>
    <w:rsid w:val="00CE6B9F"/>
    <w:rsid w:val="00CE77B6"/>
    <w:rsid w:val="00CE7805"/>
    <w:rsid w:val="00CF0648"/>
    <w:rsid w:val="00CF20FB"/>
    <w:rsid w:val="00CF2B8D"/>
    <w:rsid w:val="00CF3A1B"/>
    <w:rsid w:val="00CF456B"/>
    <w:rsid w:val="00CF5A22"/>
    <w:rsid w:val="00CF5D73"/>
    <w:rsid w:val="00CF7204"/>
    <w:rsid w:val="00CF75EB"/>
    <w:rsid w:val="00D006BA"/>
    <w:rsid w:val="00D007EB"/>
    <w:rsid w:val="00D0211B"/>
    <w:rsid w:val="00D0262E"/>
    <w:rsid w:val="00D03679"/>
    <w:rsid w:val="00D03E79"/>
    <w:rsid w:val="00D0437D"/>
    <w:rsid w:val="00D051A3"/>
    <w:rsid w:val="00D05E3D"/>
    <w:rsid w:val="00D06139"/>
    <w:rsid w:val="00D06D05"/>
    <w:rsid w:val="00D073CC"/>
    <w:rsid w:val="00D07E92"/>
    <w:rsid w:val="00D10CC8"/>
    <w:rsid w:val="00D110BD"/>
    <w:rsid w:val="00D132DC"/>
    <w:rsid w:val="00D13675"/>
    <w:rsid w:val="00D141E1"/>
    <w:rsid w:val="00D15314"/>
    <w:rsid w:val="00D15B48"/>
    <w:rsid w:val="00D176B0"/>
    <w:rsid w:val="00D17D6C"/>
    <w:rsid w:val="00D2155B"/>
    <w:rsid w:val="00D2387A"/>
    <w:rsid w:val="00D23D11"/>
    <w:rsid w:val="00D244B6"/>
    <w:rsid w:val="00D248DC"/>
    <w:rsid w:val="00D26C87"/>
    <w:rsid w:val="00D27441"/>
    <w:rsid w:val="00D2754D"/>
    <w:rsid w:val="00D27B27"/>
    <w:rsid w:val="00D30D5B"/>
    <w:rsid w:val="00D31BB7"/>
    <w:rsid w:val="00D33BE9"/>
    <w:rsid w:val="00D33F93"/>
    <w:rsid w:val="00D34FD5"/>
    <w:rsid w:val="00D35169"/>
    <w:rsid w:val="00D35487"/>
    <w:rsid w:val="00D357FF"/>
    <w:rsid w:val="00D36A14"/>
    <w:rsid w:val="00D4134E"/>
    <w:rsid w:val="00D424C7"/>
    <w:rsid w:val="00D43597"/>
    <w:rsid w:val="00D43B2A"/>
    <w:rsid w:val="00D43CF1"/>
    <w:rsid w:val="00D43D83"/>
    <w:rsid w:val="00D45989"/>
    <w:rsid w:val="00D47575"/>
    <w:rsid w:val="00D5243B"/>
    <w:rsid w:val="00D52F68"/>
    <w:rsid w:val="00D531FD"/>
    <w:rsid w:val="00D533EC"/>
    <w:rsid w:val="00D54531"/>
    <w:rsid w:val="00D56A95"/>
    <w:rsid w:val="00D5790E"/>
    <w:rsid w:val="00D6076E"/>
    <w:rsid w:val="00D60C9E"/>
    <w:rsid w:val="00D61AB4"/>
    <w:rsid w:val="00D62592"/>
    <w:rsid w:val="00D64A63"/>
    <w:rsid w:val="00D653AF"/>
    <w:rsid w:val="00D654D6"/>
    <w:rsid w:val="00D67B6F"/>
    <w:rsid w:val="00D70E52"/>
    <w:rsid w:val="00D70F16"/>
    <w:rsid w:val="00D720D8"/>
    <w:rsid w:val="00D7218B"/>
    <w:rsid w:val="00D72617"/>
    <w:rsid w:val="00D72BC1"/>
    <w:rsid w:val="00D72F57"/>
    <w:rsid w:val="00D734AF"/>
    <w:rsid w:val="00D73924"/>
    <w:rsid w:val="00D740B5"/>
    <w:rsid w:val="00D76A44"/>
    <w:rsid w:val="00D809C6"/>
    <w:rsid w:val="00D80A0C"/>
    <w:rsid w:val="00D81578"/>
    <w:rsid w:val="00D815EF"/>
    <w:rsid w:val="00D81949"/>
    <w:rsid w:val="00D81F26"/>
    <w:rsid w:val="00D822E2"/>
    <w:rsid w:val="00D82A73"/>
    <w:rsid w:val="00D843F2"/>
    <w:rsid w:val="00D846AD"/>
    <w:rsid w:val="00D86231"/>
    <w:rsid w:val="00D912AB"/>
    <w:rsid w:val="00D91923"/>
    <w:rsid w:val="00D91BF0"/>
    <w:rsid w:val="00D92C32"/>
    <w:rsid w:val="00D92EB3"/>
    <w:rsid w:val="00D933F0"/>
    <w:rsid w:val="00D93753"/>
    <w:rsid w:val="00D9521F"/>
    <w:rsid w:val="00D95658"/>
    <w:rsid w:val="00DA3167"/>
    <w:rsid w:val="00DA4DC3"/>
    <w:rsid w:val="00DA580F"/>
    <w:rsid w:val="00DA6F80"/>
    <w:rsid w:val="00DA77A5"/>
    <w:rsid w:val="00DA7F64"/>
    <w:rsid w:val="00DB0E36"/>
    <w:rsid w:val="00DB1126"/>
    <w:rsid w:val="00DB3DBF"/>
    <w:rsid w:val="00DB484F"/>
    <w:rsid w:val="00DB5B8A"/>
    <w:rsid w:val="00DB745B"/>
    <w:rsid w:val="00DC0269"/>
    <w:rsid w:val="00DC04F6"/>
    <w:rsid w:val="00DC0690"/>
    <w:rsid w:val="00DC18B3"/>
    <w:rsid w:val="00DC1D65"/>
    <w:rsid w:val="00DC2593"/>
    <w:rsid w:val="00DC2B09"/>
    <w:rsid w:val="00DC3C57"/>
    <w:rsid w:val="00DC4327"/>
    <w:rsid w:val="00DC5501"/>
    <w:rsid w:val="00DC5DE4"/>
    <w:rsid w:val="00DC668A"/>
    <w:rsid w:val="00DC69C3"/>
    <w:rsid w:val="00DC6D03"/>
    <w:rsid w:val="00DC7154"/>
    <w:rsid w:val="00DC727E"/>
    <w:rsid w:val="00DC7E8A"/>
    <w:rsid w:val="00DD0F78"/>
    <w:rsid w:val="00DD273C"/>
    <w:rsid w:val="00DD3F28"/>
    <w:rsid w:val="00DD4446"/>
    <w:rsid w:val="00DD4537"/>
    <w:rsid w:val="00DD4E15"/>
    <w:rsid w:val="00DD66E3"/>
    <w:rsid w:val="00DD66F2"/>
    <w:rsid w:val="00DE0EB1"/>
    <w:rsid w:val="00DE2304"/>
    <w:rsid w:val="00DE3138"/>
    <w:rsid w:val="00DE37F8"/>
    <w:rsid w:val="00DE4273"/>
    <w:rsid w:val="00DE4291"/>
    <w:rsid w:val="00DE4FCB"/>
    <w:rsid w:val="00DE5D07"/>
    <w:rsid w:val="00DE60C5"/>
    <w:rsid w:val="00DE69A5"/>
    <w:rsid w:val="00DE72A7"/>
    <w:rsid w:val="00DE737F"/>
    <w:rsid w:val="00DE7832"/>
    <w:rsid w:val="00DF18FC"/>
    <w:rsid w:val="00DF5264"/>
    <w:rsid w:val="00DF5D2B"/>
    <w:rsid w:val="00DF6341"/>
    <w:rsid w:val="00DF66B3"/>
    <w:rsid w:val="00E00E8E"/>
    <w:rsid w:val="00E012C6"/>
    <w:rsid w:val="00E01601"/>
    <w:rsid w:val="00E01CF7"/>
    <w:rsid w:val="00E023BC"/>
    <w:rsid w:val="00E02AAE"/>
    <w:rsid w:val="00E044F3"/>
    <w:rsid w:val="00E05630"/>
    <w:rsid w:val="00E06DBB"/>
    <w:rsid w:val="00E07CC2"/>
    <w:rsid w:val="00E10149"/>
    <w:rsid w:val="00E11340"/>
    <w:rsid w:val="00E122A1"/>
    <w:rsid w:val="00E132CE"/>
    <w:rsid w:val="00E1555C"/>
    <w:rsid w:val="00E16218"/>
    <w:rsid w:val="00E16372"/>
    <w:rsid w:val="00E16AD8"/>
    <w:rsid w:val="00E17FFA"/>
    <w:rsid w:val="00E20E29"/>
    <w:rsid w:val="00E20E4D"/>
    <w:rsid w:val="00E20ED6"/>
    <w:rsid w:val="00E21358"/>
    <w:rsid w:val="00E2249B"/>
    <w:rsid w:val="00E22A0D"/>
    <w:rsid w:val="00E237D1"/>
    <w:rsid w:val="00E244F6"/>
    <w:rsid w:val="00E24F4B"/>
    <w:rsid w:val="00E258DB"/>
    <w:rsid w:val="00E2771E"/>
    <w:rsid w:val="00E27FAA"/>
    <w:rsid w:val="00E30E7B"/>
    <w:rsid w:val="00E311EF"/>
    <w:rsid w:val="00E3179A"/>
    <w:rsid w:val="00E31C06"/>
    <w:rsid w:val="00E32180"/>
    <w:rsid w:val="00E3236E"/>
    <w:rsid w:val="00E334F3"/>
    <w:rsid w:val="00E34948"/>
    <w:rsid w:val="00E3498D"/>
    <w:rsid w:val="00E34D1C"/>
    <w:rsid w:val="00E37569"/>
    <w:rsid w:val="00E3763E"/>
    <w:rsid w:val="00E37A5A"/>
    <w:rsid w:val="00E401B2"/>
    <w:rsid w:val="00E41E30"/>
    <w:rsid w:val="00E420BE"/>
    <w:rsid w:val="00E42F73"/>
    <w:rsid w:val="00E43D70"/>
    <w:rsid w:val="00E43F92"/>
    <w:rsid w:val="00E44476"/>
    <w:rsid w:val="00E45404"/>
    <w:rsid w:val="00E466F3"/>
    <w:rsid w:val="00E4720B"/>
    <w:rsid w:val="00E47B2C"/>
    <w:rsid w:val="00E509BC"/>
    <w:rsid w:val="00E51560"/>
    <w:rsid w:val="00E51821"/>
    <w:rsid w:val="00E51C5C"/>
    <w:rsid w:val="00E5214C"/>
    <w:rsid w:val="00E53FC8"/>
    <w:rsid w:val="00E541E8"/>
    <w:rsid w:val="00E54347"/>
    <w:rsid w:val="00E55424"/>
    <w:rsid w:val="00E55915"/>
    <w:rsid w:val="00E55BB5"/>
    <w:rsid w:val="00E611DF"/>
    <w:rsid w:val="00E62451"/>
    <w:rsid w:val="00E6291E"/>
    <w:rsid w:val="00E63662"/>
    <w:rsid w:val="00E65E79"/>
    <w:rsid w:val="00E66BA2"/>
    <w:rsid w:val="00E67416"/>
    <w:rsid w:val="00E718B6"/>
    <w:rsid w:val="00E723BA"/>
    <w:rsid w:val="00E73581"/>
    <w:rsid w:val="00E73855"/>
    <w:rsid w:val="00E74ADC"/>
    <w:rsid w:val="00E758ED"/>
    <w:rsid w:val="00E77294"/>
    <w:rsid w:val="00E819C5"/>
    <w:rsid w:val="00E833F7"/>
    <w:rsid w:val="00E83BDF"/>
    <w:rsid w:val="00E8596C"/>
    <w:rsid w:val="00E86FCC"/>
    <w:rsid w:val="00E87A1D"/>
    <w:rsid w:val="00E9094A"/>
    <w:rsid w:val="00E91D35"/>
    <w:rsid w:val="00E91E29"/>
    <w:rsid w:val="00E926A5"/>
    <w:rsid w:val="00E936E7"/>
    <w:rsid w:val="00E93719"/>
    <w:rsid w:val="00E95572"/>
    <w:rsid w:val="00E962CC"/>
    <w:rsid w:val="00EA02AB"/>
    <w:rsid w:val="00EA17C3"/>
    <w:rsid w:val="00EA2CAA"/>
    <w:rsid w:val="00EA3864"/>
    <w:rsid w:val="00EA43D5"/>
    <w:rsid w:val="00EA55BF"/>
    <w:rsid w:val="00EA7F1C"/>
    <w:rsid w:val="00EB0EB5"/>
    <w:rsid w:val="00EB15B6"/>
    <w:rsid w:val="00EB2BA4"/>
    <w:rsid w:val="00EB3243"/>
    <w:rsid w:val="00EB3D06"/>
    <w:rsid w:val="00EB4916"/>
    <w:rsid w:val="00EB4E28"/>
    <w:rsid w:val="00EB4ECE"/>
    <w:rsid w:val="00EC00C9"/>
    <w:rsid w:val="00EC097E"/>
    <w:rsid w:val="00EC0DD9"/>
    <w:rsid w:val="00EC14D3"/>
    <w:rsid w:val="00EC2649"/>
    <w:rsid w:val="00EC31ED"/>
    <w:rsid w:val="00EC32F6"/>
    <w:rsid w:val="00EC3C86"/>
    <w:rsid w:val="00EC3EA3"/>
    <w:rsid w:val="00EC433E"/>
    <w:rsid w:val="00EC5836"/>
    <w:rsid w:val="00EC688C"/>
    <w:rsid w:val="00EC7F2B"/>
    <w:rsid w:val="00ED12E3"/>
    <w:rsid w:val="00ED1CFD"/>
    <w:rsid w:val="00ED392D"/>
    <w:rsid w:val="00ED4B04"/>
    <w:rsid w:val="00ED511F"/>
    <w:rsid w:val="00ED57EA"/>
    <w:rsid w:val="00ED5BD4"/>
    <w:rsid w:val="00ED676A"/>
    <w:rsid w:val="00ED6949"/>
    <w:rsid w:val="00EE07D3"/>
    <w:rsid w:val="00EE1996"/>
    <w:rsid w:val="00EE1C01"/>
    <w:rsid w:val="00EE22AF"/>
    <w:rsid w:val="00EE2EB3"/>
    <w:rsid w:val="00EE3766"/>
    <w:rsid w:val="00EE3D6B"/>
    <w:rsid w:val="00EE4201"/>
    <w:rsid w:val="00EE4C03"/>
    <w:rsid w:val="00EE5515"/>
    <w:rsid w:val="00EE62EC"/>
    <w:rsid w:val="00EF0171"/>
    <w:rsid w:val="00EF1B25"/>
    <w:rsid w:val="00EF1DA0"/>
    <w:rsid w:val="00EF4747"/>
    <w:rsid w:val="00EF4BF8"/>
    <w:rsid w:val="00EF78E6"/>
    <w:rsid w:val="00F000C8"/>
    <w:rsid w:val="00F02253"/>
    <w:rsid w:val="00F0366C"/>
    <w:rsid w:val="00F03C2E"/>
    <w:rsid w:val="00F04A66"/>
    <w:rsid w:val="00F04B4B"/>
    <w:rsid w:val="00F0516C"/>
    <w:rsid w:val="00F058D5"/>
    <w:rsid w:val="00F067A2"/>
    <w:rsid w:val="00F07B9E"/>
    <w:rsid w:val="00F1116F"/>
    <w:rsid w:val="00F1263A"/>
    <w:rsid w:val="00F139C5"/>
    <w:rsid w:val="00F148F2"/>
    <w:rsid w:val="00F155C4"/>
    <w:rsid w:val="00F15B77"/>
    <w:rsid w:val="00F166B0"/>
    <w:rsid w:val="00F21236"/>
    <w:rsid w:val="00F234FA"/>
    <w:rsid w:val="00F23505"/>
    <w:rsid w:val="00F23844"/>
    <w:rsid w:val="00F239DF"/>
    <w:rsid w:val="00F24194"/>
    <w:rsid w:val="00F24837"/>
    <w:rsid w:val="00F24A15"/>
    <w:rsid w:val="00F24DE5"/>
    <w:rsid w:val="00F255ED"/>
    <w:rsid w:val="00F2575F"/>
    <w:rsid w:val="00F2577B"/>
    <w:rsid w:val="00F262CA"/>
    <w:rsid w:val="00F27565"/>
    <w:rsid w:val="00F277EA"/>
    <w:rsid w:val="00F30321"/>
    <w:rsid w:val="00F30BC8"/>
    <w:rsid w:val="00F310D4"/>
    <w:rsid w:val="00F31D5A"/>
    <w:rsid w:val="00F320F4"/>
    <w:rsid w:val="00F33975"/>
    <w:rsid w:val="00F33DE9"/>
    <w:rsid w:val="00F34CE5"/>
    <w:rsid w:val="00F35E6D"/>
    <w:rsid w:val="00F3619A"/>
    <w:rsid w:val="00F362C2"/>
    <w:rsid w:val="00F37613"/>
    <w:rsid w:val="00F404C5"/>
    <w:rsid w:val="00F40AAA"/>
    <w:rsid w:val="00F40BA7"/>
    <w:rsid w:val="00F40E2D"/>
    <w:rsid w:val="00F40F9D"/>
    <w:rsid w:val="00F41ACD"/>
    <w:rsid w:val="00F45243"/>
    <w:rsid w:val="00F46CB6"/>
    <w:rsid w:val="00F46E0A"/>
    <w:rsid w:val="00F4756D"/>
    <w:rsid w:val="00F47DE8"/>
    <w:rsid w:val="00F542C1"/>
    <w:rsid w:val="00F550E3"/>
    <w:rsid w:val="00F55E73"/>
    <w:rsid w:val="00F55EDA"/>
    <w:rsid w:val="00F56C80"/>
    <w:rsid w:val="00F60092"/>
    <w:rsid w:val="00F6072A"/>
    <w:rsid w:val="00F61C18"/>
    <w:rsid w:val="00F62EFC"/>
    <w:rsid w:val="00F65F4B"/>
    <w:rsid w:val="00F6792C"/>
    <w:rsid w:val="00F67A69"/>
    <w:rsid w:val="00F67C24"/>
    <w:rsid w:val="00F70BFF"/>
    <w:rsid w:val="00F70C9D"/>
    <w:rsid w:val="00F73E08"/>
    <w:rsid w:val="00F74CD9"/>
    <w:rsid w:val="00F80A7B"/>
    <w:rsid w:val="00F80E5D"/>
    <w:rsid w:val="00F81E78"/>
    <w:rsid w:val="00F82CFF"/>
    <w:rsid w:val="00F83916"/>
    <w:rsid w:val="00F84D9A"/>
    <w:rsid w:val="00F851CE"/>
    <w:rsid w:val="00F91219"/>
    <w:rsid w:val="00F9207B"/>
    <w:rsid w:val="00F92444"/>
    <w:rsid w:val="00F92E89"/>
    <w:rsid w:val="00F9393E"/>
    <w:rsid w:val="00F965F5"/>
    <w:rsid w:val="00F96FD0"/>
    <w:rsid w:val="00F97A78"/>
    <w:rsid w:val="00FA0B20"/>
    <w:rsid w:val="00FA24E7"/>
    <w:rsid w:val="00FA3F96"/>
    <w:rsid w:val="00FA5EE6"/>
    <w:rsid w:val="00FA742A"/>
    <w:rsid w:val="00FA7956"/>
    <w:rsid w:val="00FA7AD3"/>
    <w:rsid w:val="00FB0824"/>
    <w:rsid w:val="00FB2FCB"/>
    <w:rsid w:val="00FB3FDA"/>
    <w:rsid w:val="00FB4C9C"/>
    <w:rsid w:val="00FB54C8"/>
    <w:rsid w:val="00FB5572"/>
    <w:rsid w:val="00FB7124"/>
    <w:rsid w:val="00FB740F"/>
    <w:rsid w:val="00FB771F"/>
    <w:rsid w:val="00FB7C55"/>
    <w:rsid w:val="00FC1074"/>
    <w:rsid w:val="00FC1884"/>
    <w:rsid w:val="00FC371D"/>
    <w:rsid w:val="00FC38F5"/>
    <w:rsid w:val="00FC3C68"/>
    <w:rsid w:val="00FC41D9"/>
    <w:rsid w:val="00FC5F0B"/>
    <w:rsid w:val="00FD1053"/>
    <w:rsid w:val="00FD14C4"/>
    <w:rsid w:val="00FD2100"/>
    <w:rsid w:val="00FD2474"/>
    <w:rsid w:val="00FD2C5A"/>
    <w:rsid w:val="00FD436C"/>
    <w:rsid w:val="00FD446D"/>
    <w:rsid w:val="00FD4F2C"/>
    <w:rsid w:val="00FD6394"/>
    <w:rsid w:val="00FD7C86"/>
    <w:rsid w:val="00FE0E6C"/>
    <w:rsid w:val="00FE1374"/>
    <w:rsid w:val="00FE1794"/>
    <w:rsid w:val="00FE1CDC"/>
    <w:rsid w:val="00FE1F0F"/>
    <w:rsid w:val="00FE2634"/>
    <w:rsid w:val="00FE2DFB"/>
    <w:rsid w:val="00FE38D0"/>
    <w:rsid w:val="00FE39E8"/>
    <w:rsid w:val="00FE3EC4"/>
    <w:rsid w:val="00FE50FC"/>
    <w:rsid w:val="00FE5EF9"/>
    <w:rsid w:val="00FE70C3"/>
    <w:rsid w:val="00FF0BD7"/>
    <w:rsid w:val="00FF1A8B"/>
    <w:rsid w:val="00FF2AD9"/>
    <w:rsid w:val="00FF3436"/>
    <w:rsid w:val="00FF359F"/>
    <w:rsid w:val="00FF37E3"/>
    <w:rsid w:val="00FF3DC3"/>
    <w:rsid w:val="00FF3DCF"/>
    <w:rsid w:val="00FF492C"/>
    <w:rsid w:val="00FF4A21"/>
    <w:rsid w:val="00FF5AA3"/>
    <w:rsid w:val="00FF5AD8"/>
    <w:rsid w:val="00FF6B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5"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260"/>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RUS List,Noise heading,Credits,Number abc,a List Paragraph,Text,Cell bullets,Rec para,alphabet listin"/>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RUS List Char,Noise heading Char,Credits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Dossier table,Section 3- footnotes,Summary Table,MSD Table Grid,PBAC table,HTAtableplain,new style,RTI AMCP Table,Table Grid nm,PHE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D7EA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B76DF"/>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AF0FC0"/>
    <w:pPr>
      <w:jc w:val="center"/>
    </w:pPr>
    <w:rPr>
      <w:rFonts w:cs="Calibri"/>
      <w:noProof/>
    </w:rPr>
  </w:style>
  <w:style w:type="character" w:customStyle="1" w:styleId="ListBulletChar">
    <w:name w:val="List Bullet Char"/>
    <w:basedOn w:val="DefaultParagraphFont"/>
    <w:link w:val="ListBullet"/>
    <w:rsid w:val="00AF0FC0"/>
    <w:rPr>
      <w:rFonts w:ascii="Calibri" w:hAnsi="Calibri" w:cs="Arial"/>
      <w:sz w:val="24"/>
      <w:szCs w:val="24"/>
    </w:rPr>
  </w:style>
  <w:style w:type="character" w:customStyle="1" w:styleId="EndNoteBibliographyTitleChar">
    <w:name w:val="EndNote Bibliography Title Char"/>
    <w:basedOn w:val="ListBulletChar"/>
    <w:link w:val="EndNoteBibliographyTitle"/>
    <w:rsid w:val="00AF0FC0"/>
    <w:rPr>
      <w:rFonts w:ascii="Calibri" w:hAnsi="Calibri" w:cs="Calibri"/>
      <w:noProof/>
      <w:sz w:val="24"/>
      <w:szCs w:val="24"/>
    </w:rPr>
  </w:style>
  <w:style w:type="paragraph" w:customStyle="1" w:styleId="EndNoteBibliography">
    <w:name w:val="EndNote Bibliography"/>
    <w:basedOn w:val="Normal"/>
    <w:link w:val="EndNoteBibliographyChar"/>
    <w:rsid w:val="00AF0FC0"/>
    <w:rPr>
      <w:rFonts w:cs="Calibri"/>
      <w:noProof/>
    </w:rPr>
  </w:style>
  <w:style w:type="character" w:customStyle="1" w:styleId="EndNoteBibliographyChar">
    <w:name w:val="EndNote Bibliography Char"/>
    <w:basedOn w:val="ListBulletChar"/>
    <w:link w:val="EndNoteBibliography"/>
    <w:rsid w:val="00AF0FC0"/>
    <w:rPr>
      <w:rFonts w:ascii="Calibri" w:hAnsi="Calibri" w:cs="Calibri"/>
      <w:noProof/>
      <w:sz w:val="24"/>
      <w:szCs w:val="24"/>
    </w:rPr>
  </w:style>
  <w:style w:type="character" w:customStyle="1" w:styleId="normaltextrun">
    <w:name w:val="normaltextrun"/>
    <w:basedOn w:val="DefaultParagraphFont"/>
    <w:rsid w:val="00343553"/>
  </w:style>
  <w:style w:type="character" w:customStyle="1" w:styleId="eop">
    <w:name w:val="eop"/>
    <w:basedOn w:val="DefaultParagraphFont"/>
    <w:rsid w:val="001F43F5"/>
  </w:style>
  <w:style w:type="character" w:customStyle="1" w:styleId="TableFigureFooterChar">
    <w:name w:val="Table/Figure Footer Char"/>
    <w:link w:val="TableFigureFooter"/>
    <w:locked/>
    <w:rsid w:val="007C5F59"/>
    <w:rPr>
      <w:rFonts w:ascii="Arial Narrow" w:hAnsi="Arial Narrow" w:cs="Arial"/>
      <w:sz w:val="18"/>
      <w:szCs w:val="22"/>
    </w:rPr>
  </w:style>
  <w:style w:type="paragraph" w:customStyle="1" w:styleId="TableFigureFooter">
    <w:name w:val="Table/Figure Footer"/>
    <w:basedOn w:val="Normal"/>
    <w:link w:val="TableFigureFooterChar"/>
    <w:qFormat/>
    <w:rsid w:val="007C5F59"/>
    <w:pPr>
      <w:snapToGrid w:val="0"/>
      <w:spacing w:after="120"/>
      <w:contextualSpacing/>
    </w:pPr>
    <w:rPr>
      <w:rFonts w:ascii="Arial Narrow" w:hAnsi="Arial Narrow"/>
      <w:sz w:val="18"/>
      <w:szCs w:val="22"/>
    </w:rPr>
  </w:style>
  <w:style w:type="paragraph" w:customStyle="1" w:styleId="paragraph">
    <w:name w:val="paragraph"/>
    <w:basedOn w:val="Normal"/>
    <w:rsid w:val="00217A74"/>
    <w:pPr>
      <w:spacing w:before="100" w:beforeAutospacing="1" w:after="100" w:afterAutospacing="1"/>
      <w:jc w:val="left"/>
    </w:pPr>
    <w:rPr>
      <w:rFonts w:ascii="Times New Roman" w:hAnsi="Times New Roman" w:cs="Times New Roman"/>
      <w:lang w:eastAsia="zh-CN"/>
    </w:rPr>
  </w:style>
  <w:style w:type="table" w:customStyle="1" w:styleId="PBACTableStyle">
    <w:name w:val="PBAC Table Style"/>
    <w:basedOn w:val="TableGrid1"/>
    <w:uiPriority w:val="99"/>
    <w:rsid w:val="00F234FA"/>
    <w:pPr>
      <w:widowControl w:val="0"/>
      <w:spacing w:before="120"/>
      <w:contextualSpacing/>
      <w:jc w:val="center"/>
    </w:pPr>
    <w:rPr>
      <w:rFonts w:ascii="Arial Narrow" w:eastAsiaTheme="minorHAnsi" w:hAnsi="Arial Narrow" w:cstheme="minorBidi"/>
      <w:color w:val="000000" w:themeColor="text1"/>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Autospacing="0" w:afterLines="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Autospacing="0" w:afterLines="0" w:afterAutospacing="0" w:line="240" w:lineRule="auto"/>
        <w:ind w:leftChars="0" w:left="0" w:rightChars="0" w:right="0"/>
        <w:contextualSpacing/>
        <w:jc w:val="left"/>
      </w:pPr>
      <w:rPr>
        <w:rFonts w:ascii="Times" w:hAnsi="Times"/>
        <w:sz w:val="20"/>
      </w:rPr>
    </w:tblStylePr>
    <w:tblStylePr w:type="lastCol">
      <w:pPr>
        <w:wordWrap/>
        <w:spacing w:beforeLines="0" w:beforeAutospacing="0" w:afterLines="0" w:afterAutospacing="0" w:line="240" w:lineRule="auto"/>
        <w:ind w:leftChars="0" w:left="0" w:rightChars="0" w:right="0" w:firstLineChars="0" w:firstLine="0"/>
      </w:pPr>
      <w:rPr>
        <w:rFonts w:ascii="Times" w:hAnsi="Time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F234F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F058D5"/>
    <w:pPr>
      <w:widowControl w:val="0"/>
      <w:autoSpaceDE w:val="0"/>
      <w:autoSpaceDN w:val="0"/>
      <w:spacing w:before="35"/>
      <w:ind w:left="114"/>
      <w:jc w:val="left"/>
    </w:pPr>
    <w:rPr>
      <w:rFonts w:ascii="Arial Narrow" w:eastAsia="Arial Narrow" w:hAnsi="Arial Narrow" w:cs="Arial Narrow"/>
      <w:sz w:val="22"/>
      <w:szCs w:val="22"/>
      <w:lang w:bidi="en-AU"/>
    </w:rPr>
  </w:style>
  <w:style w:type="paragraph" w:styleId="FootnoteText">
    <w:name w:val="footnote text"/>
    <w:basedOn w:val="Normal"/>
    <w:link w:val="FootnoteTextChar"/>
    <w:uiPriority w:val="99"/>
    <w:semiHidden/>
    <w:unhideWhenUsed/>
    <w:rsid w:val="000354B1"/>
    <w:rPr>
      <w:sz w:val="20"/>
      <w:szCs w:val="20"/>
    </w:rPr>
  </w:style>
  <w:style w:type="character" w:customStyle="1" w:styleId="FootnoteTextChar">
    <w:name w:val="Footnote Text Char"/>
    <w:basedOn w:val="DefaultParagraphFont"/>
    <w:link w:val="FootnoteText"/>
    <w:uiPriority w:val="99"/>
    <w:semiHidden/>
    <w:rsid w:val="000354B1"/>
    <w:rPr>
      <w:rFonts w:ascii="Calibri" w:hAnsi="Calibri" w:cs="Arial"/>
    </w:rPr>
  </w:style>
  <w:style w:type="character" w:styleId="FootnoteReference">
    <w:name w:val="footnote reference"/>
    <w:basedOn w:val="DefaultParagraphFont"/>
    <w:uiPriority w:val="99"/>
    <w:unhideWhenUsed/>
    <w:rsid w:val="000354B1"/>
    <w:rPr>
      <w:vertAlign w:val="superscript"/>
    </w:rPr>
  </w:style>
  <w:style w:type="paragraph" w:customStyle="1" w:styleId="pf0">
    <w:name w:val="pf0"/>
    <w:basedOn w:val="Normal"/>
    <w:rsid w:val="008734A0"/>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8734A0"/>
    <w:rPr>
      <w:rFonts w:ascii="Segoe UI" w:hAnsi="Segoe UI" w:cs="Segoe UI" w:hint="default"/>
      <w:sz w:val="18"/>
      <w:szCs w:val="18"/>
    </w:rPr>
  </w:style>
  <w:style w:type="character" w:customStyle="1" w:styleId="ui-provider">
    <w:name w:val="ui-provider"/>
    <w:basedOn w:val="DefaultParagraphFont"/>
    <w:rsid w:val="00A97069"/>
  </w:style>
  <w:style w:type="paragraph" w:customStyle="1" w:styleId="InstructionalText">
    <w:name w:val="Instructional Text"/>
    <w:basedOn w:val="Normal"/>
    <w:link w:val="InstructionalTextChar"/>
    <w:uiPriority w:val="3"/>
    <w:qFormat/>
    <w:rsid w:val="00D734AF"/>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D734AF"/>
    <w:rPr>
      <w:rFonts w:asciiTheme="minorHAnsi" w:eastAsiaTheme="minorHAnsi" w:hAnsiTheme="minorHAnsi" w:cstheme="minorHAnsi"/>
      <w:color w:val="3366FF"/>
      <w:sz w:val="24"/>
      <w:szCs w:val="22"/>
      <w:lang w:eastAsia="en-US"/>
    </w:rPr>
  </w:style>
  <w:style w:type="paragraph" w:styleId="EndnoteText">
    <w:name w:val="endnote text"/>
    <w:basedOn w:val="Normal"/>
    <w:link w:val="EndnoteTextChar"/>
    <w:uiPriority w:val="99"/>
    <w:semiHidden/>
    <w:unhideWhenUsed/>
    <w:rsid w:val="00D734AF"/>
    <w:pPr>
      <w:jc w:val="left"/>
    </w:pPr>
    <w:rPr>
      <w:rFonts w:ascii="Arial" w:eastAsiaTheme="minorHAnsi" w:hAnsi="Arial" w:cstheme="minorBidi"/>
      <w:sz w:val="20"/>
      <w:szCs w:val="20"/>
      <w:lang w:eastAsia="en-US"/>
    </w:rPr>
  </w:style>
  <w:style w:type="character" w:customStyle="1" w:styleId="EndnoteTextChar">
    <w:name w:val="Endnote Text Char"/>
    <w:basedOn w:val="DefaultParagraphFont"/>
    <w:link w:val="EndnoteText"/>
    <w:uiPriority w:val="99"/>
    <w:semiHidden/>
    <w:rsid w:val="00D734AF"/>
    <w:rPr>
      <w:rFonts w:ascii="Arial" w:eastAsiaTheme="minorHAnsi" w:hAnsi="Arial" w:cstheme="minorBidi"/>
      <w:lang w:eastAsia="en-US"/>
    </w:rPr>
  </w:style>
  <w:style w:type="character" w:styleId="UnresolvedMention">
    <w:name w:val="Unresolved Mention"/>
    <w:basedOn w:val="DefaultParagraphFont"/>
    <w:uiPriority w:val="99"/>
    <w:semiHidden/>
    <w:unhideWhenUsed/>
    <w:rsid w:val="00D734AF"/>
    <w:rPr>
      <w:color w:val="605E5C"/>
      <w:shd w:val="clear" w:color="auto" w:fill="E1DFDD"/>
    </w:rPr>
  </w:style>
  <w:style w:type="paragraph" w:customStyle="1" w:styleId="xmsonormal">
    <w:name w:val="x_msonormal"/>
    <w:basedOn w:val="Normal"/>
    <w:rsid w:val="00D734AF"/>
    <w:pPr>
      <w:spacing w:before="100" w:beforeAutospacing="1" w:after="100" w:afterAutospacing="1"/>
      <w:jc w:val="left"/>
    </w:pPr>
    <w:rPr>
      <w:rFonts w:ascii="Times New Roman" w:hAnsi="Times New Roman" w:cs="Times New Roman"/>
    </w:rPr>
  </w:style>
  <w:style w:type="character" w:customStyle="1" w:styleId="Heading1Char">
    <w:name w:val="Heading 1 Char"/>
    <w:basedOn w:val="DefaultParagraphFont"/>
    <w:link w:val="Heading1"/>
    <w:uiPriority w:val="9"/>
    <w:rsid w:val="0062302F"/>
    <w:rPr>
      <w:rFonts w:ascii="Calibri" w:hAnsi="Calibri" w:cs="Arial"/>
      <w:b/>
      <w:caps/>
      <w:sz w:val="32"/>
      <w:szCs w:val="24"/>
    </w:rPr>
  </w:style>
  <w:style w:type="paragraph" w:customStyle="1" w:styleId="tabletext1">
    <w:name w:val="table text"/>
    <w:basedOn w:val="Normal"/>
    <w:qFormat/>
    <w:rsid w:val="0062302F"/>
    <w:pPr>
      <w:jc w:val="left"/>
    </w:pPr>
    <w:rPr>
      <w:rFonts w:ascii="Arial" w:hAnsi="Arial"/>
      <w:sz w:val="20"/>
      <w:szCs w:val="20"/>
      <w:lang w:val="en-GB" w:eastAsia="en-GB"/>
      <w14:ligatures w14:val="standardContextual"/>
    </w:rPr>
  </w:style>
  <w:style w:type="paragraph" w:customStyle="1" w:styleId="Bullets">
    <w:name w:val="Bullets"/>
    <w:basedOn w:val="Normal"/>
    <w:link w:val="BulletsChar"/>
    <w:uiPriority w:val="5"/>
    <w:qFormat/>
    <w:rsid w:val="0062302F"/>
    <w:pPr>
      <w:spacing w:after="120"/>
      <w:jc w:val="left"/>
    </w:pPr>
    <w:rPr>
      <w:rFonts w:ascii="Arial" w:eastAsia="SimSun" w:hAnsi="Arial" w:cs="Times New Roman"/>
      <w:sz w:val="22"/>
      <w:lang w:val="en-GB" w:eastAsia="en-GB"/>
    </w:rPr>
  </w:style>
  <w:style w:type="character" w:customStyle="1" w:styleId="BulletsChar">
    <w:name w:val="Bullets Char"/>
    <w:basedOn w:val="DefaultParagraphFont"/>
    <w:link w:val="Bullets"/>
    <w:uiPriority w:val="5"/>
    <w:rsid w:val="0062302F"/>
    <w:rPr>
      <w:rFonts w:ascii="Arial" w:eastAsia="SimSun" w:hAnsi="Arial"/>
      <w:sz w:val="22"/>
      <w:szCs w:val="24"/>
      <w:lang w:val="en-GB" w:eastAsia="en-GB"/>
    </w:rPr>
  </w:style>
  <w:style w:type="paragraph" w:customStyle="1" w:styleId="Normaltext">
    <w:name w:val="Normal text"/>
    <w:link w:val="NormaltextChar"/>
    <w:qFormat/>
    <w:rsid w:val="0062302F"/>
    <w:pPr>
      <w:spacing w:after="240"/>
    </w:pPr>
    <w:rPr>
      <w:rFonts w:ascii="Arial" w:eastAsia="SimSun" w:hAnsi="Arial"/>
      <w:sz w:val="22"/>
      <w:szCs w:val="24"/>
      <w:lang w:val="en-GB" w:eastAsia="en-US"/>
    </w:rPr>
  </w:style>
  <w:style w:type="character" w:customStyle="1" w:styleId="NormaltextChar">
    <w:name w:val="Normal text Char"/>
    <w:link w:val="Normaltext"/>
    <w:rsid w:val="0062302F"/>
    <w:rPr>
      <w:rFonts w:ascii="Arial" w:eastAsia="SimSun" w:hAnsi="Arial"/>
      <w:sz w:val="22"/>
      <w:szCs w:val="24"/>
      <w:lang w:val="en-GB" w:eastAsia="en-US"/>
    </w:rPr>
  </w:style>
  <w:style w:type="table" w:customStyle="1" w:styleId="TableGrid10">
    <w:name w:val="Table Grid1"/>
    <w:basedOn w:val="TableNormal"/>
    <w:next w:val="TableGrid"/>
    <w:uiPriority w:val="39"/>
    <w:rsid w:val="00623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4146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2">
    <w:name w:val="AZ Table2"/>
    <w:basedOn w:val="TableNormal"/>
    <w:uiPriority w:val="99"/>
    <w:rsid w:val="004146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RTIAMCPTable1">
    <w:name w:val="RTI AMCP Table1"/>
    <w:basedOn w:val="TableNormal"/>
    <w:next w:val="TableGrid"/>
    <w:uiPriority w:val="39"/>
    <w:rsid w:val="00414672"/>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
    <w:name w:val="HTA Table shaded"/>
    <w:basedOn w:val="TableNormal"/>
    <w:rsid w:val="00EE551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3-SubsectionHeading">
    <w:name w:val="3-Subsection Heading"/>
    <w:basedOn w:val="Heading2"/>
    <w:next w:val="Normal"/>
    <w:link w:val="3-SubsectionHeadingChar"/>
    <w:qFormat/>
    <w:rsid w:val="005B562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B5622"/>
    <w:rPr>
      <w:rFonts w:asciiTheme="minorHAnsi" w:eastAsiaTheme="majorEastAsia" w:hAnsiTheme="minorHAnsi" w:cstheme="majorBidi"/>
      <w:b/>
      <w:i/>
      <w:snapToGrid/>
      <w:spacing w:val="5"/>
      <w:kern w:val="28"/>
      <w:sz w:val="28"/>
      <w:szCs w:val="36"/>
      <w:lang w:eastAsia="en-US"/>
    </w:rPr>
  </w:style>
  <w:style w:type="paragraph" w:customStyle="1" w:styleId="TableBullet">
    <w:name w:val="Table Bullet"/>
    <w:basedOn w:val="TableText0"/>
    <w:qFormat/>
    <w:rsid w:val="00B065BF"/>
    <w:pPr>
      <w:keepNext w:val="0"/>
      <w:numPr>
        <w:numId w:val="29"/>
      </w:numPr>
      <w:spacing w:before="40" w:after="40" w:line="276" w:lineRule="auto"/>
    </w:pPr>
    <w:rPr>
      <w:rFonts w:eastAsiaTheme="minorHAnsi" w:cs="Calibri (Body)"/>
      <w:bCs w:val="0"/>
      <w:szCs w:val="20"/>
      <w:lang w:eastAsia="en-US"/>
    </w:rPr>
  </w:style>
  <w:style w:type="paragraph" w:customStyle="1" w:styleId="Tabletitle">
    <w:name w:val="Table title"/>
    <w:basedOn w:val="Normal"/>
    <w:link w:val="TabletitleChar"/>
    <w:qFormat/>
    <w:rsid w:val="00AD4786"/>
    <w:pPr>
      <w:jc w:val="left"/>
    </w:pPr>
    <w:rPr>
      <w:rFonts w:ascii="Arial Narrow" w:eastAsia="Calibri" w:hAnsi="Arial Narrow"/>
      <w:b/>
      <w:sz w:val="20"/>
      <w:szCs w:val="20"/>
    </w:rPr>
  </w:style>
  <w:style w:type="character" w:customStyle="1" w:styleId="TabletitleChar">
    <w:name w:val="Table title Char"/>
    <w:basedOn w:val="DefaultParagraphFont"/>
    <w:link w:val="Tabletitle"/>
    <w:rsid w:val="00AD4786"/>
    <w:rPr>
      <w:rFonts w:ascii="Arial Narrow" w:eastAsia="Calibri" w:hAnsi="Arial Narrow" w:cs="Arial"/>
      <w:b/>
    </w:rPr>
  </w:style>
  <w:style w:type="paragraph" w:customStyle="1" w:styleId="COMTabletext">
    <w:name w:val="COM Table text"/>
    <w:link w:val="COMTabletextChar"/>
    <w:qFormat/>
    <w:rsid w:val="00AD478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AD4786"/>
    <w:rPr>
      <w:rFonts w:ascii="Arial Narrow" w:eastAsiaTheme="majorEastAsia" w:hAnsi="Arial Narrow" w:cstheme="majorBidi"/>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872">
      <w:bodyDiv w:val="1"/>
      <w:marLeft w:val="0"/>
      <w:marRight w:val="0"/>
      <w:marTop w:val="0"/>
      <w:marBottom w:val="0"/>
      <w:divBdr>
        <w:top w:val="none" w:sz="0" w:space="0" w:color="auto"/>
        <w:left w:val="none" w:sz="0" w:space="0" w:color="auto"/>
        <w:bottom w:val="none" w:sz="0" w:space="0" w:color="auto"/>
        <w:right w:val="none" w:sz="0" w:space="0" w:color="auto"/>
      </w:divBdr>
    </w:div>
    <w:div w:id="14817130">
      <w:bodyDiv w:val="1"/>
      <w:marLeft w:val="0"/>
      <w:marRight w:val="0"/>
      <w:marTop w:val="0"/>
      <w:marBottom w:val="0"/>
      <w:divBdr>
        <w:top w:val="none" w:sz="0" w:space="0" w:color="auto"/>
        <w:left w:val="none" w:sz="0" w:space="0" w:color="auto"/>
        <w:bottom w:val="none" w:sz="0" w:space="0" w:color="auto"/>
        <w:right w:val="none" w:sz="0" w:space="0" w:color="auto"/>
      </w:divBdr>
    </w:div>
    <w:div w:id="57099209">
      <w:bodyDiv w:val="1"/>
      <w:marLeft w:val="0"/>
      <w:marRight w:val="0"/>
      <w:marTop w:val="0"/>
      <w:marBottom w:val="0"/>
      <w:divBdr>
        <w:top w:val="none" w:sz="0" w:space="0" w:color="auto"/>
        <w:left w:val="none" w:sz="0" w:space="0" w:color="auto"/>
        <w:bottom w:val="none" w:sz="0" w:space="0" w:color="auto"/>
        <w:right w:val="none" w:sz="0" w:space="0" w:color="auto"/>
      </w:divBdr>
    </w:div>
    <w:div w:id="9976062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021106">
      <w:bodyDiv w:val="1"/>
      <w:marLeft w:val="0"/>
      <w:marRight w:val="0"/>
      <w:marTop w:val="0"/>
      <w:marBottom w:val="0"/>
      <w:divBdr>
        <w:top w:val="none" w:sz="0" w:space="0" w:color="auto"/>
        <w:left w:val="none" w:sz="0" w:space="0" w:color="auto"/>
        <w:bottom w:val="none" w:sz="0" w:space="0" w:color="auto"/>
        <w:right w:val="none" w:sz="0" w:space="0" w:color="auto"/>
      </w:divBdr>
    </w:div>
    <w:div w:id="196160757">
      <w:bodyDiv w:val="1"/>
      <w:marLeft w:val="0"/>
      <w:marRight w:val="0"/>
      <w:marTop w:val="0"/>
      <w:marBottom w:val="0"/>
      <w:divBdr>
        <w:top w:val="none" w:sz="0" w:space="0" w:color="auto"/>
        <w:left w:val="none" w:sz="0" w:space="0" w:color="auto"/>
        <w:bottom w:val="none" w:sz="0" w:space="0" w:color="auto"/>
        <w:right w:val="none" w:sz="0" w:space="0" w:color="auto"/>
      </w:divBdr>
    </w:div>
    <w:div w:id="202331000">
      <w:bodyDiv w:val="1"/>
      <w:marLeft w:val="0"/>
      <w:marRight w:val="0"/>
      <w:marTop w:val="0"/>
      <w:marBottom w:val="0"/>
      <w:divBdr>
        <w:top w:val="none" w:sz="0" w:space="0" w:color="auto"/>
        <w:left w:val="none" w:sz="0" w:space="0" w:color="auto"/>
        <w:bottom w:val="none" w:sz="0" w:space="0" w:color="auto"/>
        <w:right w:val="none" w:sz="0" w:space="0" w:color="auto"/>
      </w:divBdr>
    </w:div>
    <w:div w:id="209223438">
      <w:bodyDiv w:val="1"/>
      <w:marLeft w:val="0"/>
      <w:marRight w:val="0"/>
      <w:marTop w:val="0"/>
      <w:marBottom w:val="0"/>
      <w:divBdr>
        <w:top w:val="none" w:sz="0" w:space="0" w:color="auto"/>
        <w:left w:val="none" w:sz="0" w:space="0" w:color="auto"/>
        <w:bottom w:val="none" w:sz="0" w:space="0" w:color="auto"/>
        <w:right w:val="none" w:sz="0" w:space="0" w:color="auto"/>
      </w:divBdr>
    </w:div>
    <w:div w:id="224265309">
      <w:bodyDiv w:val="1"/>
      <w:marLeft w:val="0"/>
      <w:marRight w:val="0"/>
      <w:marTop w:val="0"/>
      <w:marBottom w:val="0"/>
      <w:divBdr>
        <w:top w:val="none" w:sz="0" w:space="0" w:color="auto"/>
        <w:left w:val="none" w:sz="0" w:space="0" w:color="auto"/>
        <w:bottom w:val="none" w:sz="0" w:space="0" w:color="auto"/>
        <w:right w:val="none" w:sz="0" w:space="0" w:color="auto"/>
      </w:divBdr>
    </w:div>
    <w:div w:id="233316179">
      <w:bodyDiv w:val="1"/>
      <w:marLeft w:val="0"/>
      <w:marRight w:val="0"/>
      <w:marTop w:val="0"/>
      <w:marBottom w:val="0"/>
      <w:divBdr>
        <w:top w:val="none" w:sz="0" w:space="0" w:color="auto"/>
        <w:left w:val="none" w:sz="0" w:space="0" w:color="auto"/>
        <w:bottom w:val="none" w:sz="0" w:space="0" w:color="auto"/>
        <w:right w:val="none" w:sz="0" w:space="0" w:color="auto"/>
      </w:divBdr>
    </w:div>
    <w:div w:id="30115349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2973770">
      <w:bodyDiv w:val="1"/>
      <w:marLeft w:val="0"/>
      <w:marRight w:val="0"/>
      <w:marTop w:val="0"/>
      <w:marBottom w:val="0"/>
      <w:divBdr>
        <w:top w:val="none" w:sz="0" w:space="0" w:color="auto"/>
        <w:left w:val="none" w:sz="0" w:space="0" w:color="auto"/>
        <w:bottom w:val="none" w:sz="0" w:space="0" w:color="auto"/>
        <w:right w:val="none" w:sz="0" w:space="0" w:color="auto"/>
      </w:divBdr>
    </w:div>
    <w:div w:id="372772946">
      <w:bodyDiv w:val="1"/>
      <w:marLeft w:val="0"/>
      <w:marRight w:val="0"/>
      <w:marTop w:val="0"/>
      <w:marBottom w:val="0"/>
      <w:divBdr>
        <w:top w:val="none" w:sz="0" w:space="0" w:color="auto"/>
        <w:left w:val="none" w:sz="0" w:space="0" w:color="auto"/>
        <w:bottom w:val="none" w:sz="0" w:space="0" w:color="auto"/>
        <w:right w:val="none" w:sz="0" w:space="0" w:color="auto"/>
      </w:divBdr>
    </w:div>
    <w:div w:id="385840063">
      <w:bodyDiv w:val="1"/>
      <w:marLeft w:val="0"/>
      <w:marRight w:val="0"/>
      <w:marTop w:val="0"/>
      <w:marBottom w:val="0"/>
      <w:divBdr>
        <w:top w:val="none" w:sz="0" w:space="0" w:color="auto"/>
        <w:left w:val="none" w:sz="0" w:space="0" w:color="auto"/>
        <w:bottom w:val="none" w:sz="0" w:space="0" w:color="auto"/>
        <w:right w:val="none" w:sz="0" w:space="0" w:color="auto"/>
      </w:divBdr>
    </w:div>
    <w:div w:id="396438964">
      <w:bodyDiv w:val="1"/>
      <w:marLeft w:val="0"/>
      <w:marRight w:val="0"/>
      <w:marTop w:val="0"/>
      <w:marBottom w:val="0"/>
      <w:divBdr>
        <w:top w:val="none" w:sz="0" w:space="0" w:color="auto"/>
        <w:left w:val="none" w:sz="0" w:space="0" w:color="auto"/>
        <w:bottom w:val="none" w:sz="0" w:space="0" w:color="auto"/>
        <w:right w:val="none" w:sz="0" w:space="0" w:color="auto"/>
      </w:divBdr>
    </w:div>
    <w:div w:id="458109410">
      <w:bodyDiv w:val="1"/>
      <w:marLeft w:val="0"/>
      <w:marRight w:val="0"/>
      <w:marTop w:val="0"/>
      <w:marBottom w:val="0"/>
      <w:divBdr>
        <w:top w:val="none" w:sz="0" w:space="0" w:color="auto"/>
        <w:left w:val="none" w:sz="0" w:space="0" w:color="auto"/>
        <w:bottom w:val="none" w:sz="0" w:space="0" w:color="auto"/>
        <w:right w:val="none" w:sz="0" w:space="0" w:color="auto"/>
      </w:divBdr>
    </w:div>
    <w:div w:id="544488327">
      <w:bodyDiv w:val="1"/>
      <w:marLeft w:val="0"/>
      <w:marRight w:val="0"/>
      <w:marTop w:val="0"/>
      <w:marBottom w:val="0"/>
      <w:divBdr>
        <w:top w:val="none" w:sz="0" w:space="0" w:color="auto"/>
        <w:left w:val="none" w:sz="0" w:space="0" w:color="auto"/>
        <w:bottom w:val="none" w:sz="0" w:space="0" w:color="auto"/>
        <w:right w:val="none" w:sz="0" w:space="0" w:color="auto"/>
      </w:divBdr>
    </w:div>
    <w:div w:id="564335026">
      <w:bodyDiv w:val="1"/>
      <w:marLeft w:val="0"/>
      <w:marRight w:val="0"/>
      <w:marTop w:val="0"/>
      <w:marBottom w:val="0"/>
      <w:divBdr>
        <w:top w:val="none" w:sz="0" w:space="0" w:color="auto"/>
        <w:left w:val="none" w:sz="0" w:space="0" w:color="auto"/>
        <w:bottom w:val="none" w:sz="0" w:space="0" w:color="auto"/>
        <w:right w:val="none" w:sz="0" w:space="0" w:color="auto"/>
      </w:divBdr>
    </w:div>
    <w:div w:id="573589995">
      <w:bodyDiv w:val="1"/>
      <w:marLeft w:val="0"/>
      <w:marRight w:val="0"/>
      <w:marTop w:val="0"/>
      <w:marBottom w:val="0"/>
      <w:divBdr>
        <w:top w:val="none" w:sz="0" w:space="0" w:color="auto"/>
        <w:left w:val="none" w:sz="0" w:space="0" w:color="auto"/>
        <w:bottom w:val="none" w:sz="0" w:space="0" w:color="auto"/>
        <w:right w:val="none" w:sz="0" w:space="0" w:color="auto"/>
      </w:divBdr>
    </w:div>
    <w:div w:id="583075729">
      <w:bodyDiv w:val="1"/>
      <w:marLeft w:val="0"/>
      <w:marRight w:val="0"/>
      <w:marTop w:val="0"/>
      <w:marBottom w:val="0"/>
      <w:divBdr>
        <w:top w:val="none" w:sz="0" w:space="0" w:color="auto"/>
        <w:left w:val="none" w:sz="0" w:space="0" w:color="auto"/>
        <w:bottom w:val="none" w:sz="0" w:space="0" w:color="auto"/>
        <w:right w:val="none" w:sz="0" w:space="0" w:color="auto"/>
      </w:divBdr>
    </w:div>
    <w:div w:id="639729590">
      <w:bodyDiv w:val="1"/>
      <w:marLeft w:val="0"/>
      <w:marRight w:val="0"/>
      <w:marTop w:val="0"/>
      <w:marBottom w:val="0"/>
      <w:divBdr>
        <w:top w:val="none" w:sz="0" w:space="0" w:color="auto"/>
        <w:left w:val="none" w:sz="0" w:space="0" w:color="auto"/>
        <w:bottom w:val="none" w:sz="0" w:space="0" w:color="auto"/>
        <w:right w:val="none" w:sz="0" w:space="0" w:color="auto"/>
      </w:divBdr>
    </w:div>
    <w:div w:id="647779760">
      <w:bodyDiv w:val="1"/>
      <w:marLeft w:val="0"/>
      <w:marRight w:val="0"/>
      <w:marTop w:val="0"/>
      <w:marBottom w:val="0"/>
      <w:divBdr>
        <w:top w:val="none" w:sz="0" w:space="0" w:color="auto"/>
        <w:left w:val="none" w:sz="0" w:space="0" w:color="auto"/>
        <w:bottom w:val="none" w:sz="0" w:space="0" w:color="auto"/>
        <w:right w:val="none" w:sz="0" w:space="0" w:color="auto"/>
      </w:divBdr>
    </w:div>
    <w:div w:id="707997781">
      <w:bodyDiv w:val="1"/>
      <w:marLeft w:val="0"/>
      <w:marRight w:val="0"/>
      <w:marTop w:val="0"/>
      <w:marBottom w:val="0"/>
      <w:divBdr>
        <w:top w:val="none" w:sz="0" w:space="0" w:color="auto"/>
        <w:left w:val="none" w:sz="0" w:space="0" w:color="auto"/>
        <w:bottom w:val="none" w:sz="0" w:space="0" w:color="auto"/>
        <w:right w:val="none" w:sz="0" w:space="0" w:color="auto"/>
      </w:divBdr>
    </w:div>
    <w:div w:id="738476728">
      <w:bodyDiv w:val="1"/>
      <w:marLeft w:val="0"/>
      <w:marRight w:val="0"/>
      <w:marTop w:val="0"/>
      <w:marBottom w:val="0"/>
      <w:divBdr>
        <w:top w:val="none" w:sz="0" w:space="0" w:color="auto"/>
        <w:left w:val="none" w:sz="0" w:space="0" w:color="auto"/>
        <w:bottom w:val="none" w:sz="0" w:space="0" w:color="auto"/>
        <w:right w:val="none" w:sz="0" w:space="0" w:color="auto"/>
      </w:divBdr>
    </w:div>
    <w:div w:id="784925649">
      <w:bodyDiv w:val="1"/>
      <w:marLeft w:val="0"/>
      <w:marRight w:val="0"/>
      <w:marTop w:val="0"/>
      <w:marBottom w:val="0"/>
      <w:divBdr>
        <w:top w:val="none" w:sz="0" w:space="0" w:color="auto"/>
        <w:left w:val="none" w:sz="0" w:space="0" w:color="auto"/>
        <w:bottom w:val="none" w:sz="0" w:space="0" w:color="auto"/>
        <w:right w:val="none" w:sz="0" w:space="0" w:color="auto"/>
      </w:divBdr>
    </w:div>
    <w:div w:id="799494817">
      <w:bodyDiv w:val="1"/>
      <w:marLeft w:val="0"/>
      <w:marRight w:val="0"/>
      <w:marTop w:val="0"/>
      <w:marBottom w:val="0"/>
      <w:divBdr>
        <w:top w:val="none" w:sz="0" w:space="0" w:color="auto"/>
        <w:left w:val="none" w:sz="0" w:space="0" w:color="auto"/>
        <w:bottom w:val="none" w:sz="0" w:space="0" w:color="auto"/>
        <w:right w:val="none" w:sz="0" w:space="0" w:color="auto"/>
      </w:divBdr>
    </w:div>
    <w:div w:id="801071916">
      <w:bodyDiv w:val="1"/>
      <w:marLeft w:val="0"/>
      <w:marRight w:val="0"/>
      <w:marTop w:val="0"/>
      <w:marBottom w:val="0"/>
      <w:divBdr>
        <w:top w:val="none" w:sz="0" w:space="0" w:color="auto"/>
        <w:left w:val="none" w:sz="0" w:space="0" w:color="auto"/>
        <w:bottom w:val="none" w:sz="0" w:space="0" w:color="auto"/>
        <w:right w:val="none" w:sz="0" w:space="0" w:color="auto"/>
      </w:divBdr>
    </w:div>
    <w:div w:id="801653883">
      <w:bodyDiv w:val="1"/>
      <w:marLeft w:val="0"/>
      <w:marRight w:val="0"/>
      <w:marTop w:val="0"/>
      <w:marBottom w:val="0"/>
      <w:divBdr>
        <w:top w:val="none" w:sz="0" w:space="0" w:color="auto"/>
        <w:left w:val="none" w:sz="0" w:space="0" w:color="auto"/>
        <w:bottom w:val="none" w:sz="0" w:space="0" w:color="auto"/>
        <w:right w:val="none" w:sz="0" w:space="0" w:color="auto"/>
      </w:divBdr>
    </w:div>
    <w:div w:id="82597777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1820076">
      <w:bodyDiv w:val="1"/>
      <w:marLeft w:val="0"/>
      <w:marRight w:val="0"/>
      <w:marTop w:val="0"/>
      <w:marBottom w:val="0"/>
      <w:divBdr>
        <w:top w:val="none" w:sz="0" w:space="0" w:color="auto"/>
        <w:left w:val="none" w:sz="0" w:space="0" w:color="auto"/>
        <w:bottom w:val="none" w:sz="0" w:space="0" w:color="auto"/>
        <w:right w:val="none" w:sz="0" w:space="0" w:color="auto"/>
      </w:divBdr>
    </w:div>
    <w:div w:id="936252279">
      <w:bodyDiv w:val="1"/>
      <w:marLeft w:val="0"/>
      <w:marRight w:val="0"/>
      <w:marTop w:val="0"/>
      <w:marBottom w:val="0"/>
      <w:divBdr>
        <w:top w:val="none" w:sz="0" w:space="0" w:color="auto"/>
        <w:left w:val="none" w:sz="0" w:space="0" w:color="auto"/>
        <w:bottom w:val="none" w:sz="0" w:space="0" w:color="auto"/>
        <w:right w:val="none" w:sz="0" w:space="0" w:color="auto"/>
      </w:divBdr>
    </w:div>
    <w:div w:id="1075250298">
      <w:bodyDiv w:val="1"/>
      <w:marLeft w:val="0"/>
      <w:marRight w:val="0"/>
      <w:marTop w:val="0"/>
      <w:marBottom w:val="0"/>
      <w:divBdr>
        <w:top w:val="none" w:sz="0" w:space="0" w:color="auto"/>
        <w:left w:val="none" w:sz="0" w:space="0" w:color="auto"/>
        <w:bottom w:val="none" w:sz="0" w:space="0" w:color="auto"/>
        <w:right w:val="none" w:sz="0" w:space="0" w:color="auto"/>
      </w:divBdr>
    </w:div>
    <w:div w:id="1102651145">
      <w:bodyDiv w:val="1"/>
      <w:marLeft w:val="0"/>
      <w:marRight w:val="0"/>
      <w:marTop w:val="0"/>
      <w:marBottom w:val="0"/>
      <w:divBdr>
        <w:top w:val="none" w:sz="0" w:space="0" w:color="auto"/>
        <w:left w:val="none" w:sz="0" w:space="0" w:color="auto"/>
        <w:bottom w:val="none" w:sz="0" w:space="0" w:color="auto"/>
        <w:right w:val="none" w:sz="0" w:space="0" w:color="auto"/>
      </w:divBdr>
    </w:div>
    <w:div w:id="1125926514">
      <w:bodyDiv w:val="1"/>
      <w:marLeft w:val="0"/>
      <w:marRight w:val="0"/>
      <w:marTop w:val="0"/>
      <w:marBottom w:val="0"/>
      <w:divBdr>
        <w:top w:val="none" w:sz="0" w:space="0" w:color="auto"/>
        <w:left w:val="none" w:sz="0" w:space="0" w:color="auto"/>
        <w:bottom w:val="none" w:sz="0" w:space="0" w:color="auto"/>
        <w:right w:val="none" w:sz="0" w:space="0" w:color="auto"/>
      </w:divBdr>
    </w:div>
    <w:div w:id="112886251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1846697">
      <w:bodyDiv w:val="1"/>
      <w:marLeft w:val="0"/>
      <w:marRight w:val="0"/>
      <w:marTop w:val="0"/>
      <w:marBottom w:val="0"/>
      <w:divBdr>
        <w:top w:val="none" w:sz="0" w:space="0" w:color="auto"/>
        <w:left w:val="none" w:sz="0" w:space="0" w:color="auto"/>
        <w:bottom w:val="none" w:sz="0" w:space="0" w:color="auto"/>
        <w:right w:val="none" w:sz="0" w:space="0" w:color="auto"/>
      </w:divBdr>
    </w:div>
    <w:div w:id="1264269154">
      <w:bodyDiv w:val="1"/>
      <w:marLeft w:val="0"/>
      <w:marRight w:val="0"/>
      <w:marTop w:val="0"/>
      <w:marBottom w:val="0"/>
      <w:divBdr>
        <w:top w:val="none" w:sz="0" w:space="0" w:color="auto"/>
        <w:left w:val="none" w:sz="0" w:space="0" w:color="auto"/>
        <w:bottom w:val="none" w:sz="0" w:space="0" w:color="auto"/>
        <w:right w:val="none" w:sz="0" w:space="0" w:color="auto"/>
      </w:divBdr>
    </w:div>
    <w:div w:id="1294866457">
      <w:bodyDiv w:val="1"/>
      <w:marLeft w:val="0"/>
      <w:marRight w:val="0"/>
      <w:marTop w:val="0"/>
      <w:marBottom w:val="0"/>
      <w:divBdr>
        <w:top w:val="none" w:sz="0" w:space="0" w:color="auto"/>
        <w:left w:val="none" w:sz="0" w:space="0" w:color="auto"/>
        <w:bottom w:val="none" w:sz="0" w:space="0" w:color="auto"/>
        <w:right w:val="none" w:sz="0" w:space="0" w:color="auto"/>
      </w:divBdr>
    </w:div>
    <w:div w:id="1295022354">
      <w:bodyDiv w:val="1"/>
      <w:marLeft w:val="0"/>
      <w:marRight w:val="0"/>
      <w:marTop w:val="0"/>
      <w:marBottom w:val="0"/>
      <w:divBdr>
        <w:top w:val="none" w:sz="0" w:space="0" w:color="auto"/>
        <w:left w:val="none" w:sz="0" w:space="0" w:color="auto"/>
        <w:bottom w:val="none" w:sz="0" w:space="0" w:color="auto"/>
        <w:right w:val="none" w:sz="0" w:space="0" w:color="auto"/>
      </w:divBdr>
    </w:div>
    <w:div w:id="1346009249">
      <w:bodyDiv w:val="1"/>
      <w:marLeft w:val="0"/>
      <w:marRight w:val="0"/>
      <w:marTop w:val="0"/>
      <w:marBottom w:val="0"/>
      <w:divBdr>
        <w:top w:val="none" w:sz="0" w:space="0" w:color="auto"/>
        <w:left w:val="none" w:sz="0" w:space="0" w:color="auto"/>
        <w:bottom w:val="none" w:sz="0" w:space="0" w:color="auto"/>
        <w:right w:val="none" w:sz="0" w:space="0" w:color="auto"/>
      </w:divBdr>
    </w:div>
    <w:div w:id="1349212235">
      <w:bodyDiv w:val="1"/>
      <w:marLeft w:val="0"/>
      <w:marRight w:val="0"/>
      <w:marTop w:val="0"/>
      <w:marBottom w:val="0"/>
      <w:divBdr>
        <w:top w:val="none" w:sz="0" w:space="0" w:color="auto"/>
        <w:left w:val="none" w:sz="0" w:space="0" w:color="auto"/>
        <w:bottom w:val="none" w:sz="0" w:space="0" w:color="auto"/>
        <w:right w:val="none" w:sz="0" w:space="0" w:color="auto"/>
      </w:divBdr>
    </w:div>
    <w:div w:id="1483279246">
      <w:bodyDiv w:val="1"/>
      <w:marLeft w:val="0"/>
      <w:marRight w:val="0"/>
      <w:marTop w:val="0"/>
      <w:marBottom w:val="0"/>
      <w:divBdr>
        <w:top w:val="none" w:sz="0" w:space="0" w:color="auto"/>
        <w:left w:val="none" w:sz="0" w:space="0" w:color="auto"/>
        <w:bottom w:val="none" w:sz="0" w:space="0" w:color="auto"/>
        <w:right w:val="none" w:sz="0" w:space="0" w:color="auto"/>
      </w:divBdr>
    </w:div>
    <w:div w:id="1484810742">
      <w:bodyDiv w:val="1"/>
      <w:marLeft w:val="0"/>
      <w:marRight w:val="0"/>
      <w:marTop w:val="0"/>
      <w:marBottom w:val="0"/>
      <w:divBdr>
        <w:top w:val="none" w:sz="0" w:space="0" w:color="auto"/>
        <w:left w:val="none" w:sz="0" w:space="0" w:color="auto"/>
        <w:bottom w:val="none" w:sz="0" w:space="0" w:color="auto"/>
        <w:right w:val="none" w:sz="0" w:space="0" w:color="auto"/>
      </w:divBdr>
    </w:div>
    <w:div w:id="1498226721">
      <w:bodyDiv w:val="1"/>
      <w:marLeft w:val="0"/>
      <w:marRight w:val="0"/>
      <w:marTop w:val="0"/>
      <w:marBottom w:val="0"/>
      <w:divBdr>
        <w:top w:val="none" w:sz="0" w:space="0" w:color="auto"/>
        <w:left w:val="none" w:sz="0" w:space="0" w:color="auto"/>
        <w:bottom w:val="none" w:sz="0" w:space="0" w:color="auto"/>
        <w:right w:val="none" w:sz="0" w:space="0" w:color="auto"/>
      </w:divBdr>
    </w:div>
    <w:div w:id="1583682141">
      <w:bodyDiv w:val="1"/>
      <w:marLeft w:val="0"/>
      <w:marRight w:val="0"/>
      <w:marTop w:val="0"/>
      <w:marBottom w:val="0"/>
      <w:divBdr>
        <w:top w:val="none" w:sz="0" w:space="0" w:color="auto"/>
        <w:left w:val="none" w:sz="0" w:space="0" w:color="auto"/>
        <w:bottom w:val="none" w:sz="0" w:space="0" w:color="auto"/>
        <w:right w:val="none" w:sz="0" w:space="0" w:color="auto"/>
      </w:divBdr>
    </w:div>
    <w:div w:id="1591043483">
      <w:bodyDiv w:val="1"/>
      <w:marLeft w:val="0"/>
      <w:marRight w:val="0"/>
      <w:marTop w:val="0"/>
      <w:marBottom w:val="0"/>
      <w:divBdr>
        <w:top w:val="none" w:sz="0" w:space="0" w:color="auto"/>
        <w:left w:val="none" w:sz="0" w:space="0" w:color="auto"/>
        <w:bottom w:val="none" w:sz="0" w:space="0" w:color="auto"/>
        <w:right w:val="none" w:sz="0" w:space="0" w:color="auto"/>
      </w:divBdr>
    </w:div>
    <w:div w:id="1654525851">
      <w:bodyDiv w:val="1"/>
      <w:marLeft w:val="0"/>
      <w:marRight w:val="0"/>
      <w:marTop w:val="0"/>
      <w:marBottom w:val="0"/>
      <w:divBdr>
        <w:top w:val="none" w:sz="0" w:space="0" w:color="auto"/>
        <w:left w:val="none" w:sz="0" w:space="0" w:color="auto"/>
        <w:bottom w:val="none" w:sz="0" w:space="0" w:color="auto"/>
        <w:right w:val="none" w:sz="0" w:space="0" w:color="auto"/>
      </w:divBdr>
    </w:div>
    <w:div w:id="1714647468">
      <w:bodyDiv w:val="1"/>
      <w:marLeft w:val="0"/>
      <w:marRight w:val="0"/>
      <w:marTop w:val="0"/>
      <w:marBottom w:val="0"/>
      <w:divBdr>
        <w:top w:val="none" w:sz="0" w:space="0" w:color="auto"/>
        <w:left w:val="none" w:sz="0" w:space="0" w:color="auto"/>
        <w:bottom w:val="none" w:sz="0" w:space="0" w:color="auto"/>
        <w:right w:val="none" w:sz="0" w:space="0" w:color="auto"/>
      </w:divBdr>
    </w:div>
    <w:div w:id="1749503088">
      <w:bodyDiv w:val="1"/>
      <w:marLeft w:val="0"/>
      <w:marRight w:val="0"/>
      <w:marTop w:val="0"/>
      <w:marBottom w:val="0"/>
      <w:divBdr>
        <w:top w:val="none" w:sz="0" w:space="0" w:color="auto"/>
        <w:left w:val="none" w:sz="0" w:space="0" w:color="auto"/>
        <w:bottom w:val="none" w:sz="0" w:space="0" w:color="auto"/>
        <w:right w:val="none" w:sz="0" w:space="0" w:color="auto"/>
      </w:divBdr>
    </w:div>
    <w:div w:id="1760323904">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 w:id="1842970363">
      <w:bodyDiv w:val="1"/>
      <w:marLeft w:val="0"/>
      <w:marRight w:val="0"/>
      <w:marTop w:val="0"/>
      <w:marBottom w:val="0"/>
      <w:divBdr>
        <w:top w:val="none" w:sz="0" w:space="0" w:color="auto"/>
        <w:left w:val="none" w:sz="0" w:space="0" w:color="auto"/>
        <w:bottom w:val="none" w:sz="0" w:space="0" w:color="auto"/>
        <w:right w:val="none" w:sz="0" w:space="0" w:color="auto"/>
      </w:divBdr>
    </w:div>
    <w:div w:id="1866168125">
      <w:bodyDiv w:val="1"/>
      <w:marLeft w:val="0"/>
      <w:marRight w:val="0"/>
      <w:marTop w:val="0"/>
      <w:marBottom w:val="0"/>
      <w:divBdr>
        <w:top w:val="none" w:sz="0" w:space="0" w:color="auto"/>
        <w:left w:val="none" w:sz="0" w:space="0" w:color="auto"/>
        <w:bottom w:val="none" w:sz="0" w:space="0" w:color="auto"/>
        <w:right w:val="none" w:sz="0" w:space="0" w:color="auto"/>
      </w:divBdr>
    </w:div>
    <w:div w:id="1884831220">
      <w:bodyDiv w:val="1"/>
      <w:marLeft w:val="0"/>
      <w:marRight w:val="0"/>
      <w:marTop w:val="0"/>
      <w:marBottom w:val="0"/>
      <w:divBdr>
        <w:top w:val="none" w:sz="0" w:space="0" w:color="auto"/>
        <w:left w:val="none" w:sz="0" w:space="0" w:color="auto"/>
        <w:bottom w:val="none" w:sz="0" w:space="0" w:color="auto"/>
        <w:right w:val="none" w:sz="0" w:space="0" w:color="auto"/>
      </w:divBdr>
    </w:div>
    <w:div w:id="191859313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884694">
      <w:bodyDiv w:val="1"/>
      <w:marLeft w:val="0"/>
      <w:marRight w:val="0"/>
      <w:marTop w:val="0"/>
      <w:marBottom w:val="0"/>
      <w:divBdr>
        <w:top w:val="none" w:sz="0" w:space="0" w:color="auto"/>
        <w:left w:val="none" w:sz="0" w:space="0" w:color="auto"/>
        <w:bottom w:val="none" w:sz="0" w:space="0" w:color="auto"/>
        <w:right w:val="none" w:sz="0" w:space="0" w:color="auto"/>
      </w:divBdr>
    </w:div>
    <w:div w:id="2023512869">
      <w:bodyDiv w:val="1"/>
      <w:marLeft w:val="0"/>
      <w:marRight w:val="0"/>
      <w:marTop w:val="0"/>
      <w:marBottom w:val="0"/>
      <w:divBdr>
        <w:top w:val="none" w:sz="0" w:space="0" w:color="auto"/>
        <w:left w:val="none" w:sz="0" w:space="0" w:color="auto"/>
        <w:bottom w:val="none" w:sz="0" w:space="0" w:color="auto"/>
        <w:right w:val="none" w:sz="0" w:space="0" w:color="auto"/>
      </w:divBdr>
    </w:div>
    <w:div w:id="2045907684">
      <w:bodyDiv w:val="1"/>
      <w:marLeft w:val="0"/>
      <w:marRight w:val="0"/>
      <w:marTop w:val="0"/>
      <w:marBottom w:val="0"/>
      <w:divBdr>
        <w:top w:val="none" w:sz="0" w:space="0" w:color="auto"/>
        <w:left w:val="none" w:sz="0" w:space="0" w:color="auto"/>
        <w:bottom w:val="none" w:sz="0" w:space="0" w:color="auto"/>
        <w:right w:val="none" w:sz="0" w:space="0" w:color="auto"/>
      </w:divBdr>
      <w:divsChild>
        <w:div w:id="562256265">
          <w:marLeft w:val="0"/>
          <w:marRight w:val="0"/>
          <w:marTop w:val="0"/>
          <w:marBottom w:val="0"/>
          <w:divBdr>
            <w:top w:val="none" w:sz="0" w:space="0" w:color="auto"/>
            <w:left w:val="none" w:sz="0" w:space="0" w:color="auto"/>
            <w:bottom w:val="none" w:sz="0" w:space="0" w:color="auto"/>
            <w:right w:val="none" w:sz="0" w:space="0" w:color="auto"/>
          </w:divBdr>
        </w:div>
        <w:div w:id="2102678665">
          <w:marLeft w:val="0"/>
          <w:marRight w:val="0"/>
          <w:marTop w:val="0"/>
          <w:marBottom w:val="0"/>
          <w:divBdr>
            <w:top w:val="none" w:sz="0" w:space="0" w:color="auto"/>
            <w:left w:val="none" w:sz="0" w:space="0" w:color="auto"/>
            <w:bottom w:val="none" w:sz="0" w:space="0" w:color="auto"/>
            <w:right w:val="none" w:sz="0" w:space="0" w:color="auto"/>
          </w:divBdr>
        </w:div>
      </w:divsChild>
    </w:div>
    <w:div w:id="2084062654">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 TargetMode="External"/><Relationship Id="rId13" Type="http://schemas.openxmlformats.org/officeDocument/2006/relationships/image" Target="media/image4.png"/><Relationship Id="rId18" Type="http://schemas.openxmlformats.org/officeDocument/2006/relationships/hyperlink" Target="https://seer.cancer.gov/statfacts/html/breast-subtyp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169A-6B8E-4FD2-88AD-6A4B5974FB2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18375</Words>
  <Characters>97132</Characters>
  <Application>Microsoft Office Word</Application>
  <DocSecurity>0</DocSecurity>
  <Lines>809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115277</CharactersWithSpaces>
  <SharedDoc>false</SharedDoc>
  <HLinks>
    <vt:vector size="30" baseType="variant">
      <vt:variant>
        <vt:i4>7209070</vt:i4>
      </vt:variant>
      <vt:variant>
        <vt:i4>276</vt:i4>
      </vt:variant>
      <vt:variant>
        <vt:i4>0</vt:i4>
      </vt:variant>
      <vt:variant>
        <vt:i4>5</vt:i4>
      </vt:variant>
      <vt:variant>
        <vt:lpwstr>https://urldefense.proofpoint.com/v2/url?u=http-3A__www.servicesaustralia.gov.au_HPOS&amp;d=DwMGaQ&amp;c=bokVvpls5SyWiBVBQnPYjujXghs-H9Z5-AZovXSnsNI&amp;r=CQcBDZXSVNLKNgD1h-c4GWAXcXZiZzomUFDolkvnoSw&amp;m=OCMA_IHAmVauKhe5XHnoSCPYzHyPGm4qzitE4LP4py7QWgogmfgAtskbPOyXUz2y&amp;s=XSpNTBUWqiLOhOsQFijBxDsOsB2hXJNjDlDsO2QwE8k&amp;e=</vt:lpwstr>
      </vt:variant>
      <vt:variant>
        <vt:lpwstr/>
      </vt:variant>
      <vt:variant>
        <vt:i4>4587617</vt:i4>
      </vt:variant>
      <vt:variant>
        <vt:i4>267</vt:i4>
      </vt:variant>
      <vt:variant>
        <vt:i4>0</vt:i4>
      </vt:variant>
      <vt:variant>
        <vt:i4>5</vt:i4>
      </vt:variant>
      <vt:variant>
        <vt:lpwstr>https://aacrjournals.org/cancerres/article/70/24_Supplement/P6-11-03/560777/Abstract-P6-11-03-Beyond-the-Second-Line</vt:lpwstr>
      </vt:variant>
      <vt:variant>
        <vt:lpwstr/>
      </vt:variant>
      <vt:variant>
        <vt:i4>196616</vt:i4>
      </vt:variant>
      <vt:variant>
        <vt:i4>264</vt:i4>
      </vt:variant>
      <vt:variant>
        <vt:i4>0</vt:i4>
      </vt:variant>
      <vt:variant>
        <vt:i4>5</vt:i4>
      </vt:variant>
      <vt:variant>
        <vt:lpwstr>https://pubmed.ncbi.nlm.nih.gov/35987521/</vt:lpwstr>
      </vt:variant>
      <vt:variant>
        <vt:lpwstr/>
      </vt:variant>
      <vt:variant>
        <vt:i4>1704003</vt:i4>
      </vt:variant>
      <vt:variant>
        <vt:i4>261</vt:i4>
      </vt:variant>
      <vt:variant>
        <vt:i4>0</vt:i4>
      </vt:variant>
      <vt:variant>
        <vt:i4>5</vt:i4>
      </vt:variant>
      <vt:variant>
        <vt:lpwstr>https://www.ncbi.nlm.nih.gov/pmc/articles/PMC6092031/</vt:lpwstr>
      </vt:variant>
      <vt:variant>
        <vt:lpwstr/>
      </vt:variant>
      <vt:variant>
        <vt:i4>4784142</vt:i4>
      </vt:variant>
      <vt:variant>
        <vt:i4>258</vt:i4>
      </vt:variant>
      <vt:variant>
        <vt:i4>0</vt:i4>
      </vt:variant>
      <vt:variant>
        <vt:i4>5</vt:i4>
      </vt:variant>
      <vt:variant>
        <vt:lpwstr>https://ncci.canceraustralia.gov.au/diagnosis/distribution-cancer-stage/distribution-cancer-stage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2024-03-03T22:27:00Z</dcterms:created>
  <dcterms:modified xsi:type="dcterms:W3CDTF">2024-03-14T04:39:00Z</dcterms:modified>
</cp:coreProperties>
</file>