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B0BC332" w:rsidR="00B60939" w:rsidRPr="003771DB" w:rsidRDefault="00F87D5E" w:rsidP="00DD2839">
      <w:pPr>
        <w:pStyle w:val="COMH1-non-numbered"/>
        <w:ind w:left="851" w:hanging="851"/>
      </w:pPr>
      <w:bookmarkStart w:id="0" w:name="_Toc144899313"/>
      <w:r w:rsidRPr="003771DB">
        <w:t>7.06</w:t>
      </w:r>
      <w:r w:rsidR="00163F66" w:rsidRPr="003771DB">
        <w:tab/>
      </w:r>
      <w:r w:rsidR="00DE41CB" w:rsidRPr="003771DB">
        <w:t>SEMAGLUTIDE</w:t>
      </w:r>
      <w:r w:rsidR="00163F66" w:rsidRPr="003771DB">
        <w:t>,</w:t>
      </w:r>
      <w:r w:rsidR="00163F66" w:rsidRPr="003771DB">
        <w:br/>
      </w:r>
      <w:r w:rsidR="00DE41CB" w:rsidRPr="003771DB">
        <w:t>Injection 0.25 mg in 0.5 mL pre-filled single dose pen Injection 0.5 mg in 0.5 mL pre-filled single dose pen Injection 1.0 mg in 0.5 m</w:t>
      </w:r>
      <w:r w:rsidR="00353E11">
        <w:t>L</w:t>
      </w:r>
      <w:r w:rsidR="00DE41CB" w:rsidRPr="003771DB">
        <w:t xml:space="preserve"> pre-filled single dose pen Injection 1.7 mg in 0.75 mL pre-filled single dose pen Injection 2.4 mg in 0.75 mL pre-filled single dose pen</w:t>
      </w:r>
      <w:r w:rsidR="00163F66" w:rsidRPr="003771DB">
        <w:t>,</w:t>
      </w:r>
      <w:r w:rsidR="00163F66" w:rsidRPr="003771DB">
        <w:br/>
      </w:r>
      <w:proofErr w:type="spellStart"/>
      <w:r w:rsidR="00DE41CB" w:rsidRPr="003771DB">
        <w:t>Wegovy</w:t>
      </w:r>
      <w:proofErr w:type="spellEnd"/>
      <w:r w:rsidR="00B60939" w:rsidRPr="003771DB">
        <w:rPr>
          <w:vertAlign w:val="superscript"/>
        </w:rPr>
        <w:t>®</w:t>
      </w:r>
      <w:r w:rsidR="004A6040" w:rsidRPr="003771DB">
        <w:t>,</w:t>
      </w:r>
      <w:r w:rsidR="004A6040" w:rsidRPr="003771DB">
        <w:br/>
      </w:r>
      <w:r w:rsidR="00DE41CB" w:rsidRPr="003771DB">
        <w:t>NOVO NORDISK PHARMACEUTICALS PTY. LIMITED</w:t>
      </w:r>
      <w:bookmarkEnd w:id="0"/>
    </w:p>
    <w:p w14:paraId="11C00795" w14:textId="0FD2F334" w:rsidR="00B50DB8" w:rsidRPr="003771DB" w:rsidRDefault="00B50DB8" w:rsidP="00810254">
      <w:pPr>
        <w:pStyle w:val="COMH1numbered"/>
        <w:numPr>
          <w:ilvl w:val="0"/>
          <w:numId w:val="1"/>
        </w:numPr>
      </w:pPr>
      <w:bookmarkStart w:id="1" w:name="_Toc144899315"/>
      <w:r w:rsidRPr="003771DB">
        <w:t xml:space="preserve">Purpose of </w:t>
      </w:r>
      <w:r w:rsidR="00CD7193" w:rsidRPr="003771DB">
        <w:t>s</w:t>
      </w:r>
      <w:r w:rsidR="00BB3A45" w:rsidRPr="003771DB">
        <w:t>ubmission</w:t>
      </w:r>
      <w:bookmarkEnd w:id="1"/>
    </w:p>
    <w:p w14:paraId="056D1823" w14:textId="2C52ED4A" w:rsidR="008413EB" w:rsidRPr="003771DB" w:rsidRDefault="008413EB" w:rsidP="00810254">
      <w:pPr>
        <w:pStyle w:val="COMexecsumnumberedpara"/>
      </w:pPr>
      <w:r w:rsidRPr="003771DB">
        <w:t xml:space="preserve">The </w:t>
      </w:r>
      <w:r w:rsidR="009E6AE1" w:rsidRPr="003771DB">
        <w:t xml:space="preserve">standard re-entry </w:t>
      </w:r>
      <w:r w:rsidRPr="003771DB">
        <w:t>resubmission requested a General Schedule Authority Required (Telephone/Online) listing for the treatment of severe obesity despite prior participation in an appropriate lifestyle-based weight management intervention.</w:t>
      </w:r>
    </w:p>
    <w:p w14:paraId="73F34A7A" w14:textId="569506F8" w:rsidR="008413EB" w:rsidRPr="003771DB" w:rsidRDefault="005750C5" w:rsidP="00810254">
      <w:pPr>
        <w:pStyle w:val="COMexecsumnumberedpara"/>
      </w:pPr>
      <w:r w:rsidRPr="003771DB">
        <w:t xml:space="preserve">Listing was requested on the basis of a cost-effectiveness analysis versus </w:t>
      </w:r>
      <w:r w:rsidR="008413EB" w:rsidRPr="003771DB">
        <w:t>placebo</w:t>
      </w:r>
      <w:r w:rsidRPr="003771DB">
        <w:t>.</w:t>
      </w:r>
    </w:p>
    <w:p w14:paraId="304B4711" w14:textId="2A0D0738" w:rsidR="008413EB" w:rsidRPr="003771DB" w:rsidRDefault="008413EB" w:rsidP="00DD2839">
      <w:pPr>
        <w:pStyle w:val="Caption"/>
      </w:pPr>
      <w:r w:rsidRPr="003771DB">
        <w:t xml:space="preserve">Table </w:t>
      </w:r>
      <w:fldSimple w:instr=" SEQ Table \* ARABIC " w:fldLock="1">
        <w:r w:rsidR="00AD487C" w:rsidRPr="00F7478B">
          <w:t>1</w:t>
        </w:r>
      </w:fldSimple>
      <w:r w:rsidRPr="003771DB">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Description w:val="Table 1: Key components of the clinical issue addressed in the resubmission"/>
      </w:tblPr>
      <w:tblGrid>
        <w:gridCol w:w="1413"/>
        <w:gridCol w:w="7743"/>
      </w:tblGrid>
      <w:tr w:rsidR="008413EB" w:rsidRPr="003771DB" w14:paraId="09AF4401" w14:textId="77777777" w:rsidTr="00076B84">
        <w:tc>
          <w:tcPr>
            <w:tcW w:w="1413" w:type="dxa"/>
            <w:vAlign w:val="center"/>
          </w:tcPr>
          <w:p w14:paraId="52F23057" w14:textId="77777777" w:rsidR="008413EB" w:rsidRPr="003771DB" w:rsidRDefault="008413EB" w:rsidP="00DD2839">
            <w:pPr>
              <w:pStyle w:val="Tableheadingrow"/>
              <w:rPr>
                <w:lang w:val="en-AU"/>
              </w:rPr>
            </w:pPr>
            <w:r w:rsidRPr="003771DB">
              <w:rPr>
                <w:lang w:val="en-AU"/>
              </w:rPr>
              <w:t>Component</w:t>
            </w:r>
          </w:p>
        </w:tc>
        <w:tc>
          <w:tcPr>
            <w:tcW w:w="7743" w:type="dxa"/>
            <w:vAlign w:val="center"/>
          </w:tcPr>
          <w:p w14:paraId="3035594A" w14:textId="77777777" w:rsidR="008413EB" w:rsidRPr="003771DB" w:rsidRDefault="008413EB" w:rsidP="00DD2839">
            <w:pPr>
              <w:pStyle w:val="Tableheadingrow"/>
              <w:rPr>
                <w:lang w:val="en-AU"/>
              </w:rPr>
            </w:pPr>
            <w:r w:rsidRPr="003771DB">
              <w:rPr>
                <w:lang w:val="en-AU"/>
              </w:rPr>
              <w:t>Description</w:t>
            </w:r>
          </w:p>
        </w:tc>
      </w:tr>
      <w:tr w:rsidR="008413EB" w:rsidRPr="003771DB" w14:paraId="4CB1EB8D" w14:textId="77777777" w:rsidTr="00076B84">
        <w:tc>
          <w:tcPr>
            <w:tcW w:w="1413" w:type="dxa"/>
            <w:vAlign w:val="center"/>
          </w:tcPr>
          <w:p w14:paraId="23D07EDB" w14:textId="77777777" w:rsidR="008413EB" w:rsidRPr="003771DB" w:rsidRDefault="008413EB" w:rsidP="00DD2839">
            <w:pPr>
              <w:pStyle w:val="TableText"/>
            </w:pPr>
            <w:r w:rsidRPr="003771DB">
              <w:t>Population</w:t>
            </w:r>
          </w:p>
        </w:tc>
        <w:tc>
          <w:tcPr>
            <w:tcW w:w="7743" w:type="dxa"/>
            <w:vAlign w:val="center"/>
          </w:tcPr>
          <w:p w14:paraId="109F5CA5" w14:textId="4EEAEB33" w:rsidR="008413EB" w:rsidRPr="003771DB" w:rsidRDefault="008413EB" w:rsidP="00DD2839">
            <w:pPr>
              <w:pStyle w:val="TableText"/>
            </w:pPr>
            <w:r w:rsidRPr="003771DB">
              <w:t xml:space="preserve">Adult patients with BMI </w:t>
            </w:r>
            <w:r w:rsidR="00C77674" w:rsidRPr="003771DB">
              <w:t>≥</w:t>
            </w:r>
            <w:r w:rsidRPr="003771DB">
              <w:t xml:space="preserve"> </w:t>
            </w:r>
            <w:r w:rsidRPr="003771DB">
              <w:rPr>
                <w:strike/>
              </w:rPr>
              <w:t>35 kg/m</w:t>
            </w:r>
            <w:r w:rsidRPr="003771DB">
              <w:rPr>
                <w:strike/>
                <w:vertAlign w:val="superscript"/>
              </w:rPr>
              <w:t>2</w:t>
            </w:r>
            <w:r w:rsidRPr="003771DB">
              <w:t xml:space="preserve"> </w:t>
            </w:r>
            <w:r w:rsidRPr="003771DB">
              <w:rPr>
                <w:u w:val="single"/>
              </w:rPr>
              <w:t>40 kg/m</w:t>
            </w:r>
            <w:r w:rsidRPr="003771DB">
              <w:rPr>
                <w:u w:val="single"/>
                <w:vertAlign w:val="superscript"/>
              </w:rPr>
              <w:t>2</w:t>
            </w:r>
            <w:r w:rsidRPr="003771DB">
              <w:rPr>
                <w:vertAlign w:val="superscript"/>
              </w:rPr>
              <w:t xml:space="preserve"> </w:t>
            </w:r>
            <w:r w:rsidRPr="003771DB">
              <w:t xml:space="preserve">and at least </w:t>
            </w:r>
            <w:r w:rsidRPr="003771DB">
              <w:rPr>
                <w:strike/>
              </w:rPr>
              <w:t>one</w:t>
            </w:r>
            <w:r w:rsidRPr="003771DB">
              <w:t xml:space="preserve"> </w:t>
            </w:r>
            <w:r w:rsidRPr="003771DB">
              <w:rPr>
                <w:u w:val="single"/>
              </w:rPr>
              <w:t>two</w:t>
            </w:r>
            <w:r w:rsidRPr="003771DB">
              <w:t xml:space="preserve"> weight-related </w:t>
            </w:r>
            <w:r w:rsidR="00C77674" w:rsidRPr="003771DB">
              <w:rPr>
                <w:strike/>
              </w:rPr>
              <w:t xml:space="preserve">comorbidity </w:t>
            </w:r>
            <w:r w:rsidRPr="003771DB">
              <w:rPr>
                <w:u w:val="single"/>
              </w:rPr>
              <w:t>comorbidities</w:t>
            </w:r>
            <w:r w:rsidRPr="003771DB">
              <w:t xml:space="preserve"> </w:t>
            </w:r>
            <w:r w:rsidRPr="003771DB">
              <w:rPr>
                <w:u w:val="single"/>
              </w:rPr>
              <w:t xml:space="preserve">who have </w:t>
            </w:r>
            <w:r w:rsidR="00F87D5E" w:rsidRPr="003771DB">
              <w:rPr>
                <w:u w:val="single"/>
              </w:rPr>
              <w:t xml:space="preserve">a confirmed diagnosis of </w:t>
            </w:r>
            <w:r w:rsidR="007F7E92" w:rsidRPr="003771DB">
              <w:rPr>
                <w:u w:val="single"/>
              </w:rPr>
              <w:t>at least one of</w:t>
            </w:r>
            <w:r w:rsidR="009B2BCC" w:rsidRPr="003771DB">
              <w:rPr>
                <w:u w:val="single"/>
              </w:rPr>
              <w:t>:</w:t>
            </w:r>
            <w:r w:rsidR="007F7E92" w:rsidRPr="003771DB">
              <w:rPr>
                <w:u w:val="single"/>
              </w:rPr>
              <w:t xml:space="preserve"> </w:t>
            </w:r>
            <w:r w:rsidRPr="003771DB">
              <w:rPr>
                <w:u w:val="single"/>
              </w:rPr>
              <w:t>obstructive sleep apnoea, knee osteoarthritis or pre-diabetes</w:t>
            </w:r>
            <w:r w:rsidR="009B2BCC" w:rsidRPr="003771DB">
              <w:rPr>
                <w:u w:val="single"/>
              </w:rPr>
              <w:t>;</w:t>
            </w:r>
            <w:r w:rsidRPr="003771DB">
              <w:t xml:space="preserve"> but who do not have diabetes. </w:t>
            </w:r>
            <w:r w:rsidRPr="003771DB">
              <w:rPr>
                <w:u w:val="single"/>
              </w:rPr>
              <w:t>Patients must have participated in an appropriate lifestyle-based weight management intervention</w:t>
            </w:r>
            <w:r w:rsidR="00F0603B" w:rsidRPr="003771DB">
              <w:rPr>
                <w:u w:val="single"/>
              </w:rPr>
              <w:t xml:space="preserve"> in the previous 12 months</w:t>
            </w:r>
            <w:r w:rsidRPr="003771DB">
              <w:rPr>
                <w:u w:val="single"/>
              </w:rPr>
              <w:t>.</w:t>
            </w:r>
          </w:p>
        </w:tc>
      </w:tr>
      <w:tr w:rsidR="008413EB" w:rsidRPr="003771DB" w14:paraId="1CD6E3C3" w14:textId="77777777" w:rsidTr="00076B84">
        <w:tc>
          <w:tcPr>
            <w:tcW w:w="1413" w:type="dxa"/>
            <w:vAlign w:val="center"/>
          </w:tcPr>
          <w:p w14:paraId="60A6503F" w14:textId="77777777" w:rsidR="008413EB" w:rsidRPr="003771DB" w:rsidRDefault="008413EB" w:rsidP="00DD2839">
            <w:pPr>
              <w:pStyle w:val="TableText"/>
            </w:pPr>
            <w:r w:rsidRPr="003771DB">
              <w:t>Intervention</w:t>
            </w:r>
          </w:p>
        </w:tc>
        <w:tc>
          <w:tcPr>
            <w:tcW w:w="7743" w:type="dxa"/>
            <w:vAlign w:val="center"/>
          </w:tcPr>
          <w:p w14:paraId="67615A6D" w14:textId="77777777" w:rsidR="008413EB" w:rsidRPr="003771DB" w:rsidRDefault="008413EB" w:rsidP="00DD2839">
            <w:pPr>
              <w:pStyle w:val="TableText"/>
            </w:pPr>
            <w:r w:rsidRPr="003771DB">
              <w:t xml:space="preserve">Semaglutide subcutaneous injection once weekly. The recommended starting dose is 0.25 mg, with stepped dose escalation to 0.5 mg after 4 weeks, 1 mg after another 4 weeks, 1.7 mg after another 4 weeks, and then to 2.4 mg as the maintenance dose. To be used in conjunction with an individually tailored and clinically appropriate weight management program. </w:t>
            </w:r>
          </w:p>
        </w:tc>
      </w:tr>
      <w:tr w:rsidR="008413EB" w:rsidRPr="003771DB" w14:paraId="3C0CD913" w14:textId="77777777" w:rsidTr="00076B84">
        <w:tc>
          <w:tcPr>
            <w:tcW w:w="1413" w:type="dxa"/>
            <w:vAlign w:val="center"/>
          </w:tcPr>
          <w:p w14:paraId="7AEC7359" w14:textId="77777777" w:rsidR="008413EB" w:rsidRPr="003771DB" w:rsidRDefault="008413EB" w:rsidP="00DD2839">
            <w:pPr>
              <w:pStyle w:val="TableText"/>
            </w:pPr>
            <w:r w:rsidRPr="003771DB">
              <w:t>Comparator</w:t>
            </w:r>
          </w:p>
        </w:tc>
        <w:tc>
          <w:tcPr>
            <w:tcW w:w="7743" w:type="dxa"/>
            <w:vAlign w:val="center"/>
          </w:tcPr>
          <w:p w14:paraId="5C12106C" w14:textId="77777777" w:rsidR="008413EB" w:rsidRPr="003771DB" w:rsidRDefault="008413EB" w:rsidP="00DD2839">
            <w:pPr>
              <w:pStyle w:val="TableText"/>
            </w:pPr>
            <w:r w:rsidRPr="003771DB">
              <w:t>Placebo. To be used in conjunction with an individually tailored and clinically appropriate weight management program.</w:t>
            </w:r>
          </w:p>
        </w:tc>
      </w:tr>
      <w:tr w:rsidR="008413EB" w:rsidRPr="003771DB" w14:paraId="5AAD50F8" w14:textId="77777777" w:rsidTr="00076B84">
        <w:tc>
          <w:tcPr>
            <w:tcW w:w="1413" w:type="dxa"/>
            <w:vAlign w:val="center"/>
          </w:tcPr>
          <w:p w14:paraId="53F07F93" w14:textId="341BB7AD" w:rsidR="008413EB" w:rsidRPr="003771DB" w:rsidRDefault="008413EB" w:rsidP="00DD2839">
            <w:pPr>
              <w:pStyle w:val="TableText"/>
            </w:pPr>
            <w:r w:rsidRPr="003771DB">
              <w:t>Outcomes</w:t>
            </w:r>
            <w:r w:rsidR="0092424B" w:rsidRPr="003771DB">
              <w:t>*</w:t>
            </w:r>
          </w:p>
        </w:tc>
        <w:tc>
          <w:tcPr>
            <w:tcW w:w="7743" w:type="dxa"/>
            <w:vAlign w:val="center"/>
          </w:tcPr>
          <w:p w14:paraId="4C5B03CB" w14:textId="77777777" w:rsidR="008413EB" w:rsidRPr="003771DB" w:rsidRDefault="008413EB" w:rsidP="00DD2839">
            <w:pPr>
              <w:pStyle w:val="TableText"/>
            </w:pPr>
            <w:r w:rsidRPr="003771DB">
              <w:t>Reduction in weight, improvement in cardiometabolic risk factors, reduced incidence of downstream complications (diabetes, cardiovascular disease, knee osteoarthritis, obstructive sleep apnoea), increased survival, improved quality of life and reduced healthcare resource utilisation.</w:t>
            </w:r>
          </w:p>
        </w:tc>
      </w:tr>
      <w:tr w:rsidR="008413EB" w:rsidRPr="003771DB" w14:paraId="6452AB19" w14:textId="77777777" w:rsidTr="00076B84">
        <w:tc>
          <w:tcPr>
            <w:tcW w:w="1413" w:type="dxa"/>
            <w:vAlign w:val="center"/>
          </w:tcPr>
          <w:p w14:paraId="46082C36" w14:textId="77777777" w:rsidR="008413EB" w:rsidRPr="003771DB" w:rsidRDefault="008413EB" w:rsidP="00DD2839">
            <w:pPr>
              <w:pStyle w:val="TableText"/>
            </w:pPr>
            <w:r w:rsidRPr="003771DB">
              <w:t>Clinical claim</w:t>
            </w:r>
          </w:p>
        </w:tc>
        <w:tc>
          <w:tcPr>
            <w:tcW w:w="7743" w:type="dxa"/>
            <w:vAlign w:val="center"/>
          </w:tcPr>
          <w:p w14:paraId="4294DF98" w14:textId="392E85F1" w:rsidR="008413EB" w:rsidRPr="003771DB" w:rsidRDefault="008413EB" w:rsidP="00DD2839">
            <w:pPr>
              <w:pStyle w:val="TableText"/>
            </w:pPr>
            <w:r w:rsidRPr="003771DB">
              <w:t xml:space="preserve">Semaglutide is superior in terms of </w:t>
            </w:r>
            <w:r w:rsidR="00DE1961" w:rsidRPr="003771DB">
              <w:t xml:space="preserve">effectiveness </w:t>
            </w:r>
            <w:r w:rsidRPr="003771DB">
              <w:t>and inferior in terms of safety compared to placebo</w:t>
            </w:r>
            <w:r w:rsidR="009B2BCC" w:rsidRPr="003771DB">
              <w:t>.</w:t>
            </w:r>
          </w:p>
        </w:tc>
      </w:tr>
    </w:tbl>
    <w:p w14:paraId="527AD8F7" w14:textId="77777777" w:rsidR="008413EB" w:rsidRPr="003771DB" w:rsidRDefault="008413EB" w:rsidP="00DD2839">
      <w:pPr>
        <w:pStyle w:val="COMTablefooter"/>
        <w:keepNext/>
      </w:pPr>
      <w:r w:rsidRPr="003771DB">
        <w:t>Source: Table 1-4, p20 of the resubmission</w:t>
      </w:r>
    </w:p>
    <w:p w14:paraId="4E9FBCB5" w14:textId="68CFDC88" w:rsidR="00C2778B" w:rsidRPr="003771DB" w:rsidRDefault="008413EB" w:rsidP="00DD2839">
      <w:pPr>
        <w:pStyle w:val="COMTablefooter"/>
        <w:keepNext/>
        <w:rPr>
          <w:strike/>
        </w:rPr>
      </w:pPr>
      <w:r w:rsidRPr="003771DB">
        <w:t xml:space="preserve">Note: Key changes compared to the March 2022 submission are marked using </w:t>
      </w:r>
      <w:r w:rsidRPr="003771DB">
        <w:rPr>
          <w:u w:val="single"/>
        </w:rPr>
        <w:t>underline</w:t>
      </w:r>
      <w:r w:rsidRPr="003771DB">
        <w:t xml:space="preserve"> and </w:t>
      </w:r>
      <w:r w:rsidRPr="003771DB">
        <w:rPr>
          <w:strike/>
        </w:rPr>
        <w:t>strikethrough</w:t>
      </w:r>
    </w:p>
    <w:p w14:paraId="2A4852AE" w14:textId="48D54A1D" w:rsidR="000145E9" w:rsidRPr="003771DB" w:rsidRDefault="0092424B" w:rsidP="000145E9">
      <w:pPr>
        <w:pStyle w:val="COMTablefooter"/>
      </w:pPr>
      <w:r w:rsidRPr="003771DB">
        <w:t>*</w:t>
      </w:r>
      <w:r w:rsidR="00A8308A" w:rsidRPr="003771DB">
        <w:t>The downstream complications of obesity were not explicitly valued in the current resubmission</w:t>
      </w:r>
    </w:p>
    <w:p w14:paraId="712D6375" w14:textId="5C49CB30" w:rsidR="00F3328B" w:rsidRPr="003771DB" w:rsidRDefault="0064510F" w:rsidP="0064510F">
      <w:pPr>
        <w:pStyle w:val="COMexecsumnumberedpara"/>
      </w:pPr>
      <w:bookmarkStart w:id="2" w:name="_Ref151981052"/>
      <w:r w:rsidRPr="003771DB">
        <w:t xml:space="preserve">The resubmission acknowledged </w:t>
      </w:r>
      <w:r w:rsidR="00DE1961" w:rsidRPr="003771DB">
        <w:t xml:space="preserve">PBAC’s </w:t>
      </w:r>
      <w:r w:rsidRPr="003771DB">
        <w:t>previous concerns about the lack of long-term data to support a reduction in obesity complications with semaglutide treatment (para 7.6 and 7.7, semaglutide Public Summary Document</w:t>
      </w:r>
      <w:r w:rsidR="0045560D" w:rsidRPr="003771DB">
        <w:t xml:space="preserve"> [PSD]</w:t>
      </w:r>
      <w:r w:rsidRPr="003771DB">
        <w:t xml:space="preserve">, March 2022 PBAC meeting). The resubmission also noted PBAC advice that, given the limitations of the data, it may be more appropriate to focus on the shorter-term benefits of weight loss (para 7.11, semaglutide </w:t>
      </w:r>
      <w:r w:rsidR="00476DCE" w:rsidRPr="003771DB">
        <w:t>PSD</w:t>
      </w:r>
      <w:r w:rsidRPr="003771DB">
        <w:t>, March 2022 PBAC meeting). Consequently, the resubmission focused on the clinical evidence for weight loss and the associated impacts on quality of life.</w:t>
      </w:r>
      <w:r w:rsidR="001703CD" w:rsidRPr="003771DB">
        <w:t xml:space="preserve"> </w:t>
      </w:r>
      <w:r w:rsidR="00AA405E" w:rsidRPr="003771DB">
        <w:t>The PBAC recalled that</w:t>
      </w:r>
      <w:r w:rsidR="00476DCE" w:rsidRPr="003771DB">
        <w:t>, in March 2022, it had</w:t>
      </w:r>
      <w:r w:rsidR="00AA405E" w:rsidRPr="003771DB">
        <w:t xml:space="preserve"> also noted that a large ongoing cardiovascular outcomes trial (SELECT, n=17,500) was due for </w:t>
      </w:r>
      <w:r w:rsidR="00AA405E" w:rsidRPr="003771DB">
        <w:lastRenderedPageBreak/>
        <w:t>completion in September 2023, and that the results of this trial would provide additional clarity about the extent of cardiovascular benefit for this potentially widely used new therapy</w:t>
      </w:r>
      <w:r w:rsidR="00476DCE" w:rsidRPr="003771DB">
        <w:t xml:space="preserve"> (para 7.6, semaglutide PSD, March 2022 PBAC meeting).</w:t>
      </w:r>
      <w:bookmarkEnd w:id="2"/>
      <w:r w:rsidR="00476DCE" w:rsidRPr="003771DB">
        <w:t xml:space="preserve"> </w:t>
      </w:r>
    </w:p>
    <w:p w14:paraId="6B4AB6C2" w14:textId="483817F5" w:rsidR="005C25FF" w:rsidRPr="003771DB" w:rsidRDefault="005C25FF" w:rsidP="00810254">
      <w:pPr>
        <w:pStyle w:val="COMH1numbered"/>
        <w:numPr>
          <w:ilvl w:val="0"/>
          <w:numId w:val="1"/>
        </w:numPr>
      </w:pPr>
      <w:bookmarkStart w:id="3" w:name="_Toc144899316"/>
      <w:r w:rsidRPr="003771DB">
        <w:t>Background</w:t>
      </w:r>
      <w:bookmarkEnd w:id="3"/>
    </w:p>
    <w:p w14:paraId="2C521D6D" w14:textId="53DB3792" w:rsidR="005C25FF" w:rsidRPr="003771DB" w:rsidRDefault="005C25FF" w:rsidP="0045707B">
      <w:pPr>
        <w:pStyle w:val="COMH2-non-numbered"/>
      </w:pPr>
      <w:bookmarkStart w:id="4" w:name="_Toc22897638"/>
      <w:bookmarkStart w:id="5" w:name="_Toc144899317"/>
      <w:r w:rsidRPr="003771DB">
        <w:t>Registration status</w:t>
      </w:r>
      <w:bookmarkEnd w:id="4"/>
      <w:bookmarkEnd w:id="5"/>
    </w:p>
    <w:p w14:paraId="16FD52C2" w14:textId="20B2C031" w:rsidR="00464401" w:rsidRPr="003771DB" w:rsidRDefault="008413EB" w:rsidP="00810254">
      <w:pPr>
        <w:pStyle w:val="COMexecsumnumberedpara"/>
      </w:pPr>
      <w:r w:rsidRPr="003771DB">
        <w:t>Semaglutide (single-dose pen</w:t>
      </w:r>
      <w:r w:rsidR="007F59E0" w:rsidRPr="003771DB">
        <w:t xml:space="preserve">, </w:t>
      </w:r>
      <w:proofErr w:type="spellStart"/>
      <w:r w:rsidR="00337C2B" w:rsidRPr="003771DB">
        <w:t>Wegovy</w:t>
      </w:r>
      <w:proofErr w:type="spellEnd"/>
      <w:r w:rsidR="00337C2B" w:rsidRPr="003771DB">
        <w:rPr>
          <w:rFonts w:cs="Calibri"/>
        </w:rPr>
        <w:t>®</w:t>
      </w:r>
      <w:r w:rsidRPr="003771DB">
        <w:t>) was approved by the TGA on 1</w:t>
      </w:r>
      <w:r w:rsidR="00DE1961" w:rsidRPr="003771DB">
        <w:t> </w:t>
      </w:r>
      <w:r w:rsidRPr="003771DB">
        <w:t>September</w:t>
      </w:r>
      <w:r w:rsidR="00DE1961" w:rsidRPr="003771DB">
        <w:t> </w:t>
      </w:r>
      <w:r w:rsidRPr="003771DB">
        <w:t>2022 as an ‘adjunct to a reduced-</w:t>
      </w:r>
      <w:r w:rsidR="00464401" w:rsidRPr="003771DB">
        <w:t xml:space="preserve">energy </w:t>
      </w:r>
      <w:r w:rsidRPr="003771DB">
        <w:t xml:space="preserve">diet and increased physical activity for chronic weight management </w:t>
      </w:r>
      <w:r w:rsidR="00743177" w:rsidRPr="003771DB">
        <w:t>(</w:t>
      </w:r>
      <w:r w:rsidRPr="003771DB">
        <w:t>including weight loss and weight maintenance</w:t>
      </w:r>
      <w:r w:rsidR="00743177" w:rsidRPr="003771DB">
        <w:t>)</w:t>
      </w:r>
      <w:r w:rsidRPr="003771DB">
        <w:t xml:space="preserve"> in adults with an initial BMI of ≥</w:t>
      </w:r>
      <w:r w:rsidR="00DD2839">
        <w:t> </w:t>
      </w:r>
      <w:r w:rsidRPr="003771DB">
        <w:t>30</w:t>
      </w:r>
      <w:r w:rsidR="00DD2839">
        <w:t> </w:t>
      </w:r>
      <w:r w:rsidRPr="003771DB">
        <w:t>kg/m</w:t>
      </w:r>
      <w:r w:rsidRPr="003771DB">
        <w:rPr>
          <w:vertAlign w:val="superscript"/>
        </w:rPr>
        <w:t>2</w:t>
      </w:r>
      <w:r w:rsidRPr="003771DB">
        <w:t xml:space="preserve"> (obesity)</w:t>
      </w:r>
      <w:r w:rsidR="00743177" w:rsidRPr="003771DB">
        <w:t>, or</w:t>
      </w:r>
      <w:r w:rsidRPr="003771DB">
        <w:t xml:space="preserve"> ≥</w:t>
      </w:r>
      <w:r w:rsidR="00DD2839">
        <w:t> </w:t>
      </w:r>
      <w:r w:rsidRPr="003771DB">
        <w:t>27</w:t>
      </w:r>
      <w:r w:rsidR="00DD2839">
        <w:t> </w:t>
      </w:r>
      <w:r w:rsidRPr="003771DB">
        <w:t>kg/m</w:t>
      </w:r>
      <w:r w:rsidRPr="003771DB">
        <w:rPr>
          <w:vertAlign w:val="superscript"/>
        </w:rPr>
        <w:t>2</w:t>
      </w:r>
      <w:r w:rsidRPr="003771DB">
        <w:t xml:space="preserve"> to &lt;</w:t>
      </w:r>
      <w:r w:rsidR="00DD2839">
        <w:t> </w:t>
      </w:r>
      <w:r w:rsidRPr="003771DB">
        <w:t>30</w:t>
      </w:r>
      <w:r w:rsidR="00D13884" w:rsidRPr="003771DB">
        <w:t> </w:t>
      </w:r>
      <w:r w:rsidRPr="003771DB">
        <w:t>kg/m</w:t>
      </w:r>
      <w:r w:rsidRPr="003771DB">
        <w:rPr>
          <w:vertAlign w:val="superscript"/>
        </w:rPr>
        <w:t>2</w:t>
      </w:r>
      <w:r w:rsidRPr="003771DB">
        <w:t xml:space="preserve"> (overweight) in the presence of at least one weight-related comorbidity’.</w:t>
      </w:r>
    </w:p>
    <w:p w14:paraId="3E49DBAB" w14:textId="0F2DF8E4" w:rsidR="001703CD" w:rsidRPr="003771DB" w:rsidRDefault="001703CD" w:rsidP="00810254">
      <w:pPr>
        <w:pStyle w:val="COMexecsumnumberedpara"/>
      </w:pPr>
      <w:r w:rsidRPr="003771DB">
        <w:rPr>
          <w:iCs/>
        </w:rPr>
        <w:t xml:space="preserve">Although TGA-approved, </w:t>
      </w:r>
      <w:r w:rsidR="00B12E27" w:rsidRPr="003771DB">
        <w:rPr>
          <w:iCs/>
        </w:rPr>
        <w:t>at the time of the November 202</w:t>
      </w:r>
      <w:r w:rsidR="00690538" w:rsidRPr="003771DB">
        <w:rPr>
          <w:iCs/>
        </w:rPr>
        <w:t>3</w:t>
      </w:r>
      <w:r w:rsidR="00B12E27" w:rsidRPr="003771DB">
        <w:rPr>
          <w:iCs/>
        </w:rPr>
        <w:t xml:space="preserve"> PBAC meeting, </w:t>
      </w:r>
      <w:proofErr w:type="spellStart"/>
      <w:r w:rsidRPr="003771DB">
        <w:rPr>
          <w:iCs/>
        </w:rPr>
        <w:t>Wegovy</w:t>
      </w:r>
      <w:proofErr w:type="spellEnd"/>
      <w:r w:rsidRPr="003771DB">
        <w:rPr>
          <w:iCs/>
        </w:rPr>
        <w:t xml:space="preserve">® </w:t>
      </w:r>
      <w:r w:rsidR="00B12E27" w:rsidRPr="003771DB">
        <w:rPr>
          <w:iCs/>
        </w:rPr>
        <w:t xml:space="preserve">was not </w:t>
      </w:r>
      <w:r w:rsidRPr="003771DB">
        <w:rPr>
          <w:iCs/>
        </w:rPr>
        <w:t>available in Australia and the sponsor ha</w:t>
      </w:r>
      <w:r w:rsidR="00B12E27" w:rsidRPr="003771DB">
        <w:rPr>
          <w:iCs/>
        </w:rPr>
        <w:t>d</w:t>
      </w:r>
      <w:r w:rsidRPr="003771DB">
        <w:rPr>
          <w:iCs/>
        </w:rPr>
        <w:t xml:space="preserve"> not advised TGA when the product will be launched.</w:t>
      </w:r>
    </w:p>
    <w:p w14:paraId="09A08BD3" w14:textId="4D50D770" w:rsidR="008413EB" w:rsidRPr="003771DB" w:rsidRDefault="00DE1961" w:rsidP="00810254">
      <w:pPr>
        <w:pStyle w:val="COMexecsumnumberedpara"/>
      </w:pPr>
      <w:r w:rsidRPr="003771DB">
        <w:t>A</w:t>
      </w:r>
      <w:r w:rsidR="005D6E35" w:rsidRPr="003771DB">
        <w:t xml:space="preserve"> new TGA application for semaglutide single-dose pens was initiated in January</w:t>
      </w:r>
      <w:r w:rsidR="00DD2839">
        <w:t> </w:t>
      </w:r>
      <w:r w:rsidR="005D6E35" w:rsidRPr="003771DB">
        <w:t>2023</w:t>
      </w:r>
      <w:r w:rsidR="0014245D" w:rsidRPr="003771DB">
        <w:t>,</w:t>
      </w:r>
      <w:r w:rsidR="0014245D" w:rsidRPr="003771DB">
        <w:rPr>
          <w:iCs/>
        </w:rPr>
        <w:t xml:space="preserve"> to extend the indication ‘as an adjunct to a reduced-calorie diet and increased physical activity for weight management in adolescents ages 12 years and above with obesity or overweight and at least one weight-related comorbidity’. </w:t>
      </w:r>
      <w:r w:rsidR="00D13884" w:rsidRPr="003771DB">
        <w:rPr>
          <w:iCs/>
        </w:rPr>
        <w:t>Obesity (BMI ≥</w:t>
      </w:r>
      <w:r w:rsidR="00DD2839">
        <w:rPr>
          <w:iCs/>
        </w:rPr>
        <w:t> </w:t>
      </w:r>
      <w:r w:rsidR="00D13884" w:rsidRPr="003771DB">
        <w:rPr>
          <w:iCs/>
        </w:rPr>
        <w:t>95th percentile) and overweight (BMI ≥</w:t>
      </w:r>
      <w:r w:rsidR="00DD2839">
        <w:rPr>
          <w:iCs/>
        </w:rPr>
        <w:t> </w:t>
      </w:r>
      <w:r w:rsidR="00D13884" w:rsidRPr="003771DB">
        <w:rPr>
          <w:iCs/>
        </w:rPr>
        <w:t>85th percentile) are as defined on sex- and age-specific BMI growth charts (CDC.gov).</w:t>
      </w:r>
    </w:p>
    <w:p w14:paraId="2A681417" w14:textId="0D7FFFEE" w:rsidR="008413EB" w:rsidRPr="003771DB" w:rsidRDefault="008413EB" w:rsidP="00810254">
      <w:pPr>
        <w:pStyle w:val="COMexecsumnumberedpara"/>
      </w:pPr>
      <w:r w:rsidRPr="003771DB">
        <w:t>Semaglutide (multi-dose pen</w:t>
      </w:r>
      <w:r w:rsidR="00337C2B" w:rsidRPr="003771DB">
        <w:t xml:space="preserve">, </w:t>
      </w:r>
      <w:r w:rsidR="004A35AA" w:rsidRPr="003771DB">
        <w:t>Ozempic®</w:t>
      </w:r>
      <w:r w:rsidRPr="003771DB">
        <w:t>) is also TGA registered for the ‘treatment of adults with insufficiently controlled type 2 diabetes mellitus as an adjunct to diet and exercise: as monotherapy when metformin is not tolerated or contraindicated</w:t>
      </w:r>
      <w:r w:rsidR="00393634" w:rsidRPr="003771DB">
        <w:t>,</w:t>
      </w:r>
      <w:r w:rsidRPr="003771DB">
        <w:t xml:space="preserve"> or in addition to other medicinal products for the treatment of type 2 diabetes’.</w:t>
      </w:r>
    </w:p>
    <w:p w14:paraId="3E2A6EAB" w14:textId="22C83B12" w:rsidR="005C25FF" w:rsidRPr="003771DB" w:rsidRDefault="005C25FF" w:rsidP="004E18E9">
      <w:pPr>
        <w:pStyle w:val="COMH2-non-numbered"/>
      </w:pPr>
      <w:bookmarkStart w:id="6" w:name="_Toc22897639"/>
      <w:bookmarkStart w:id="7" w:name="_Toc144899318"/>
      <w:r w:rsidRPr="003771DB">
        <w:t>Previous PBAC consideration</w:t>
      </w:r>
      <w:bookmarkEnd w:id="6"/>
      <w:bookmarkEnd w:id="7"/>
    </w:p>
    <w:p w14:paraId="7BAEF914" w14:textId="16FA7409" w:rsidR="00683CF9" w:rsidRPr="003771DB" w:rsidRDefault="00683CF9" w:rsidP="006A3A70">
      <w:pPr>
        <w:pStyle w:val="COMexecsumnumberedpara"/>
      </w:pPr>
      <w:r w:rsidRPr="003771DB">
        <w:t xml:space="preserve">The sponsor presented a Category 2 submission to the March 2022 PBAC meeting requesting a General Schedule </w:t>
      </w:r>
      <w:r w:rsidR="00D13884" w:rsidRPr="003771DB">
        <w:t>Authority Required</w:t>
      </w:r>
      <w:r w:rsidR="00AB29B4" w:rsidRPr="003771DB">
        <w:t xml:space="preserve"> (Streamlined)</w:t>
      </w:r>
      <w:r w:rsidR="00D13884" w:rsidRPr="003771DB">
        <w:t xml:space="preserve"> </w:t>
      </w:r>
      <w:r w:rsidRPr="003771DB">
        <w:t>PBS listing for semaglutide single-dose pens for the treatment of severe obesity. The submission proposed a PBS restriction allowing semaglutide to be used as a chronic therapy in adult patients with BMI ≥</w:t>
      </w:r>
      <w:r w:rsidR="00DD2839">
        <w:t> </w:t>
      </w:r>
      <w:r w:rsidRPr="003771DB">
        <w:t>35</w:t>
      </w:r>
      <w:r w:rsidR="00393634" w:rsidRPr="003771DB">
        <w:t> </w:t>
      </w:r>
      <w:r w:rsidRPr="003771DB">
        <w:t>kg/m</w:t>
      </w:r>
      <w:r w:rsidRPr="003771DB">
        <w:rPr>
          <w:vertAlign w:val="superscript"/>
        </w:rPr>
        <w:t>2</w:t>
      </w:r>
      <w:r w:rsidRPr="003771DB">
        <w:t xml:space="preserve"> and at least one </w:t>
      </w:r>
      <w:r w:rsidR="00A736FA" w:rsidRPr="003771DB">
        <w:t xml:space="preserve">(from a list of 20 pre-specified) </w:t>
      </w:r>
      <w:r w:rsidRPr="003771DB">
        <w:t xml:space="preserve">weight-related comorbidity but who do not have diabetes. The clinical data </w:t>
      </w:r>
      <w:r w:rsidR="00D564CC" w:rsidRPr="003771DB">
        <w:t>were</w:t>
      </w:r>
      <w:r w:rsidRPr="003771DB">
        <w:t xml:space="preserve"> based on the STEP clinical trial program (predominantly the STEP</w:t>
      </w:r>
      <w:r w:rsidR="00D564CC" w:rsidRPr="003771DB">
        <w:noBreakHyphen/>
      </w:r>
      <w:r w:rsidRPr="003771DB">
        <w:t xml:space="preserve">1 trial). The economic analysis was based on </w:t>
      </w:r>
      <w:r w:rsidR="004864F8" w:rsidRPr="003771DB">
        <w:t xml:space="preserve">a </w:t>
      </w:r>
      <w:r w:rsidRPr="003771DB">
        <w:t>complex cost-effectiveness/cost utility analysis that included both short-term and long-term treatment benefits</w:t>
      </w:r>
      <w:r w:rsidR="004864F8" w:rsidRPr="003771DB">
        <w:t xml:space="preserve"> associated </w:t>
      </w:r>
      <w:r w:rsidRPr="003771DB">
        <w:t xml:space="preserve">with weight loss. The budget impact analysis was based on an epidemiological approach informed by multiple data sources and assumptions. </w:t>
      </w:r>
    </w:p>
    <w:p w14:paraId="6DB1CB2E" w14:textId="2C993D50" w:rsidR="00683CF9" w:rsidRPr="003771DB" w:rsidRDefault="00683CF9" w:rsidP="006A3A70">
      <w:pPr>
        <w:pStyle w:val="COMexecsumnumberedpara"/>
      </w:pPr>
      <w:r w:rsidRPr="003771DB">
        <w:t xml:space="preserve">The PBAC </w:t>
      </w:r>
      <w:r w:rsidR="00D13884" w:rsidRPr="003771DB">
        <w:t xml:space="preserve">did not recommend </w:t>
      </w:r>
      <w:r w:rsidRPr="003771DB">
        <w:t>th</w:t>
      </w:r>
      <w:r w:rsidR="00362F7E" w:rsidRPr="003771DB">
        <w:t>e</w:t>
      </w:r>
      <w:r w:rsidRPr="003771DB">
        <w:t xml:space="preserve"> </w:t>
      </w:r>
      <w:r w:rsidR="00D13884" w:rsidRPr="003771DB">
        <w:t xml:space="preserve">listing </w:t>
      </w:r>
      <w:r w:rsidRPr="003771DB">
        <w:t xml:space="preserve">on the basis that the proposed target population was poorly justified, the modelled benefits were highly uncertain, and the listing would not be cost-effective at the requested price. Furthermore, the PBAC </w:t>
      </w:r>
      <w:r w:rsidRPr="003771DB">
        <w:lastRenderedPageBreak/>
        <w:t xml:space="preserve">considered that pharmacotherapy was only one aspect of the public health response to obesity in Australia, but the proposed semaglutide PBS listing would require an extremely high investment with very uncertain implications for the PBS and broader health budget (para 7.1, semaglutide </w:t>
      </w:r>
      <w:r w:rsidR="00DC6930" w:rsidRPr="003771DB">
        <w:t>PSD</w:t>
      </w:r>
      <w:r w:rsidRPr="003771DB">
        <w:t xml:space="preserve">, March 2022 PBAC meeting). </w:t>
      </w:r>
    </w:p>
    <w:p w14:paraId="306355F0" w14:textId="13945C79" w:rsidR="00683CF9" w:rsidRPr="003771DB" w:rsidRDefault="00DC6930" w:rsidP="006A3A70">
      <w:pPr>
        <w:pStyle w:val="COMexecsumnumberedpara"/>
      </w:pPr>
      <w:r w:rsidRPr="003771DB">
        <w:fldChar w:fldCharType="begin" w:fldLock="1"/>
      </w:r>
      <w:r w:rsidRPr="003771DB">
        <w:instrText xml:space="preserve"> REF _Ref143498182 \h </w:instrText>
      </w:r>
      <w:r w:rsidRPr="003771DB">
        <w:fldChar w:fldCharType="separate"/>
      </w:r>
      <w:r w:rsidR="00D44FF6" w:rsidRPr="003771DB">
        <w:t xml:space="preserve">Table </w:t>
      </w:r>
      <w:r w:rsidR="00D44FF6" w:rsidRPr="00F7478B">
        <w:t>2</w:t>
      </w:r>
      <w:r w:rsidRPr="003771DB">
        <w:fldChar w:fldCharType="end"/>
      </w:r>
      <w:r w:rsidRPr="003771DB">
        <w:t xml:space="preserve"> </w:t>
      </w:r>
      <w:r w:rsidR="00683CF9" w:rsidRPr="003771DB">
        <w:t xml:space="preserve">presents </w:t>
      </w:r>
      <w:r w:rsidR="00D13884" w:rsidRPr="003771DB">
        <w:t xml:space="preserve">a high-level summary of </w:t>
      </w:r>
      <w:r w:rsidR="00683CF9" w:rsidRPr="003771DB">
        <w:t>PBAC’s advice for a resubmission</w:t>
      </w:r>
      <w:r w:rsidR="00D13884" w:rsidRPr="003771DB">
        <w:t>, and how the resubmission addressed these concerns</w:t>
      </w:r>
      <w:r w:rsidR="00683CF9" w:rsidRPr="003771DB">
        <w:t xml:space="preserve">. </w:t>
      </w:r>
    </w:p>
    <w:p w14:paraId="6BDBEF0B" w14:textId="10D569E7" w:rsidR="00683CF9" w:rsidRPr="003771DB" w:rsidRDefault="00683CF9" w:rsidP="00DD2839">
      <w:pPr>
        <w:pStyle w:val="Caption"/>
        <w:keepLines/>
      </w:pPr>
      <w:bookmarkStart w:id="8" w:name="_Ref143498182"/>
      <w:r w:rsidRPr="003771DB">
        <w:t xml:space="preserve">Table </w:t>
      </w:r>
      <w:fldSimple w:instr=" SEQ Table \* ARABIC " w:fldLock="1">
        <w:r w:rsidR="00AD487C" w:rsidRPr="00F7478B">
          <w:t>2</w:t>
        </w:r>
      </w:fldSimple>
      <w:bookmarkEnd w:id="8"/>
      <w:r w:rsidRPr="003771DB">
        <w:t>: PBAC advice for a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 PBAC advice for a resubmission"/>
        <w:tblDescription w:val="Table 2: PBAC advice for a resubmission"/>
      </w:tblPr>
      <w:tblGrid>
        <w:gridCol w:w="4389"/>
        <w:gridCol w:w="4628"/>
      </w:tblGrid>
      <w:tr w:rsidR="00683CF9" w:rsidRPr="003771DB" w14:paraId="2C0947D6" w14:textId="77777777" w:rsidTr="00076B84">
        <w:trPr>
          <w:cantSplit/>
          <w:tblHeader/>
        </w:trPr>
        <w:tc>
          <w:tcPr>
            <w:tcW w:w="2434" w:type="pct"/>
            <w:vAlign w:val="center"/>
          </w:tcPr>
          <w:p w14:paraId="6F6E6ABC" w14:textId="77777777" w:rsidR="00683CF9" w:rsidRPr="003771DB" w:rsidRDefault="00683CF9" w:rsidP="00DD2839">
            <w:pPr>
              <w:pStyle w:val="COMTableheadingrow"/>
              <w:keepLines/>
              <w:rPr>
                <w:lang w:val="en-AU"/>
              </w:rPr>
            </w:pPr>
            <w:r w:rsidRPr="003771DB">
              <w:rPr>
                <w:lang w:val="en-AU"/>
              </w:rPr>
              <w:t>Matter of concern (March 2022 PBAC meeting)</w:t>
            </w:r>
          </w:p>
        </w:tc>
        <w:tc>
          <w:tcPr>
            <w:tcW w:w="2566" w:type="pct"/>
            <w:vAlign w:val="center"/>
          </w:tcPr>
          <w:p w14:paraId="7A01A44E" w14:textId="77777777" w:rsidR="00683CF9" w:rsidRPr="003771DB" w:rsidRDefault="00683CF9" w:rsidP="00DD2839">
            <w:pPr>
              <w:pStyle w:val="COMTableheadingrow"/>
              <w:keepLines/>
              <w:rPr>
                <w:lang w:val="en-AU"/>
              </w:rPr>
            </w:pPr>
            <w:r w:rsidRPr="003771DB">
              <w:rPr>
                <w:lang w:val="en-AU"/>
              </w:rPr>
              <w:t xml:space="preserve">Addressed in the resubmission </w:t>
            </w:r>
          </w:p>
        </w:tc>
      </w:tr>
      <w:tr w:rsidR="00683CF9" w:rsidRPr="003771DB" w14:paraId="096FBA58" w14:textId="77777777" w:rsidTr="00076B84">
        <w:trPr>
          <w:cantSplit/>
        </w:trPr>
        <w:tc>
          <w:tcPr>
            <w:tcW w:w="5000" w:type="pct"/>
            <w:gridSpan w:val="2"/>
            <w:tcBorders>
              <w:bottom w:val="single" w:sz="4" w:space="0" w:color="auto"/>
            </w:tcBorders>
          </w:tcPr>
          <w:p w14:paraId="782A4A42" w14:textId="77777777" w:rsidR="00683CF9" w:rsidRPr="003771DB" w:rsidRDefault="00683CF9" w:rsidP="00DD2839">
            <w:pPr>
              <w:pStyle w:val="COMTabletext"/>
              <w:keepLines/>
            </w:pPr>
            <w:r w:rsidRPr="003771DB">
              <w:rPr>
                <w:rFonts w:cs="Calibri"/>
                <w:b/>
                <w:bCs w:val="0"/>
              </w:rPr>
              <w:t>Advice for a resubmission</w:t>
            </w:r>
          </w:p>
        </w:tc>
      </w:tr>
      <w:tr w:rsidR="00683CF9" w:rsidRPr="003771DB" w14:paraId="3D46F45A" w14:textId="77777777" w:rsidTr="00076B84">
        <w:trPr>
          <w:cantSplit/>
        </w:trPr>
        <w:tc>
          <w:tcPr>
            <w:tcW w:w="2434" w:type="pct"/>
            <w:tcBorders>
              <w:bottom w:val="nil"/>
            </w:tcBorders>
          </w:tcPr>
          <w:p w14:paraId="1E4C78E5" w14:textId="77777777" w:rsidR="00683CF9" w:rsidRPr="003771DB" w:rsidRDefault="00683CF9" w:rsidP="00DD2839">
            <w:pPr>
              <w:pStyle w:val="PBACTabletext"/>
              <w:suppressLineNumbers w:val="0"/>
              <w:rPr>
                <w:rFonts w:ascii="Arial Narrow" w:hAnsi="Arial Narrow" w:cs="Calibri"/>
              </w:rPr>
            </w:pPr>
            <w:r w:rsidRPr="003771DB">
              <w:rPr>
                <w:rFonts w:ascii="Arial Narrow" w:hAnsi="Arial Narrow" w:cs="Calibri"/>
              </w:rPr>
              <w:t>The PBAC considered a resubmission for semaglutide should address the following issues (para 7.11):</w:t>
            </w:r>
          </w:p>
        </w:tc>
        <w:tc>
          <w:tcPr>
            <w:tcW w:w="2566" w:type="pct"/>
            <w:tcBorders>
              <w:bottom w:val="nil"/>
            </w:tcBorders>
          </w:tcPr>
          <w:p w14:paraId="76C6A222" w14:textId="77777777" w:rsidR="00683CF9" w:rsidRPr="003771DB" w:rsidRDefault="00683CF9" w:rsidP="00DD2839">
            <w:pPr>
              <w:pStyle w:val="COMTabletext"/>
              <w:keepLines/>
            </w:pPr>
          </w:p>
        </w:tc>
      </w:tr>
      <w:tr w:rsidR="00683CF9" w:rsidRPr="003771DB" w14:paraId="4686D721" w14:textId="77777777" w:rsidTr="00076B84">
        <w:trPr>
          <w:cantSplit/>
        </w:trPr>
        <w:tc>
          <w:tcPr>
            <w:tcW w:w="2434" w:type="pct"/>
            <w:tcBorders>
              <w:top w:val="nil"/>
              <w:bottom w:val="nil"/>
            </w:tcBorders>
          </w:tcPr>
          <w:p w14:paraId="6619003A" w14:textId="77777777" w:rsidR="00683CF9" w:rsidRPr="003771DB" w:rsidRDefault="00683CF9" w:rsidP="0042771B">
            <w:pPr>
              <w:pStyle w:val="PBACTabletext"/>
              <w:numPr>
                <w:ilvl w:val="0"/>
                <w:numId w:val="6"/>
              </w:numPr>
              <w:suppressLineNumbers w:val="0"/>
              <w:ind w:left="170" w:hanging="170"/>
              <w:rPr>
                <w:rFonts w:ascii="Arial Narrow" w:hAnsi="Arial Narrow" w:cs="Calibri"/>
                <w:szCs w:val="20"/>
              </w:rPr>
            </w:pPr>
            <w:r w:rsidRPr="003771DB">
              <w:rPr>
                <w:rFonts w:ascii="Arial Narrow" w:hAnsi="Arial Narrow" w:cs="Calibri"/>
                <w:szCs w:val="20"/>
              </w:rPr>
              <w:t>Additional justification for the proposed population and who are most likely to benefit and in whom semaglutide is cost effective.</w:t>
            </w:r>
          </w:p>
        </w:tc>
        <w:tc>
          <w:tcPr>
            <w:tcW w:w="2566" w:type="pct"/>
            <w:tcBorders>
              <w:top w:val="nil"/>
              <w:bottom w:val="nil"/>
            </w:tcBorders>
          </w:tcPr>
          <w:p w14:paraId="682AA19C" w14:textId="3F135388" w:rsidR="00683CF9" w:rsidRPr="003771DB" w:rsidRDefault="00683CF9" w:rsidP="0042771B">
            <w:pPr>
              <w:pStyle w:val="PBACTabletext"/>
              <w:numPr>
                <w:ilvl w:val="0"/>
                <w:numId w:val="6"/>
              </w:numPr>
              <w:suppressLineNumbers w:val="0"/>
              <w:ind w:left="170" w:hanging="170"/>
            </w:pPr>
            <w:r w:rsidRPr="003771DB">
              <w:rPr>
                <w:rFonts w:ascii="Arial Narrow" w:hAnsi="Arial Narrow" w:cs="Calibri"/>
                <w:szCs w:val="20"/>
              </w:rPr>
              <w:t>The narrower proposed population was informed by exploratory subgroup analyses of transformed SF-6Dv1 data from the STEP trials and advice from clinical experts</w:t>
            </w:r>
            <w:r w:rsidR="003771DB">
              <w:rPr>
                <w:rFonts w:ascii="Arial Narrow" w:hAnsi="Arial Narrow" w:cs="Calibri"/>
                <w:szCs w:val="20"/>
              </w:rPr>
              <w:t xml:space="preserve">. </w:t>
            </w:r>
          </w:p>
        </w:tc>
      </w:tr>
      <w:tr w:rsidR="00683CF9" w:rsidRPr="003771DB" w14:paraId="4AF25EBA" w14:textId="77777777" w:rsidTr="00076B84">
        <w:trPr>
          <w:cantSplit/>
        </w:trPr>
        <w:tc>
          <w:tcPr>
            <w:tcW w:w="2434" w:type="pct"/>
            <w:tcBorders>
              <w:top w:val="nil"/>
              <w:bottom w:val="nil"/>
            </w:tcBorders>
          </w:tcPr>
          <w:p w14:paraId="3DF7F7B0" w14:textId="77777777" w:rsidR="00683CF9" w:rsidRPr="003771DB" w:rsidRDefault="00683CF9" w:rsidP="0042771B">
            <w:pPr>
              <w:pStyle w:val="PBACTabletext"/>
              <w:numPr>
                <w:ilvl w:val="0"/>
                <w:numId w:val="6"/>
              </w:numPr>
              <w:suppressLineNumbers w:val="0"/>
              <w:ind w:left="170" w:hanging="170"/>
              <w:rPr>
                <w:rFonts w:ascii="Arial Narrow" w:hAnsi="Arial Narrow" w:cs="Calibri"/>
                <w:szCs w:val="20"/>
              </w:rPr>
            </w:pPr>
            <w:r w:rsidRPr="003771DB">
              <w:rPr>
                <w:rFonts w:ascii="Arial Narrow" w:hAnsi="Arial Narrow" w:cs="Calibri"/>
                <w:szCs w:val="20"/>
              </w:rPr>
              <w:t>The uncertainty of modelled reductions in obesity-related comorbidities. The PBAC also advised that without clinical trial evidence of long-term benefits, a resubmission should be based on valuing the outcomes of shorter-term weight loss as seen under the conditions of the STEP trials.</w:t>
            </w:r>
          </w:p>
        </w:tc>
        <w:tc>
          <w:tcPr>
            <w:tcW w:w="2566" w:type="pct"/>
            <w:tcBorders>
              <w:top w:val="nil"/>
              <w:bottom w:val="nil"/>
            </w:tcBorders>
          </w:tcPr>
          <w:p w14:paraId="6CE5E796" w14:textId="77777777" w:rsidR="00683CF9" w:rsidRPr="003771DB" w:rsidRDefault="00683CF9" w:rsidP="0042771B">
            <w:pPr>
              <w:pStyle w:val="PBACTabletext"/>
              <w:numPr>
                <w:ilvl w:val="0"/>
                <w:numId w:val="6"/>
              </w:numPr>
              <w:suppressLineNumbers w:val="0"/>
              <w:ind w:left="170" w:hanging="170"/>
            </w:pPr>
            <w:r w:rsidRPr="003771DB">
              <w:rPr>
                <w:rFonts w:ascii="Arial Narrow" w:hAnsi="Arial Narrow" w:cs="Calibri"/>
                <w:szCs w:val="20"/>
              </w:rPr>
              <w:t>The economic model has been revised, based on quality of life improvements from weight loss over the short-term.</w:t>
            </w:r>
          </w:p>
        </w:tc>
      </w:tr>
      <w:tr w:rsidR="00683CF9" w:rsidRPr="003771DB" w14:paraId="7FE5F8FF" w14:textId="77777777" w:rsidTr="009E6AE1">
        <w:trPr>
          <w:cantSplit/>
        </w:trPr>
        <w:tc>
          <w:tcPr>
            <w:tcW w:w="2434" w:type="pct"/>
            <w:tcBorders>
              <w:top w:val="nil"/>
              <w:bottom w:val="nil"/>
            </w:tcBorders>
          </w:tcPr>
          <w:p w14:paraId="4F28DB83" w14:textId="77777777" w:rsidR="00683CF9" w:rsidRPr="003771DB" w:rsidRDefault="00683CF9" w:rsidP="0042771B">
            <w:pPr>
              <w:pStyle w:val="PBACTabletext"/>
              <w:numPr>
                <w:ilvl w:val="0"/>
                <w:numId w:val="6"/>
              </w:numPr>
              <w:suppressLineNumbers w:val="0"/>
              <w:ind w:left="170" w:hanging="170"/>
              <w:rPr>
                <w:rFonts w:ascii="Arial Narrow" w:hAnsi="Arial Narrow" w:cs="Calibri"/>
                <w:szCs w:val="20"/>
              </w:rPr>
            </w:pPr>
            <w:r w:rsidRPr="003771DB">
              <w:rPr>
                <w:rFonts w:ascii="Arial Narrow" w:hAnsi="Arial Narrow" w:cs="Calibri"/>
                <w:szCs w:val="20"/>
              </w:rPr>
              <w:t>The potential for intermittent use of semaglutide and the impact on downstream benefits claimed. This should be addressed across the restriction, clinical data, economic model and financial estimates.</w:t>
            </w:r>
          </w:p>
        </w:tc>
        <w:tc>
          <w:tcPr>
            <w:tcW w:w="2566" w:type="pct"/>
            <w:tcBorders>
              <w:top w:val="nil"/>
              <w:bottom w:val="nil"/>
            </w:tcBorders>
          </w:tcPr>
          <w:p w14:paraId="6D7A178A" w14:textId="77777777" w:rsidR="00683CF9" w:rsidRPr="003771DB" w:rsidRDefault="00683CF9" w:rsidP="0042771B">
            <w:pPr>
              <w:pStyle w:val="PBACTabletext"/>
              <w:numPr>
                <w:ilvl w:val="0"/>
                <w:numId w:val="6"/>
              </w:numPr>
              <w:suppressLineNumbers w:val="0"/>
              <w:ind w:left="170" w:hanging="170"/>
              <w:rPr>
                <w:rFonts w:ascii="Arial Narrow" w:hAnsi="Arial Narrow" w:cs="Calibri"/>
                <w:szCs w:val="20"/>
              </w:rPr>
            </w:pPr>
            <w:r w:rsidRPr="003771DB">
              <w:rPr>
                <w:rFonts w:ascii="Arial Narrow" w:hAnsi="Arial Narrow" w:cs="Calibri"/>
                <w:szCs w:val="20"/>
              </w:rPr>
              <w:t>The resubmission proposed that patients who discontinue therapy must have a minimum treatment gap of 2 years before they are allowed to re-initiate therapy. The resubmission acknowledged there are no clinical data on semaglutide re-treatment. The impact of re-treatment was included in the financial estimates, but not the economic model.</w:t>
            </w:r>
          </w:p>
        </w:tc>
      </w:tr>
      <w:tr w:rsidR="00683CF9" w:rsidRPr="003771DB" w14:paraId="662597D6" w14:textId="77777777" w:rsidTr="009E6AE1">
        <w:trPr>
          <w:cantSplit/>
        </w:trPr>
        <w:tc>
          <w:tcPr>
            <w:tcW w:w="2434" w:type="pct"/>
            <w:tcBorders>
              <w:top w:val="nil"/>
              <w:bottom w:val="single" w:sz="2" w:space="0" w:color="auto"/>
            </w:tcBorders>
          </w:tcPr>
          <w:p w14:paraId="348E562F" w14:textId="77777777" w:rsidR="00683CF9" w:rsidRPr="003771DB" w:rsidRDefault="00683CF9" w:rsidP="0042771B">
            <w:pPr>
              <w:pStyle w:val="PBACTabletext"/>
              <w:numPr>
                <w:ilvl w:val="0"/>
                <w:numId w:val="6"/>
              </w:numPr>
              <w:suppressLineNumbers w:val="0"/>
              <w:ind w:left="170" w:hanging="170"/>
              <w:rPr>
                <w:rFonts w:ascii="Arial Narrow" w:hAnsi="Arial Narrow" w:cs="Calibri"/>
                <w:szCs w:val="20"/>
              </w:rPr>
            </w:pPr>
            <w:r w:rsidRPr="003771DB">
              <w:rPr>
                <w:rFonts w:ascii="Arial Narrow" w:hAnsi="Arial Narrow" w:cs="Calibri"/>
                <w:szCs w:val="20"/>
              </w:rPr>
              <w:t>Revised financial estimates in accordance with any revised population and circumstances of use.</w:t>
            </w:r>
          </w:p>
        </w:tc>
        <w:tc>
          <w:tcPr>
            <w:tcW w:w="2566" w:type="pct"/>
            <w:tcBorders>
              <w:top w:val="nil"/>
            </w:tcBorders>
          </w:tcPr>
          <w:p w14:paraId="538D132D" w14:textId="77777777" w:rsidR="00683CF9" w:rsidRPr="003771DB" w:rsidRDefault="00683CF9" w:rsidP="0042771B">
            <w:pPr>
              <w:pStyle w:val="PBACTabletext"/>
              <w:numPr>
                <w:ilvl w:val="0"/>
                <w:numId w:val="6"/>
              </w:numPr>
              <w:suppressLineNumbers w:val="0"/>
              <w:ind w:left="170" w:hanging="170"/>
              <w:rPr>
                <w:rFonts w:ascii="Arial Narrow" w:hAnsi="Arial Narrow" w:cs="Calibri"/>
                <w:szCs w:val="20"/>
              </w:rPr>
            </w:pPr>
            <w:r w:rsidRPr="003771DB">
              <w:rPr>
                <w:rFonts w:ascii="Arial Narrow" w:hAnsi="Arial Narrow" w:cs="Calibri"/>
                <w:szCs w:val="20"/>
              </w:rPr>
              <w:t>The financial estimates were revised, based on the narrower proposed population, allowing for treatment re-initiation after 2 years, and incorporating costs to the MBS associated with multidisciplinary care.</w:t>
            </w:r>
          </w:p>
        </w:tc>
      </w:tr>
    </w:tbl>
    <w:p w14:paraId="4B3EDB90" w14:textId="00069BFF" w:rsidR="00683CF9" w:rsidRPr="003771DB" w:rsidRDefault="00683CF9" w:rsidP="00DD2839">
      <w:pPr>
        <w:pStyle w:val="COMTablefooter"/>
        <w:keepNext/>
        <w:keepLines/>
      </w:pPr>
      <w:r w:rsidRPr="003771DB">
        <w:t xml:space="preserve">Source: Table 1-1, pp14-15 of the </w:t>
      </w:r>
      <w:r w:rsidR="00FA4838" w:rsidRPr="003771DB">
        <w:t>re</w:t>
      </w:r>
      <w:r w:rsidRPr="003771DB">
        <w:t xml:space="preserve">submission; Semaglutide </w:t>
      </w:r>
      <w:r w:rsidR="00D13884" w:rsidRPr="003771DB">
        <w:t>PSD</w:t>
      </w:r>
      <w:r w:rsidRPr="003771DB">
        <w:t>, March 2022 PBAC meeting</w:t>
      </w:r>
    </w:p>
    <w:p w14:paraId="4579EF97" w14:textId="16084BE2" w:rsidR="00683CF9" w:rsidRPr="003771DB" w:rsidRDefault="00683CF9" w:rsidP="00683CF9">
      <w:pPr>
        <w:pStyle w:val="COMTablefooter"/>
        <w:rPr>
          <w:color w:val="3366FF"/>
        </w:rPr>
      </w:pPr>
      <w:r w:rsidRPr="003771DB">
        <w:t>Abbreviations: PBAC, Pharmaceutical Benefits Advisory Committee</w:t>
      </w:r>
      <w:r w:rsidR="005919F3" w:rsidRPr="003771DB">
        <w:t>; SF-6Dv</w:t>
      </w:r>
      <w:r w:rsidR="00C65B3C" w:rsidRPr="003771DB">
        <w:t xml:space="preserve">1, Short Form 6 </w:t>
      </w:r>
      <w:r w:rsidR="00195B93" w:rsidRPr="003771DB">
        <w:t>d</w:t>
      </w:r>
      <w:r w:rsidR="00C65B3C" w:rsidRPr="003771DB">
        <w:t>imension version 1</w:t>
      </w:r>
    </w:p>
    <w:p w14:paraId="2E5DCC80" w14:textId="77777777" w:rsidR="003A1B34" w:rsidRPr="003771DB" w:rsidRDefault="003A1B34" w:rsidP="003A1B34">
      <w:pPr>
        <w:ind w:firstLine="709"/>
        <w:rPr>
          <w:rFonts w:asciiTheme="minorHAnsi" w:hAnsiTheme="minorHAnsi"/>
          <w:i/>
        </w:rPr>
      </w:pPr>
      <w:bookmarkStart w:id="9" w:name="_Toc107902078"/>
      <w:bookmarkStart w:id="10" w:name="_Hlk76375324"/>
      <w:bookmarkStart w:id="11" w:name="_Toc144899319"/>
      <w:bookmarkEnd w:id="9"/>
      <w:r w:rsidRPr="003771DB">
        <w:rPr>
          <w:rFonts w:asciiTheme="minorHAnsi" w:hAnsiTheme="minorHAnsi"/>
          <w:i/>
        </w:rPr>
        <w:t>For more detail on PBAC’s view, see section 7 PBAC outcome.</w:t>
      </w:r>
    </w:p>
    <w:bookmarkEnd w:id="10"/>
    <w:p w14:paraId="0671F3EF" w14:textId="4B959FB6" w:rsidR="004A568A" w:rsidRPr="003771DB" w:rsidRDefault="00B50DB8" w:rsidP="004A568A">
      <w:pPr>
        <w:pStyle w:val="COMH1numbered"/>
        <w:numPr>
          <w:ilvl w:val="0"/>
          <w:numId w:val="1"/>
        </w:numPr>
      </w:pPr>
      <w:r w:rsidRPr="003771DB">
        <w:t>Requested listing</w:t>
      </w:r>
      <w:bookmarkEnd w:id="11"/>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1692"/>
        <w:gridCol w:w="1693"/>
        <w:gridCol w:w="762"/>
        <w:gridCol w:w="762"/>
        <w:gridCol w:w="762"/>
        <w:gridCol w:w="992"/>
      </w:tblGrid>
      <w:tr w:rsidR="00C43EF5" w:rsidRPr="003771DB" w14:paraId="7BA94185" w14:textId="77777777" w:rsidTr="00030369">
        <w:trPr>
          <w:cantSplit/>
          <w:trHeight w:val="20"/>
        </w:trPr>
        <w:tc>
          <w:tcPr>
            <w:tcW w:w="2408" w:type="dxa"/>
            <w:vAlign w:val="center"/>
          </w:tcPr>
          <w:p w14:paraId="07C0065A" w14:textId="77777777" w:rsidR="00C43EF5" w:rsidRPr="003771DB" w:rsidRDefault="00C43EF5" w:rsidP="00DD2839">
            <w:pPr>
              <w:widowControl w:val="0"/>
              <w:rPr>
                <w:rFonts w:ascii="Arial Narrow" w:hAnsi="Arial Narrow"/>
                <w:b/>
                <w:bCs/>
                <w:sz w:val="20"/>
                <w:szCs w:val="20"/>
              </w:rPr>
            </w:pPr>
            <w:r w:rsidRPr="003771DB">
              <w:rPr>
                <w:rFonts w:ascii="Arial Narrow" w:hAnsi="Arial Narrow"/>
                <w:b/>
                <w:bCs/>
                <w:sz w:val="20"/>
                <w:szCs w:val="20"/>
              </w:rPr>
              <w:t>MEDICINAL PRODUCT</w:t>
            </w:r>
          </w:p>
          <w:p w14:paraId="6CC05E05" w14:textId="77777777" w:rsidR="00C43EF5" w:rsidRPr="003771DB" w:rsidRDefault="00C43EF5" w:rsidP="00DD2839">
            <w:pPr>
              <w:widowControl w:val="0"/>
              <w:rPr>
                <w:rFonts w:ascii="Arial Narrow" w:hAnsi="Arial Narrow"/>
                <w:b/>
                <w:sz w:val="20"/>
                <w:szCs w:val="20"/>
              </w:rPr>
            </w:pPr>
            <w:r w:rsidRPr="003771DB">
              <w:rPr>
                <w:rFonts w:ascii="Arial Narrow" w:hAnsi="Arial Narrow"/>
                <w:b/>
                <w:bCs/>
                <w:sz w:val="20"/>
                <w:szCs w:val="20"/>
              </w:rPr>
              <w:t>medicinal product pack</w:t>
            </w:r>
          </w:p>
        </w:tc>
        <w:tc>
          <w:tcPr>
            <w:tcW w:w="1692" w:type="dxa"/>
            <w:vAlign w:val="center"/>
          </w:tcPr>
          <w:p w14:paraId="2AE3CFEB" w14:textId="7130719B" w:rsidR="00C43EF5" w:rsidRPr="003771DB" w:rsidRDefault="00C43EF5" w:rsidP="00DD2839">
            <w:pPr>
              <w:pStyle w:val="COMTabletext"/>
              <w:keepNext w:val="0"/>
              <w:widowControl w:val="0"/>
              <w:jc w:val="center"/>
              <w:rPr>
                <w:b/>
                <w:bCs w:val="0"/>
                <w:szCs w:val="20"/>
              </w:rPr>
            </w:pPr>
            <w:r w:rsidRPr="003771DB">
              <w:rPr>
                <w:b/>
                <w:bCs w:val="0"/>
                <w:szCs w:val="20"/>
              </w:rPr>
              <w:t>AEMP</w:t>
            </w:r>
            <w:r w:rsidR="007C308C">
              <w:rPr>
                <w:b/>
                <w:bCs w:val="0"/>
                <w:szCs w:val="20"/>
              </w:rPr>
              <w:t xml:space="preserve"> ($)</w:t>
            </w:r>
          </w:p>
        </w:tc>
        <w:tc>
          <w:tcPr>
            <w:tcW w:w="1693" w:type="dxa"/>
            <w:vAlign w:val="center"/>
          </w:tcPr>
          <w:p w14:paraId="00AC25A5" w14:textId="4CA2CD4A" w:rsidR="00C43EF5" w:rsidRPr="003771DB" w:rsidRDefault="00C43EF5" w:rsidP="00DD2839">
            <w:pPr>
              <w:pStyle w:val="COMTabletext"/>
              <w:keepNext w:val="0"/>
              <w:widowControl w:val="0"/>
              <w:jc w:val="center"/>
              <w:rPr>
                <w:b/>
                <w:bCs w:val="0"/>
                <w:szCs w:val="20"/>
              </w:rPr>
            </w:pPr>
            <w:r w:rsidRPr="003771DB">
              <w:rPr>
                <w:b/>
                <w:bCs w:val="0"/>
                <w:snapToGrid w:val="0"/>
              </w:rPr>
              <w:t>DPMQ</w:t>
            </w:r>
            <w:r w:rsidR="007C308C">
              <w:rPr>
                <w:b/>
                <w:bCs w:val="0"/>
                <w:snapToGrid w:val="0"/>
              </w:rPr>
              <w:t xml:space="preserve"> ($)</w:t>
            </w:r>
          </w:p>
        </w:tc>
        <w:tc>
          <w:tcPr>
            <w:tcW w:w="762" w:type="dxa"/>
            <w:vAlign w:val="center"/>
          </w:tcPr>
          <w:p w14:paraId="672CD20D" w14:textId="77777777" w:rsidR="00C43EF5" w:rsidRPr="003771DB" w:rsidRDefault="00C43EF5" w:rsidP="00DD2839">
            <w:pPr>
              <w:widowControl w:val="0"/>
              <w:jc w:val="center"/>
              <w:rPr>
                <w:rFonts w:ascii="Arial Narrow" w:hAnsi="Arial Narrow"/>
                <w:b/>
                <w:sz w:val="20"/>
                <w:szCs w:val="20"/>
              </w:rPr>
            </w:pPr>
            <w:r w:rsidRPr="003771DB">
              <w:rPr>
                <w:rFonts w:ascii="Arial Narrow" w:hAnsi="Arial Narrow"/>
                <w:b/>
                <w:sz w:val="20"/>
                <w:szCs w:val="20"/>
              </w:rPr>
              <w:t>Max. qty packs</w:t>
            </w:r>
          </w:p>
        </w:tc>
        <w:tc>
          <w:tcPr>
            <w:tcW w:w="762" w:type="dxa"/>
            <w:vAlign w:val="center"/>
          </w:tcPr>
          <w:p w14:paraId="3D8335E2" w14:textId="77777777" w:rsidR="00C43EF5" w:rsidRPr="003771DB" w:rsidRDefault="00C43EF5" w:rsidP="00DD2839">
            <w:pPr>
              <w:widowControl w:val="0"/>
              <w:jc w:val="center"/>
              <w:rPr>
                <w:rFonts w:ascii="Arial Narrow" w:hAnsi="Arial Narrow"/>
                <w:b/>
                <w:sz w:val="20"/>
                <w:szCs w:val="20"/>
              </w:rPr>
            </w:pPr>
            <w:r w:rsidRPr="003771DB">
              <w:rPr>
                <w:rFonts w:ascii="Arial Narrow" w:hAnsi="Arial Narrow"/>
                <w:b/>
                <w:sz w:val="20"/>
                <w:szCs w:val="20"/>
              </w:rPr>
              <w:t>Max. qty units</w:t>
            </w:r>
          </w:p>
        </w:tc>
        <w:tc>
          <w:tcPr>
            <w:tcW w:w="762" w:type="dxa"/>
            <w:vAlign w:val="center"/>
          </w:tcPr>
          <w:p w14:paraId="6DB6F963" w14:textId="77777777" w:rsidR="00C43EF5" w:rsidRPr="003771DB" w:rsidRDefault="00C43EF5" w:rsidP="00DD2839">
            <w:pPr>
              <w:widowControl w:val="0"/>
              <w:jc w:val="center"/>
              <w:rPr>
                <w:rFonts w:ascii="Arial Narrow" w:hAnsi="Arial Narrow"/>
                <w:b/>
                <w:sz w:val="20"/>
                <w:szCs w:val="20"/>
              </w:rPr>
            </w:pPr>
            <w:r w:rsidRPr="003771DB">
              <w:rPr>
                <w:rFonts w:ascii="Arial Narrow" w:hAnsi="Arial Narrow"/>
                <w:b/>
                <w:sz w:val="20"/>
                <w:szCs w:val="20"/>
              </w:rPr>
              <w:t>№.of</w:t>
            </w:r>
          </w:p>
          <w:p w14:paraId="1F8A4673" w14:textId="77777777" w:rsidR="00C43EF5" w:rsidRPr="003771DB" w:rsidRDefault="00C43EF5" w:rsidP="00DD2839">
            <w:pPr>
              <w:widowControl w:val="0"/>
              <w:jc w:val="center"/>
              <w:rPr>
                <w:rFonts w:ascii="Arial Narrow" w:hAnsi="Arial Narrow"/>
                <w:b/>
                <w:sz w:val="20"/>
                <w:szCs w:val="20"/>
              </w:rPr>
            </w:pPr>
            <w:r w:rsidRPr="003771DB">
              <w:rPr>
                <w:rFonts w:ascii="Arial Narrow" w:hAnsi="Arial Narrow"/>
                <w:b/>
                <w:sz w:val="20"/>
                <w:szCs w:val="20"/>
              </w:rPr>
              <w:t>Rpts</w:t>
            </w:r>
          </w:p>
        </w:tc>
        <w:tc>
          <w:tcPr>
            <w:tcW w:w="992" w:type="dxa"/>
            <w:vAlign w:val="center"/>
          </w:tcPr>
          <w:p w14:paraId="16BD6A71" w14:textId="77777777" w:rsidR="00C43EF5" w:rsidRPr="003771DB" w:rsidRDefault="00C43EF5" w:rsidP="00DD2839">
            <w:pPr>
              <w:widowControl w:val="0"/>
              <w:rPr>
                <w:rFonts w:ascii="Arial Narrow" w:hAnsi="Arial Narrow"/>
                <w:b/>
                <w:sz w:val="20"/>
                <w:szCs w:val="20"/>
              </w:rPr>
            </w:pPr>
            <w:r w:rsidRPr="003771DB">
              <w:rPr>
                <w:rFonts w:ascii="Arial Narrow" w:hAnsi="Arial Narrow"/>
                <w:b/>
                <w:sz w:val="20"/>
                <w:szCs w:val="20"/>
              </w:rPr>
              <w:t>Available brands</w:t>
            </w:r>
          </w:p>
        </w:tc>
      </w:tr>
      <w:tr w:rsidR="00C43EF5" w:rsidRPr="003771DB" w14:paraId="65C4F9A1" w14:textId="77777777" w:rsidTr="00030369">
        <w:trPr>
          <w:cantSplit/>
          <w:trHeight w:val="20"/>
        </w:trPr>
        <w:tc>
          <w:tcPr>
            <w:tcW w:w="9071" w:type="dxa"/>
            <w:gridSpan w:val="7"/>
            <w:vAlign w:val="center"/>
          </w:tcPr>
          <w:p w14:paraId="27438EAB" w14:textId="77777777" w:rsidR="00C43EF5" w:rsidRPr="003771DB" w:rsidRDefault="00C43EF5" w:rsidP="00DD2839">
            <w:pPr>
              <w:pStyle w:val="COMTabletext"/>
              <w:keepNext w:val="0"/>
              <w:widowControl w:val="0"/>
              <w:rPr>
                <w:rFonts w:cs="Arial"/>
                <w:szCs w:val="20"/>
              </w:rPr>
            </w:pPr>
            <w:r w:rsidRPr="003771DB">
              <w:rPr>
                <w:smallCaps/>
              </w:rPr>
              <w:t>SEMAGLUTIDE</w:t>
            </w:r>
            <w:r w:rsidRPr="003771DB">
              <w:rPr>
                <w:rFonts w:cs="Arial"/>
                <w:color w:val="0066FF"/>
                <w:szCs w:val="20"/>
              </w:rPr>
              <w:t xml:space="preserve"> </w:t>
            </w:r>
          </w:p>
        </w:tc>
      </w:tr>
      <w:tr w:rsidR="00C43EF5" w:rsidRPr="003771DB" w14:paraId="12E96F9C" w14:textId="77777777" w:rsidTr="00030369">
        <w:trPr>
          <w:cantSplit/>
          <w:trHeight w:val="20"/>
        </w:trPr>
        <w:tc>
          <w:tcPr>
            <w:tcW w:w="9071" w:type="dxa"/>
            <w:gridSpan w:val="7"/>
            <w:vAlign w:val="center"/>
          </w:tcPr>
          <w:p w14:paraId="50A98894" w14:textId="77777777" w:rsidR="00C43EF5" w:rsidRPr="003771DB" w:rsidRDefault="00C43EF5" w:rsidP="00DD2839">
            <w:pPr>
              <w:pStyle w:val="COMTabletext"/>
              <w:keepNext w:val="0"/>
              <w:widowControl w:val="0"/>
              <w:rPr>
                <w:smallCaps/>
              </w:rPr>
            </w:pPr>
            <w:r w:rsidRPr="003771DB">
              <w:rPr>
                <w:smallCaps/>
              </w:rPr>
              <w:t>Initial treatment – dose titration</w:t>
            </w:r>
          </w:p>
        </w:tc>
      </w:tr>
      <w:tr w:rsidR="00C43EF5" w:rsidRPr="003771DB" w14:paraId="445A3269" w14:textId="77777777" w:rsidTr="00030369">
        <w:trPr>
          <w:cantSplit/>
          <w:trHeight w:val="20"/>
        </w:trPr>
        <w:tc>
          <w:tcPr>
            <w:tcW w:w="2408" w:type="dxa"/>
            <w:vAlign w:val="center"/>
          </w:tcPr>
          <w:p w14:paraId="206B5EFC" w14:textId="77777777" w:rsidR="00C43EF5" w:rsidRPr="003771DB" w:rsidRDefault="00C43EF5" w:rsidP="00DD2839">
            <w:pPr>
              <w:widowControl w:val="0"/>
              <w:rPr>
                <w:rFonts w:ascii="Arial Narrow" w:hAnsi="Arial Narrow"/>
                <w:color w:val="0066FF"/>
                <w:sz w:val="20"/>
                <w:szCs w:val="20"/>
              </w:rPr>
            </w:pPr>
            <w:r w:rsidRPr="003771DB">
              <w:rPr>
                <w:rFonts w:ascii="Arial Narrow" w:hAnsi="Arial Narrow"/>
                <w:sz w:val="20"/>
                <w:szCs w:val="20"/>
              </w:rPr>
              <w:t>Semaglutide, pre-filled single dose pen, 0.25 mg in 0.5 mL</w:t>
            </w:r>
          </w:p>
        </w:tc>
        <w:tc>
          <w:tcPr>
            <w:tcW w:w="1692" w:type="dxa"/>
          </w:tcPr>
          <w:p w14:paraId="52279C92" w14:textId="69F68AF9" w:rsidR="00C43EF5" w:rsidRPr="003771DB" w:rsidRDefault="00427AAD" w:rsidP="00DD2839">
            <w:pPr>
              <w:pStyle w:val="COMTabletext"/>
              <w:keepNext w:val="0"/>
              <w:widowControl w:val="0"/>
              <w:jc w:val="center"/>
            </w:pPr>
            <w:r>
              <w:t xml:space="preserve"> </w:t>
            </w:r>
            <w:r w:rsidRPr="00427AAD">
              <w:rPr>
                <w:color w:val="000000"/>
                <w:spacing w:val="180"/>
                <w:shd w:val="solid" w:color="000000" w:fill="000000"/>
                <w:fitText w:val="260" w:id="-1032062464"/>
                <w14:textFill>
                  <w14:solidFill>
                    <w14:srgbClr w14:val="000000">
                      <w14:alpha w14:val="100000"/>
                    </w14:srgbClr>
                  </w14:solidFill>
                </w14:textFill>
              </w:rPr>
              <w:t>|</w:t>
            </w:r>
            <w:r w:rsidRPr="00427AAD">
              <w:rPr>
                <w:color w:val="000000"/>
                <w:shd w:val="solid" w:color="000000" w:fill="000000"/>
                <w:fitText w:val="260" w:id="-1032062464"/>
                <w14:textFill>
                  <w14:solidFill>
                    <w14:srgbClr w14:val="000000">
                      <w14:alpha w14:val="100000"/>
                    </w14:srgbClr>
                  </w14:solidFill>
                </w14:textFill>
              </w:rPr>
              <w:t>|</w:t>
            </w:r>
            <w:r w:rsidR="00C43EF5" w:rsidRPr="003771DB">
              <w:t xml:space="preserve"> (published)</w:t>
            </w:r>
          </w:p>
          <w:p w14:paraId="54AE81A0" w14:textId="1BCEC3E8" w:rsidR="00C43EF5" w:rsidRPr="003771DB" w:rsidRDefault="00427AAD" w:rsidP="00DD2839">
            <w:pPr>
              <w:pStyle w:val="COMTabletext"/>
              <w:keepNext w:val="0"/>
              <w:widowControl w:val="0"/>
              <w:jc w:val="center"/>
            </w:pPr>
            <w:r>
              <w:t xml:space="preserve"> </w:t>
            </w:r>
            <w:r w:rsidRPr="00427AAD">
              <w:rPr>
                <w:color w:val="000000"/>
                <w:spacing w:val="46"/>
                <w:shd w:val="solid" w:color="000000" w:fill="000000"/>
                <w:fitText w:val="220" w:id="-1032062463"/>
                <w14:textFill>
                  <w14:solidFill>
                    <w14:srgbClr w14:val="000000">
                      <w14:alpha w14:val="100000"/>
                    </w14:srgbClr>
                  </w14:solidFill>
                </w14:textFill>
              </w:rPr>
              <w:t>||</w:t>
            </w:r>
            <w:r w:rsidRPr="00427AAD">
              <w:rPr>
                <w:color w:val="000000"/>
                <w:spacing w:val="1"/>
                <w:shd w:val="solid" w:color="000000" w:fill="000000"/>
                <w:fitText w:val="220" w:id="-1032062463"/>
                <w14:textFill>
                  <w14:solidFill>
                    <w14:srgbClr w14:val="000000">
                      <w14:alpha w14:val="100000"/>
                    </w14:srgbClr>
                  </w14:solidFill>
                </w14:textFill>
              </w:rPr>
              <w:t>|</w:t>
            </w:r>
            <w:r w:rsidR="00C43EF5" w:rsidRPr="003771DB">
              <w:t xml:space="preserve"> (effective)</w:t>
            </w:r>
          </w:p>
        </w:tc>
        <w:tc>
          <w:tcPr>
            <w:tcW w:w="1693" w:type="dxa"/>
          </w:tcPr>
          <w:p w14:paraId="45AFC93E" w14:textId="47F80C83" w:rsidR="00C43EF5" w:rsidRPr="003771DB" w:rsidRDefault="00427AAD" w:rsidP="00DD2839">
            <w:pPr>
              <w:pStyle w:val="COMTabletext"/>
              <w:keepNext w:val="0"/>
              <w:widowControl w:val="0"/>
              <w:jc w:val="center"/>
            </w:pPr>
            <w:r>
              <w:t xml:space="preserve"> </w:t>
            </w:r>
            <w:r w:rsidRPr="00427AAD">
              <w:rPr>
                <w:color w:val="000000"/>
                <w:spacing w:val="180"/>
                <w:shd w:val="solid" w:color="000000" w:fill="000000"/>
                <w:fitText w:val="260" w:id="-1032062462"/>
                <w14:textFill>
                  <w14:solidFill>
                    <w14:srgbClr w14:val="000000">
                      <w14:alpha w14:val="100000"/>
                    </w14:srgbClr>
                  </w14:solidFill>
                </w14:textFill>
              </w:rPr>
              <w:t>|</w:t>
            </w:r>
            <w:r w:rsidRPr="00427AAD">
              <w:rPr>
                <w:color w:val="000000"/>
                <w:shd w:val="solid" w:color="000000" w:fill="000000"/>
                <w:fitText w:val="260" w:id="-1032062462"/>
                <w14:textFill>
                  <w14:solidFill>
                    <w14:srgbClr w14:val="000000">
                      <w14:alpha w14:val="100000"/>
                    </w14:srgbClr>
                  </w14:solidFill>
                </w14:textFill>
              </w:rPr>
              <w:t>|</w:t>
            </w:r>
            <w:r w:rsidR="00C43EF5" w:rsidRPr="003771DB">
              <w:t xml:space="preserve"> (published)</w:t>
            </w:r>
          </w:p>
          <w:p w14:paraId="03C81B81" w14:textId="2E55D05F" w:rsidR="00C43EF5" w:rsidRPr="003771DB" w:rsidRDefault="00427AAD" w:rsidP="00DD2839">
            <w:pPr>
              <w:pStyle w:val="COMTabletext"/>
              <w:keepNext w:val="0"/>
              <w:widowControl w:val="0"/>
              <w:jc w:val="center"/>
              <w:rPr>
                <w:szCs w:val="20"/>
              </w:rPr>
            </w:pPr>
            <w:r>
              <w:t xml:space="preserve"> </w:t>
            </w:r>
            <w:r w:rsidRPr="00427AAD">
              <w:rPr>
                <w:color w:val="000000"/>
                <w:spacing w:val="46"/>
                <w:shd w:val="solid" w:color="000000" w:fill="000000"/>
                <w:fitText w:val="220" w:id="-1032062461"/>
                <w14:textFill>
                  <w14:solidFill>
                    <w14:srgbClr w14:val="000000">
                      <w14:alpha w14:val="100000"/>
                    </w14:srgbClr>
                  </w14:solidFill>
                </w14:textFill>
              </w:rPr>
              <w:t>||</w:t>
            </w:r>
            <w:r w:rsidRPr="00427AAD">
              <w:rPr>
                <w:color w:val="000000"/>
                <w:spacing w:val="1"/>
                <w:shd w:val="solid" w:color="000000" w:fill="000000"/>
                <w:fitText w:val="220" w:id="-1032062461"/>
                <w14:textFill>
                  <w14:solidFill>
                    <w14:srgbClr w14:val="000000">
                      <w14:alpha w14:val="100000"/>
                    </w14:srgbClr>
                  </w14:solidFill>
                </w14:textFill>
              </w:rPr>
              <w:t>|</w:t>
            </w:r>
            <w:r w:rsidR="00C43EF5" w:rsidRPr="003771DB">
              <w:t xml:space="preserve"> (effective)</w:t>
            </w:r>
          </w:p>
        </w:tc>
        <w:tc>
          <w:tcPr>
            <w:tcW w:w="762" w:type="dxa"/>
            <w:vAlign w:val="center"/>
          </w:tcPr>
          <w:p w14:paraId="2ED3DE62"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1</w:t>
            </w:r>
          </w:p>
        </w:tc>
        <w:tc>
          <w:tcPr>
            <w:tcW w:w="762" w:type="dxa"/>
            <w:vAlign w:val="center"/>
          </w:tcPr>
          <w:p w14:paraId="11072A20"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4</w:t>
            </w:r>
          </w:p>
        </w:tc>
        <w:tc>
          <w:tcPr>
            <w:tcW w:w="762" w:type="dxa"/>
            <w:vAlign w:val="center"/>
          </w:tcPr>
          <w:p w14:paraId="5AE7BCE7"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0</w:t>
            </w:r>
          </w:p>
        </w:tc>
        <w:tc>
          <w:tcPr>
            <w:tcW w:w="992" w:type="dxa"/>
            <w:vMerge w:val="restart"/>
            <w:vAlign w:val="center"/>
          </w:tcPr>
          <w:p w14:paraId="0746DB5D" w14:textId="77777777" w:rsidR="00C43EF5" w:rsidRPr="003771DB" w:rsidRDefault="00C43EF5" w:rsidP="00DD2839">
            <w:pPr>
              <w:widowControl w:val="0"/>
              <w:rPr>
                <w:rFonts w:ascii="Arial Narrow" w:hAnsi="Arial Narrow"/>
                <w:color w:val="0066FF"/>
                <w:sz w:val="20"/>
                <w:szCs w:val="20"/>
              </w:rPr>
            </w:pPr>
            <w:proofErr w:type="spellStart"/>
            <w:r w:rsidRPr="003771DB">
              <w:rPr>
                <w:rFonts w:ascii="Arial Narrow" w:hAnsi="Arial Narrow"/>
                <w:sz w:val="20"/>
                <w:szCs w:val="20"/>
              </w:rPr>
              <w:t>Wegovy</w:t>
            </w:r>
            <w:proofErr w:type="spellEnd"/>
          </w:p>
        </w:tc>
      </w:tr>
      <w:tr w:rsidR="00C43EF5" w:rsidRPr="003771DB" w14:paraId="0E863355" w14:textId="77777777" w:rsidTr="00030369">
        <w:trPr>
          <w:cantSplit/>
          <w:trHeight w:val="20"/>
        </w:trPr>
        <w:tc>
          <w:tcPr>
            <w:tcW w:w="2408" w:type="dxa"/>
            <w:vAlign w:val="center"/>
          </w:tcPr>
          <w:p w14:paraId="534CC5C1" w14:textId="77777777" w:rsidR="00C43EF5" w:rsidRPr="003771DB" w:rsidRDefault="00C43EF5" w:rsidP="00DD2839">
            <w:pPr>
              <w:widowControl w:val="0"/>
              <w:rPr>
                <w:rFonts w:ascii="Arial Narrow" w:hAnsi="Arial Narrow"/>
                <w:color w:val="0066FF"/>
                <w:sz w:val="20"/>
                <w:szCs w:val="20"/>
              </w:rPr>
            </w:pPr>
            <w:r w:rsidRPr="003771DB">
              <w:rPr>
                <w:rFonts w:ascii="Arial Narrow" w:hAnsi="Arial Narrow"/>
                <w:sz w:val="20"/>
                <w:szCs w:val="20"/>
              </w:rPr>
              <w:t>Semaglutide, pre-filled single dose pen, 0.5 mg in 0.5 mL</w:t>
            </w:r>
          </w:p>
        </w:tc>
        <w:tc>
          <w:tcPr>
            <w:tcW w:w="1692" w:type="dxa"/>
          </w:tcPr>
          <w:p w14:paraId="434B4E43" w14:textId="149E83C0" w:rsidR="00C43EF5" w:rsidRPr="003771DB" w:rsidRDefault="00427AAD" w:rsidP="00DD2839">
            <w:pPr>
              <w:pStyle w:val="COMTabletext"/>
              <w:keepNext w:val="0"/>
              <w:widowControl w:val="0"/>
              <w:jc w:val="center"/>
            </w:pPr>
            <w:r>
              <w:t xml:space="preserve"> </w:t>
            </w:r>
            <w:r w:rsidRPr="00427AAD">
              <w:rPr>
                <w:color w:val="000000"/>
                <w:spacing w:val="180"/>
                <w:shd w:val="solid" w:color="000000" w:fill="000000"/>
                <w:fitText w:val="260" w:id="-1032062460"/>
                <w14:textFill>
                  <w14:solidFill>
                    <w14:srgbClr w14:val="000000">
                      <w14:alpha w14:val="100000"/>
                    </w14:srgbClr>
                  </w14:solidFill>
                </w14:textFill>
              </w:rPr>
              <w:t>|</w:t>
            </w:r>
            <w:r w:rsidRPr="00427AAD">
              <w:rPr>
                <w:color w:val="000000"/>
                <w:shd w:val="solid" w:color="000000" w:fill="000000"/>
                <w:fitText w:val="260" w:id="-1032062460"/>
                <w14:textFill>
                  <w14:solidFill>
                    <w14:srgbClr w14:val="000000">
                      <w14:alpha w14:val="100000"/>
                    </w14:srgbClr>
                  </w14:solidFill>
                </w14:textFill>
              </w:rPr>
              <w:t>|</w:t>
            </w:r>
            <w:r w:rsidR="00C43EF5" w:rsidRPr="003771DB">
              <w:t xml:space="preserve"> (published)</w:t>
            </w:r>
          </w:p>
          <w:p w14:paraId="3B062F51" w14:textId="7A566343" w:rsidR="00C43EF5" w:rsidRPr="003771DB" w:rsidRDefault="00427AAD" w:rsidP="00DD2839">
            <w:pPr>
              <w:pStyle w:val="COMTabletext"/>
              <w:keepNext w:val="0"/>
              <w:widowControl w:val="0"/>
              <w:jc w:val="center"/>
            </w:pPr>
            <w:r>
              <w:t xml:space="preserve"> </w:t>
            </w:r>
            <w:r w:rsidRPr="00427AAD">
              <w:rPr>
                <w:color w:val="000000"/>
                <w:spacing w:val="46"/>
                <w:shd w:val="solid" w:color="000000" w:fill="000000"/>
                <w:fitText w:val="220" w:id="-1032062459"/>
                <w14:textFill>
                  <w14:solidFill>
                    <w14:srgbClr w14:val="000000">
                      <w14:alpha w14:val="100000"/>
                    </w14:srgbClr>
                  </w14:solidFill>
                </w14:textFill>
              </w:rPr>
              <w:t>||</w:t>
            </w:r>
            <w:r w:rsidRPr="00427AAD">
              <w:rPr>
                <w:color w:val="000000"/>
                <w:spacing w:val="1"/>
                <w:shd w:val="solid" w:color="000000" w:fill="000000"/>
                <w:fitText w:val="220" w:id="-1032062459"/>
                <w14:textFill>
                  <w14:solidFill>
                    <w14:srgbClr w14:val="000000">
                      <w14:alpha w14:val="100000"/>
                    </w14:srgbClr>
                  </w14:solidFill>
                </w14:textFill>
              </w:rPr>
              <w:t>|</w:t>
            </w:r>
            <w:r w:rsidR="00C43EF5" w:rsidRPr="003771DB">
              <w:t xml:space="preserve"> (effective)</w:t>
            </w:r>
          </w:p>
        </w:tc>
        <w:tc>
          <w:tcPr>
            <w:tcW w:w="1693" w:type="dxa"/>
          </w:tcPr>
          <w:p w14:paraId="7751FB22" w14:textId="1852F185" w:rsidR="00C43EF5" w:rsidRPr="003771DB" w:rsidRDefault="00427AAD" w:rsidP="00DD2839">
            <w:pPr>
              <w:pStyle w:val="COMTabletext"/>
              <w:keepNext w:val="0"/>
              <w:widowControl w:val="0"/>
              <w:jc w:val="center"/>
            </w:pPr>
            <w:r>
              <w:t xml:space="preserve"> </w:t>
            </w:r>
            <w:r w:rsidRPr="00427AAD">
              <w:rPr>
                <w:color w:val="000000"/>
                <w:spacing w:val="180"/>
                <w:shd w:val="solid" w:color="000000" w:fill="000000"/>
                <w:fitText w:val="260" w:id="-1032062458"/>
                <w14:textFill>
                  <w14:solidFill>
                    <w14:srgbClr w14:val="000000">
                      <w14:alpha w14:val="100000"/>
                    </w14:srgbClr>
                  </w14:solidFill>
                </w14:textFill>
              </w:rPr>
              <w:t>|</w:t>
            </w:r>
            <w:r w:rsidRPr="00427AAD">
              <w:rPr>
                <w:color w:val="000000"/>
                <w:shd w:val="solid" w:color="000000" w:fill="000000"/>
                <w:fitText w:val="260" w:id="-1032062458"/>
                <w14:textFill>
                  <w14:solidFill>
                    <w14:srgbClr w14:val="000000">
                      <w14:alpha w14:val="100000"/>
                    </w14:srgbClr>
                  </w14:solidFill>
                </w14:textFill>
              </w:rPr>
              <w:t>|</w:t>
            </w:r>
            <w:r w:rsidR="00C43EF5" w:rsidRPr="003771DB">
              <w:t xml:space="preserve"> (published)</w:t>
            </w:r>
          </w:p>
          <w:p w14:paraId="1F1C36D9" w14:textId="698CD453" w:rsidR="00C43EF5" w:rsidRPr="003771DB" w:rsidRDefault="00427AAD" w:rsidP="00DD2839">
            <w:pPr>
              <w:pStyle w:val="COMTabletext"/>
              <w:keepNext w:val="0"/>
              <w:widowControl w:val="0"/>
              <w:jc w:val="center"/>
              <w:rPr>
                <w:szCs w:val="20"/>
              </w:rPr>
            </w:pPr>
            <w:r>
              <w:t xml:space="preserve"> </w:t>
            </w:r>
            <w:r w:rsidRPr="00427AAD">
              <w:rPr>
                <w:color w:val="000000"/>
                <w:spacing w:val="46"/>
                <w:shd w:val="solid" w:color="000000" w:fill="000000"/>
                <w:fitText w:val="220" w:id="-1032062457"/>
                <w14:textFill>
                  <w14:solidFill>
                    <w14:srgbClr w14:val="000000">
                      <w14:alpha w14:val="100000"/>
                    </w14:srgbClr>
                  </w14:solidFill>
                </w14:textFill>
              </w:rPr>
              <w:t>||</w:t>
            </w:r>
            <w:r w:rsidRPr="00427AAD">
              <w:rPr>
                <w:color w:val="000000"/>
                <w:spacing w:val="1"/>
                <w:shd w:val="solid" w:color="000000" w:fill="000000"/>
                <w:fitText w:val="220" w:id="-1032062457"/>
                <w14:textFill>
                  <w14:solidFill>
                    <w14:srgbClr w14:val="000000">
                      <w14:alpha w14:val="100000"/>
                    </w14:srgbClr>
                  </w14:solidFill>
                </w14:textFill>
              </w:rPr>
              <w:t>|</w:t>
            </w:r>
            <w:r w:rsidR="00C43EF5" w:rsidRPr="003771DB">
              <w:t xml:space="preserve"> (effective)</w:t>
            </w:r>
          </w:p>
        </w:tc>
        <w:tc>
          <w:tcPr>
            <w:tcW w:w="762" w:type="dxa"/>
            <w:vAlign w:val="center"/>
          </w:tcPr>
          <w:p w14:paraId="1870E11A"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1</w:t>
            </w:r>
          </w:p>
        </w:tc>
        <w:tc>
          <w:tcPr>
            <w:tcW w:w="762" w:type="dxa"/>
            <w:vAlign w:val="center"/>
          </w:tcPr>
          <w:p w14:paraId="3D7853C0"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4</w:t>
            </w:r>
          </w:p>
        </w:tc>
        <w:tc>
          <w:tcPr>
            <w:tcW w:w="762" w:type="dxa"/>
            <w:vAlign w:val="center"/>
          </w:tcPr>
          <w:p w14:paraId="4C31B428"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0</w:t>
            </w:r>
          </w:p>
        </w:tc>
        <w:tc>
          <w:tcPr>
            <w:tcW w:w="992" w:type="dxa"/>
            <w:vMerge/>
            <w:vAlign w:val="center"/>
          </w:tcPr>
          <w:p w14:paraId="29D94058" w14:textId="77777777" w:rsidR="00C43EF5" w:rsidRPr="003771DB" w:rsidRDefault="00C43EF5" w:rsidP="00DD2839">
            <w:pPr>
              <w:widowControl w:val="0"/>
              <w:rPr>
                <w:rFonts w:ascii="Arial Narrow" w:hAnsi="Arial Narrow"/>
                <w:color w:val="0066FF"/>
                <w:sz w:val="20"/>
                <w:szCs w:val="20"/>
              </w:rPr>
            </w:pPr>
          </w:p>
        </w:tc>
      </w:tr>
      <w:tr w:rsidR="00C43EF5" w:rsidRPr="003771DB" w14:paraId="2582BFE6" w14:textId="77777777" w:rsidTr="00030369">
        <w:trPr>
          <w:cantSplit/>
          <w:trHeight w:val="20"/>
        </w:trPr>
        <w:tc>
          <w:tcPr>
            <w:tcW w:w="2408" w:type="dxa"/>
            <w:vAlign w:val="center"/>
          </w:tcPr>
          <w:p w14:paraId="4D6C02AB" w14:textId="77777777"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1.0 mg in 0.5 mL</w:t>
            </w:r>
          </w:p>
        </w:tc>
        <w:tc>
          <w:tcPr>
            <w:tcW w:w="1692" w:type="dxa"/>
            <w:vAlign w:val="center"/>
          </w:tcPr>
          <w:p w14:paraId="43AF3C34" w14:textId="41AEDEFD"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6"/>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6"/>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34A567D0" w14:textId="7B2FECD7"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5"/>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5"/>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1693" w:type="dxa"/>
            <w:vAlign w:val="center"/>
          </w:tcPr>
          <w:p w14:paraId="488C76FF" w14:textId="5DA5D974"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4"/>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4"/>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4FBDE5B5" w14:textId="698A80A2"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3"/>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3"/>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43223F20"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1</w:t>
            </w:r>
          </w:p>
        </w:tc>
        <w:tc>
          <w:tcPr>
            <w:tcW w:w="762" w:type="dxa"/>
            <w:vAlign w:val="center"/>
          </w:tcPr>
          <w:p w14:paraId="13DC7775"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4</w:t>
            </w:r>
          </w:p>
        </w:tc>
        <w:tc>
          <w:tcPr>
            <w:tcW w:w="762" w:type="dxa"/>
            <w:vAlign w:val="center"/>
          </w:tcPr>
          <w:p w14:paraId="0BDF8C43"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0</w:t>
            </w:r>
          </w:p>
        </w:tc>
        <w:tc>
          <w:tcPr>
            <w:tcW w:w="992" w:type="dxa"/>
            <w:vMerge/>
            <w:vAlign w:val="center"/>
          </w:tcPr>
          <w:p w14:paraId="1A14A821" w14:textId="77777777" w:rsidR="00C43EF5" w:rsidRPr="003771DB" w:rsidRDefault="00C43EF5" w:rsidP="00DD2839">
            <w:pPr>
              <w:widowControl w:val="0"/>
              <w:jc w:val="center"/>
              <w:rPr>
                <w:rFonts w:ascii="Arial Narrow" w:hAnsi="Arial Narrow"/>
                <w:sz w:val="20"/>
                <w:szCs w:val="20"/>
              </w:rPr>
            </w:pPr>
          </w:p>
        </w:tc>
      </w:tr>
      <w:tr w:rsidR="00C43EF5" w:rsidRPr="003771DB" w14:paraId="7B0D6D9D" w14:textId="77777777" w:rsidTr="00030369">
        <w:trPr>
          <w:cantSplit/>
          <w:trHeight w:val="20"/>
        </w:trPr>
        <w:tc>
          <w:tcPr>
            <w:tcW w:w="2408" w:type="dxa"/>
            <w:vAlign w:val="center"/>
          </w:tcPr>
          <w:p w14:paraId="2408A017" w14:textId="645C0A13"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1.7 mg in 0.</w:t>
            </w:r>
            <w:r w:rsidR="00353E11">
              <w:rPr>
                <w:rFonts w:ascii="Arial Narrow" w:hAnsi="Arial Narrow"/>
                <w:sz w:val="20"/>
                <w:szCs w:val="20"/>
              </w:rPr>
              <w:t>7</w:t>
            </w:r>
            <w:r w:rsidRPr="003771DB">
              <w:rPr>
                <w:rFonts w:ascii="Arial Narrow" w:hAnsi="Arial Narrow"/>
                <w:sz w:val="20"/>
                <w:szCs w:val="20"/>
              </w:rPr>
              <w:t>5 mL</w:t>
            </w:r>
          </w:p>
        </w:tc>
        <w:tc>
          <w:tcPr>
            <w:tcW w:w="1692" w:type="dxa"/>
            <w:vAlign w:val="center"/>
          </w:tcPr>
          <w:p w14:paraId="79F25B68" w14:textId="6C7BBCA7"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2"/>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2"/>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61A9A8CE" w14:textId="6FD34109"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1"/>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1"/>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1693" w:type="dxa"/>
            <w:vAlign w:val="center"/>
          </w:tcPr>
          <w:p w14:paraId="44BDC2C6" w14:textId="1C084B96"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0"/>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0"/>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3EE5FAE6" w14:textId="264AFBBB"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49"/>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49"/>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17D722A6"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1</w:t>
            </w:r>
          </w:p>
        </w:tc>
        <w:tc>
          <w:tcPr>
            <w:tcW w:w="762" w:type="dxa"/>
            <w:vAlign w:val="center"/>
          </w:tcPr>
          <w:p w14:paraId="3358ECA8"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4</w:t>
            </w:r>
          </w:p>
        </w:tc>
        <w:tc>
          <w:tcPr>
            <w:tcW w:w="762" w:type="dxa"/>
            <w:vAlign w:val="center"/>
          </w:tcPr>
          <w:p w14:paraId="757BC544"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rPr>
              <w:t>0</w:t>
            </w:r>
          </w:p>
        </w:tc>
        <w:tc>
          <w:tcPr>
            <w:tcW w:w="992" w:type="dxa"/>
            <w:vMerge/>
            <w:vAlign w:val="center"/>
          </w:tcPr>
          <w:p w14:paraId="284BB28C" w14:textId="77777777" w:rsidR="00C43EF5" w:rsidRPr="003771DB" w:rsidRDefault="00C43EF5" w:rsidP="00DD2839">
            <w:pPr>
              <w:widowControl w:val="0"/>
              <w:jc w:val="center"/>
              <w:rPr>
                <w:rFonts w:ascii="Arial Narrow" w:hAnsi="Arial Narrow"/>
                <w:sz w:val="20"/>
                <w:szCs w:val="20"/>
              </w:rPr>
            </w:pPr>
          </w:p>
        </w:tc>
      </w:tr>
      <w:tr w:rsidR="00C43EF5" w:rsidRPr="003771DB" w14:paraId="39CDDF7F" w14:textId="77777777" w:rsidTr="00030369">
        <w:trPr>
          <w:cantSplit/>
          <w:trHeight w:val="20"/>
        </w:trPr>
        <w:tc>
          <w:tcPr>
            <w:tcW w:w="9071" w:type="dxa"/>
            <w:gridSpan w:val="7"/>
            <w:vAlign w:val="center"/>
          </w:tcPr>
          <w:p w14:paraId="4D33082F" w14:textId="77777777" w:rsidR="00C43EF5" w:rsidRPr="003771DB" w:rsidRDefault="00C43EF5" w:rsidP="00DD2839">
            <w:pPr>
              <w:widowControl w:val="0"/>
              <w:jc w:val="left"/>
              <w:rPr>
                <w:rFonts w:ascii="Arial Narrow" w:hAnsi="Arial Narrow"/>
                <w:smallCaps/>
                <w:sz w:val="20"/>
                <w:szCs w:val="20"/>
              </w:rPr>
            </w:pPr>
            <w:r w:rsidRPr="003771DB">
              <w:rPr>
                <w:rFonts w:ascii="Arial Narrow" w:hAnsi="Arial Narrow"/>
                <w:smallCaps/>
                <w:sz w:val="20"/>
                <w:szCs w:val="20"/>
              </w:rPr>
              <w:lastRenderedPageBreak/>
              <w:t>Initial treatment – dose maintenance</w:t>
            </w:r>
          </w:p>
        </w:tc>
      </w:tr>
      <w:tr w:rsidR="00C43EF5" w:rsidRPr="003771DB" w14:paraId="563CAE56" w14:textId="77777777" w:rsidTr="00030369">
        <w:trPr>
          <w:cantSplit/>
          <w:trHeight w:val="20"/>
        </w:trPr>
        <w:tc>
          <w:tcPr>
            <w:tcW w:w="2408" w:type="dxa"/>
            <w:vAlign w:val="center"/>
          </w:tcPr>
          <w:p w14:paraId="2A03DE9C" w14:textId="6C205889"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1.7 mg in 0.</w:t>
            </w:r>
            <w:r w:rsidR="00353E11">
              <w:rPr>
                <w:rFonts w:ascii="Arial Narrow" w:hAnsi="Arial Narrow"/>
                <w:sz w:val="20"/>
                <w:szCs w:val="20"/>
              </w:rPr>
              <w:t>7</w:t>
            </w:r>
            <w:r w:rsidRPr="003771DB">
              <w:rPr>
                <w:rFonts w:ascii="Arial Narrow" w:hAnsi="Arial Narrow"/>
                <w:sz w:val="20"/>
                <w:szCs w:val="20"/>
              </w:rPr>
              <w:t>5 mL</w:t>
            </w:r>
          </w:p>
        </w:tc>
        <w:tc>
          <w:tcPr>
            <w:tcW w:w="1692" w:type="dxa"/>
            <w:vAlign w:val="center"/>
          </w:tcPr>
          <w:p w14:paraId="717FC77B" w14:textId="0657EE11"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48"/>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48"/>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4E14BE75" w14:textId="3DFB657C"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64"/>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64"/>
                <w14:textFill>
                  <w14:solidFill>
                    <w14:srgbClr w14:val="000000">
                      <w14:alpha w14:val="100000"/>
                    </w14:srgbClr>
                  </w14:solidFill>
                </w14:textFill>
              </w:rPr>
              <w:t>|</w:t>
            </w:r>
            <w:r w:rsidR="00C43EF5" w:rsidRPr="00353E11">
              <w:rPr>
                <w:rFonts w:ascii="Arial Narrow" w:hAnsi="Arial Narrow"/>
                <w:sz w:val="20"/>
                <w:szCs w:val="20"/>
              </w:rPr>
              <w:t xml:space="preserve"> (effective)</w:t>
            </w:r>
          </w:p>
        </w:tc>
        <w:tc>
          <w:tcPr>
            <w:tcW w:w="1693" w:type="dxa"/>
            <w:vAlign w:val="center"/>
          </w:tcPr>
          <w:p w14:paraId="0CDB6340" w14:textId="65F45B14"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63"/>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63"/>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577B526F" w14:textId="2CB9E0D1"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62"/>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62"/>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31165167"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1</w:t>
            </w:r>
          </w:p>
        </w:tc>
        <w:tc>
          <w:tcPr>
            <w:tcW w:w="762" w:type="dxa"/>
            <w:vAlign w:val="center"/>
          </w:tcPr>
          <w:p w14:paraId="403DB788"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4</w:t>
            </w:r>
          </w:p>
        </w:tc>
        <w:tc>
          <w:tcPr>
            <w:tcW w:w="762" w:type="dxa"/>
            <w:vAlign w:val="center"/>
          </w:tcPr>
          <w:p w14:paraId="1AB6B174"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2</w:t>
            </w:r>
          </w:p>
        </w:tc>
        <w:tc>
          <w:tcPr>
            <w:tcW w:w="992" w:type="dxa"/>
            <w:vMerge w:val="restart"/>
            <w:vAlign w:val="center"/>
          </w:tcPr>
          <w:p w14:paraId="6DC268D5" w14:textId="77777777" w:rsidR="00C43EF5" w:rsidRPr="003771DB" w:rsidRDefault="00C43EF5" w:rsidP="00DD2839">
            <w:pPr>
              <w:widowControl w:val="0"/>
              <w:jc w:val="left"/>
              <w:rPr>
                <w:rFonts w:ascii="Arial Narrow" w:hAnsi="Arial Narrow"/>
                <w:sz w:val="20"/>
                <w:szCs w:val="20"/>
              </w:rPr>
            </w:pPr>
            <w:proofErr w:type="spellStart"/>
            <w:r w:rsidRPr="003771DB">
              <w:rPr>
                <w:rFonts w:ascii="Arial Narrow" w:hAnsi="Arial Narrow"/>
                <w:sz w:val="20"/>
                <w:szCs w:val="20"/>
              </w:rPr>
              <w:t>Wegovy</w:t>
            </w:r>
            <w:proofErr w:type="spellEnd"/>
          </w:p>
        </w:tc>
      </w:tr>
      <w:tr w:rsidR="00C43EF5" w:rsidRPr="003771DB" w14:paraId="7A155DCE" w14:textId="77777777" w:rsidTr="00030369">
        <w:trPr>
          <w:cantSplit/>
          <w:trHeight w:val="20"/>
        </w:trPr>
        <w:tc>
          <w:tcPr>
            <w:tcW w:w="2408" w:type="dxa"/>
            <w:vAlign w:val="center"/>
          </w:tcPr>
          <w:p w14:paraId="70F8F5ED" w14:textId="11F26296"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2.4 mg in 0.</w:t>
            </w:r>
            <w:r w:rsidR="00353E11">
              <w:rPr>
                <w:rFonts w:ascii="Arial Narrow" w:hAnsi="Arial Narrow"/>
                <w:sz w:val="20"/>
                <w:szCs w:val="20"/>
              </w:rPr>
              <w:t>7</w:t>
            </w:r>
            <w:r w:rsidRPr="003771DB">
              <w:rPr>
                <w:rFonts w:ascii="Arial Narrow" w:hAnsi="Arial Narrow"/>
                <w:sz w:val="20"/>
                <w:szCs w:val="20"/>
              </w:rPr>
              <w:t>5 mL</w:t>
            </w:r>
          </w:p>
        </w:tc>
        <w:tc>
          <w:tcPr>
            <w:tcW w:w="1692" w:type="dxa"/>
            <w:vAlign w:val="center"/>
          </w:tcPr>
          <w:p w14:paraId="19FF7964" w14:textId="068C1138"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61"/>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61"/>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78E0A134" w14:textId="1EAE4C85"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60"/>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60"/>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1693" w:type="dxa"/>
            <w:vAlign w:val="center"/>
          </w:tcPr>
          <w:p w14:paraId="5C954AB7" w14:textId="64428306"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9"/>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9"/>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66602E03" w14:textId="45738716"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8"/>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8"/>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12D219A3"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1</w:t>
            </w:r>
          </w:p>
        </w:tc>
        <w:tc>
          <w:tcPr>
            <w:tcW w:w="762" w:type="dxa"/>
            <w:vAlign w:val="center"/>
          </w:tcPr>
          <w:p w14:paraId="212E2EF3"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4</w:t>
            </w:r>
          </w:p>
        </w:tc>
        <w:tc>
          <w:tcPr>
            <w:tcW w:w="762" w:type="dxa"/>
            <w:vAlign w:val="center"/>
          </w:tcPr>
          <w:p w14:paraId="03CBE49E"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2</w:t>
            </w:r>
          </w:p>
        </w:tc>
        <w:tc>
          <w:tcPr>
            <w:tcW w:w="992" w:type="dxa"/>
            <w:vMerge/>
            <w:vAlign w:val="center"/>
          </w:tcPr>
          <w:p w14:paraId="400E27B0" w14:textId="77777777" w:rsidR="00C43EF5" w:rsidRPr="003771DB" w:rsidRDefault="00C43EF5" w:rsidP="00DD2839">
            <w:pPr>
              <w:widowControl w:val="0"/>
              <w:jc w:val="center"/>
              <w:rPr>
                <w:rFonts w:ascii="Arial Narrow" w:hAnsi="Arial Narrow"/>
                <w:sz w:val="20"/>
                <w:szCs w:val="20"/>
              </w:rPr>
            </w:pPr>
          </w:p>
        </w:tc>
      </w:tr>
      <w:tr w:rsidR="00C43EF5" w:rsidRPr="003771DB" w14:paraId="7FEC205C" w14:textId="77777777" w:rsidTr="00030369">
        <w:trPr>
          <w:cantSplit/>
          <w:trHeight w:val="20"/>
        </w:trPr>
        <w:tc>
          <w:tcPr>
            <w:tcW w:w="9071" w:type="dxa"/>
            <w:gridSpan w:val="7"/>
            <w:vAlign w:val="center"/>
          </w:tcPr>
          <w:p w14:paraId="20BCA3FF" w14:textId="77777777" w:rsidR="00C43EF5" w:rsidRPr="003771DB" w:rsidRDefault="00C43EF5" w:rsidP="00DD2839">
            <w:pPr>
              <w:widowControl w:val="0"/>
              <w:rPr>
                <w:rFonts w:ascii="Arial Narrow" w:hAnsi="Arial Narrow"/>
                <w:smallCaps/>
                <w:sz w:val="20"/>
                <w:szCs w:val="20"/>
              </w:rPr>
            </w:pPr>
            <w:r w:rsidRPr="003771DB">
              <w:rPr>
                <w:rFonts w:ascii="Arial Narrow" w:hAnsi="Arial Narrow"/>
                <w:smallCaps/>
                <w:sz w:val="20"/>
                <w:szCs w:val="20"/>
              </w:rPr>
              <w:t>First continuing treatment</w:t>
            </w:r>
          </w:p>
        </w:tc>
      </w:tr>
      <w:tr w:rsidR="00C43EF5" w:rsidRPr="003771DB" w14:paraId="5424CC8A" w14:textId="77777777" w:rsidTr="00030369">
        <w:trPr>
          <w:cantSplit/>
          <w:trHeight w:val="20"/>
        </w:trPr>
        <w:tc>
          <w:tcPr>
            <w:tcW w:w="2408" w:type="dxa"/>
            <w:vAlign w:val="center"/>
          </w:tcPr>
          <w:p w14:paraId="20A26881" w14:textId="4CBCA6A2"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1.7 mg in 0.</w:t>
            </w:r>
            <w:r w:rsidR="00353E11">
              <w:rPr>
                <w:rFonts w:ascii="Arial Narrow" w:hAnsi="Arial Narrow"/>
                <w:sz w:val="20"/>
                <w:szCs w:val="20"/>
              </w:rPr>
              <w:t>7</w:t>
            </w:r>
            <w:r w:rsidRPr="003771DB">
              <w:rPr>
                <w:rFonts w:ascii="Arial Narrow" w:hAnsi="Arial Narrow"/>
                <w:sz w:val="20"/>
                <w:szCs w:val="20"/>
              </w:rPr>
              <w:t>5 mL</w:t>
            </w:r>
          </w:p>
        </w:tc>
        <w:tc>
          <w:tcPr>
            <w:tcW w:w="1692" w:type="dxa"/>
            <w:vAlign w:val="center"/>
          </w:tcPr>
          <w:p w14:paraId="118FD2BD" w14:textId="6C5E63AA"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7"/>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7"/>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55946723" w14:textId="56944CED"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6"/>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6"/>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1693" w:type="dxa"/>
            <w:vAlign w:val="center"/>
          </w:tcPr>
          <w:p w14:paraId="394598AF" w14:textId="5242F533"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5"/>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5"/>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3DFF4BCA" w14:textId="32B1ED44"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4"/>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4"/>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060B5289"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1</w:t>
            </w:r>
          </w:p>
        </w:tc>
        <w:tc>
          <w:tcPr>
            <w:tcW w:w="762" w:type="dxa"/>
            <w:vAlign w:val="center"/>
          </w:tcPr>
          <w:p w14:paraId="7B6A168D"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4</w:t>
            </w:r>
          </w:p>
        </w:tc>
        <w:tc>
          <w:tcPr>
            <w:tcW w:w="762" w:type="dxa"/>
            <w:vAlign w:val="center"/>
          </w:tcPr>
          <w:p w14:paraId="2FF015B0"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3</w:t>
            </w:r>
          </w:p>
        </w:tc>
        <w:tc>
          <w:tcPr>
            <w:tcW w:w="992" w:type="dxa"/>
            <w:vMerge w:val="restart"/>
            <w:vAlign w:val="center"/>
          </w:tcPr>
          <w:p w14:paraId="287CBB29" w14:textId="77777777" w:rsidR="00C43EF5" w:rsidRPr="003771DB" w:rsidRDefault="00C43EF5" w:rsidP="00DD2839">
            <w:pPr>
              <w:widowControl w:val="0"/>
              <w:jc w:val="left"/>
              <w:rPr>
                <w:rFonts w:ascii="Arial Narrow" w:hAnsi="Arial Narrow"/>
                <w:sz w:val="20"/>
                <w:szCs w:val="20"/>
              </w:rPr>
            </w:pPr>
            <w:proofErr w:type="spellStart"/>
            <w:r w:rsidRPr="003771DB">
              <w:rPr>
                <w:rFonts w:ascii="Arial Narrow" w:hAnsi="Arial Narrow"/>
                <w:sz w:val="20"/>
                <w:szCs w:val="20"/>
              </w:rPr>
              <w:t>Wegovy</w:t>
            </w:r>
            <w:proofErr w:type="spellEnd"/>
          </w:p>
        </w:tc>
      </w:tr>
      <w:tr w:rsidR="00C43EF5" w:rsidRPr="003771DB" w14:paraId="2D2462CC" w14:textId="77777777" w:rsidTr="00030369">
        <w:trPr>
          <w:cantSplit/>
          <w:trHeight w:val="20"/>
        </w:trPr>
        <w:tc>
          <w:tcPr>
            <w:tcW w:w="2408" w:type="dxa"/>
            <w:vAlign w:val="center"/>
          </w:tcPr>
          <w:p w14:paraId="22C7B043" w14:textId="6BDDCB71"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2.4 mg in 0.</w:t>
            </w:r>
            <w:r w:rsidR="00353E11">
              <w:rPr>
                <w:rFonts w:ascii="Arial Narrow" w:hAnsi="Arial Narrow"/>
                <w:sz w:val="20"/>
                <w:szCs w:val="20"/>
              </w:rPr>
              <w:t>7</w:t>
            </w:r>
            <w:r w:rsidRPr="003771DB">
              <w:rPr>
                <w:rFonts w:ascii="Arial Narrow" w:hAnsi="Arial Narrow"/>
                <w:sz w:val="20"/>
                <w:szCs w:val="20"/>
              </w:rPr>
              <w:t>5 mL</w:t>
            </w:r>
          </w:p>
        </w:tc>
        <w:tc>
          <w:tcPr>
            <w:tcW w:w="1692" w:type="dxa"/>
            <w:vAlign w:val="center"/>
          </w:tcPr>
          <w:p w14:paraId="61C1C3EB" w14:textId="06BD9B0E"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3"/>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3"/>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6185F672" w14:textId="3FBE7FC6"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2"/>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2"/>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1693" w:type="dxa"/>
            <w:vAlign w:val="center"/>
          </w:tcPr>
          <w:p w14:paraId="6B4C58B7" w14:textId="2D3902C3"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51"/>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51"/>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6AF4547F" w14:textId="2B9957BD"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0"/>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0"/>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3A5A7B42"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1</w:t>
            </w:r>
          </w:p>
        </w:tc>
        <w:tc>
          <w:tcPr>
            <w:tcW w:w="762" w:type="dxa"/>
            <w:vAlign w:val="center"/>
          </w:tcPr>
          <w:p w14:paraId="3C3754D7"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4</w:t>
            </w:r>
          </w:p>
        </w:tc>
        <w:tc>
          <w:tcPr>
            <w:tcW w:w="762" w:type="dxa"/>
            <w:vAlign w:val="center"/>
          </w:tcPr>
          <w:p w14:paraId="31BE88FC"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3</w:t>
            </w:r>
          </w:p>
        </w:tc>
        <w:tc>
          <w:tcPr>
            <w:tcW w:w="992" w:type="dxa"/>
            <w:vMerge/>
            <w:vAlign w:val="center"/>
          </w:tcPr>
          <w:p w14:paraId="7599ECF5" w14:textId="77777777" w:rsidR="00C43EF5" w:rsidRPr="003771DB" w:rsidRDefault="00C43EF5" w:rsidP="00DD2839">
            <w:pPr>
              <w:widowControl w:val="0"/>
              <w:jc w:val="center"/>
              <w:rPr>
                <w:rFonts w:ascii="Arial Narrow" w:hAnsi="Arial Narrow"/>
                <w:sz w:val="20"/>
                <w:szCs w:val="20"/>
              </w:rPr>
            </w:pPr>
          </w:p>
        </w:tc>
      </w:tr>
      <w:tr w:rsidR="00C43EF5" w:rsidRPr="003771DB" w14:paraId="57CF8C6E" w14:textId="77777777" w:rsidTr="00030369">
        <w:trPr>
          <w:cantSplit/>
          <w:trHeight w:val="20"/>
        </w:trPr>
        <w:tc>
          <w:tcPr>
            <w:tcW w:w="9071" w:type="dxa"/>
            <w:gridSpan w:val="7"/>
            <w:vAlign w:val="center"/>
          </w:tcPr>
          <w:p w14:paraId="67EF063F" w14:textId="77777777" w:rsidR="00C43EF5" w:rsidRPr="003771DB" w:rsidRDefault="00C43EF5" w:rsidP="00DD2839">
            <w:pPr>
              <w:widowControl w:val="0"/>
              <w:rPr>
                <w:rFonts w:ascii="Arial Narrow" w:hAnsi="Arial Narrow"/>
                <w:smallCaps/>
                <w:sz w:val="20"/>
                <w:szCs w:val="20"/>
              </w:rPr>
            </w:pPr>
            <w:r w:rsidRPr="003771DB">
              <w:rPr>
                <w:rFonts w:ascii="Arial Narrow" w:hAnsi="Arial Narrow"/>
                <w:smallCaps/>
                <w:sz w:val="20"/>
                <w:szCs w:val="20"/>
              </w:rPr>
              <w:t>Second continuing treatment</w:t>
            </w:r>
          </w:p>
        </w:tc>
      </w:tr>
      <w:tr w:rsidR="00C43EF5" w:rsidRPr="003771DB" w14:paraId="42DB3CA2" w14:textId="77777777" w:rsidTr="00030369">
        <w:trPr>
          <w:cantSplit/>
          <w:trHeight w:val="20"/>
        </w:trPr>
        <w:tc>
          <w:tcPr>
            <w:tcW w:w="2408" w:type="dxa"/>
            <w:vAlign w:val="center"/>
          </w:tcPr>
          <w:p w14:paraId="504B473B" w14:textId="3C421829"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1.7 mg in 0.</w:t>
            </w:r>
            <w:r w:rsidR="00353E11">
              <w:rPr>
                <w:rFonts w:ascii="Arial Narrow" w:hAnsi="Arial Narrow"/>
                <w:sz w:val="20"/>
                <w:szCs w:val="20"/>
              </w:rPr>
              <w:t>7</w:t>
            </w:r>
            <w:r w:rsidRPr="003771DB">
              <w:rPr>
                <w:rFonts w:ascii="Arial Narrow" w:hAnsi="Arial Narrow"/>
                <w:sz w:val="20"/>
                <w:szCs w:val="20"/>
              </w:rPr>
              <w:t>5 mL</w:t>
            </w:r>
          </w:p>
        </w:tc>
        <w:tc>
          <w:tcPr>
            <w:tcW w:w="1692" w:type="dxa"/>
            <w:vAlign w:val="center"/>
          </w:tcPr>
          <w:p w14:paraId="72F87228" w14:textId="49B6A7C3"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49"/>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49"/>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40404C90" w14:textId="3B31EF6E"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48"/>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48"/>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1693" w:type="dxa"/>
            <w:vAlign w:val="center"/>
          </w:tcPr>
          <w:p w14:paraId="7DC5F6AB" w14:textId="0035139F"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64"/>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64"/>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2E94ED77" w14:textId="7D3C05F4"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63"/>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63"/>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2266C513"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1</w:t>
            </w:r>
          </w:p>
        </w:tc>
        <w:tc>
          <w:tcPr>
            <w:tcW w:w="762" w:type="dxa"/>
            <w:vAlign w:val="center"/>
          </w:tcPr>
          <w:p w14:paraId="5BA33162"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4</w:t>
            </w:r>
          </w:p>
        </w:tc>
        <w:tc>
          <w:tcPr>
            <w:tcW w:w="762" w:type="dxa"/>
            <w:vAlign w:val="center"/>
          </w:tcPr>
          <w:p w14:paraId="1EAA6162"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5</w:t>
            </w:r>
          </w:p>
        </w:tc>
        <w:tc>
          <w:tcPr>
            <w:tcW w:w="992" w:type="dxa"/>
            <w:vMerge w:val="restart"/>
            <w:vAlign w:val="center"/>
          </w:tcPr>
          <w:p w14:paraId="0966ABD8" w14:textId="77777777" w:rsidR="00C43EF5" w:rsidRPr="003771DB" w:rsidRDefault="00C43EF5" w:rsidP="00DD2839">
            <w:pPr>
              <w:widowControl w:val="0"/>
              <w:rPr>
                <w:rFonts w:ascii="Arial Narrow" w:hAnsi="Arial Narrow"/>
                <w:sz w:val="20"/>
                <w:szCs w:val="20"/>
              </w:rPr>
            </w:pPr>
            <w:proofErr w:type="spellStart"/>
            <w:r w:rsidRPr="003771DB">
              <w:rPr>
                <w:rFonts w:ascii="Arial Narrow" w:hAnsi="Arial Narrow"/>
                <w:sz w:val="20"/>
                <w:szCs w:val="20"/>
              </w:rPr>
              <w:t>Wegovy</w:t>
            </w:r>
            <w:proofErr w:type="spellEnd"/>
          </w:p>
        </w:tc>
      </w:tr>
      <w:tr w:rsidR="00C43EF5" w:rsidRPr="003771DB" w14:paraId="1AA85E20" w14:textId="77777777" w:rsidTr="00030369">
        <w:trPr>
          <w:cantSplit/>
          <w:trHeight w:val="20"/>
        </w:trPr>
        <w:tc>
          <w:tcPr>
            <w:tcW w:w="2408" w:type="dxa"/>
            <w:vAlign w:val="center"/>
          </w:tcPr>
          <w:p w14:paraId="6FB1F169" w14:textId="0841EA6A" w:rsidR="00C43EF5" w:rsidRPr="003771DB" w:rsidRDefault="00C43EF5" w:rsidP="00DD2839">
            <w:pPr>
              <w:widowControl w:val="0"/>
              <w:tabs>
                <w:tab w:val="left" w:pos="1077"/>
              </w:tabs>
              <w:rPr>
                <w:rFonts w:ascii="Arial Narrow" w:hAnsi="Arial Narrow"/>
                <w:color w:val="0066FF"/>
                <w:sz w:val="20"/>
                <w:szCs w:val="20"/>
              </w:rPr>
            </w:pPr>
            <w:r w:rsidRPr="003771DB">
              <w:rPr>
                <w:rFonts w:ascii="Arial Narrow" w:hAnsi="Arial Narrow"/>
                <w:sz w:val="20"/>
                <w:szCs w:val="20"/>
              </w:rPr>
              <w:t>Semaglutide, pre-filled single dose pen, 2.4 mg in 0.</w:t>
            </w:r>
            <w:r w:rsidR="00353E11">
              <w:rPr>
                <w:rFonts w:ascii="Arial Narrow" w:hAnsi="Arial Narrow"/>
                <w:sz w:val="20"/>
                <w:szCs w:val="20"/>
              </w:rPr>
              <w:t>7</w:t>
            </w:r>
            <w:r w:rsidRPr="003771DB">
              <w:rPr>
                <w:rFonts w:ascii="Arial Narrow" w:hAnsi="Arial Narrow"/>
                <w:sz w:val="20"/>
                <w:szCs w:val="20"/>
              </w:rPr>
              <w:t>5 mL</w:t>
            </w:r>
          </w:p>
        </w:tc>
        <w:tc>
          <w:tcPr>
            <w:tcW w:w="1692" w:type="dxa"/>
            <w:vAlign w:val="center"/>
          </w:tcPr>
          <w:p w14:paraId="18872BD4" w14:textId="239037C0"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62"/>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62"/>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14A92009" w14:textId="3FA4CB35"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61"/>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61"/>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1693" w:type="dxa"/>
            <w:vAlign w:val="center"/>
          </w:tcPr>
          <w:p w14:paraId="373EBFB4" w14:textId="31C3CD8C"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180"/>
                <w:sz w:val="20"/>
                <w:szCs w:val="20"/>
                <w:shd w:val="solid" w:color="000000" w:fill="000000"/>
                <w:fitText w:val="260" w:id="-1032062460"/>
                <w14:textFill>
                  <w14:solidFill>
                    <w14:srgbClr w14:val="000000">
                      <w14:alpha w14:val="100000"/>
                    </w14:srgbClr>
                  </w14:solidFill>
                </w14:textFill>
              </w:rPr>
              <w:t>|</w:t>
            </w:r>
            <w:r w:rsidRPr="00427AAD">
              <w:rPr>
                <w:rFonts w:ascii="Arial Narrow" w:hAnsi="Arial Narrow"/>
                <w:color w:val="000000"/>
                <w:sz w:val="20"/>
                <w:szCs w:val="20"/>
                <w:shd w:val="solid" w:color="000000" w:fill="000000"/>
                <w:fitText w:val="260" w:id="-1032062460"/>
                <w14:textFill>
                  <w14:solidFill>
                    <w14:srgbClr w14:val="000000">
                      <w14:alpha w14:val="100000"/>
                    </w14:srgbClr>
                  </w14:solidFill>
                </w14:textFill>
              </w:rPr>
              <w:t>|</w:t>
            </w:r>
            <w:r w:rsidR="00C43EF5" w:rsidRPr="003771DB">
              <w:rPr>
                <w:rFonts w:ascii="Arial Narrow" w:hAnsi="Arial Narrow"/>
                <w:sz w:val="20"/>
                <w:szCs w:val="20"/>
              </w:rPr>
              <w:t xml:space="preserve"> (published)</w:t>
            </w:r>
          </w:p>
          <w:p w14:paraId="7D4D2C56" w14:textId="6007616E" w:rsidR="00C43EF5" w:rsidRPr="003771DB" w:rsidRDefault="00427AAD" w:rsidP="00DD2839">
            <w:pPr>
              <w:widowControl w:val="0"/>
              <w:jc w:val="center"/>
              <w:rPr>
                <w:rFonts w:ascii="Arial Narrow" w:hAnsi="Arial Narrow"/>
                <w:sz w:val="20"/>
                <w:szCs w:val="20"/>
              </w:rPr>
            </w:pPr>
            <w:r>
              <w:rPr>
                <w:rFonts w:ascii="Arial Narrow" w:hAnsi="Arial Narrow"/>
                <w:sz w:val="20"/>
                <w:szCs w:val="20"/>
              </w:rPr>
              <w:t xml:space="preserve"> </w:t>
            </w:r>
            <w:r w:rsidRPr="00427AAD">
              <w:rPr>
                <w:rFonts w:ascii="Arial Narrow" w:hAnsi="Arial Narrow"/>
                <w:color w:val="000000"/>
                <w:spacing w:val="46"/>
                <w:sz w:val="20"/>
                <w:szCs w:val="20"/>
                <w:shd w:val="solid" w:color="000000" w:fill="000000"/>
                <w:fitText w:val="220" w:id="-1032062459"/>
                <w14:textFill>
                  <w14:solidFill>
                    <w14:srgbClr w14:val="000000">
                      <w14:alpha w14:val="100000"/>
                    </w14:srgbClr>
                  </w14:solidFill>
                </w14:textFill>
              </w:rPr>
              <w:t>||</w:t>
            </w:r>
            <w:r w:rsidRPr="00427AAD">
              <w:rPr>
                <w:rFonts w:ascii="Arial Narrow" w:hAnsi="Arial Narrow"/>
                <w:color w:val="000000"/>
                <w:spacing w:val="1"/>
                <w:sz w:val="20"/>
                <w:szCs w:val="20"/>
                <w:shd w:val="solid" w:color="000000" w:fill="000000"/>
                <w:fitText w:val="220" w:id="-1032062459"/>
                <w14:textFill>
                  <w14:solidFill>
                    <w14:srgbClr w14:val="000000">
                      <w14:alpha w14:val="100000"/>
                    </w14:srgbClr>
                  </w14:solidFill>
                </w14:textFill>
              </w:rPr>
              <w:t>|</w:t>
            </w:r>
            <w:r w:rsidR="00C43EF5" w:rsidRPr="003771DB">
              <w:rPr>
                <w:rFonts w:ascii="Arial Narrow" w:hAnsi="Arial Narrow"/>
                <w:sz w:val="20"/>
                <w:szCs w:val="20"/>
              </w:rPr>
              <w:t xml:space="preserve"> (effective)</w:t>
            </w:r>
          </w:p>
        </w:tc>
        <w:tc>
          <w:tcPr>
            <w:tcW w:w="762" w:type="dxa"/>
            <w:vAlign w:val="center"/>
          </w:tcPr>
          <w:p w14:paraId="14AAD82E"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1</w:t>
            </w:r>
          </w:p>
        </w:tc>
        <w:tc>
          <w:tcPr>
            <w:tcW w:w="762" w:type="dxa"/>
            <w:vAlign w:val="center"/>
          </w:tcPr>
          <w:p w14:paraId="793416C7"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4</w:t>
            </w:r>
          </w:p>
        </w:tc>
        <w:tc>
          <w:tcPr>
            <w:tcW w:w="762" w:type="dxa"/>
            <w:vAlign w:val="center"/>
          </w:tcPr>
          <w:p w14:paraId="5E5AC7BA" w14:textId="77777777" w:rsidR="00C43EF5" w:rsidRPr="003771DB" w:rsidRDefault="00C43EF5" w:rsidP="00DD2839">
            <w:pPr>
              <w:widowControl w:val="0"/>
              <w:jc w:val="center"/>
              <w:rPr>
                <w:rFonts w:ascii="Arial Narrow" w:hAnsi="Arial Narrow"/>
                <w:sz w:val="20"/>
                <w:szCs w:val="20"/>
              </w:rPr>
            </w:pPr>
            <w:r w:rsidRPr="003771DB">
              <w:rPr>
                <w:rFonts w:ascii="Arial Narrow" w:hAnsi="Arial Narrow"/>
                <w:sz w:val="20"/>
                <w:szCs w:val="20"/>
              </w:rPr>
              <w:t>5</w:t>
            </w:r>
          </w:p>
        </w:tc>
        <w:tc>
          <w:tcPr>
            <w:tcW w:w="992" w:type="dxa"/>
            <w:vMerge/>
            <w:vAlign w:val="center"/>
          </w:tcPr>
          <w:p w14:paraId="5BAD1917" w14:textId="77777777" w:rsidR="00C43EF5" w:rsidRPr="003771DB" w:rsidRDefault="00C43EF5" w:rsidP="00DD2839">
            <w:pPr>
              <w:widowControl w:val="0"/>
              <w:jc w:val="center"/>
              <w:rPr>
                <w:rFonts w:ascii="Arial Narrow" w:hAnsi="Arial Narrow"/>
                <w:sz w:val="20"/>
                <w:szCs w:val="20"/>
              </w:rPr>
            </w:pPr>
          </w:p>
        </w:tc>
      </w:tr>
      <w:tr w:rsidR="009E6AE1" w:rsidRPr="003771DB" w14:paraId="4431E752"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Pr>
          <w:p w14:paraId="6D1470A2" w14:textId="77777777" w:rsidR="009E6AE1" w:rsidRPr="003771DB" w:rsidRDefault="009E6AE1" w:rsidP="00DD2839">
            <w:pPr>
              <w:pStyle w:val="COMTabletext"/>
              <w:keepNext w:val="0"/>
              <w:widowControl w:val="0"/>
              <w:rPr>
                <w:b/>
              </w:rPr>
            </w:pPr>
          </w:p>
        </w:tc>
      </w:tr>
      <w:tr w:rsidR="00C43EF5" w:rsidRPr="003771DB" w14:paraId="709F7517"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Pr>
          <w:p w14:paraId="59641C53" w14:textId="77777777" w:rsidR="00C43EF5" w:rsidRPr="003771DB" w:rsidRDefault="00C43EF5" w:rsidP="00DD2839">
            <w:pPr>
              <w:pStyle w:val="COMTabletext"/>
              <w:keepNext w:val="0"/>
              <w:widowControl w:val="0"/>
            </w:pPr>
            <w:r w:rsidRPr="003771DB">
              <w:rPr>
                <w:b/>
              </w:rPr>
              <w:t xml:space="preserve">Category / Program: </w:t>
            </w:r>
            <w:r w:rsidRPr="003771DB">
              <w:t>General Schedule</w:t>
            </w:r>
          </w:p>
        </w:tc>
      </w:tr>
      <w:tr w:rsidR="00C43EF5" w:rsidRPr="003771DB" w14:paraId="5059C0C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Pr>
          <w:p w14:paraId="305BE480" w14:textId="7E99FCA3" w:rsidR="00C43EF5" w:rsidRPr="003771DB" w:rsidRDefault="00C43EF5" w:rsidP="00076B84">
            <w:pPr>
              <w:pStyle w:val="COMTabletext"/>
              <w:keepNext w:val="0"/>
              <w:keepLines/>
              <w:rPr>
                <w:b/>
              </w:rPr>
            </w:pPr>
            <w:r w:rsidRPr="003771DB">
              <w:rPr>
                <w:b/>
              </w:rPr>
              <w:t xml:space="preserve">Prescriber type: </w:t>
            </w:r>
            <w:r w:rsidRPr="003771DB">
              <w:fldChar w:fldCharType="begin" w:fldLock="1">
                <w:ffData>
                  <w:name w:val=""/>
                  <w:enabled/>
                  <w:calcOnExit w:val="0"/>
                  <w:checkBox>
                    <w:sizeAuto/>
                    <w:default w:val="1"/>
                  </w:checkBox>
                </w:ffData>
              </w:fldChar>
            </w:r>
            <w:r w:rsidRPr="003771DB">
              <w:instrText xml:space="preserve"> FORMCHECKBOX </w:instrText>
            </w:r>
            <w:r w:rsidR="00EE4281">
              <w:fldChar w:fldCharType="separate"/>
            </w:r>
            <w:r w:rsidRPr="003771DB">
              <w:fldChar w:fldCharType="end"/>
            </w:r>
            <w:r w:rsidRPr="003771DB">
              <w:t xml:space="preserve">Medical Practitioners </w:t>
            </w:r>
          </w:p>
        </w:tc>
      </w:tr>
      <w:tr w:rsidR="00C43EF5" w:rsidRPr="003771DB" w14:paraId="56BF906B"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Pr>
          <w:p w14:paraId="1E44F6DF" w14:textId="77777777" w:rsidR="00C43EF5" w:rsidRPr="003771DB" w:rsidRDefault="00C43EF5" w:rsidP="00076B84">
            <w:pPr>
              <w:pStyle w:val="COMTabletext"/>
              <w:keepNext w:val="0"/>
              <w:keepLines/>
              <w:rPr>
                <w:rFonts w:eastAsia="Times New Roman"/>
              </w:rPr>
            </w:pPr>
            <w:r w:rsidRPr="003771DB">
              <w:rPr>
                <w:b/>
              </w:rPr>
              <w:t>Restriction type:</w:t>
            </w:r>
            <w:r w:rsidRPr="003771DB">
              <w:rPr>
                <w:rFonts w:eastAsia="Times New Roman"/>
              </w:rPr>
              <w:t xml:space="preserve"> </w:t>
            </w:r>
            <w:r w:rsidRPr="003771DB">
              <w:rPr>
                <w:rFonts w:eastAsia="Times New Roman"/>
              </w:rPr>
              <w:fldChar w:fldCharType="begin" w:fldLock="1">
                <w:ffData>
                  <w:name w:val="Check3"/>
                  <w:enabled/>
                  <w:calcOnExit w:val="0"/>
                  <w:checkBox>
                    <w:sizeAuto/>
                    <w:default w:val="1"/>
                  </w:checkBox>
                </w:ffData>
              </w:fldChar>
            </w:r>
            <w:r w:rsidRPr="003771DB">
              <w:rPr>
                <w:rFonts w:eastAsia="Times New Roman"/>
              </w:rPr>
              <w:instrText xml:space="preserve"> FORMCHECKBOX </w:instrText>
            </w:r>
            <w:r w:rsidR="00EE4281">
              <w:rPr>
                <w:rFonts w:eastAsia="Times New Roman"/>
              </w:rPr>
            </w:r>
            <w:r w:rsidR="00EE4281">
              <w:rPr>
                <w:rFonts w:eastAsia="Times New Roman"/>
              </w:rPr>
              <w:fldChar w:fldCharType="separate"/>
            </w:r>
            <w:r w:rsidRPr="003771DB">
              <w:rPr>
                <w:rFonts w:eastAsia="Times New Roman"/>
              </w:rPr>
              <w:fldChar w:fldCharType="end"/>
            </w:r>
            <w:r w:rsidRPr="003771DB">
              <w:rPr>
                <w:rFonts w:eastAsia="Times New Roman"/>
              </w:rPr>
              <w:t xml:space="preserve">Authority Required (telephone/online PBS Authorities system) </w:t>
            </w:r>
          </w:p>
        </w:tc>
      </w:tr>
      <w:tr w:rsidR="00C43EF5" w:rsidRPr="003771DB" w14:paraId="38829AEF"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E1436AF" w14:textId="77777777" w:rsidR="00C43EF5" w:rsidRPr="003771DB" w:rsidRDefault="00C43EF5" w:rsidP="00076B84">
            <w:pPr>
              <w:pStyle w:val="COMTabletext"/>
              <w:keepNext w:val="0"/>
              <w:keepLines/>
            </w:pPr>
            <w:r w:rsidRPr="003771DB">
              <w:rPr>
                <w:b/>
              </w:rPr>
              <w:t>PBS Indication:</w:t>
            </w:r>
            <w:r w:rsidRPr="003771DB">
              <w:t xml:space="preserve"> Class III obesity</w:t>
            </w:r>
          </w:p>
        </w:tc>
      </w:tr>
      <w:tr w:rsidR="00C43EF5" w:rsidRPr="003771DB" w14:paraId="66FF03E6"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57EA7FB" w14:textId="77777777" w:rsidR="00C43EF5" w:rsidRPr="003771DB" w:rsidRDefault="00C43EF5" w:rsidP="00076B84">
            <w:pPr>
              <w:pStyle w:val="COMTabletext"/>
              <w:keepNext w:val="0"/>
              <w:keepLines/>
            </w:pPr>
            <w:r w:rsidRPr="003771DB">
              <w:rPr>
                <w:b/>
              </w:rPr>
              <w:t>Treatment Phase:</w:t>
            </w:r>
            <w:r w:rsidRPr="003771DB">
              <w:t xml:space="preserve"> Initial treatment – dose titration</w:t>
            </w:r>
          </w:p>
        </w:tc>
      </w:tr>
      <w:tr w:rsidR="00C43EF5" w:rsidRPr="003771DB" w14:paraId="662C6989"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04585D7" w14:textId="77777777" w:rsidR="00C43EF5" w:rsidRPr="003771DB" w:rsidRDefault="00C43EF5" w:rsidP="00076B84">
            <w:pPr>
              <w:pStyle w:val="COMTabletext"/>
              <w:keepNext w:val="0"/>
              <w:keepLines/>
            </w:pPr>
            <w:r w:rsidRPr="003771DB">
              <w:rPr>
                <w:b/>
              </w:rPr>
              <w:t>Clinical criteria:</w:t>
            </w:r>
          </w:p>
        </w:tc>
      </w:tr>
      <w:tr w:rsidR="00C43EF5" w:rsidRPr="003771DB" w14:paraId="487D4D43"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0D9A434" w14:textId="77777777" w:rsidR="00C43EF5" w:rsidRPr="003771DB" w:rsidRDefault="00C43EF5" w:rsidP="00076B84">
            <w:pPr>
              <w:pStyle w:val="COMTabletext"/>
              <w:keepNext w:val="0"/>
              <w:keepLines/>
            </w:pPr>
            <w:r w:rsidRPr="003771DB">
              <w:t>Patient must have a Body Mass Index greater than or equal to 40 kg/m</w:t>
            </w:r>
            <w:r w:rsidRPr="003771DB">
              <w:rPr>
                <w:vertAlign w:val="superscript"/>
              </w:rPr>
              <w:t>2</w:t>
            </w:r>
            <w:r w:rsidRPr="003771DB">
              <w:t xml:space="preserve"> [or 37 kg/m</w:t>
            </w:r>
            <w:r w:rsidRPr="003771DB">
              <w:rPr>
                <w:vertAlign w:val="superscript"/>
              </w:rPr>
              <w:t>2</w:t>
            </w:r>
            <w:r w:rsidRPr="003771DB">
              <w:t xml:space="preserve"> for patients with Asian or Aboriginal or Torres Strait Islander ethnicity];</w:t>
            </w:r>
          </w:p>
        </w:tc>
      </w:tr>
      <w:tr w:rsidR="00C43EF5" w:rsidRPr="003771DB" w14:paraId="34EA7CBE"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A09CC2C" w14:textId="77777777" w:rsidR="00C43EF5" w:rsidRPr="003771DB" w:rsidRDefault="00C43EF5" w:rsidP="00076B84">
            <w:pPr>
              <w:pStyle w:val="COMTabletext"/>
              <w:keepNext w:val="0"/>
              <w:keepLines/>
            </w:pPr>
            <w:r w:rsidRPr="003771DB">
              <w:rPr>
                <w:b/>
              </w:rPr>
              <w:t>AND</w:t>
            </w:r>
          </w:p>
        </w:tc>
      </w:tr>
      <w:tr w:rsidR="00C43EF5" w:rsidRPr="003771DB" w14:paraId="45695F78"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22C046D0" w14:textId="77777777" w:rsidR="00C43EF5" w:rsidRPr="003771DB" w:rsidRDefault="00C43EF5" w:rsidP="00076B84">
            <w:pPr>
              <w:pStyle w:val="COMTabletext"/>
              <w:keepNext w:val="0"/>
              <w:keepLines/>
            </w:pPr>
            <w:r w:rsidRPr="003771DB">
              <w:rPr>
                <w:b/>
              </w:rPr>
              <w:t>Clinical criteria:</w:t>
            </w:r>
          </w:p>
        </w:tc>
      </w:tr>
      <w:tr w:rsidR="00C43EF5" w:rsidRPr="003771DB" w14:paraId="37822CD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6806A7D" w14:textId="77777777" w:rsidR="00C43EF5" w:rsidRPr="003771DB" w:rsidRDefault="00C43EF5" w:rsidP="00076B84">
            <w:pPr>
              <w:pStyle w:val="COMTabletext"/>
              <w:keepNext w:val="0"/>
              <w:keepLines/>
              <w:rPr>
                <w:color w:val="0066FF"/>
              </w:rPr>
            </w:pPr>
            <w:r w:rsidRPr="003771DB">
              <w:t>Patient must have a confirmed diagnosis of at least two weight related comorbidities;</w:t>
            </w:r>
          </w:p>
        </w:tc>
      </w:tr>
      <w:tr w:rsidR="00C43EF5" w:rsidRPr="003771DB" w14:paraId="1E1D0E82"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7FE9EC1" w14:textId="77777777" w:rsidR="00C43EF5" w:rsidRPr="003771DB" w:rsidRDefault="00C43EF5" w:rsidP="00076B84">
            <w:pPr>
              <w:pStyle w:val="COMTabletext"/>
              <w:keepNext w:val="0"/>
              <w:keepLines/>
              <w:rPr>
                <w:b/>
                <w:bCs w:val="0"/>
              </w:rPr>
            </w:pPr>
            <w:r w:rsidRPr="003771DB">
              <w:rPr>
                <w:b/>
                <w:bCs w:val="0"/>
              </w:rPr>
              <w:t>AND</w:t>
            </w:r>
          </w:p>
        </w:tc>
      </w:tr>
      <w:tr w:rsidR="00C43EF5" w:rsidRPr="003771DB" w14:paraId="4922A46C"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BC25423" w14:textId="77777777" w:rsidR="00C43EF5" w:rsidRPr="003771DB" w:rsidRDefault="00C43EF5" w:rsidP="00076B84">
            <w:pPr>
              <w:pStyle w:val="COMTabletext"/>
              <w:keepNext w:val="0"/>
              <w:keepLines/>
              <w:rPr>
                <w:b/>
                <w:bCs w:val="0"/>
              </w:rPr>
            </w:pPr>
            <w:r w:rsidRPr="003771DB">
              <w:rPr>
                <w:b/>
                <w:bCs w:val="0"/>
              </w:rPr>
              <w:t>Clinical criteria:</w:t>
            </w:r>
          </w:p>
        </w:tc>
      </w:tr>
      <w:tr w:rsidR="00C43EF5" w:rsidRPr="003771DB" w14:paraId="1E69BCE3"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10A97AE" w14:textId="77777777" w:rsidR="00C43EF5" w:rsidRPr="003771DB" w:rsidRDefault="00C43EF5" w:rsidP="00076B84">
            <w:pPr>
              <w:pStyle w:val="COMTabletext"/>
              <w:keepNext w:val="0"/>
              <w:keepLines/>
            </w:pPr>
            <w:r w:rsidRPr="003771DB">
              <w:t>Patient must have a confirmed diagnosis of either obstructive sleep apnoea, osteoarthritis of the knee, or prediabetes;</w:t>
            </w:r>
          </w:p>
        </w:tc>
      </w:tr>
      <w:tr w:rsidR="00C43EF5" w:rsidRPr="003771DB" w14:paraId="234B9660"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9801FAA" w14:textId="77777777" w:rsidR="00C43EF5" w:rsidRPr="003771DB" w:rsidRDefault="00C43EF5" w:rsidP="00076B84">
            <w:pPr>
              <w:pStyle w:val="COMTabletext"/>
              <w:keepNext w:val="0"/>
              <w:keepLines/>
              <w:rPr>
                <w:b/>
                <w:bCs w:val="0"/>
              </w:rPr>
            </w:pPr>
            <w:r w:rsidRPr="003771DB">
              <w:rPr>
                <w:b/>
                <w:bCs w:val="0"/>
              </w:rPr>
              <w:t>AND</w:t>
            </w:r>
          </w:p>
        </w:tc>
      </w:tr>
      <w:tr w:rsidR="00C43EF5" w:rsidRPr="003771DB" w14:paraId="68B0825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5D49DA5" w14:textId="77777777" w:rsidR="00C43EF5" w:rsidRPr="003771DB" w:rsidRDefault="00C43EF5" w:rsidP="00076B84">
            <w:pPr>
              <w:pStyle w:val="COMTabletext"/>
              <w:keepNext w:val="0"/>
              <w:keepLines/>
              <w:rPr>
                <w:b/>
                <w:bCs w:val="0"/>
              </w:rPr>
            </w:pPr>
            <w:r w:rsidRPr="003771DB">
              <w:rPr>
                <w:b/>
                <w:bCs w:val="0"/>
              </w:rPr>
              <w:t>Clinical criteria:</w:t>
            </w:r>
          </w:p>
        </w:tc>
      </w:tr>
      <w:tr w:rsidR="00C43EF5" w:rsidRPr="003771DB" w14:paraId="3E5F4A80"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684C3FB" w14:textId="77777777" w:rsidR="00C43EF5" w:rsidRPr="003771DB" w:rsidRDefault="00C43EF5" w:rsidP="00076B84">
            <w:pPr>
              <w:pStyle w:val="COMTabletext"/>
              <w:keepNext w:val="0"/>
              <w:keepLines/>
            </w:pPr>
            <w:r w:rsidRPr="003771DB">
              <w:t>Patient must not have diabetes mellitus;</w:t>
            </w:r>
          </w:p>
        </w:tc>
      </w:tr>
      <w:tr w:rsidR="00C43EF5" w:rsidRPr="003771DB" w14:paraId="40CFCCB9"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8B9F3ED" w14:textId="77777777" w:rsidR="00C43EF5" w:rsidRPr="003771DB" w:rsidRDefault="00C43EF5" w:rsidP="00076B84">
            <w:pPr>
              <w:pStyle w:val="COMTabletext"/>
              <w:keepNext w:val="0"/>
              <w:keepLines/>
              <w:rPr>
                <w:b/>
                <w:bCs w:val="0"/>
              </w:rPr>
            </w:pPr>
            <w:r w:rsidRPr="003771DB">
              <w:rPr>
                <w:b/>
                <w:bCs w:val="0"/>
              </w:rPr>
              <w:t>AND</w:t>
            </w:r>
          </w:p>
        </w:tc>
      </w:tr>
      <w:tr w:rsidR="00C43EF5" w:rsidRPr="003771DB" w14:paraId="00BFE142"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EEDB82F" w14:textId="77777777" w:rsidR="00C43EF5" w:rsidRPr="003771DB" w:rsidRDefault="00C43EF5" w:rsidP="00076B84">
            <w:pPr>
              <w:pStyle w:val="COMTabletext"/>
              <w:keepNext w:val="0"/>
              <w:keepLines/>
              <w:rPr>
                <w:b/>
                <w:bCs w:val="0"/>
              </w:rPr>
            </w:pPr>
            <w:r w:rsidRPr="003771DB">
              <w:rPr>
                <w:b/>
                <w:bCs w:val="0"/>
              </w:rPr>
              <w:t>Clinical criteria:</w:t>
            </w:r>
          </w:p>
        </w:tc>
      </w:tr>
      <w:tr w:rsidR="00C43EF5" w:rsidRPr="003771DB" w14:paraId="6AD53F92"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C314FF5" w14:textId="77777777" w:rsidR="00C43EF5" w:rsidRPr="003771DB" w:rsidRDefault="00C43EF5" w:rsidP="00076B84">
            <w:pPr>
              <w:pStyle w:val="COMTabletext"/>
              <w:keepNext w:val="0"/>
              <w:keepLines/>
            </w:pPr>
            <w:r w:rsidRPr="003771DB">
              <w:t>Patient must have participated in an appropriate lifestyle-based weight management intervention within the previous 12 months;</w:t>
            </w:r>
          </w:p>
        </w:tc>
      </w:tr>
      <w:tr w:rsidR="00C43EF5" w:rsidRPr="003771DB" w14:paraId="748F820F"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1F4B9FB" w14:textId="77777777" w:rsidR="00C43EF5" w:rsidRPr="003771DB" w:rsidRDefault="00C43EF5" w:rsidP="00076B84">
            <w:pPr>
              <w:pStyle w:val="COMTabletext"/>
              <w:keepNext w:val="0"/>
              <w:keepLines/>
              <w:rPr>
                <w:b/>
                <w:bCs w:val="0"/>
              </w:rPr>
            </w:pPr>
            <w:r w:rsidRPr="003771DB">
              <w:rPr>
                <w:b/>
                <w:bCs w:val="0"/>
              </w:rPr>
              <w:t>AND</w:t>
            </w:r>
          </w:p>
        </w:tc>
      </w:tr>
      <w:tr w:rsidR="00C43EF5" w:rsidRPr="003771DB" w14:paraId="291568F7"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07D7C46" w14:textId="77777777" w:rsidR="00C43EF5" w:rsidRPr="003771DB" w:rsidRDefault="00C43EF5" w:rsidP="00076B84">
            <w:pPr>
              <w:pStyle w:val="COMTabletext"/>
              <w:keepNext w:val="0"/>
              <w:keepLines/>
              <w:rPr>
                <w:b/>
                <w:bCs w:val="0"/>
              </w:rPr>
            </w:pPr>
            <w:r w:rsidRPr="003771DB">
              <w:rPr>
                <w:b/>
                <w:bCs w:val="0"/>
              </w:rPr>
              <w:t>Clinical criteria:</w:t>
            </w:r>
          </w:p>
        </w:tc>
      </w:tr>
      <w:tr w:rsidR="00C43EF5" w:rsidRPr="003771DB" w14:paraId="084BDEBE"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356895E9" w14:textId="77777777" w:rsidR="00C43EF5" w:rsidRPr="003771DB" w:rsidRDefault="00C43EF5" w:rsidP="00076B84">
            <w:pPr>
              <w:pStyle w:val="COMTabletext"/>
              <w:keepNext w:val="0"/>
              <w:keepLines/>
            </w:pPr>
            <w:r w:rsidRPr="003771DB">
              <w:t>Patient must not have discontinued PBS-subsidised treatment with this drug for this condition within the previous two years;</w:t>
            </w:r>
          </w:p>
        </w:tc>
      </w:tr>
      <w:tr w:rsidR="00C43EF5" w:rsidRPr="003771DB" w14:paraId="409B0D13"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1ACE35B" w14:textId="77777777" w:rsidR="00C43EF5" w:rsidRPr="003771DB" w:rsidRDefault="00C43EF5" w:rsidP="00076B84">
            <w:pPr>
              <w:pStyle w:val="COMTabletext"/>
              <w:keepNext w:val="0"/>
              <w:keepLines/>
              <w:rPr>
                <w:b/>
                <w:bCs w:val="0"/>
              </w:rPr>
            </w:pPr>
            <w:r w:rsidRPr="003771DB">
              <w:rPr>
                <w:b/>
                <w:bCs w:val="0"/>
              </w:rPr>
              <w:t>AND</w:t>
            </w:r>
          </w:p>
        </w:tc>
      </w:tr>
      <w:tr w:rsidR="00C43EF5" w:rsidRPr="003771DB" w14:paraId="2893D5B9"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75164C7" w14:textId="77777777" w:rsidR="00C43EF5" w:rsidRPr="003771DB" w:rsidRDefault="00C43EF5" w:rsidP="00076B84">
            <w:pPr>
              <w:pStyle w:val="COMTabletext"/>
              <w:keepNext w:val="0"/>
              <w:keepLines/>
              <w:rPr>
                <w:b/>
                <w:bCs w:val="0"/>
              </w:rPr>
            </w:pPr>
            <w:r w:rsidRPr="003771DB">
              <w:rPr>
                <w:b/>
                <w:bCs w:val="0"/>
              </w:rPr>
              <w:t>Clinical criteria:</w:t>
            </w:r>
          </w:p>
        </w:tc>
      </w:tr>
      <w:tr w:rsidR="00C43EF5" w:rsidRPr="003771DB" w14:paraId="69D1A37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A7AF339" w14:textId="77777777" w:rsidR="00C43EF5" w:rsidRPr="003771DB" w:rsidRDefault="00C43EF5" w:rsidP="00076B84">
            <w:pPr>
              <w:pStyle w:val="COMTabletext"/>
              <w:keepNext w:val="0"/>
              <w:keepLines/>
            </w:pPr>
            <w:r w:rsidRPr="003771DB">
              <w:t>Patient must not receive more than 16 weeks of treatment under this restriction</w:t>
            </w:r>
          </w:p>
        </w:tc>
      </w:tr>
      <w:tr w:rsidR="00C43EF5" w:rsidRPr="003771DB" w14:paraId="6AD9ED9A"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2A787980" w14:textId="77777777" w:rsidR="00C43EF5" w:rsidRPr="003771DB" w:rsidRDefault="00C43EF5" w:rsidP="00076B84">
            <w:pPr>
              <w:pStyle w:val="COMTabletext"/>
              <w:keepNext w:val="0"/>
              <w:keepLines/>
            </w:pPr>
            <w:r w:rsidRPr="003771DB">
              <w:rPr>
                <w:b/>
              </w:rPr>
              <w:t>Treatment criteria:</w:t>
            </w:r>
          </w:p>
        </w:tc>
      </w:tr>
      <w:tr w:rsidR="00C43EF5" w:rsidRPr="003771DB" w14:paraId="6C2BD42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57D1F70" w14:textId="77777777" w:rsidR="00C43EF5" w:rsidRPr="003771DB" w:rsidRDefault="00C43EF5" w:rsidP="00076B84">
            <w:pPr>
              <w:pStyle w:val="COMTabletext"/>
              <w:keepNext w:val="0"/>
              <w:keepLines/>
            </w:pPr>
            <w:r w:rsidRPr="003771DB">
              <w:t>The treatment must be adjunct to receiving clinically appropriate dietetic and weight management advice</w:t>
            </w:r>
          </w:p>
        </w:tc>
      </w:tr>
      <w:tr w:rsidR="00C43EF5" w:rsidRPr="003771DB" w14:paraId="1FA97863"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8765BB7" w14:textId="77777777" w:rsidR="00C43EF5" w:rsidRPr="003771DB" w:rsidRDefault="00C43EF5" w:rsidP="00076B84">
            <w:pPr>
              <w:pStyle w:val="COMTabletext"/>
              <w:keepNext w:val="0"/>
              <w:keepLines/>
            </w:pPr>
            <w:r w:rsidRPr="003771DB">
              <w:rPr>
                <w:b/>
              </w:rPr>
              <w:t>Population criteria:</w:t>
            </w:r>
          </w:p>
        </w:tc>
      </w:tr>
      <w:tr w:rsidR="00C43EF5" w:rsidRPr="003771DB" w14:paraId="10ADA917"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37C3FF0" w14:textId="77777777" w:rsidR="00C43EF5" w:rsidRPr="003771DB" w:rsidRDefault="00C43EF5" w:rsidP="00076B84">
            <w:pPr>
              <w:pStyle w:val="COMTabletext"/>
              <w:keepNext w:val="0"/>
              <w:keepLines/>
              <w:rPr>
                <w:color w:val="0066FF"/>
              </w:rPr>
            </w:pPr>
            <w:r w:rsidRPr="003771DB">
              <w:t>Patient must be aged 18 years or older</w:t>
            </w:r>
          </w:p>
        </w:tc>
      </w:tr>
      <w:tr w:rsidR="00C43EF5" w:rsidRPr="003771DB" w14:paraId="3C30AD55"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13C9518" w14:textId="77777777" w:rsidR="00C43EF5" w:rsidRPr="003771DB" w:rsidRDefault="00C43EF5" w:rsidP="00076B84">
            <w:pPr>
              <w:pStyle w:val="COMTabletext"/>
              <w:keepNext w:val="0"/>
              <w:keepLines/>
            </w:pPr>
            <w:r w:rsidRPr="003771DB">
              <w:rPr>
                <w:b/>
              </w:rPr>
              <w:t xml:space="preserve">Prescribing Instructions: </w:t>
            </w:r>
          </w:p>
        </w:tc>
      </w:tr>
      <w:tr w:rsidR="00C43EF5" w:rsidRPr="003771DB" w14:paraId="063B256A"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32767A36" w14:textId="77777777" w:rsidR="00C43EF5" w:rsidRPr="003771DB" w:rsidRDefault="00C43EF5" w:rsidP="00076B84">
            <w:pPr>
              <w:pStyle w:val="COMTabletext"/>
              <w:keepNext w:val="0"/>
              <w:keepLines/>
              <w:rPr>
                <w:bCs w:val="0"/>
              </w:rPr>
            </w:pPr>
            <w:r w:rsidRPr="003771DB">
              <w:rPr>
                <w:bCs w:val="0"/>
              </w:rPr>
              <w:lastRenderedPageBreak/>
              <w:t>An initial baseline value of body weight and Body Mass Index must be recorded in the patient's medical record</w:t>
            </w:r>
          </w:p>
        </w:tc>
      </w:tr>
      <w:tr w:rsidR="00C43EF5" w:rsidRPr="003771DB" w14:paraId="5C29069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617050A" w14:textId="77777777" w:rsidR="00C43EF5" w:rsidRPr="003771DB" w:rsidRDefault="00C43EF5" w:rsidP="00076B84">
            <w:pPr>
              <w:pStyle w:val="COMTabletext"/>
              <w:keepNext w:val="0"/>
              <w:keepLines/>
              <w:rPr>
                <w:bCs w:val="0"/>
              </w:rPr>
            </w:pPr>
            <w:r w:rsidRPr="003771DB">
              <w:rPr>
                <w:bCs w:val="0"/>
              </w:rPr>
              <w:t>A confirmed diagnosis of at least two of the following weight related comorbidities must be recorded in the patient’s medical record: dyslipidaemia, hypertension, coronary artery disease, cerebrovascular disease, obstructive sleep apnoea, impaired glucose tolerance, impaired fasting glucose, elevated HbA1c, menstrual disorder, polycystic ovarian syndrome, involuntary impaired fertility, non-alcoholic fatty liver disease, non-alcoholic steatohepatitis, kidney disease, symptomatic osteoarthritis of the hip or knee, hyperuricaemia or gout, thyroid disease, asthma or chronic obstructive pulmonary disease</w:t>
            </w:r>
          </w:p>
        </w:tc>
      </w:tr>
      <w:tr w:rsidR="00C43EF5" w:rsidRPr="003771DB" w14:paraId="4E091940"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CEE5394" w14:textId="77777777" w:rsidR="00C43EF5" w:rsidRPr="003771DB" w:rsidRDefault="00C43EF5" w:rsidP="00076B84">
            <w:pPr>
              <w:pStyle w:val="COMTabletext"/>
              <w:keepNext w:val="0"/>
              <w:keepLines/>
              <w:rPr>
                <w:bCs w:val="0"/>
              </w:rPr>
            </w:pPr>
            <w:r w:rsidRPr="003771DB">
              <w:rPr>
                <w:bCs w:val="0"/>
              </w:rPr>
              <w:t>A confirmed diagnosis of at least one of the following specific weight related comorbidities must be recorded in the patient’s medical record: obstructive sleep apnoea, osteoarthritis of the knee, or prediabetes</w:t>
            </w:r>
          </w:p>
        </w:tc>
      </w:tr>
      <w:tr w:rsidR="00C43EF5" w:rsidRPr="003771DB" w14:paraId="6AB3B0BB"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E1A86D6" w14:textId="77777777" w:rsidR="00C43EF5" w:rsidRPr="003771DB" w:rsidRDefault="00C43EF5" w:rsidP="00076B84">
            <w:pPr>
              <w:pStyle w:val="COMTabletext"/>
              <w:keepNext w:val="0"/>
              <w:keepLines/>
              <w:rPr>
                <w:bCs w:val="0"/>
              </w:rPr>
            </w:pPr>
            <w:r w:rsidRPr="003771DB">
              <w:rPr>
                <w:bCs w:val="0"/>
              </w:rPr>
              <w:t>Participation in an appropriate lifestyle-based weight management intervention within the last 12 months must be documented in the patient’s medical record</w:t>
            </w:r>
          </w:p>
        </w:tc>
      </w:tr>
      <w:tr w:rsidR="00C43EF5" w:rsidRPr="003771DB" w14:paraId="4F63F41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double" w:sz="4" w:space="0" w:color="auto"/>
            </w:tcBorders>
            <w:vAlign w:val="center"/>
          </w:tcPr>
          <w:p w14:paraId="0A8FF2D8" w14:textId="77777777" w:rsidR="00C43EF5" w:rsidRPr="003771DB" w:rsidRDefault="00C43EF5" w:rsidP="00076B84">
            <w:pPr>
              <w:pStyle w:val="COMTabletext"/>
              <w:keepNext w:val="0"/>
              <w:keepLines/>
              <w:rPr>
                <w:bCs w:val="0"/>
              </w:rPr>
            </w:pPr>
            <w:r w:rsidRPr="003771DB">
              <w:rPr>
                <w:bCs w:val="0"/>
              </w:rPr>
              <w:t>Discontinuation of previous treatment with this drug is defined as any period of 3 or more months where no prescription was filled</w:t>
            </w:r>
          </w:p>
        </w:tc>
      </w:tr>
      <w:tr w:rsidR="00C43EF5" w:rsidRPr="003771DB" w14:paraId="77AD2D72"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tcBorders>
            <w:vAlign w:val="center"/>
            <w:hideMark/>
          </w:tcPr>
          <w:p w14:paraId="2BA51897" w14:textId="77777777" w:rsidR="00C43EF5" w:rsidRPr="003771DB" w:rsidRDefault="00C43EF5" w:rsidP="00076B84">
            <w:pPr>
              <w:pStyle w:val="COMTabletext"/>
              <w:keepNext w:val="0"/>
              <w:keepLines/>
            </w:pPr>
            <w:r w:rsidRPr="003771DB">
              <w:rPr>
                <w:b/>
              </w:rPr>
              <w:t>Treatment Phase:</w:t>
            </w:r>
            <w:r w:rsidRPr="003771DB">
              <w:t xml:space="preserve"> Initial treatment – dose maintenance</w:t>
            </w:r>
          </w:p>
        </w:tc>
      </w:tr>
      <w:tr w:rsidR="00C43EF5" w:rsidRPr="003771DB" w14:paraId="50CBD049"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9B57163" w14:textId="77777777" w:rsidR="00C43EF5" w:rsidRPr="003771DB" w:rsidRDefault="00C43EF5" w:rsidP="00076B84">
            <w:pPr>
              <w:pStyle w:val="COMTabletext"/>
              <w:keepNext w:val="0"/>
              <w:keepLines/>
            </w:pPr>
            <w:r w:rsidRPr="003771DB">
              <w:rPr>
                <w:b/>
              </w:rPr>
              <w:t>Clinical criteria:</w:t>
            </w:r>
          </w:p>
        </w:tc>
      </w:tr>
      <w:tr w:rsidR="00C43EF5" w:rsidRPr="003771DB" w14:paraId="13656C31"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6025AE2" w14:textId="77777777" w:rsidR="00C43EF5" w:rsidRPr="003771DB" w:rsidRDefault="00C43EF5" w:rsidP="00076B84">
            <w:pPr>
              <w:pStyle w:val="COMTabletext"/>
              <w:keepNext w:val="0"/>
              <w:keepLines/>
            </w:pPr>
            <w:r w:rsidRPr="003771DB">
              <w:t>Patient must have completed the initial PBS-subsidised 16-week dose titration with this drug for this condition;</w:t>
            </w:r>
          </w:p>
        </w:tc>
      </w:tr>
      <w:tr w:rsidR="00C43EF5" w:rsidRPr="003771DB" w14:paraId="1BBB10D2"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4F45058" w14:textId="77777777" w:rsidR="00C43EF5" w:rsidRPr="003771DB" w:rsidRDefault="00C43EF5" w:rsidP="00076B84">
            <w:pPr>
              <w:pStyle w:val="COMTabletext"/>
              <w:keepNext w:val="0"/>
              <w:keepLines/>
            </w:pPr>
            <w:r w:rsidRPr="003771DB">
              <w:rPr>
                <w:b/>
              </w:rPr>
              <w:t>AND</w:t>
            </w:r>
          </w:p>
        </w:tc>
      </w:tr>
      <w:tr w:rsidR="00C43EF5" w:rsidRPr="003771DB" w14:paraId="59390085"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280FB63" w14:textId="77777777" w:rsidR="00C43EF5" w:rsidRPr="003771DB" w:rsidRDefault="00C43EF5" w:rsidP="00076B84">
            <w:pPr>
              <w:pStyle w:val="COMTabletext"/>
              <w:keepNext w:val="0"/>
              <w:keepLines/>
            </w:pPr>
            <w:r w:rsidRPr="003771DB">
              <w:rPr>
                <w:b/>
              </w:rPr>
              <w:t>Clinical criteria:</w:t>
            </w:r>
          </w:p>
        </w:tc>
      </w:tr>
      <w:tr w:rsidR="00C43EF5" w:rsidRPr="003771DB" w14:paraId="79749548"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AD5DC62" w14:textId="77777777" w:rsidR="00C43EF5" w:rsidRPr="003771DB" w:rsidRDefault="00C43EF5" w:rsidP="00076B84">
            <w:pPr>
              <w:pStyle w:val="COMTabletext"/>
              <w:keepNext w:val="0"/>
              <w:keepLines/>
              <w:rPr>
                <w:color w:val="0066FF"/>
              </w:rPr>
            </w:pPr>
            <w:r w:rsidRPr="003771DB">
              <w:t>The treatment must not exceed 12 weeks of dose maintenance under this restriction</w:t>
            </w:r>
          </w:p>
        </w:tc>
      </w:tr>
      <w:tr w:rsidR="00C43EF5" w:rsidRPr="003771DB" w14:paraId="142DFB35"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88FEAC3" w14:textId="77777777" w:rsidR="00C43EF5" w:rsidRPr="003771DB" w:rsidRDefault="00C43EF5" w:rsidP="00076B84">
            <w:pPr>
              <w:pStyle w:val="COMTabletext"/>
              <w:keepNext w:val="0"/>
              <w:keepLines/>
            </w:pPr>
            <w:r w:rsidRPr="003771DB">
              <w:rPr>
                <w:b/>
              </w:rPr>
              <w:t>Treatment criteria:</w:t>
            </w:r>
          </w:p>
        </w:tc>
      </w:tr>
      <w:tr w:rsidR="00C43EF5" w:rsidRPr="003771DB" w14:paraId="11949CAB"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30AD4DB" w14:textId="77777777" w:rsidR="00C43EF5" w:rsidRPr="003771DB" w:rsidRDefault="00C43EF5" w:rsidP="00076B84">
            <w:pPr>
              <w:pStyle w:val="COMTabletext"/>
              <w:keepNext w:val="0"/>
              <w:keepLines/>
            </w:pPr>
            <w:r w:rsidRPr="003771DB">
              <w:t>The treatment must be adjunct to receiving clinically appropriate dietetic and weight management advice</w:t>
            </w:r>
          </w:p>
        </w:tc>
      </w:tr>
      <w:tr w:rsidR="00C43EF5" w:rsidRPr="003771DB" w14:paraId="1367294C"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single" w:sz="4" w:space="0" w:color="auto"/>
            </w:tcBorders>
            <w:vAlign w:val="center"/>
            <w:hideMark/>
          </w:tcPr>
          <w:p w14:paraId="0D4B0E10" w14:textId="77777777" w:rsidR="00C43EF5" w:rsidRPr="003771DB" w:rsidRDefault="00C43EF5" w:rsidP="00076B84">
            <w:pPr>
              <w:pStyle w:val="COMTabletext"/>
              <w:keepNext w:val="0"/>
              <w:keepLines/>
            </w:pPr>
            <w:r w:rsidRPr="003771DB">
              <w:rPr>
                <w:b/>
              </w:rPr>
              <w:t>Population criteria:</w:t>
            </w:r>
          </w:p>
        </w:tc>
      </w:tr>
      <w:tr w:rsidR="00C43EF5" w:rsidRPr="003771DB" w14:paraId="03F738BA"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double" w:sz="4" w:space="0" w:color="auto"/>
            </w:tcBorders>
            <w:vAlign w:val="center"/>
          </w:tcPr>
          <w:p w14:paraId="77A805E6" w14:textId="77777777" w:rsidR="00C43EF5" w:rsidRPr="003771DB" w:rsidRDefault="00C43EF5" w:rsidP="00076B84">
            <w:pPr>
              <w:pStyle w:val="COMTabletext"/>
              <w:keepNext w:val="0"/>
              <w:keepLines/>
              <w:rPr>
                <w:color w:val="0066FF"/>
              </w:rPr>
            </w:pPr>
            <w:r w:rsidRPr="003771DB">
              <w:t>Patient must be aged 18 years or older</w:t>
            </w:r>
          </w:p>
        </w:tc>
      </w:tr>
      <w:tr w:rsidR="00030369" w:rsidRPr="003771DB" w14:paraId="1A7B6318"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tcBorders>
            <w:vAlign w:val="center"/>
            <w:hideMark/>
          </w:tcPr>
          <w:p w14:paraId="181FE405" w14:textId="77777777" w:rsidR="00030369" w:rsidRPr="003771DB" w:rsidRDefault="00030369" w:rsidP="00076B84">
            <w:pPr>
              <w:pStyle w:val="COMTabletext"/>
              <w:keepNext w:val="0"/>
              <w:keepLines/>
            </w:pPr>
            <w:r w:rsidRPr="003771DB">
              <w:rPr>
                <w:b/>
              </w:rPr>
              <w:t>Treatment Phase:</w:t>
            </w:r>
            <w:r w:rsidRPr="003771DB">
              <w:t xml:space="preserve"> First continuing treatment</w:t>
            </w:r>
          </w:p>
        </w:tc>
      </w:tr>
      <w:tr w:rsidR="00030369" w:rsidRPr="003771DB" w14:paraId="1C425B33"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A9549F1" w14:textId="77777777" w:rsidR="00030369" w:rsidRPr="003771DB" w:rsidRDefault="00030369" w:rsidP="00076B84">
            <w:pPr>
              <w:pStyle w:val="COMTabletext"/>
              <w:keepNext w:val="0"/>
              <w:keepLines/>
            </w:pPr>
            <w:r w:rsidRPr="003771DB">
              <w:rPr>
                <w:b/>
              </w:rPr>
              <w:t>Clinical criteria:</w:t>
            </w:r>
          </w:p>
        </w:tc>
      </w:tr>
      <w:tr w:rsidR="00030369" w:rsidRPr="003771DB" w14:paraId="0AA0CDD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8B1734B" w14:textId="77777777" w:rsidR="00030369" w:rsidRPr="003771DB" w:rsidRDefault="00030369" w:rsidP="00076B84">
            <w:pPr>
              <w:pStyle w:val="COMTabletext"/>
              <w:keepNext w:val="0"/>
              <w:keepLines/>
            </w:pPr>
            <w:r w:rsidRPr="003771DB">
              <w:t>Patient must have completed the initial – dose maintenance PBS-subsidised treatment with this drug for this condition;</w:t>
            </w:r>
          </w:p>
        </w:tc>
      </w:tr>
      <w:tr w:rsidR="00030369" w:rsidRPr="003771DB" w14:paraId="18D367E0"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604FFBA" w14:textId="77777777" w:rsidR="00030369" w:rsidRPr="003771DB" w:rsidRDefault="00030369" w:rsidP="00076B84">
            <w:pPr>
              <w:pStyle w:val="COMTabletext"/>
              <w:keepNext w:val="0"/>
              <w:keepLines/>
            </w:pPr>
            <w:r w:rsidRPr="003771DB">
              <w:rPr>
                <w:b/>
              </w:rPr>
              <w:t>AND</w:t>
            </w:r>
          </w:p>
        </w:tc>
      </w:tr>
      <w:tr w:rsidR="00030369" w:rsidRPr="003771DB" w14:paraId="466DE996"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144C609" w14:textId="77777777" w:rsidR="00030369" w:rsidRPr="003771DB" w:rsidRDefault="00030369" w:rsidP="00076B84">
            <w:pPr>
              <w:pStyle w:val="COMTabletext"/>
              <w:keepNext w:val="0"/>
              <w:keepLines/>
            </w:pPr>
            <w:r w:rsidRPr="003771DB">
              <w:rPr>
                <w:b/>
              </w:rPr>
              <w:t>Clinical criteria:</w:t>
            </w:r>
          </w:p>
        </w:tc>
      </w:tr>
      <w:tr w:rsidR="00030369" w:rsidRPr="003771DB" w14:paraId="7ED1C256"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1A700AE" w14:textId="77777777" w:rsidR="00030369" w:rsidRPr="003771DB" w:rsidRDefault="00030369" w:rsidP="00076B84">
            <w:pPr>
              <w:pStyle w:val="COMTabletext"/>
              <w:keepNext w:val="0"/>
              <w:keepLines/>
              <w:rPr>
                <w:color w:val="0066FF"/>
              </w:rPr>
            </w:pPr>
            <w:r w:rsidRPr="003771DB">
              <w:t>The treatment must not exceed 16 weeks of dose maintenance under this restriction</w:t>
            </w:r>
          </w:p>
        </w:tc>
      </w:tr>
      <w:tr w:rsidR="00030369" w:rsidRPr="003771DB" w14:paraId="79958AF0"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019671C" w14:textId="77777777" w:rsidR="00030369" w:rsidRPr="003771DB" w:rsidRDefault="00030369" w:rsidP="00076B84">
            <w:pPr>
              <w:pStyle w:val="COMTabletext"/>
              <w:keepNext w:val="0"/>
              <w:keepLines/>
            </w:pPr>
            <w:r w:rsidRPr="003771DB">
              <w:rPr>
                <w:b/>
              </w:rPr>
              <w:t>Treatment criteria:</w:t>
            </w:r>
          </w:p>
        </w:tc>
      </w:tr>
      <w:tr w:rsidR="00030369" w:rsidRPr="003771DB" w14:paraId="14733C26"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9001D5C" w14:textId="77777777" w:rsidR="00030369" w:rsidRPr="003771DB" w:rsidRDefault="00030369" w:rsidP="00076B84">
            <w:pPr>
              <w:pStyle w:val="COMTabletext"/>
              <w:keepNext w:val="0"/>
              <w:keepLines/>
            </w:pPr>
            <w:r w:rsidRPr="003771DB">
              <w:t>The treatment must be adjunct to receiving clinically appropriate dietetic and weight management advice</w:t>
            </w:r>
          </w:p>
        </w:tc>
      </w:tr>
      <w:tr w:rsidR="00030369" w:rsidRPr="003771DB" w14:paraId="133F552C"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single" w:sz="4" w:space="0" w:color="auto"/>
            </w:tcBorders>
            <w:vAlign w:val="center"/>
            <w:hideMark/>
          </w:tcPr>
          <w:p w14:paraId="23D73CAC" w14:textId="77777777" w:rsidR="00030369" w:rsidRPr="003771DB" w:rsidRDefault="00030369" w:rsidP="00076B84">
            <w:pPr>
              <w:pStyle w:val="COMTabletext"/>
              <w:keepNext w:val="0"/>
              <w:keepLines/>
            </w:pPr>
            <w:r w:rsidRPr="003771DB">
              <w:rPr>
                <w:b/>
              </w:rPr>
              <w:t>Population criteria:</w:t>
            </w:r>
          </w:p>
        </w:tc>
      </w:tr>
      <w:tr w:rsidR="00030369" w:rsidRPr="003771DB" w14:paraId="1B8910D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double" w:sz="4" w:space="0" w:color="auto"/>
            </w:tcBorders>
            <w:vAlign w:val="center"/>
          </w:tcPr>
          <w:p w14:paraId="7FB345C8" w14:textId="77777777" w:rsidR="00030369" w:rsidRPr="003771DB" w:rsidRDefault="00030369" w:rsidP="00076B84">
            <w:pPr>
              <w:pStyle w:val="COMTabletext"/>
              <w:keepNext w:val="0"/>
              <w:keepLines/>
              <w:rPr>
                <w:color w:val="0066FF"/>
              </w:rPr>
            </w:pPr>
            <w:r w:rsidRPr="003771DB">
              <w:t>Patient must be aged 18 years or older</w:t>
            </w:r>
          </w:p>
        </w:tc>
      </w:tr>
      <w:tr w:rsidR="00030369" w:rsidRPr="003771DB" w14:paraId="3528128B"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tcBorders>
            <w:vAlign w:val="center"/>
            <w:hideMark/>
          </w:tcPr>
          <w:p w14:paraId="4D64F56C" w14:textId="77777777" w:rsidR="00030369" w:rsidRPr="003771DB" w:rsidRDefault="00030369" w:rsidP="00076B84">
            <w:pPr>
              <w:pStyle w:val="COMTabletext"/>
              <w:keepNext w:val="0"/>
              <w:keepLines/>
            </w:pPr>
            <w:r w:rsidRPr="003771DB">
              <w:rPr>
                <w:b/>
              </w:rPr>
              <w:t>Treatment Phase:</w:t>
            </w:r>
            <w:r w:rsidRPr="003771DB">
              <w:t xml:space="preserve"> Subsequent continuing treatment</w:t>
            </w:r>
          </w:p>
        </w:tc>
      </w:tr>
      <w:tr w:rsidR="00030369" w:rsidRPr="003771DB" w14:paraId="31F63A70"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D5C1DF5" w14:textId="77777777" w:rsidR="00030369" w:rsidRPr="003771DB" w:rsidRDefault="00030369" w:rsidP="00076B84">
            <w:pPr>
              <w:pStyle w:val="COMTabletext"/>
              <w:keepNext w:val="0"/>
              <w:keepLines/>
            </w:pPr>
            <w:r w:rsidRPr="003771DB">
              <w:rPr>
                <w:b/>
              </w:rPr>
              <w:t>Clinical criteria:</w:t>
            </w:r>
          </w:p>
        </w:tc>
      </w:tr>
      <w:tr w:rsidR="00030369" w:rsidRPr="003771DB" w14:paraId="22F13DE8"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E2CACE2" w14:textId="77777777" w:rsidR="00030369" w:rsidRPr="003771DB" w:rsidRDefault="00030369" w:rsidP="00076B84">
            <w:pPr>
              <w:pStyle w:val="COMTabletext"/>
              <w:keepNext w:val="0"/>
              <w:keepLines/>
            </w:pPr>
            <w:r w:rsidRPr="003771DB">
              <w:t>Patient must have completed the first continuing PBS-subsidised treatment with this drug for this condition at their most recent treatment course; OR</w:t>
            </w:r>
          </w:p>
        </w:tc>
      </w:tr>
      <w:tr w:rsidR="00030369" w:rsidRPr="003771DB" w14:paraId="18F3458F"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BE0C506" w14:textId="77777777" w:rsidR="00030369" w:rsidRPr="003771DB" w:rsidRDefault="00030369" w:rsidP="00076B84">
            <w:pPr>
              <w:pStyle w:val="COMTabletext"/>
              <w:keepNext w:val="0"/>
              <w:keepLines/>
            </w:pPr>
            <w:r w:rsidRPr="003771DB">
              <w:t>Patient must have previously received PBS-subsidised treatment with this drug for this condition under this restriction;</w:t>
            </w:r>
          </w:p>
        </w:tc>
      </w:tr>
      <w:tr w:rsidR="00030369" w:rsidRPr="003771DB" w14:paraId="33559187"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7C03246" w14:textId="77777777" w:rsidR="00030369" w:rsidRPr="003771DB" w:rsidRDefault="00030369" w:rsidP="00076B84">
            <w:pPr>
              <w:pStyle w:val="COMTabletext"/>
              <w:keepNext w:val="0"/>
              <w:keepLines/>
            </w:pPr>
            <w:r w:rsidRPr="003771DB">
              <w:rPr>
                <w:b/>
              </w:rPr>
              <w:t>AND</w:t>
            </w:r>
          </w:p>
        </w:tc>
      </w:tr>
      <w:tr w:rsidR="00030369" w:rsidRPr="003771DB" w14:paraId="0991BF54"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4BCC9AC" w14:textId="77777777" w:rsidR="00030369" w:rsidRPr="003771DB" w:rsidRDefault="00030369" w:rsidP="00076B84">
            <w:pPr>
              <w:pStyle w:val="COMTabletext"/>
              <w:keepNext w:val="0"/>
              <w:keepLines/>
            </w:pPr>
            <w:r w:rsidRPr="003771DB">
              <w:rPr>
                <w:b/>
              </w:rPr>
              <w:t>Clinical criteria:</w:t>
            </w:r>
          </w:p>
        </w:tc>
      </w:tr>
      <w:tr w:rsidR="00030369" w:rsidRPr="003771DB" w14:paraId="51A1E9D8"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765A619" w14:textId="77777777" w:rsidR="00030369" w:rsidRPr="003771DB" w:rsidRDefault="00030369" w:rsidP="00076B84">
            <w:pPr>
              <w:pStyle w:val="COMTabletext"/>
              <w:keepNext w:val="0"/>
              <w:keepLines/>
              <w:rPr>
                <w:color w:val="0066FF"/>
              </w:rPr>
            </w:pPr>
            <w:r w:rsidRPr="003771DB">
              <w:t>Patient must have achieved and maintained a reduction of at least 10% from the initial baseline body weight while being treated with this drug for this condition</w:t>
            </w:r>
          </w:p>
        </w:tc>
      </w:tr>
      <w:tr w:rsidR="00030369" w:rsidRPr="003771DB" w14:paraId="283D39E9"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B94D85D" w14:textId="77777777" w:rsidR="00030369" w:rsidRPr="003771DB" w:rsidRDefault="00030369" w:rsidP="00076B84">
            <w:pPr>
              <w:pStyle w:val="COMTabletext"/>
              <w:keepNext w:val="0"/>
              <w:keepLines/>
            </w:pPr>
            <w:r w:rsidRPr="003771DB">
              <w:rPr>
                <w:b/>
              </w:rPr>
              <w:t>Treatment criteria:</w:t>
            </w:r>
          </w:p>
        </w:tc>
      </w:tr>
      <w:tr w:rsidR="00030369" w:rsidRPr="003771DB" w14:paraId="5F6B98C2"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FE3561E" w14:textId="77777777" w:rsidR="00030369" w:rsidRPr="003771DB" w:rsidRDefault="00030369" w:rsidP="00076B84">
            <w:pPr>
              <w:pStyle w:val="COMTabletext"/>
              <w:keepNext w:val="0"/>
              <w:keepLines/>
            </w:pPr>
            <w:r w:rsidRPr="003771DB">
              <w:t>The treatment must be adjunct to receiving clinically appropriate dietetic and weight management advice</w:t>
            </w:r>
          </w:p>
        </w:tc>
      </w:tr>
      <w:tr w:rsidR="00030369" w:rsidRPr="003771DB" w14:paraId="79079B50"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DD03ED7" w14:textId="77777777" w:rsidR="00030369" w:rsidRPr="003771DB" w:rsidRDefault="00030369" w:rsidP="00076B84">
            <w:pPr>
              <w:pStyle w:val="COMTabletext"/>
              <w:keepNext w:val="0"/>
              <w:keepLines/>
            </w:pPr>
            <w:r w:rsidRPr="003771DB">
              <w:rPr>
                <w:b/>
              </w:rPr>
              <w:t>Population criteria:</w:t>
            </w:r>
          </w:p>
        </w:tc>
      </w:tr>
      <w:tr w:rsidR="00030369" w:rsidRPr="003771DB" w14:paraId="71E72109" w14:textId="77777777" w:rsidTr="00030369">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33DE4AC4" w14:textId="77777777" w:rsidR="00030369" w:rsidRPr="003771DB" w:rsidRDefault="00030369" w:rsidP="00076B84">
            <w:pPr>
              <w:pStyle w:val="COMTabletext"/>
              <w:keepNext w:val="0"/>
              <w:keepLines/>
              <w:rPr>
                <w:color w:val="0066FF"/>
              </w:rPr>
            </w:pPr>
            <w:r w:rsidRPr="003771DB">
              <w:t>Patient must be aged 18 years or older</w:t>
            </w:r>
          </w:p>
        </w:tc>
      </w:tr>
    </w:tbl>
    <w:p w14:paraId="02EB5DF6" w14:textId="2D2B8921" w:rsidR="00750768" w:rsidRPr="003771DB" w:rsidRDefault="00750768" w:rsidP="00C954BB">
      <w:pPr>
        <w:pStyle w:val="COMexecsumnumberedpara"/>
        <w:spacing w:before="120"/>
      </w:pPr>
      <w:r w:rsidRPr="003771DB">
        <w:t xml:space="preserve">During the evaluation, it was noted that the resubmission used a non-standard method of calculating effective DPMQs from effective AEMPs which did not account </w:t>
      </w:r>
      <w:r w:rsidRPr="003771DB">
        <w:lastRenderedPageBreak/>
        <w:t>for the differences in fees and markups for the published and effective DPMQs. During the evaluation the effective DPMQs were recalculated using standard methods</w:t>
      </w:r>
      <w:r w:rsidR="0017306F" w:rsidRPr="003771DB">
        <w:t xml:space="preserve">, </w:t>
      </w:r>
      <w:r w:rsidR="0017306F" w:rsidRPr="003771DB">
        <w:rPr>
          <w:iCs/>
        </w:rPr>
        <w:t>as presented in this document</w:t>
      </w:r>
      <w:r w:rsidRPr="003771DB">
        <w:t>.</w:t>
      </w:r>
    </w:p>
    <w:p w14:paraId="4DE4CF57" w14:textId="09FFD286" w:rsidR="005975AB" w:rsidRPr="003771DB" w:rsidRDefault="005975AB" w:rsidP="00DD2839">
      <w:pPr>
        <w:pStyle w:val="COMexecsumnumberedpara"/>
      </w:pPr>
      <w:r w:rsidRPr="003771DB">
        <w:t>The resubmission proposed tiered effective prices for semaglutide dose strengths:</w:t>
      </w:r>
    </w:p>
    <w:p w14:paraId="5DF326ED" w14:textId="04B02459" w:rsidR="005975AB" w:rsidRPr="003771DB" w:rsidRDefault="005975AB" w:rsidP="0042771B">
      <w:pPr>
        <w:pStyle w:val="ListParagraph"/>
        <w:widowControl w:val="0"/>
        <w:numPr>
          <w:ilvl w:val="0"/>
          <w:numId w:val="12"/>
        </w:numPr>
      </w:pPr>
      <w:r w:rsidRPr="003771DB">
        <w:t xml:space="preserve">A published DPMQ of </w:t>
      </w:r>
      <w:r w:rsidR="00886A85">
        <w:t>$</w:t>
      </w:r>
      <w:r w:rsidR="00427AAD" w:rsidRPr="00FB1598">
        <w:rPr>
          <w:color w:val="000000"/>
          <w:w w:val="15"/>
          <w:shd w:val="solid" w:color="000000" w:fill="000000"/>
          <w:fitText w:val="-20" w:id="-1032062458"/>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8"/>
          <w14:textFill>
            <w14:solidFill>
              <w14:srgbClr w14:val="000000">
                <w14:alpha w14:val="100000"/>
              </w14:srgbClr>
            </w14:solidFill>
          </w14:textFill>
        </w:rPr>
        <w:t>|</w:t>
      </w:r>
      <w:r w:rsidRPr="003771DB">
        <w:t xml:space="preserve"> per script for semaglutide 0.25 mg, 0.5 mg and 1.0</w:t>
      </w:r>
      <w:r w:rsidR="00114E8D" w:rsidRPr="003771DB">
        <w:t> </w:t>
      </w:r>
      <w:r w:rsidRPr="003771DB">
        <w:t xml:space="preserve">mg dose strengths and an effective DPMQ of </w:t>
      </w:r>
      <w:r w:rsidR="00886A85">
        <w:t>$</w:t>
      </w:r>
      <w:r w:rsidR="00427AAD" w:rsidRPr="00FB1598">
        <w:rPr>
          <w:color w:val="000000"/>
          <w:w w:val="15"/>
          <w:shd w:val="solid" w:color="000000" w:fill="000000"/>
          <w:fitText w:val="-20" w:id="-1032062457"/>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7"/>
          <w14:textFill>
            <w14:solidFill>
              <w14:srgbClr w14:val="000000">
                <w14:alpha w14:val="100000"/>
              </w14:srgbClr>
            </w14:solidFill>
          </w14:textFill>
        </w:rPr>
        <w:t>|</w:t>
      </w:r>
      <w:r w:rsidRPr="003771DB">
        <w:t xml:space="preserve"> per script </w:t>
      </w:r>
      <w:r w:rsidR="00886A85">
        <w:t xml:space="preserve"> (</w:t>
      </w:r>
      <w:r w:rsidR="00427AAD" w:rsidRPr="00FB1598">
        <w:rPr>
          <w:color w:val="000000"/>
          <w:w w:val="15"/>
          <w:shd w:val="solid" w:color="000000" w:fill="000000"/>
          <w:fitText w:val="-20" w:id="-1032062456"/>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6"/>
          <w14:textFill>
            <w14:solidFill>
              <w14:srgbClr w14:val="000000">
                <w14:alpha w14:val="100000"/>
              </w14:srgbClr>
            </w14:solidFill>
          </w14:textFill>
        </w:rPr>
        <w:t>|</w:t>
      </w:r>
      <w:r w:rsidRPr="003771DB">
        <w:t>% rebate).</w:t>
      </w:r>
    </w:p>
    <w:p w14:paraId="542948A2" w14:textId="0FAF5104" w:rsidR="005975AB" w:rsidRPr="003771DB" w:rsidRDefault="005975AB" w:rsidP="0042771B">
      <w:pPr>
        <w:pStyle w:val="ListParagraph"/>
        <w:widowControl w:val="0"/>
        <w:numPr>
          <w:ilvl w:val="0"/>
          <w:numId w:val="12"/>
        </w:numPr>
      </w:pPr>
      <w:r w:rsidRPr="003771DB">
        <w:t xml:space="preserve">A published DPMQ of </w:t>
      </w:r>
      <w:r w:rsidR="00886A85">
        <w:t>$</w:t>
      </w:r>
      <w:r w:rsidR="00427AAD" w:rsidRPr="00FB1598">
        <w:rPr>
          <w:color w:val="000000"/>
          <w:w w:val="15"/>
          <w:shd w:val="solid" w:color="000000" w:fill="000000"/>
          <w:fitText w:val="-20" w:id="-1032062455"/>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5"/>
          <w14:textFill>
            <w14:solidFill>
              <w14:srgbClr w14:val="000000">
                <w14:alpha w14:val="100000"/>
              </w14:srgbClr>
            </w14:solidFill>
          </w14:textFill>
        </w:rPr>
        <w:t>|</w:t>
      </w:r>
      <w:r w:rsidRPr="003771DB">
        <w:t xml:space="preserve"> per script for semaglutide 1.7 mg dose strength and an effective DPMQ of </w:t>
      </w:r>
      <w:r w:rsidR="00886A85">
        <w:t>$</w:t>
      </w:r>
      <w:r w:rsidR="00427AAD" w:rsidRPr="00FB1598">
        <w:rPr>
          <w:color w:val="000000"/>
          <w:w w:val="15"/>
          <w:shd w:val="solid" w:color="000000" w:fill="000000"/>
          <w:fitText w:val="-20" w:id="-1032062454"/>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4"/>
          <w14:textFill>
            <w14:solidFill>
              <w14:srgbClr w14:val="000000">
                <w14:alpha w14:val="100000"/>
              </w14:srgbClr>
            </w14:solidFill>
          </w14:textFill>
        </w:rPr>
        <w:t>|</w:t>
      </w:r>
      <w:r w:rsidRPr="006A07EB">
        <w:t xml:space="preserve"> </w:t>
      </w:r>
      <w:r w:rsidRPr="003771DB">
        <w:t xml:space="preserve">per script </w:t>
      </w:r>
      <w:r w:rsidR="00886A85">
        <w:t xml:space="preserve"> (</w:t>
      </w:r>
      <w:r w:rsidR="00427AAD" w:rsidRPr="00FB1598">
        <w:rPr>
          <w:color w:val="000000"/>
          <w:w w:val="15"/>
          <w:shd w:val="solid" w:color="000000" w:fill="000000"/>
          <w:fitText w:val="-20" w:id="-1032062453"/>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3"/>
          <w14:textFill>
            <w14:solidFill>
              <w14:srgbClr w14:val="000000">
                <w14:alpha w14:val="100000"/>
              </w14:srgbClr>
            </w14:solidFill>
          </w14:textFill>
        </w:rPr>
        <w:t>|</w:t>
      </w:r>
      <w:r w:rsidRPr="003771DB">
        <w:t>% rebate).</w:t>
      </w:r>
    </w:p>
    <w:p w14:paraId="4ED45654" w14:textId="47395403" w:rsidR="005975AB" w:rsidRPr="003771DB" w:rsidRDefault="005975AB" w:rsidP="0042771B">
      <w:pPr>
        <w:pStyle w:val="ListParagraph"/>
        <w:widowControl w:val="0"/>
        <w:numPr>
          <w:ilvl w:val="0"/>
          <w:numId w:val="12"/>
        </w:numPr>
      </w:pPr>
      <w:r w:rsidRPr="003771DB">
        <w:t xml:space="preserve">A published DPMQ of </w:t>
      </w:r>
      <w:r w:rsidR="00886A85">
        <w:t>$</w:t>
      </w:r>
      <w:r w:rsidR="00427AAD" w:rsidRPr="00FB1598">
        <w:rPr>
          <w:color w:val="000000"/>
          <w:w w:val="15"/>
          <w:shd w:val="solid" w:color="000000" w:fill="000000"/>
          <w:fitText w:val="-20" w:id="-1032062452"/>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2"/>
          <w14:textFill>
            <w14:solidFill>
              <w14:srgbClr w14:val="000000">
                <w14:alpha w14:val="100000"/>
              </w14:srgbClr>
            </w14:solidFill>
          </w14:textFill>
        </w:rPr>
        <w:t>|</w:t>
      </w:r>
      <w:r w:rsidRPr="003771DB">
        <w:t xml:space="preserve"> per script for semaglutide 2.4 mg dose strength and an effective DPMQ of </w:t>
      </w:r>
      <w:r w:rsidR="00886A85">
        <w:t>$</w:t>
      </w:r>
      <w:r w:rsidR="00427AAD" w:rsidRPr="00FB1598">
        <w:rPr>
          <w:color w:val="000000"/>
          <w:w w:val="15"/>
          <w:shd w:val="solid" w:color="000000" w:fill="000000"/>
          <w:fitText w:val="-20" w:id="-1032062451"/>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1"/>
          <w14:textFill>
            <w14:solidFill>
              <w14:srgbClr w14:val="000000">
                <w14:alpha w14:val="100000"/>
              </w14:srgbClr>
            </w14:solidFill>
          </w14:textFill>
        </w:rPr>
        <w:t>|</w:t>
      </w:r>
      <w:r w:rsidRPr="006A07EB">
        <w:t xml:space="preserve"> </w:t>
      </w:r>
      <w:r w:rsidRPr="003771DB">
        <w:t xml:space="preserve">per script </w:t>
      </w:r>
      <w:r w:rsidR="00886A85">
        <w:t xml:space="preserve"> (</w:t>
      </w:r>
      <w:r w:rsidR="00427AAD" w:rsidRPr="00FB1598">
        <w:rPr>
          <w:color w:val="000000"/>
          <w:w w:val="15"/>
          <w:shd w:val="solid" w:color="000000" w:fill="000000"/>
          <w:fitText w:val="-20" w:id="-1032062450"/>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50"/>
          <w14:textFill>
            <w14:solidFill>
              <w14:srgbClr w14:val="000000">
                <w14:alpha w14:val="100000"/>
              </w14:srgbClr>
            </w14:solidFill>
          </w14:textFill>
        </w:rPr>
        <w:t>|</w:t>
      </w:r>
      <w:r w:rsidRPr="003771DB">
        <w:t>% rebate)</w:t>
      </w:r>
      <w:r w:rsidR="003771DB">
        <w:t>.</w:t>
      </w:r>
    </w:p>
    <w:p w14:paraId="4300A86F" w14:textId="6D59D2B4" w:rsidR="005975AB" w:rsidRPr="003771DB" w:rsidRDefault="005975AB" w:rsidP="005975AB">
      <w:pPr>
        <w:pStyle w:val="COMexecsumnumberedpara"/>
      </w:pPr>
      <w:r w:rsidRPr="003771DB">
        <w:t>In contrast, the March 202</w:t>
      </w:r>
      <w:r w:rsidR="0017306F" w:rsidRPr="003771DB">
        <w:t>2</w:t>
      </w:r>
      <w:r w:rsidRPr="003771DB">
        <w:t xml:space="preserve"> submission proposed flat pricing for semaglutide with a published DPMQ of </w:t>
      </w:r>
      <w:r w:rsidR="00886A85">
        <w:t>$</w:t>
      </w:r>
      <w:r w:rsidR="00427AAD" w:rsidRPr="00FB1598">
        <w:rPr>
          <w:color w:val="000000"/>
          <w:w w:val="15"/>
          <w:shd w:val="solid" w:color="000000" w:fill="000000"/>
          <w:fitText w:val="-20" w:id="-1032062449"/>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49"/>
          <w14:textFill>
            <w14:solidFill>
              <w14:srgbClr w14:val="000000">
                <w14:alpha w14:val="100000"/>
              </w14:srgbClr>
            </w14:solidFill>
          </w14:textFill>
        </w:rPr>
        <w:t>|</w:t>
      </w:r>
      <w:r w:rsidRPr="003771DB">
        <w:t xml:space="preserve"> and an effective DPMQ of </w:t>
      </w:r>
      <w:r w:rsidR="00886A85">
        <w:t>$</w:t>
      </w:r>
      <w:r w:rsidR="00427AAD" w:rsidRPr="00FB1598">
        <w:rPr>
          <w:color w:val="000000"/>
          <w:w w:val="15"/>
          <w:shd w:val="solid" w:color="000000" w:fill="000000"/>
          <w:fitText w:val="-20" w:id="-1032062448"/>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48"/>
          <w14:textFill>
            <w14:solidFill>
              <w14:srgbClr w14:val="000000">
                <w14:alpha w14:val="100000"/>
              </w14:srgbClr>
            </w14:solidFill>
          </w14:textFill>
        </w:rPr>
        <w:t>|</w:t>
      </w:r>
      <w:r w:rsidRPr="003771DB">
        <w:t xml:space="preserve"> </w:t>
      </w:r>
      <w:r w:rsidR="00886A85">
        <w:t xml:space="preserve"> (</w:t>
      </w:r>
      <w:r w:rsidR="00427AAD" w:rsidRPr="00FB1598">
        <w:rPr>
          <w:color w:val="000000"/>
          <w:w w:val="15"/>
          <w:shd w:val="solid" w:color="000000" w:fill="000000"/>
          <w:fitText w:val="-20" w:id="-1032062464"/>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64"/>
          <w14:textFill>
            <w14:solidFill>
              <w14:srgbClr w14:val="000000">
                <w14:alpha w14:val="100000"/>
              </w14:srgbClr>
            </w14:solidFill>
          </w14:textFill>
        </w:rPr>
        <w:t>|</w:t>
      </w:r>
      <w:r w:rsidRPr="003771DB">
        <w:t xml:space="preserve">% rebate). </w:t>
      </w:r>
    </w:p>
    <w:p w14:paraId="4740F3F6" w14:textId="16CE8F05" w:rsidR="005975AB" w:rsidRPr="003771DB" w:rsidRDefault="005975AB" w:rsidP="005975AB">
      <w:pPr>
        <w:pStyle w:val="COMexecsumnumberedpara"/>
      </w:pPr>
      <w:r w:rsidRPr="003771DB">
        <w:t xml:space="preserve">Semaglutide for type 2 diabetes is currently subject to a special pricing arrangement with a published DPMQ of $133.80 and an effective DPMQ of </w:t>
      </w:r>
      <w:r w:rsidR="00886A85">
        <w:t>$</w:t>
      </w:r>
      <w:r w:rsidR="00427AAD" w:rsidRPr="00FB1598">
        <w:rPr>
          <w:color w:val="000000"/>
          <w:w w:val="15"/>
          <w:shd w:val="solid" w:color="000000" w:fill="000000"/>
          <w:fitText w:val="-20" w:id="-1032062463"/>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63"/>
          <w14:textFill>
            <w14:solidFill>
              <w14:srgbClr w14:val="000000">
                <w14:alpha w14:val="100000"/>
              </w14:srgbClr>
            </w14:solidFill>
          </w14:textFill>
        </w:rPr>
        <w:t>|</w:t>
      </w:r>
      <w:r w:rsidRPr="003771DB">
        <w:t xml:space="preserve"> </w:t>
      </w:r>
      <w:r w:rsidR="00886A85">
        <w:t xml:space="preserve"> (</w:t>
      </w:r>
      <w:r w:rsidR="00427AAD" w:rsidRPr="00FB1598">
        <w:rPr>
          <w:color w:val="000000"/>
          <w:w w:val="15"/>
          <w:shd w:val="solid" w:color="000000" w:fill="000000"/>
          <w:fitText w:val="-20" w:id="-1032062462"/>
          <w14:textFill>
            <w14:solidFill>
              <w14:srgbClr w14:val="000000">
                <w14:alpha w14:val="100000"/>
              </w14:srgbClr>
            </w14:solidFill>
          </w14:textFill>
        </w:rPr>
        <w:t xml:space="preserve">|  </w:t>
      </w:r>
      <w:r w:rsidR="00427AAD" w:rsidRPr="00FB1598">
        <w:rPr>
          <w:color w:val="000000"/>
          <w:spacing w:val="-69"/>
          <w:w w:val="15"/>
          <w:shd w:val="solid" w:color="000000" w:fill="000000"/>
          <w:fitText w:val="-20" w:id="-1032062462"/>
          <w14:textFill>
            <w14:solidFill>
              <w14:srgbClr w14:val="000000">
                <w14:alpha w14:val="100000"/>
              </w14:srgbClr>
            </w14:solidFill>
          </w14:textFill>
        </w:rPr>
        <w:t>|</w:t>
      </w:r>
      <w:r w:rsidRPr="003771DB">
        <w:t>% rebate) for both the 1.5 mL and 3.0 mL multi-dose pens (used to deliver 0.25, 0.5 and 1.0</w:t>
      </w:r>
      <w:r w:rsidR="00DD2839">
        <w:t> </w:t>
      </w:r>
      <w:r w:rsidRPr="003771DB">
        <w:t>mg doses).</w:t>
      </w:r>
    </w:p>
    <w:p w14:paraId="2C8928CC" w14:textId="1D07DFDE" w:rsidR="00AD7350" w:rsidRPr="003771DB" w:rsidRDefault="00AD7350" w:rsidP="006A3A70">
      <w:pPr>
        <w:pStyle w:val="COMexecsumnumberedpara"/>
      </w:pPr>
      <w:r w:rsidRPr="003771DB">
        <w:t xml:space="preserve">The proposed PBS restriction (BMI </w:t>
      </w:r>
      <w:r w:rsidR="00CE5D77" w:rsidRPr="003771DB">
        <w:t>≥</w:t>
      </w:r>
      <w:r w:rsidR="00DD2839">
        <w:t> </w:t>
      </w:r>
      <w:r w:rsidRPr="003771DB">
        <w:t>40</w:t>
      </w:r>
      <w:r w:rsidR="00DD2839">
        <w:t> </w:t>
      </w:r>
      <w:r w:rsidRPr="003771DB">
        <w:t>kg/m</w:t>
      </w:r>
      <w:r w:rsidRPr="003771DB">
        <w:rPr>
          <w:vertAlign w:val="superscript"/>
        </w:rPr>
        <w:t>2</w:t>
      </w:r>
      <w:r w:rsidRPr="003771DB">
        <w:t xml:space="preserve"> and </w:t>
      </w:r>
      <w:r w:rsidR="00CE5D77" w:rsidRPr="003771DB">
        <w:t>≥</w:t>
      </w:r>
      <w:r w:rsidR="00DD2839">
        <w:t> </w:t>
      </w:r>
      <w:r w:rsidRPr="003771DB">
        <w:t xml:space="preserve">2 weight-related comorbidities </w:t>
      </w:r>
      <w:r w:rsidR="003F151A" w:rsidRPr="003771DB">
        <w:t xml:space="preserve">including </w:t>
      </w:r>
      <w:r w:rsidR="00F87D5E" w:rsidRPr="003771DB">
        <w:t>a confirmed diagnosis of</w:t>
      </w:r>
      <w:r w:rsidR="007F7E92" w:rsidRPr="003771DB">
        <w:t xml:space="preserve"> at least one of</w:t>
      </w:r>
      <w:r w:rsidR="00F87D5E" w:rsidRPr="003771DB">
        <w:t xml:space="preserve"> </w:t>
      </w:r>
      <w:r w:rsidRPr="003771DB">
        <w:t>obstructive sleep apnoea, knee osteoarthritis or pre-diabetes) is narrower than the approved TGA indication and clinical trial populations (</w:t>
      </w:r>
      <w:r w:rsidR="004140AF" w:rsidRPr="003771DB">
        <w:t xml:space="preserve">BMI </w:t>
      </w:r>
      <w:r w:rsidR="002E4355" w:rsidRPr="003771DB">
        <w:t>≥</w:t>
      </w:r>
      <w:r w:rsidR="00DD2839">
        <w:t> </w:t>
      </w:r>
      <w:r w:rsidRPr="003771DB">
        <w:t>30</w:t>
      </w:r>
      <w:r w:rsidR="00DD2839">
        <w:t> </w:t>
      </w:r>
      <w:r w:rsidRPr="003771DB">
        <w:t>kg/m</w:t>
      </w:r>
      <w:r w:rsidRPr="003771DB">
        <w:rPr>
          <w:vertAlign w:val="superscript"/>
        </w:rPr>
        <w:t>2</w:t>
      </w:r>
      <w:r w:rsidR="004140AF" w:rsidRPr="003771DB">
        <w:t>, or</w:t>
      </w:r>
      <w:r w:rsidRPr="003771DB">
        <w:t xml:space="preserve"> </w:t>
      </w:r>
      <w:r w:rsidR="002E4355" w:rsidRPr="003771DB">
        <w:t>≥</w:t>
      </w:r>
      <w:r w:rsidRPr="003771DB">
        <w:t>27</w:t>
      </w:r>
      <w:r w:rsidR="004140AF" w:rsidRPr="003771DB">
        <w:t> </w:t>
      </w:r>
      <w:r w:rsidRPr="003771DB">
        <w:t>kg/m</w:t>
      </w:r>
      <w:r w:rsidRPr="003771DB">
        <w:rPr>
          <w:vertAlign w:val="superscript"/>
        </w:rPr>
        <w:t>2</w:t>
      </w:r>
      <w:r w:rsidRPr="003771DB">
        <w:t xml:space="preserve"> with at least one comorbidity) and is narrower than the previously requested PBS restriction in the March</w:t>
      </w:r>
      <w:r w:rsidR="00DD2839">
        <w:t> </w:t>
      </w:r>
      <w:r w:rsidRPr="003771DB">
        <w:t>2022 submission (</w:t>
      </w:r>
      <w:r w:rsidR="00807F02" w:rsidRPr="003771DB">
        <w:t>BMI ≥</w:t>
      </w:r>
      <w:r w:rsidR="00DD2839">
        <w:t> </w:t>
      </w:r>
      <w:r w:rsidRPr="003771DB">
        <w:t>35</w:t>
      </w:r>
      <w:r w:rsidR="00DD2839">
        <w:t> </w:t>
      </w:r>
      <w:r w:rsidRPr="003771DB">
        <w:t>kg/m</w:t>
      </w:r>
      <w:r w:rsidRPr="003771DB">
        <w:rPr>
          <w:vertAlign w:val="superscript"/>
        </w:rPr>
        <w:t>2</w:t>
      </w:r>
      <w:r w:rsidRPr="003771DB">
        <w:t xml:space="preserve"> with at least one comorbidity). The resubmission state</w:t>
      </w:r>
      <w:r w:rsidR="00A5602B" w:rsidRPr="003771DB">
        <w:t>d</w:t>
      </w:r>
      <w:r w:rsidRPr="003771DB">
        <w:t xml:space="preserve"> that </w:t>
      </w:r>
      <w:r w:rsidR="00853E74" w:rsidRPr="003771DB">
        <w:t xml:space="preserve">the </w:t>
      </w:r>
      <w:r w:rsidRPr="003771DB">
        <w:t>targeting</w:t>
      </w:r>
      <w:r w:rsidR="00853E74" w:rsidRPr="003771DB">
        <w:t xml:space="preserve"> of</w:t>
      </w:r>
      <w:r w:rsidRPr="003771DB">
        <w:t xml:space="preserve"> treatment to such a defined subgroup </w:t>
      </w:r>
      <w:r w:rsidR="00DA7EE1" w:rsidRPr="003771DB">
        <w:t>wa</w:t>
      </w:r>
      <w:r w:rsidRPr="003771DB">
        <w:t xml:space="preserve">s responsive to previous PBAC advice, and </w:t>
      </w:r>
      <w:r w:rsidR="00F478FE" w:rsidRPr="003771DB">
        <w:t xml:space="preserve">was </w:t>
      </w:r>
      <w:r w:rsidRPr="003771DB">
        <w:t>explicitly economic, financial and practical in nature</w:t>
      </w:r>
      <w:r w:rsidR="00F478FE" w:rsidRPr="003771DB">
        <w:t>;</w:t>
      </w:r>
      <w:r w:rsidRPr="003771DB">
        <w:t xml:space="preserve"> as the sponsor strongly believes that from a clinical perspective, the appropriate place for semaglutide in the management of overweight and obesity is defined by its much broader TGA indication.</w:t>
      </w:r>
    </w:p>
    <w:p w14:paraId="3D6A3E04" w14:textId="2DA984EF" w:rsidR="003E7347" w:rsidRPr="003771DB" w:rsidRDefault="00C954BB" w:rsidP="006A3A70">
      <w:pPr>
        <w:pStyle w:val="COMexecsumnumberedpara"/>
      </w:pPr>
      <w:r w:rsidRPr="003771DB">
        <w:t>The evaluation noted i</w:t>
      </w:r>
      <w:r w:rsidR="00A60B02" w:rsidRPr="003771DB">
        <w:t xml:space="preserve">t </w:t>
      </w:r>
      <w:r w:rsidRPr="003771DB">
        <w:t>wa</w:t>
      </w:r>
      <w:r w:rsidR="00A60B02" w:rsidRPr="003771DB">
        <w:t xml:space="preserve">s unclear whether the target population represents the best use of semaglutide </w:t>
      </w:r>
      <w:r w:rsidR="004D2055" w:rsidRPr="003771DB">
        <w:t>on</w:t>
      </w:r>
      <w:r w:rsidR="00A60B02" w:rsidRPr="003771DB">
        <w:t xml:space="preserve"> the PBS compared to other alternatives such as using semaglutide as a short-term weight loss treatment prior to bariatric surgery</w:t>
      </w:r>
      <w:r w:rsidR="006A742E" w:rsidRPr="003771DB">
        <w:t>,</w:t>
      </w:r>
      <w:r w:rsidR="00A60B02" w:rsidRPr="003771DB">
        <w:t xml:space="preserve"> as suggested by both stakeholders and </w:t>
      </w:r>
      <w:r w:rsidR="006A742E" w:rsidRPr="003771DB">
        <w:t xml:space="preserve">the </w:t>
      </w:r>
      <w:r w:rsidR="00A60B02" w:rsidRPr="003771DB">
        <w:t xml:space="preserve">PBAC (para 7.3, semaglutide </w:t>
      </w:r>
      <w:r w:rsidR="006A742E" w:rsidRPr="003771DB">
        <w:t>PSD</w:t>
      </w:r>
      <w:r w:rsidR="00A60B02" w:rsidRPr="003771DB">
        <w:t>, March</w:t>
      </w:r>
      <w:r w:rsidR="00DD2839">
        <w:t> </w:t>
      </w:r>
      <w:r w:rsidR="00A60B02" w:rsidRPr="003771DB">
        <w:t xml:space="preserve">2022 PBAC meeting). </w:t>
      </w:r>
      <w:r w:rsidR="00586B65" w:rsidRPr="003771DB">
        <w:rPr>
          <w:iCs/>
        </w:rPr>
        <w:t>The ESC advised that</w:t>
      </w:r>
      <w:r w:rsidR="006405C6" w:rsidRPr="003771DB">
        <w:rPr>
          <w:iCs/>
        </w:rPr>
        <w:t>, while</w:t>
      </w:r>
      <w:r w:rsidR="00586B65" w:rsidRPr="003771DB">
        <w:rPr>
          <w:iCs/>
        </w:rPr>
        <w:t xml:space="preserve"> there was no direct evidence to support the use of semaglutide as a bridge to bariatric surgery, </w:t>
      </w:r>
      <w:r w:rsidR="006405C6" w:rsidRPr="003771DB">
        <w:rPr>
          <w:iCs/>
        </w:rPr>
        <w:t>its</w:t>
      </w:r>
      <w:r w:rsidR="00586B65" w:rsidRPr="003771DB">
        <w:rPr>
          <w:iCs/>
        </w:rPr>
        <w:t xml:space="preserve"> use in this role would be reasonable. </w:t>
      </w:r>
      <w:r w:rsidR="00A60B02" w:rsidRPr="003771DB">
        <w:t xml:space="preserve">Additionally, the resubmission </w:t>
      </w:r>
      <w:r w:rsidR="006A742E" w:rsidRPr="003771DB">
        <w:t>did</w:t>
      </w:r>
      <w:r w:rsidR="00A60B02" w:rsidRPr="003771DB">
        <w:t xml:space="preserve"> not address the implementation of the</w:t>
      </w:r>
      <w:r w:rsidR="006405C6" w:rsidRPr="003771DB">
        <w:t xml:space="preserve"> </w:t>
      </w:r>
      <w:r w:rsidR="006405C6" w:rsidRPr="003771DB">
        <w:rPr>
          <w:iCs/>
        </w:rPr>
        <w:t>proposed</w:t>
      </w:r>
      <w:r w:rsidR="00A60B02" w:rsidRPr="003771DB">
        <w:t xml:space="preserve"> criteria in clinical practice as it is likely that </w:t>
      </w:r>
      <w:r w:rsidR="00832F9A" w:rsidRPr="003771DB">
        <w:t xml:space="preserve">there </w:t>
      </w:r>
      <w:r w:rsidR="00B571A2" w:rsidRPr="003771DB">
        <w:t xml:space="preserve">will be </w:t>
      </w:r>
      <w:r w:rsidR="008B4FCB" w:rsidRPr="003771DB">
        <w:t xml:space="preserve">use </w:t>
      </w:r>
      <w:r w:rsidR="00B571A2" w:rsidRPr="003771DB">
        <w:t>outside of the restriction in</w:t>
      </w:r>
      <w:r w:rsidR="008B4FCB" w:rsidRPr="003771DB">
        <w:t xml:space="preserve"> </w:t>
      </w:r>
      <w:r w:rsidR="00B571A2" w:rsidRPr="003771DB">
        <w:t xml:space="preserve">patients who may benefit from treatment but who </w:t>
      </w:r>
      <w:r w:rsidR="00F87D5E" w:rsidRPr="003771DB">
        <w:t xml:space="preserve">do </w:t>
      </w:r>
      <w:r w:rsidR="00B571A2" w:rsidRPr="003771DB">
        <w:t xml:space="preserve">not meet </w:t>
      </w:r>
      <w:r w:rsidR="003F151A" w:rsidRPr="003771DB">
        <w:t>the restriction</w:t>
      </w:r>
      <w:r w:rsidR="00B571A2" w:rsidRPr="003771DB">
        <w:t xml:space="preserve"> requirements</w:t>
      </w:r>
      <w:r w:rsidR="00A60B02" w:rsidRPr="003771DB">
        <w:t>.</w:t>
      </w:r>
      <w:r w:rsidR="003E7347" w:rsidRPr="003771DB">
        <w:t xml:space="preserve"> </w:t>
      </w:r>
    </w:p>
    <w:p w14:paraId="56703464" w14:textId="02E0972D" w:rsidR="00586B65" w:rsidRPr="003771DB" w:rsidRDefault="00586B65" w:rsidP="00586B65">
      <w:pPr>
        <w:pStyle w:val="COMexecsumnumberedpara"/>
        <w:rPr>
          <w:iCs/>
        </w:rPr>
      </w:pPr>
      <w:r w:rsidRPr="003771DB">
        <w:rPr>
          <w:iCs/>
        </w:rPr>
        <w:t xml:space="preserve">The ESC considered that the trial-based list of comorbidities in the proposed restriction </w:t>
      </w:r>
      <w:r w:rsidR="009A2442" w:rsidRPr="003771DB">
        <w:rPr>
          <w:iCs/>
        </w:rPr>
        <w:t>failed to narrow the restriction sufficiently, and advised that the list</w:t>
      </w:r>
      <w:r w:rsidRPr="003771DB">
        <w:rPr>
          <w:iCs/>
        </w:rPr>
        <w:t xml:space="preserve"> should potentially be reduced to a small number of comorbidities representing higher risk </w:t>
      </w:r>
      <w:r w:rsidRPr="003771DB">
        <w:rPr>
          <w:iCs/>
        </w:rPr>
        <w:lastRenderedPageBreak/>
        <w:t xml:space="preserve">and disease burden, with </w:t>
      </w:r>
      <w:r w:rsidR="009A2442" w:rsidRPr="003771DB">
        <w:rPr>
          <w:iCs/>
        </w:rPr>
        <w:t xml:space="preserve">additional </w:t>
      </w:r>
      <w:r w:rsidRPr="003771DB">
        <w:rPr>
          <w:iCs/>
        </w:rPr>
        <w:t>definitions included in the restriction. The ESC noted that a higher risk group might include patients with</w:t>
      </w:r>
      <w:r w:rsidR="009A2442" w:rsidRPr="003771DB">
        <w:rPr>
          <w:iCs/>
        </w:rPr>
        <w:t xml:space="preserve"> at least two of:</w:t>
      </w:r>
      <w:r w:rsidRPr="003771DB">
        <w:rPr>
          <w:iCs/>
        </w:rPr>
        <w:t xml:space="preserve"> coronary artery disease, cerebrovascular disease, peripheral artery disease, </w:t>
      </w:r>
      <w:r w:rsidR="009A2442" w:rsidRPr="003771DB">
        <w:rPr>
          <w:iCs/>
        </w:rPr>
        <w:t>obstructive sleep apnoea</w:t>
      </w:r>
      <w:r w:rsidRPr="003771DB">
        <w:rPr>
          <w:iCs/>
        </w:rPr>
        <w:t>, pre-diabetes (</w:t>
      </w:r>
      <w:r w:rsidR="009A2442" w:rsidRPr="003771DB">
        <w:rPr>
          <w:iCs/>
        </w:rPr>
        <w:t>impaired fasting glucose or impaired glucose tolerance</w:t>
      </w:r>
      <w:r w:rsidRPr="003771DB">
        <w:rPr>
          <w:iCs/>
        </w:rPr>
        <w:t xml:space="preserve">) without </w:t>
      </w:r>
      <w:r w:rsidR="009A2442" w:rsidRPr="003771DB">
        <w:rPr>
          <w:iCs/>
        </w:rPr>
        <w:t>diabetes mellitus</w:t>
      </w:r>
      <w:r w:rsidRPr="003771DB">
        <w:rPr>
          <w:iCs/>
        </w:rPr>
        <w:t xml:space="preserve">, </w:t>
      </w:r>
      <w:r w:rsidR="009A2442" w:rsidRPr="003771DB">
        <w:rPr>
          <w:iCs/>
        </w:rPr>
        <w:t>non-alcoholic fatty liver disease, non-alcoholic steatohepatitis</w:t>
      </w:r>
      <w:r w:rsidRPr="003771DB">
        <w:rPr>
          <w:iCs/>
        </w:rPr>
        <w:t xml:space="preserve">, </w:t>
      </w:r>
      <w:r w:rsidR="009A2442" w:rsidRPr="003771DB">
        <w:rPr>
          <w:iCs/>
        </w:rPr>
        <w:t xml:space="preserve">and osteoarthritis of the hip </w:t>
      </w:r>
      <w:r w:rsidRPr="003771DB">
        <w:rPr>
          <w:iCs/>
        </w:rPr>
        <w:t>or knee.</w:t>
      </w:r>
      <w:r w:rsidR="00A67B71" w:rsidRPr="003771DB">
        <w:rPr>
          <w:iCs/>
        </w:rPr>
        <w:t xml:space="preserve"> </w:t>
      </w:r>
    </w:p>
    <w:p w14:paraId="5EC85B39" w14:textId="09D2AEBA" w:rsidR="00586B65" w:rsidRPr="003771DB" w:rsidRDefault="00336ADE" w:rsidP="006A3A70">
      <w:pPr>
        <w:pStyle w:val="COMexecsumnumberedpara"/>
      </w:pPr>
      <w:r w:rsidRPr="003771DB">
        <w:rPr>
          <w:iCs/>
        </w:rPr>
        <w:t>The ESC discussed whether the list of comorbidities should also recognise the effects of severe obesity on mental health and whether it would be appropriate to include mental health problems as well as physical health problems in the restriction list. The ESC recognised the difficulty in defining this but considered that depression or anxiety requiring pharmacological or cognitive behavioural therapy might be appropriate comorbidity descriptors</w:t>
      </w:r>
      <w:r w:rsidR="003E7347" w:rsidRPr="003771DB">
        <w:rPr>
          <w:iCs/>
        </w:rPr>
        <w:t xml:space="preserve">. </w:t>
      </w:r>
    </w:p>
    <w:p w14:paraId="3A61425A" w14:textId="610C69A0" w:rsidR="001D3337" w:rsidRPr="003771DB" w:rsidRDefault="00586B65" w:rsidP="006A3A70">
      <w:pPr>
        <w:pStyle w:val="COMexecsumnumberedpara"/>
      </w:pPr>
      <w:r w:rsidRPr="003771DB">
        <w:rPr>
          <w:iCs/>
        </w:rPr>
        <w:t xml:space="preserve">The ESC also </w:t>
      </w:r>
      <w:r w:rsidR="00DD1C1F" w:rsidRPr="003771DB">
        <w:rPr>
          <w:iCs/>
        </w:rPr>
        <w:t xml:space="preserve">proposed </w:t>
      </w:r>
      <w:r w:rsidRPr="003771DB">
        <w:rPr>
          <w:iCs/>
        </w:rPr>
        <w:t>that an</w:t>
      </w:r>
      <w:r w:rsidR="000A1909" w:rsidRPr="003771DB">
        <w:rPr>
          <w:iCs/>
        </w:rPr>
        <w:t xml:space="preserve"> alternative approach to the restriction could be to use a validated scoring system</w:t>
      </w:r>
      <w:r w:rsidR="006405C6" w:rsidRPr="003771DB">
        <w:rPr>
          <w:iCs/>
        </w:rPr>
        <w:t>, for example</w:t>
      </w:r>
      <w:r w:rsidR="000A1909" w:rsidRPr="003771DB">
        <w:rPr>
          <w:iCs/>
        </w:rPr>
        <w:t xml:space="preserve"> the Edmonton Obesity Staging System</w:t>
      </w:r>
      <w:r w:rsidR="006405C6" w:rsidRPr="003771DB">
        <w:rPr>
          <w:iCs/>
        </w:rPr>
        <w:t>,</w:t>
      </w:r>
      <w:r w:rsidR="000A1909" w:rsidRPr="003771DB">
        <w:rPr>
          <w:iCs/>
        </w:rPr>
        <w:t xml:space="preserve"> in conjunction with BMI with or without age. </w:t>
      </w:r>
    </w:p>
    <w:p w14:paraId="2229C0A5" w14:textId="76A1CC2C" w:rsidR="003E7347" w:rsidRPr="003771DB" w:rsidRDefault="003E7347" w:rsidP="006A3A70">
      <w:pPr>
        <w:pStyle w:val="COMexecsumnumberedpara"/>
      </w:pPr>
      <w:bookmarkStart w:id="12" w:name="_Ref151981664"/>
      <w:r w:rsidRPr="003771DB">
        <w:rPr>
          <w:iCs/>
        </w:rPr>
        <w:t>The ESC noted that the Aboriginal and Torres Strait Islander population was included with a lower BMI threshold</w:t>
      </w:r>
      <w:r w:rsidR="001D0595" w:rsidRPr="003771DB">
        <w:rPr>
          <w:iCs/>
        </w:rPr>
        <w:t xml:space="preserve"> of 37</w:t>
      </w:r>
      <w:r w:rsidR="00ED101B">
        <w:rPr>
          <w:iCs/>
        </w:rPr>
        <w:t> </w:t>
      </w:r>
      <w:r w:rsidR="001D0595" w:rsidRPr="003771DB">
        <w:rPr>
          <w:iCs/>
        </w:rPr>
        <w:t>kg/m</w:t>
      </w:r>
      <w:r w:rsidR="001D0595" w:rsidRPr="003771DB">
        <w:rPr>
          <w:iCs/>
          <w:vertAlign w:val="superscript"/>
        </w:rPr>
        <w:t>2</w:t>
      </w:r>
      <w:r w:rsidR="001D0595" w:rsidRPr="003771DB">
        <w:rPr>
          <w:iCs/>
        </w:rPr>
        <w:t xml:space="preserve"> (37.5</w:t>
      </w:r>
      <w:r w:rsidR="00ED101B">
        <w:rPr>
          <w:iCs/>
        </w:rPr>
        <w:t> </w:t>
      </w:r>
      <w:r w:rsidR="001D0595" w:rsidRPr="003771DB">
        <w:rPr>
          <w:iCs/>
        </w:rPr>
        <w:t>kg/m</w:t>
      </w:r>
      <w:r w:rsidR="001D0595" w:rsidRPr="003771DB">
        <w:rPr>
          <w:iCs/>
          <w:vertAlign w:val="superscript"/>
        </w:rPr>
        <w:t>2</w:t>
      </w:r>
      <w:r w:rsidR="001D0595" w:rsidRPr="003771DB">
        <w:rPr>
          <w:iCs/>
        </w:rPr>
        <w:t xml:space="preserve"> is considered equivalent to a BMI of 40</w:t>
      </w:r>
      <w:r w:rsidR="00ED101B">
        <w:rPr>
          <w:iCs/>
        </w:rPr>
        <w:t> </w:t>
      </w:r>
      <w:r w:rsidR="001D0595" w:rsidRPr="003771DB">
        <w:rPr>
          <w:iCs/>
        </w:rPr>
        <w:t>kg/m</w:t>
      </w:r>
      <w:r w:rsidR="001D0595" w:rsidRPr="003771DB">
        <w:rPr>
          <w:iCs/>
          <w:vertAlign w:val="superscript"/>
        </w:rPr>
        <w:t xml:space="preserve">2 </w:t>
      </w:r>
      <w:r w:rsidR="001D0595" w:rsidRPr="003771DB">
        <w:rPr>
          <w:iCs/>
        </w:rPr>
        <w:t>(obesity class III) in the general population, according to Australian Obesity Classification System and Management Algorithm</w:t>
      </w:r>
      <w:r w:rsidR="001D0595" w:rsidRPr="003771DB">
        <w:rPr>
          <w:rStyle w:val="FootnoteReference"/>
          <w:iCs/>
        </w:rPr>
        <w:footnoteReference w:id="2"/>
      </w:r>
      <w:r w:rsidR="001D0595" w:rsidRPr="003771DB">
        <w:rPr>
          <w:iCs/>
        </w:rPr>
        <w:t>)</w:t>
      </w:r>
      <w:r w:rsidRPr="003771DB">
        <w:rPr>
          <w:iCs/>
        </w:rPr>
        <w:t>.</w:t>
      </w:r>
      <w:r w:rsidR="00AF38D9" w:rsidRPr="003771DB">
        <w:rPr>
          <w:rFonts w:ascii="Arial Narrow" w:hAnsi="Arial Narrow" w:cs="Calibri"/>
          <w:snapToGrid/>
          <w:szCs w:val="20"/>
        </w:rPr>
        <w:t xml:space="preserve"> </w:t>
      </w:r>
      <w:r w:rsidR="00AF38D9" w:rsidRPr="003771DB">
        <w:rPr>
          <w:iCs/>
        </w:rPr>
        <w:t>Th</w:t>
      </w:r>
      <w:r w:rsidR="00336ADE" w:rsidRPr="003771DB">
        <w:rPr>
          <w:iCs/>
        </w:rPr>
        <w:t>is inclusion was in response to</w:t>
      </w:r>
      <w:r w:rsidR="00AF38D9" w:rsidRPr="003771DB">
        <w:rPr>
          <w:iCs/>
        </w:rPr>
        <w:t xml:space="preserve"> </w:t>
      </w:r>
      <w:r w:rsidR="00336ADE" w:rsidRPr="003771DB">
        <w:rPr>
          <w:iCs/>
        </w:rPr>
        <w:t xml:space="preserve">the </w:t>
      </w:r>
      <w:r w:rsidR="00AF38D9" w:rsidRPr="003771DB">
        <w:rPr>
          <w:iCs/>
        </w:rPr>
        <w:t>PBAC</w:t>
      </w:r>
      <w:r w:rsidR="00336ADE" w:rsidRPr="003771DB">
        <w:rPr>
          <w:iCs/>
        </w:rPr>
        <w:t>’s</w:t>
      </w:r>
      <w:r w:rsidR="00AF38D9" w:rsidRPr="003771DB">
        <w:rPr>
          <w:iCs/>
        </w:rPr>
        <w:t xml:space="preserve"> </w:t>
      </w:r>
      <w:r w:rsidR="00336ADE" w:rsidRPr="003771DB">
        <w:rPr>
          <w:iCs/>
        </w:rPr>
        <w:t>previous consideration</w:t>
      </w:r>
      <w:r w:rsidR="00AF38D9" w:rsidRPr="003771DB">
        <w:rPr>
          <w:iCs/>
        </w:rPr>
        <w:t xml:space="preserve"> that the BMI criteria should be adjusted for, at a minimum, Asian and Aboriginal and/or Torres Strait Islander populations (para 7.4, semaglutide PSD, March 2022 PBAC meeting). </w:t>
      </w:r>
      <w:r w:rsidR="00336ADE" w:rsidRPr="003771DB">
        <w:rPr>
          <w:iCs/>
        </w:rPr>
        <w:t>Alternatively, recognising</w:t>
      </w:r>
      <w:r w:rsidRPr="003771DB">
        <w:rPr>
          <w:iCs/>
        </w:rPr>
        <w:t xml:space="preserve"> that </w:t>
      </w:r>
      <w:r w:rsidR="000A1909" w:rsidRPr="003771DB">
        <w:rPr>
          <w:iCs/>
        </w:rPr>
        <w:t xml:space="preserve">Aboriginal and Torres Strait Islander populations were a higher risk population for chronic health conditions, </w:t>
      </w:r>
      <w:r w:rsidR="00A56179" w:rsidRPr="003771DB">
        <w:rPr>
          <w:iCs/>
        </w:rPr>
        <w:t xml:space="preserve">the ESC </w:t>
      </w:r>
      <w:r w:rsidR="0096737B" w:rsidRPr="003771DB">
        <w:rPr>
          <w:iCs/>
        </w:rPr>
        <w:t xml:space="preserve">proposed </w:t>
      </w:r>
      <w:r w:rsidR="00336ADE" w:rsidRPr="003771DB">
        <w:rPr>
          <w:iCs/>
        </w:rPr>
        <w:t>that identifying as an Aboriginal and/or Torres Strait Islander person could be one of the qualifying comorbidities</w:t>
      </w:r>
      <w:r w:rsidR="0096737B" w:rsidRPr="003771DB">
        <w:rPr>
          <w:iCs/>
        </w:rPr>
        <w:t>.</w:t>
      </w:r>
      <w:bookmarkEnd w:id="12"/>
    </w:p>
    <w:p w14:paraId="76637DAA" w14:textId="7B393DDB" w:rsidR="000A1909" w:rsidRPr="003771DB" w:rsidRDefault="00CC5A21" w:rsidP="006A3A70">
      <w:pPr>
        <w:pStyle w:val="COMexecsumnumberedpara"/>
      </w:pPr>
      <w:r w:rsidRPr="003771DB">
        <w:rPr>
          <w:iCs/>
        </w:rPr>
        <w:t xml:space="preserve">The ESC </w:t>
      </w:r>
      <w:r w:rsidR="00AF38D9" w:rsidRPr="003771DB">
        <w:rPr>
          <w:iCs/>
        </w:rPr>
        <w:t>considered</w:t>
      </w:r>
      <w:r w:rsidRPr="003771DB">
        <w:rPr>
          <w:iCs/>
        </w:rPr>
        <w:t xml:space="preserve"> that a telephone/online authority was appropriate given the high risk of use outside the restriction</w:t>
      </w:r>
      <w:r w:rsidR="006405C6" w:rsidRPr="003771DB">
        <w:rPr>
          <w:iCs/>
        </w:rPr>
        <w:t>, but also recognised that that this would have significant flow-on consequences for Services Australia</w:t>
      </w:r>
      <w:r w:rsidRPr="003771DB">
        <w:rPr>
          <w:iCs/>
        </w:rPr>
        <w:t>.</w:t>
      </w:r>
    </w:p>
    <w:p w14:paraId="3C8AE097" w14:textId="2E65FF70" w:rsidR="001D3337" w:rsidRPr="003771DB" w:rsidRDefault="001D3337" w:rsidP="006A3A70">
      <w:pPr>
        <w:pStyle w:val="COMexecsumnumberedpara"/>
      </w:pPr>
      <w:r w:rsidRPr="003771DB">
        <w:t>The resubmission acknowledged PBAC concerns regarding the proposed place in therapy</w:t>
      </w:r>
      <w:r w:rsidR="00760B63" w:rsidRPr="003771DB">
        <w:t xml:space="preserve"> (</w:t>
      </w:r>
      <w:r w:rsidR="00760B63" w:rsidRPr="003771DB">
        <w:rPr>
          <w:iCs/>
        </w:rPr>
        <w:t>para 7.3, semaglutide PSD, March 2022 PBAC meeting)</w:t>
      </w:r>
      <w:r w:rsidR="006827C2" w:rsidRPr="003771DB">
        <w:t>,</w:t>
      </w:r>
      <w:r w:rsidRPr="003771DB">
        <w:t xml:space="preserve"> with the proposed restriction now including a criterion requiring patients to have participated in an appropriate lifestyle-based weight management intervention within the previous 12</w:t>
      </w:r>
      <w:r w:rsidR="008B4FCB" w:rsidRPr="003771DB">
        <w:t> </w:t>
      </w:r>
      <w:r w:rsidRPr="003771DB">
        <w:t>months. The proposed restriction also state</w:t>
      </w:r>
      <w:r w:rsidR="00C954BB" w:rsidRPr="003771DB">
        <w:t>d</w:t>
      </w:r>
      <w:r w:rsidRPr="003771DB">
        <w:t xml:space="preserve"> that semaglutide should be used as an adjunct to clinically appropriate dietetic and weight management advice. However, the resubmission state</w:t>
      </w:r>
      <w:r w:rsidR="00F76144" w:rsidRPr="003771DB">
        <w:t>d</w:t>
      </w:r>
      <w:r w:rsidRPr="003771DB">
        <w:t xml:space="preserve"> that the sponsor does not believe the PBS restriction can or should seek to </w:t>
      </w:r>
      <w:proofErr w:type="gramStart"/>
      <w:r w:rsidRPr="003771DB">
        <w:t>more specifically define</w:t>
      </w:r>
      <w:proofErr w:type="gramEnd"/>
      <w:r w:rsidRPr="003771DB">
        <w:t xml:space="preserve"> what might constitute </w:t>
      </w:r>
      <w:r w:rsidR="00F76144" w:rsidRPr="003771DB">
        <w:t>‘</w:t>
      </w:r>
      <w:r w:rsidRPr="003771DB">
        <w:t>appropriate</w:t>
      </w:r>
      <w:r w:rsidR="00F76144" w:rsidRPr="003771DB">
        <w:t>’</w:t>
      </w:r>
      <w:r w:rsidRPr="003771DB">
        <w:t xml:space="preserve"> precursor or concomitant interventions, or how these might be provided in practice. </w:t>
      </w:r>
      <w:r w:rsidR="00386444" w:rsidRPr="003771DB">
        <w:t xml:space="preserve">The </w:t>
      </w:r>
      <w:r w:rsidR="00386444" w:rsidRPr="003771DB">
        <w:lastRenderedPageBreak/>
        <w:t>resubmission stated that a</w:t>
      </w:r>
      <w:r w:rsidRPr="003771DB">
        <w:t xml:space="preserve">ppropriateness will be intrinsically individual, based on multiple patient-specific factors and circumstances, that could </w:t>
      </w:r>
      <w:r w:rsidR="00A01243" w:rsidRPr="003771DB">
        <w:t>not</w:t>
      </w:r>
      <w:r w:rsidRPr="003771DB">
        <w:t xml:space="preserve"> be captured in a PBS General Schedule restriction. However, the resubmission stated that the sponsor will defer to the PBAC regarding the appropriate definition, composition, provision and funding of the precursor and concomitant lifestyle-based weight management interventions. </w:t>
      </w:r>
    </w:p>
    <w:p w14:paraId="6CCFC1FA" w14:textId="244F6BE7" w:rsidR="001D3337" w:rsidRPr="003771DB" w:rsidRDefault="001D3337" w:rsidP="006A3A70">
      <w:pPr>
        <w:pStyle w:val="COMexecsumnumberedpara"/>
      </w:pPr>
      <w:r w:rsidRPr="003771DB">
        <w:t>The clinical evidence supporting the use of semaglutide is based on its use as part of a multi-component intervention alongside diet and exercise</w:t>
      </w:r>
      <w:r w:rsidR="00F168C0" w:rsidRPr="003771DB">
        <w:t>,</w:t>
      </w:r>
      <w:r w:rsidRPr="003771DB">
        <w:t xml:space="preserve"> with regular lifestyle counselling every 4 weeks by a dietitian or similar healthcare professional. DUSC </w:t>
      </w:r>
      <w:r w:rsidR="00690538" w:rsidRPr="003771DB">
        <w:t xml:space="preserve">had </w:t>
      </w:r>
      <w:r w:rsidRPr="003771DB">
        <w:t>previously raised concerns regarding the limited access to subsidised adjunctive weight management care in Australia. DUSC</w:t>
      </w:r>
      <w:r w:rsidR="00690538" w:rsidRPr="003771DB">
        <w:t xml:space="preserve"> had</w:t>
      </w:r>
      <w:r w:rsidRPr="003771DB">
        <w:t xml:space="preserve"> stated that it would be prudent to consider how the system could support funding</w:t>
      </w:r>
      <w:r w:rsidR="00D45AE5" w:rsidRPr="003771DB">
        <w:t>,</w:t>
      </w:r>
      <w:r w:rsidRPr="003771DB">
        <w:t xml:space="preserve"> and effective large</w:t>
      </w:r>
      <w:r w:rsidR="00AE675E" w:rsidRPr="003771DB">
        <w:t>-</w:t>
      </w:r>
      <w:r w:rsidRPr="003771DB">
        <w:t>scale implementation</w:t>
      </w:r>
      <w:r w:rsidR="00D45AE5" w:rsidRPr="003771DB">
        <w:t>,</w:t>
      </w:r>
      <w:r w:rsidRPr="003771DB">
        <w:t xml:space="preserve"> of a multi-component program that enables true consumer participation for these hard to treat conditions. DUSC </w:t>
      </w:r>
      <w:r w:rsidR="00690538" w:rsidRPr="003771DB">
        <w:t xml:space="preserve">had </w:t>
      </w:r>
      <w:r w:rsidRPr="003771DB">
        <w:t xml:space="preserve">noted from the experience of subsidising medicines for pain and many mental health conditions, where structural reforms are needed for multi-modal care, that the medicine </w:t>
      </w:r>
      <w:r w:rsidR="00360097" w:rsidRPr="003771DB">
        <w:t>can often</w:t>
      </w:r>
      <w:r w:rsidRPr="003771DB">
        <w:t xml:space="preserve"> become the dominant driver of the model of care, </w:t>
      </w:r>
      <w:r w:rsidR="00360097" w:rsidRPr="003771DB">
        <w:rPr>
          <w:iCs/>
        </w:rPr>
        <w:t>potentially</w:t>
      </w:r>
      <w:r w:rsidRPr="003771DB">
        <w:t xml:space="preserve"> with </w:t>
      </w:r>
      <w:r w:rsidR="003F151A" w:rsidRPr="003771DB">
        <w:rPr>
          <w:iCs/>
        </w:rPr>
        <w:t xml:space="preserve">unsatisfactory </w:t>
      </w:r>
      <w:r w:rsidRPr="003771DB">
        <w:t xml:space="preserve">outcomes for patients, as </w:t>
      </w:r>
      <w:r w:rsidR="00360097" w:rsidRPr="003771DB">
        <w:rPr>
          <w:iCs/>
        </w:rPr>
        <w:t>the full benefits of a multimodal management program are</w:t>
      </w:r>
      <w:r w:rsidRPr="003771DB">
        <w:t xml:space="preserve"> not realised due to </w:t>
      </w:r>
      <w:r w:rsidR="003F151A" w:rsidRPr="003771DB">
        <w:rPr>
          <w:iCs/>
        </w:rPr>
        <w:t>reliance on unidimensional interventions</w:t>
      </w:r>
      <w:r w:rsidRPr="003771DB">
        <w:t xml:space="preserve"> (semaglutide DUSC advice, March</w:t>
      </w:r>
      <w:r w:rsidR="00ED101B">
        <w:t> </w:t>
      </w:r>
      <w:r w:rsidRPr="003771DB">
        <w:t xml:space="preserve">2022 PBAC meeting). DUSC </w:t>
      </w:r>
      <w:r w:rsidR="00690538" w:rsidRPr="003771DB">
        <w:t xml:space="preserve">had </w:t>
      </w:r>
      <w:r w:rsidRPr="003771DB">
        <w:t>also previously noted that adjunct weight management care should be referred to as a program (which carries an expectation of ongoing treatment) rather than advice.</w:t>
      </w:r>
      <w:r w:rsidR="00DB37EF" w:rsidRPr="003771DB">
        <w:t xml:space="preserve"> </w:t>
      </w:r>
      <w:r w:rsidR="00DC7213" w:rsidRPr="003771DB">
        <w:rPr>
          <w:iCs/>
        </w:rPr>
        <w:t xml:space="preserve">In addition, the PBAC had previously noted that the </w:t>
      </w:r>
      <w:r w:rsidR="00903F40" w:rsidRPr="003771DB">
        <w:rPr>
          <w:iCs/>
        </w:rPr>
        <w:t>‘</w:t>
      </w:r>
      <w:r w:rsidR="00DC7213" w:rsidRPr="003771DB">
        <w:rPr>
          <w:iCs/>
        </w:rPr>
        <w:t>National Obesity Strategy 2022-2032</w:t>
      </w:r>
      <w:r w:rsidR="00903F40" w:rsidRPr="003771DB">
        <w:rPr>
          <w:iCs/>
        </w:rPr>
        <w:t>’</w:t>
      </w:r>
      <w:r w:rsidR="00DC7213" w:rsidRPr="003771DB">
        <w:rPr>
          <w:iCs/>
        </w:rPr>
        <w:t xml:space="preserve"> encompasses a range of interventions, not just pharmacotherapy, and that any resubmission would need to be considered in this context (para 3.11, semaglutide PSD, March 2022 PBAC meeting).</w:t>
      </w:r>
    </w:p>
    <w:p w14:paraId="5F4689CD" w14:textId="0B83B8F9" w:rsidR="00F622F4" w:rsidRPr="003771DB" w:rsidRDefault="001D3337" w:rsidP="006A3A70">
      <w:pPr>
        <w:pStyle w:val="COMexecsumnumberedpara"/>
      </w:pPr>
      <w:r w:rsidRPr="003771DB">
        <w:t xml:space="preserve">The PBAC previously stated that the sponsor’s preference for availability of semaglutide for chronic use was not supported by the clinical trials and one option could be to limit the lifetime treatment duration available via the PBS to better align with the available evidence from the STEP trials (para 7.3, semaglutide </w:t>
      </w:r>
      <w:r w:rsidR="003D0FB9" w:rsidRPr="003771DB">
        <w:t>PSD</w:t>
      </w:r>
      <w:r w:rsidRPr="003771DB">
        <w:t>, March</w:t>
      </w:r>
      <w:r w:rsidR="00ED101B">
        <w:t> </w:t>
      </w:r>
      <w:r w:rsidRPr="003771DB">
        <w:t>2022 PBAC meeting).</w:t>
      </w:r>
      <w:r w:rsidR="00D64E62" w:rsidRPr="003771DB">
        <w:t xml:space="preserve"> The resubmission stated that semaglutide is intended for the chronic management of obesity and therefore did not </w:t>
      </w:r>
      <w:r w:rsidR="003F151A" w:rsidRPr="003771DB">
        <w:rPr>
          <w:iCs/>
        </w:rPr>
        <w:t>agree with or</w:t>
      </w:r>
      <w:r w:rsidR="003F151A" w:rsidRPr="003771DB">
        <w:t xml:space="preserve"> </w:t>
      </w:r>
      <w:r w:rsidR="00D64E62" w:rsidRPr="003771DB">
        <w:t>propose a maximum duration of therapy.</w:t>
      </w:r>
      <w:r w:rsidR="00D01D0A" w:rsidRPr="003771DB">
        <w:t xml:space="preserve"> </w:t>
      </w:r>
      <w:r w:rsidR="00D01D0A" w:rsidRPr="003771DB">
        <w:rPr>
          <w:iCs/>
        </w:rPr>
        <w:t>The</w:t>
      </w:r>
      <w:r w:rsidR="00B52A7C">
        <w:rPr>
          <w:iCs/>
        </w:rPr>
        <w:t xml:space="preserve"> </w:t>
      </w:r>
      <w:r w:rsidR="00B52A7C" w:rsidRPr="00B52A7C">
        <w:rPr>
          <w:iCs/>
        </w:rPr>
        <w:t>Pre-Sub-Committee Response</w:t>
      </w:r>
      <w:r w:rsidR="00D01D0A" w:rsidRPr="003771DB">
        <w:rPr>
          <w:iCs/>
        </w:rPr>
        <w:t xml:space="preserve"> </w:t>
      </w:r>
      <w:r w:rsidR="00B52A7C">
        <w:rPr>
          <w:iCs/>
        </w:rPr>
        <w:t>(</w:t>
      </w:r>
      <w:r w:rsidR="00D01D0A" w:rsidRPr="003771DB">
        <w:rPr>
          <w:iCs/>
        </w:rPr>
        <w:t>PSCR</w:t>
      </w:r>
      <w:r w:rsidR="00B52A7C">
        <w:rPr>
          <w:iCs/>
        </w:rPr>
        <w:t>)</w:t>
      </w:r>
      <w:r w:rsidR="00D01D0A" w:rsidRPr="003771DB">
        <w:rPr>
          <w:iCs/>
        </w:rPr>
        <w:t xml:space="preserve"> claimed that limiting the lifetime treatment duration available via the </w:t>
      </w:r>
      <w:r w:rsidR="00903F40" w:rsidRPr="003771DB">
        <w:rPr>
          <w:iCs/>
        </w:rPr>
        <w:t>PBS</w:t>
      </w:r>
      <w:r w:rsidR="00D01D0A" w:rsidRPr="003771DB">
        <w:rPr>
          <w:iCs/>
        </w:rPr>
        <w:t xml:space="preserve"> is not clinically optimal or cost effective. </w:t>
      </w:r>
      <w:r w:rsidR="003A1AFD" w:rsidRPr="003771DB">
        <w:t>The resubmission proposed a continuation rule restricting treatment to patients who achieve a 10% weight reduction by 68 weeks (consistent with the timeframe of the STEP-1 trial). The resubmission did not adequately justify the responder threshold proposed in the restriction</w:t>
      </w:r>
      <w:r w:rsidR="00354272" w:rsidRPr="003771DB">
        <w:t>,</w:t>
      </w:r>
      <w:r w:rsidR="003A1AFD" w:rsidRPr="003771DB">
        <w:t xml:space="preserve"> given that a reduction in body weight of at least 5% over 1 year is widely accepted as a clinically important change (and was used as a primary outcome in the clinical trials)</w:t>
      </w:r>
      <w:r w:rsidR="00B571A2" w:rsidRPr="003771DB">
        <w:t>,</w:t>
      </w:r>
      <w:r w:rsidR="003A1AFD" w:rsidRPr="003771DB">
        <w:t xml:space="preserve"> while a reduction in body weight </w:t>
      </w:r>
      <w:r w:rsidR="00293255" w:rsidRPr="003771DB">
        <w:t xml:space="preserve">of </w:t>
      </w:r>
      <w:r w:rsidR="00B571A2" w:rsidRPr="003771DB">
        <w:t>more than</w:t>
      </w:r>
      <w:r w:rsidR="003A1AFD" w:rsidRPr="003771DB">
        <w:t xml:space="preserve"> 15% is </w:t>
      </w:r>
      <w:r w:rsidR="00B571A2" w:rsidRPr="003771DB">
        <w:t xml:space="preserve">the </w:t>
      </w:r>
      <w:r w:rsidR="003A1AFD" w:rsidRPr="003771DB">
        <w:t>recommended treatment goal for patients in the target population based on current Australian guidelines (Markovic 2022).</w:t>
      </w:r>
      <w:r w:rsidR="005E2803" w:rsidRPr="003771DB">
        <w:rPr>
          <w:iCs/>
        </w:rPr>
        <w:t xml:space="preserve"> The PSCR commented that the 10% threshold was consistent with discussion at the Semaglutide </w:t>
      </w:r>
      <w:r w:rsidR="005E2803" w:rsidRPr="003771DB">
        <w:rPr>
          <w:iCs/>
        </w:rPr>
        <w:lastRenderedPageBreak/>
        <w:t>Stakeholder Meeting (Outcome Statement, August 2021)</w:t>
      </w:r>
      <w:r w:rsidR="00324999" w:rsidRPr="003771DB">
        <w:rPr>
          <w:iCs/>
        </w:rPr>
        <w:t>, and many publications (</w:t>
      </w:r>
      <w:proofErr w:type="spellStart"/>
      <w:r w:rsidR="00324999" w:rsidRPr="003771DB">
        <w:rPr>
          <w:iCs/>
        </w:rPr>
        <w:t>Cefalu</w:t>
      </w:r>
      <w:proofErr w:type="spellEnd"/>
      <w:r w:rsidR="00324999" w:rsidRPr="003771DB">
        <w:rPr>
          <w:iCs/>
        </w:rPr>
        <w:t xml:space="preserve"> et al. 2015)</w:t>
      </w:r>
      <w:r w:rsidR="003771DB">
        <w:rPr>
          <w:iCs/>
        </w:rPr>
        <w:t xml:space="preserve">. </w:t>
      </w:r>
      <w:r w:rsidR="003A1AFD" w:rsidRPr="003771DB">
        <w:t xml:space="preserve">The resubmission did not adequately address how this criterion could be implemented without a significant risk of </w:t>
      </w:r>
      <w:r w:rsidR="00491F0C" w:rsidRPr="003771DB">
        <w:t xml:space="preserve">use </w:t>
      </w:r>
      <w:r w:rsidR="003A1AFD" w:rsidRPr="003771DB">
        <w:t xml:space="preserve">in patients who may receive some benefit but who may not </w:t>
      </w:r>
      <w:r w:rsidR="003F151A" w:rsidRPr="003771DB">
        <w:t xml:space="preserve">have met this </w:t>
      </w:r>
      <w:r w:rsidR="003A1AFD" w:rsidRPr="003771DB">
        <w:t xml:space="preserve">treatment target. </w:t>
      </w:r>
    </w:p>
    <w:p w14:paraId="1D97F9BC" w14:textId="48B40CB3" w:rsidR="000F784A" w:rsidRPr="003771DB" w:rsidRDefault="000F784A" w:rsidP="006A3A70">
      <w:pPr>
        <w:pStyle w:val="COMexecsumnumberedpara"/>
      </w:pPr>
      <w:bookmarkStart w:id="13" w:name="_Hlk148348073"/>
      <w:r w:rsidRPr="003771DB">
        <w:rPr>
          <w:iCs/>
        </w:rPr>
        <w:t>The ESC considered that assessment of response should be made between 12 and 68</w:t>
      </w:r>
      <w:r w:rsidR="00ED101B">
        <w:rPr>
          <w:iCs/>
        </w:rPr>
        <w:t> </w:t>
      </w:r>
      <w:r w:rsidRPr="003771DB">
        <w:rPr>
          <w:iCs/>
        </w:rPr>
        <w:t>weeks after commencement of therapy</w:t>
      </w:r>
      <w:r w:rsidR="003F010F" w:rsidRPr="003771DB">
        <w:rPr>
          <w:iCs/>
        </w:rPr>
        <w:t>.</w:t>
      </w:r>
      <w:r w:rsidRPr="003771DB">
        <w:rPr>
          <w:iCs/>
        </w:rPr>
        <w:t xml:space="preserve"> </w:t>
      </w:r>
      <w:r w:rsidR="003F010F" w:rsidRPr="003771DB">
        <w:rPr>
          <w:iCs/>
        </w:rPr>
        <w:t>T</w:t>
      </w:r>
      <w:r w:rsidRPr="003771DB">
        <w:rPr>
          <w:iCs/>
        </w:rPr>
        <w:t>he maximum quantities provided under the first 3 phases only provide up to 44 weeks of treatment</w:t>
      </w:r>
      <w:r w:rsidR="003F010F" w:rsidRPr="003771DB">
        <w:rPr>
          <w:iCs/>
        </w:rPr>
        <w:t xml:space="preserve"> and this will need to be amended to accommodate up to 68 weeks of treatment to achieve 10% weight loss</w:t>
      </w:r>
      <w:bookmarkEnd w:id="13"/>
      <w:r w:rsidR="003771DB">
        <w:rPr>
          <w:iCs/>
        </w:rPr>
        <w:t xml:space="preserve">. </w:t>
      </w:r>
    </w:p>
    <w:p w14:paraId="68BAB944" w14:textId="575BF149" w:rsidR="001D3337" w:rsidRPr="003771DB" w:rsidRDefault="001D3337" w:rsidP="006A3A70">
      <w:pPr>
        <w:pStyle w:val="COMexecsumnumberedpara"/>
      </w:pPr>
      <w:r w:rsidRPr="003771DB">
        <w:t xml:space="preserve">The resubmission acknowledged PBAC concerns regarding intermittent or cyclical use of semaglutide </w:t>
      </w:r>
      <w:r w:rsidR="00D0497A" w:rsidRPr="003771DB">
        <w:t xml:space="preserve">(para 7.4, semaglutide PSD, March 2022 PBAC meeting) </w:t>
      </w:r>
      <w:r w:rsidRPr="003771DB">
        <w:t>and proposed that patients who discontinue therapy must have a minimum treatment gap of 2 years before they are allowed to re-initiate therapy. The resubmission acknowledged there are no clinical data on semaglutide re-treatment</w:t>
      </w:r>
      <w:r w:rsidR="003771DB">
        <w:t xml:space="preserve">. </w:t>
      </w:r>
      <w:r w:rsidRPr="003771DB">
        <w:t>Despite the lack of data, it may be appropriate to allow patients to re-initiate therapy</w:t>
      </w:r>
      <w:r w:rsidR="005268C2" w:rsidRPr="003771DB">
        <w:t>,</w:t>
      </w:r>
      <w:r w:rsidRPr="003771DB">
        <w:t xml:space="preserve"> as their circumstances may change over time. However, the optimal duration of any exclusion period is unclear</w:t>
      </w:r>
      <w:r w:rsidR="00B571A2" w:rsidRPr="003771DB">
        <w:t>.</w:t>
      </w:r>
      <w:r w:rsidR="003F151A" w:rsidRPr="003771DB">
        <w:t xml:space="preserve"> </w:t>
      </w:r>
      <w:r w:rsidR="00AF2C20" w:rsidRPr="003771DB">
        <w:rPr>
          <w:iCs/>
        </w:rPr>
        <w:t xml:space="preserve">The PSCR reiterated that the 2-year period had been ‘pragmatically selected’ and was intended to motivate treatment adherence and persistence and prevent intermittent or cyclical use in the PBS setting. </w:t>
      </w:r>
      <w:r w:rsidR="003F151A" w:rsidRPr="003771DB">
        <w:rPr>
          <w:iCs/>
        </w:rPr>
        <w:t>The ESC considered that prevention of re-initiation for a 2</w:t>
      </w:r>
      <w:r w:rsidR="00491F0C" w:rsidRPr="003771DB">
        <w:rPr>
          <w:iCs/>
        </w:rPr>
        <w:t>-</w:t>
      </w:r>
      <w:r w:rsidR="003F151A" w:rsidRPr="003771DB">
        <w:rPr>
          <w:iCs/>
        </w:rPr>
        <w:t>year period or any lengthy exclusion period would be highly likely to reduce the short</w:t>
      </w:r>
      <w:r w:rsidR="00491F0C" w:rsidRPr="003771DB">
        <w:rPr>
          <w:iCs/>
        </w:rPr>
        <w:t>-</w:t>
      </w:r>
      <w:r w:rsidR="003F151A" w:rsidRPr="003771DB">
        <w:rPr>
          <w:iCs/>
        </w:rPr>
        <w:t xml:space="preserve"> and long</w:t>
      </w:r>
      <w:r w:rsidR="00491F0C" w:rsidRPr="003771DB">
        <w:rPr>
          <w:iCs/>
        </w:rPr>
        <w:t>-</w:t>
      </w:r>
      <w:r w:rsidR="003F151A" w:rsidRPr="003771DB">
        <w:rPr>
          <w:iCs/>
        </w:rPr>
        <w:t>term clinical benefits of semaglutide. It may also drive inappropriate behaviours</w:t>
      </w:r>
      <w:r w:rsidR="00491F0C" w:rsidRPr="003771DB">
        <w:rPr>
          <w:iCs/>
        </w:rPr>
        <w:t>, as patients may continue to claim scripts in order to retain the ability</w:t>
      </w:r>
      <w:r w:rsidR="001977AD" w:rsidRPr="003771DB">
        <w:rPr>
          <w:iCs/>
        </w:rPr>
        <w:t xml:space="preserve"> to use semaglutide in future</w:t>
      </w:r>
      <w:r w:rsidR="003F151A" w:rsidRPr="003771DB">
        <w:rPr>
          <w:iCs/>
        </w:rPr>
        <w:t xml:space="preserve">. </w:t>
      </w:r>
      <w:r w:rsidR="006D0702" w:rsidRPr="003771DB">
        <w:rPr>
          <w:iCs/>
        </w:rPr>
        <w:t>The ESC also acknowledged that the removal of this requirement would have significant financial impacts at the requested price.</w:t>
      </w:r>
    </w:p>
    <w:p w14:paraId="6969CB4C" w14:textId="7BA643A5" w:rsidR="003A1AFD" w:rsidRPr="003771DB" w:rsidRDefault="003A1AFD" w:rsidP="006A3A70">
      <w:pPr>
        <w:pStyle w:val="COMexecsumnumberedpara"/>
      </w:pPr>
      <w:r w:rsidRPr="003771DB">
        <w:t>The resubmission proposed that any medical practitioner should be allowed to prescribe semaglutide. The resubmission argued that this was reasonable given that</w:t>
      </w:r>
      <w:r w:rsidR="001977AD" w:rsidRPr="003771DB">
        <w:t>:</w:t>
      </w:r>
      <w:r w:rsidRPr="003771DB">
        <w:t xml:space="preserve"> the target population remains relatively large and will initially present in a primary care setting; publicly funded specialist obesity services in Australia are limited; and obesity is significantly more prevalent in lower socioeconomic groups for whom healthcare access and affordability is already critical and challenging</w:t>
      </w:r>
      <w:r w:rsidR="003771DB">
        <w:t xml:space="preserve">. </w:t>
      </w:r>
      <w:r w:rsidRPr="003771DB">
        <w:t>For patients in the target population, the current Australian guidelines recommend that care should be provided by a specialist-led multidisciplinary team (Markovic 2022).</w:t>
      </w:r>
      <w:r w:rsidR="00CC5A21" w:rsidRPr="003771DB">
        <w:t xml:space="preserve"> </w:t>
      </w:r>
      <w:r w:rsidR="00CC5A21" w:rsidRPr="003771DB">
        <w:rPr>
          <w:iCs/>
        </w:rPr>
        <w:t>The ESC considered it would be impractical to restrict prescribing to specialist prescribers.</w:t>
      </w:r>
    </w:p>
    <w:p w14:paraId="1D8A4F8D" w14:textId="0B3AB987" w:rsidR="009C06B4" w:rsidRPr="003771DB" w:rsidRDefault="009C06B4" w:rsidP="006A3A70">
      <w:pPr>
        <w:pStyle w:val="COMexecsumnumberedpara"/>
      </w:pPr>
      <w:r w:rsidRPr="003771DB">
        <w:t xml:space="preserve">The resubmission </w:t>
      </w:r>
      <w:r w:rsidR="00167419" w:rsidRPr="003771DB">
        <w:rPr>
          <w:iCs/>
        </w:rPr>
        <w:t>advised i</w:t>
      </w:r>
      <w:r w:rsidR="00167419" w:rsidRPr="003771DB">
        <w:rPr>
          <w:rStyle w:val="FontLight"/>
          <w:iCs/>
          <w:color w:val="auto"/>
        </w:rPr>
        <w:t>t is likely that semaglutide 2.4</w:t>
      </w:r>
      <w:r w:rsidR="00ED101B">
        <w:rPr>
          <w:rStyle w:val="FontLight"/>
          <w:iCs/>
          <w:color w:val="auto"/>
        </w:rPr>
        <w:t> </w:t>
      </w:r>
      <w:r w:rsidR="00167419" w:rsidRPr="003771DB">
        <w:rPr>
          <w:rStyle w:val="FontLight"/>
          <w:iCs/>
          <w:color w:val="auto"/>
        </w:rPr>
        <w:t>mg will be launched in the private market some months prior to PBS-listing</w:t>
      </w:r>
      <w:r w:rsidR="00167419" w:rsidRPr="003771DB">
        <w:rPr>
          <w:rStyle w:val="FontLight"/>
          <w:color w:val="auto"/>
        </w:rPr>
        <w:t xml:space="preserve"> </w:t>
      </w:r>
      <w:r w:rsidR="008610B5" w:rsidRPr="003771DB">
        <w:t xml:space="preserve">and </w:t>
      </w:r>
      <w:r w:rsidR="00167419" w:rsidRPr="003771DB">
        <w:t xml:space="preserve">it was </w:t>
      </w:r>
      <w:r w:rsidRPr="003771DB">
        <w:t>requested that appropriate grandfathering arrangements are made for those patients who are eligible to continue treatment. However, the resubmission did not provide any details on grandfathering and stated that this would require further consideration and input from the PBAC Secretariat.</w:t>
      </w:r>
      <w:r w:rsidR="003F151A" w:rsidRPr="003771DB">
        <w:t xml:space="preserve"> </w:t>
      </w:r>
      <w:r w:rsidR="003F151A" w:rsidRPr="003771DB">
        <w:rPr>
          <w:iCs/>
        </w:rPr>
        <w:t xml:space="preserve">The ESC </w:t>
      </w:r>
      <w:r w:rsidR="001977AD" w:rsidRPr="003771DB">
        <w:rPr>
          <w:iCs/>
        </w:rPr>
        <w:t>considered</w:t>
      </w:r>
      <w:r w:rsidR="003F151A" w:rsidRPr="003771DB">
        <w:rPr>
          <w:iCs/>
        </w:rPr>
        <w:t xml:space="preserve"> that any </w:t>
      </w:r>
      <w:r w:rsidR="001977AD" w:rsidRPr="003771DB">
        <w:rPr>
          <w:iCs/>
        </w:rPr>
        <w:t>g</w:t>
      </w:r>
      <w:r w:rsidR="003F151A" w:rsidRPr="003771DB">
        <w:rPr>
          <w:iCs/>
        </w:rPr>
        <w:t>randfather</w:t>
      </w:r>
      <w:r w:rsidR="001977AD" w:rsidRPr="003771DB">
        <w:rPr>
          <w:iCs/>
        </w:rPr>
        <w:t>ing</w:t>
      </w:r>
      <w:r w:rsidR="003F151A" w:rsidRPr="003771DB">
        <w:rPr>
          <w:iCs/>
        </w:rPr>
        <w:t xml:space="preserve"> arrangements for this population would raise significant financial, logistic and equity of access issues.</w:t>
      </w:r>
      <w:r w:rsidR="00B66BDA" w:rsidRPr="003771DB">
        <w:rPr>
          <w:iCs/>
        </w:rPr>
        <w:t xml:space="preserve"> </w:t>
      </w:r>
      <w:r w:rsidR="000D3205" w:rsidRPr="003771DB">
        <w:rPr>
          <w:iCs/>
        </w:rPr>
        <w:t>The ESC advised that if grandfathering were provided, it should only be for patients who had met the initial PBS restriction at the time of their treatment initiation.</w:t>
      </w:r>
      <w:r w:rsidR="00C33259" w:rsidRPr="003771DB">
        <w:rPr>
          <w:iCs/>
        </w:rPr>
        <w:t xml:space="preserve"> </w:t>
      </w:r>
    </w:p>
    <w:p w14:paraId="73875F8D" w14:textId="21558A0F" w:rsidR="001D3337" w:rsidRPr="003771DB" w:rsidRDefault="006E71FD" w:rsidP="00015F84">
      <w:pPr>
        <w:pStyle w:val="COMexecsumnumberedpara"/>
      </w:pPr>
      <w:r w:rsidRPr="003771DB">
        <w:lastRenderedPageBreak/>
        <w:t>A</w:t>
      </w:r>
      <w:r w:rsidR="001D3337" w:rsidRPr="003771DB">
        <w:t>dditional issues with the restriction</w:t>
      </w:r>
      <w:r w:rsidRPr="003771DB">
        <w:t xml:space="preserve"> to be addressed included the</w:t>
      </w:r>
      <w:r w:rsidR="001D3337" w:rsidRPr="003771DB">
        <w:t xml:space="preserve"> </w:t>
      </w:r>
      <w:r w:rsidRPr="003771DB">
        <w:t xml:space="preserve">maximum quantities in the initial 3 </w:t>
      </w:r>
      <w:r w:rsidR="005D36B1" w:rsidRPr="003771DB">
        <w:t>treatment phases</w:t>
      </w:r>
      <w:r w:rsidRPr="003771DB">
        <w:t xml:space="preserve"> not allowing sufficient duration of treatment before the stopping rule could be assessed</w:t>
      </w:r>
      <w:r w:rsidR="001D3337" w:rsidRPr="003771DB">
        <w:t>,</w:t>
      </w:r>
      <w:r w:rsidR="003A1AFD" w:rsidRPr="003771DB">
        <w:t xml:space="preserve"> </w:t>
      </w:r>
      <w:r w:rsidRPr="003771DB">
        <w:t>and the assumption that</w:t>
      </w:r>
      <w:r w:rsidR="001D3337" w:rsidRPr="003771DB">
        <w:t xml:space="preserve"> </w:t>
      </w:r>
      <w:r w:rsidR="005D36B1" w:rsidRPr="003771DB">
        <w:t>MBS</w:t>
      </w:r>
      <w:r w:rsidR="001D3337" w:rsidRPr="003771DB">
        <w:t xml:space="preserve"> Team Care Arrangements</w:t>
      </w:r>
      <w:r w:rsidRPr="003771DB">
        <w:t xml:space="preserve"> would be available to provide a similar level of adjunctive care as seen in the trials</w:t>
      </w:r>
      <w:r w:rsidR="001D3337" w:rsidRPr="003771DB">
        <w:t>.</w:t>
      </w:r>
    </w:p>
    <w:p w14:paraId="64CF7887" w14:textId="77777777" w:rsidR="003A1B34" w:rsidRPr="003771DB" w:rsidRDefault="003A1B34" w:rsidP="003A1B34">
      <w:pPr>
        <w:pStyle w:val="ListParagraph"/>
        <w:numPr>
          <w:ilvl w:val="0"/>
          <w:numId w:val="0"/>
        </w:numPr>
        <w:ind w:left="720"/>
        <w:rPr>
          <w:i/>
        </w:rPr>
      </w:pPr>
      <w:r w:rsidRPr="003771DB">
        <w:rPr>
          <w:i/>
        </w:rPr>
        <w:t>For more detail on PBAC’s view, see section 7 PBAC outcome.</w:t>
      </w:r>
    </w:p>
    <w:p w14:paraId="7075B85C" w14:textId="321C9B30" w:rsidR="00B50DB8" w:rsidRPr="003771DB" w:rsidDel="00195452" w:rsidRDefault="00203181" w:rsidP="00CA10F1">
      <w:pPr>
        <w:pStyle w:val="COMH1numbered"/>
        <w:numPr>
          <w:ilvl w:val="0"/>
          <w:numId w:val="1"/>
        </w:numPr>
      </w:pPr>
      <w:bookmarkStart w:id="14" w:name="_Toc144899320"/>
      <w:r w:rsidRPr="003771DB" w:rsidDel="00195452">
        <w:t xml:space="preserve">Population and </w:t>
      </w:r>
      <w:r w:rsidR="008E0D3C" w:rsidRPr="003771DB" w:rsidDel="00195452">
        <w:t>d</w:t>
      </w:r>
      <w:r w:rsidRPr="003771DB" w:rsidDel="00195452">
        <w:t>isease</w:t>
      </w:r>
      <w:bookmarkEnd w:id="14"/>
    </w:p>
    <w:p w14:paraId="449D4AAC" w14:textId="308D7CB3" w:rsidR="00BF677F" w:rsidRPr="003771DB" w:rsidRDefault="00BF677F" w:rsidP="00CA10F1">
      <w:pPr>
        <w:pStyle w:val="COMexecsumnumberedpara"/>
      </w:pPr>
      <w:r w:rsidRPr="003771DB">
        <w:t>Obesity is a complex chronic disease characterised by excessive fat accumulation which is typically caused by a sustained imbalance between energy intake (from the diet) and energy expenditure (through physical activities and bodily functions). There are many different genetic, lifestyle and social factors that may influence the energy balance of individuals</w:t>
      </w:r>
      <w:r w:rsidR="00F82F47" w:rsidRPr="003771DB">
        <w:t>,</w:t>
      </w:r>
      <w:r w:rsidRPr="003771DB">
        <w:t xml:space="preserve"> such as metabolic efficiency, medical conditions/medications, active or sedentary habits, diet (quantity and frequency of consumption of food and flavoured drinks), the availability of convenience foods, </w:t>
      </w:r>
      <w:r w:rsidR="0035044E" w:rsidRPr="003771DB">
        <w:t xml:space="preserve">and </w:t>
      </w:r>
      <w:r w:rsidRPr="003771DB">
        <w:t xml:space="preserve">the </w:t>
      </w:r>
      <w:r w:rsidR="0018205C" w:rsidRPr="003771DB">
        <w:t xml:space="preserve">lack of structural features of the </w:t>
      </w:r>
      <w:r w:rsidRPr="003771DB">
        <w:t>built environment</w:t>
      </w:r>
      <w:r w:rsidR="0018205C" w:rsidRPr="003771DB">
        <w:t xml:space="preserve"> that promote an active lifestyle</w:t>
      </w:r>
      <w:r w:rsidR="00CE0B70" w:rsidRPr="003771DB">
        <w:t xml:space="preserve"> </w:t>
      </w:r>
      <w:r w:rsidR="00CE0B70" w:rsidRPr="003771DB">
        <w:fldChar w:fldCharType="begin" w:fldLock="1">
          <w:fldData xml:space="preserve">PEVuZE5vdGU+PENpdGU+PEF1dGhvcj5TYW5zYnVyeTwvQXV0aG9yPjxZZWFyPjIwMTQ8L1llYXI+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=
</w:fldData>
        </w:fldChar>
      </w:r>
      <w:r w:rsidR="00CE0B70" w:rsidRPr="003771DB">
        <w:instrText xml:space="preserve"> ADDIN EN.CITE </w:instrText>
      </w:r>
      <w:r w:rsidR="00CE0B70" w:rsidRPr="003771DB">
        <w:fldChar w:fldCharType="begin" w:fldLock="1">
          <w:fldData xml:space="preserve">PEVuZE5vdGU+PENpdGU+PEF1dGhvcj5TYW5zYnVyeTwvQXV0aG9yPjxZZWFyPjIwMTQ8L1llYXI+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=
</w:fldData>
        </w:fldChar>
      </w:r>
      <w:r w:rsidR="00CE0B70" w:rsidRPr="003771DB">
        <w:instrText xml:space="preserve"> ADDIN EN.CITE.DATA </w:instrText>
      </w:r>
      <w:r w:rsidR="00CE0B70" w:rsidRPr="003771DB">
        <w:fldChar w:fldCharType="end"/>
      </w:r>
      <w:r w:rsidR="00CE0B70" w:rsidRPr="003771DB">
        <w:fldChar w:fldCharType="separate"/>
      </w:r>
      <w:r w:rsidR="00CE0B70" w:rsidRPr="00F7478B">
        <w:t>(Sansbury and Hill 2014)</w:t>
      </w:r>
      <w:r w:rsidR="00CE0B70" w:rsidRPr="003771DB">
        <w:fldChar w:fldCharType="end"/>
      </w:r>
      <w:r w:rsidRPr="003771DB">
        <w:t>.</w:t>
      </w:r>
    </w:p>
    <w:p w14:paraId="5835BC16" w14:textId="0B513523" w:rsidR="00BF677F" w:rsidRPr="003771DB" w:rsidRDefault="00BF677F" w:rsidP="00CA10F1">
      <w:pPr>
        <w:pStyle w:val="COMexecsumnumberedpara"/>
      </w:pPr>
      <w:r w:rsidRPr="003771DB">
        <w:t>Obesity is a highly prevalent disease in the Australian population which has been steadily increasing over time</w:t>
      </w:r>
      <w:r w:rsidR="00675DA0" w:rsidRPr="003771DB">
        <w:t>,</w:t>
      </w:r>
      <w:r w:rsidRPr="003771DB">
        <w:t xml:space="preserve"> with the latest estimate indicating that approximately 1 in 3 adults are obese (ABS National Health Survey 2017-2018).</w:t>
      </w:r>
    </w:p>
    <w:p w14:paraId="636BC75F" w14:textId="5D330FFE" w:rsidR="00BF677F" w:rsidRPr="003771DB" w:rsidRDefault="00BF677F" w:rsidP="00CA10F1">
      <w:pPr>
        <w:pStyle w:val="COMexecsumnumberedpara"/>
      </w:pPr>
      <w:r w:rsidRPr="003771DB">
        <w:t>Patients with obesity may experience a reduction in quality of life due to physical limitations on daily activities as well as other psychosocial impacts (such as stigmatisation and discrimination associated with obesity). Obesity is also a major risk factor associated with the development of a number of other conditions including diabetes, cardiovascular disease, osteoarthritis, gastro-oesophageal reflux disease, obstructive sleep apnoea, non-alcoholic steatohepatitis, urinary incontinence, polycystic ovary syndrome and some cancers.</w:t>
      </w:r>
    </w:p>
    <w:p w14:paraId="1FD2DD7F" w14:textId="77777777" w:rsidR="00AA405E" w:rsidRPr="003771DB" w:rsidRDefault="00AA405E" w:rsidP="00AA405E">
      <w:pPr>
        <w:pStyle w:val="COMexecsumnumberedpara"/>
      </w:pPr>
      <w:r w:rsidRPr="003771DB">
        <w:t>The resubmission claimed that there is a clinical need for semaglutide given that few people living with obesity manage to achieve and maintain weight loss through lifestyle modification alone. The resubmission claimed that the current treatment options are insufficient given the modest weight loss associated with existing pharmacotherapies (which are not PBS listed) and the limited access to more effective surgical options through the hospital systems.</w:t>
      </w:r>
    </w:p>
    <w:p w14:paraId="44D3B428" w14:textId="2A66E3C1" w:rsidR="009353AF" w:rsidRPr="003771DB" w:rsidRDefault="009353AF" w:rsidP="009353AF">
      <w:pPr>
        <w:pStyle w:val="COMexecsumnumberedpara"/>
      </w:pPr>
      <w:r w:rsidRPr="003771DB">
        <w:t>The resubmission stated that, from a clinical perspective, the most appropriate place for semaglutide is for the broader overweight/obese population consistent with the clinical trial population and approved TGA indication (</w:t>
      </w:r>
      <w:r w:rsidR="00993634" w:rsidRPr="003771DB">
        <w:t>BMI ≥</w:t>
      </w:r>
      <w:r w:rsidR="00ED101B">
        <w:t> </w:t>
      </w:r>
      <w:r w:rsidRPr="003771DB">
        <w:t>30</w:t>
      </w:r>
      <w:r w:rsidR="00ED101B">
        <w:t> </w:t>
      </w:r>
      <w:r w:rsidRPr="003771DB">
        <w:t>kg/m</w:t>
      </w:r>
      <w:r w:rsidRPr="003771DB">
        <w:rPr>
          <w:vertAlign w:val="superscript"/>
        </w:rPr>
        <w:t>2</w:t>
      </w:r>
      <w:r w:rsidR="00111146" w:rsidRPr="003771DB">
        <w:t>, or</w:t>
      </w:r>
      <w:r w:rsidRPr="003771DB">
        <w:t xml:space="preserve"> </w:t>
      </w:r>
      <w:r w:rsidR="00111146" w:rsidRPr="003771DB">
        <w:t>BMI ≥</w:t>
      </w:r>
      <w:r w:rsidR="00ED101B">
        <w:t> </w:t>
      </w:r>
      <w:r w:rsidRPr="003771DB">
        <w:t>27</w:t>
      </w:r>
      <w:r w:rsidR="00ED40A4" w:rsidRPr="003771DB">
        <w:t> </w:t>
      </w:r>
      <w:r w:rsidRPr="003771DB">
        <w:t>kg/m</w:t>
      </w:r>
      <w:r w:rsidRPr="003771DB">
        <w:rPr>
          <w:vertAlign w:val="superscript"/>
        </w:rPr>
        <w:t>2</w:t>
      </w:r>
      <w:r w:rsidRPr="003771DB">
        <w:t xml:space="preserve"> with at least one comorbidity). However, the resubmission acknowledged the need to target the PBS population to a smaller subset of patients who may be more likely to achieve quality of life improvements from weight loss over the short-term in order to </w:t>
      </w:r>
      <w:r w:rsidR="002A3C6A" w:rsidRPr="003771DB">
        <w:t xml:space="preserve">assure </w:t>
      </w:r>
      <w:r w:rsidRPr="003771DB">
        <w:t xml:space="preserve">the cost-effectiveness </w:t>
      </w:r>
      <w:r w:rsidR="0040072E" w:rsidRPr="003771DB">
        <w:t xml:space="preserve">was more robust </w:t>
      </w:r>
      <w:r w:rsidRPr="003771DB">
        <w:t xml:space="preserve">and reduce the </w:t>
      </w:r>
      <w:r w:rsidR="002A3C6A" w:rsidRPr="003771DB">
        <w:t xml:space="preserve">logistical and </w:t>
      </w:r>
      <w:r w:rsidRPr="003771DB">
        <w:t>financial impact of listing semaglutide on the PBS.</w:t>
      </w:r>
    </w:p>
    <w:p w14:paraId="08B34B5C" w14:textId="27DD2EE0" w:rsidR="009353AF" w:rsidRPr="003771DB" w:rsidRDefault="009353AF" w:rsidP="009353AF">
      <w:pPr>
        <w:pStyle w:val="COMexecsumnumberedpara"/>
      </w:pPr>
      <w:r w:rsidRPr="003771DB">
        <w:lastRenderedPageBreak/>
        <w:t xml:space="preserve">Based on </w:t>
      </w:r>
      <w:r w:rsidRPr="003771DB">
        <w:rPr>
          <w:i/>
          <w:iCs/>
        </w:rPr>
        <w:t>post hoc</w:t>
      </w:r>
      <w:r w:rsidRPr="003771DB">
        <w:t xml:space="preserve"> analyses of SF-6Dv1 utility data from the STEP-1 and STEP-2 trials, the resubmission selected </w:t>
      </w:r>
      <w:r w:rsidR="00ED40A4" w:rsidRPr="003771DB">
        <w:t xml:space="preserve">a preferred population of </w:t>
      </w:r>
      <w:r w:rsidRPr="003771DB">
        <w:t xml:space="preserve">patients with BMI </w:t>
      </w:r>
      <w:r w:rsidR="000429BB" w:rsidRPr="003771DB">
        <w:t>≥</w:t>
      </w:r>
      <w:r w:rsidR="00ED101B">
        <w:t> </w:t>
      </w:r>
      <w:r w:rsidRPr="003771DB">
        <w:t>40</w:t>
      </w:r>
      <w:r w:rsidR="00ED40A4" w:rsidRPr="003771DB">
        <w:t> </w:t>
      </w:r>
      <w:r w:rsidRPr="003771DB">
        <w:t>kg/m</w:t>
      </w:r>
      <w:r w:rsidRPr="003771DB">
        <w:rPr>
          <w:vertAlign w:val="superscript"/>
        </w:rPr>
        <w:t>2</w:t>
      </w:r>
      <w:r w:rsidRPr="003771DB">
        <w:t xml:space="preserve"> and </w:t>
      </w:r>
      <w:r w:rsidR="000429BB" w:rsidRPr="003771DB">
        <w:t>≥</w:t>
      </w:r>
      <w:r w:rsidR="00ED101B">
        <w:t> </w:t>
      </w:r>
      <w:r w:rsidRPr="003771DB">
        <w:t xml:space="preserve">2 weight-related comorbidities </w:t>
      </w:r>
      <w:r w:rsidR="00172D25" w:rsidRPr="003771DB">
        <w:t>including</w:t>
      </w:r>
      <w:r w:rsidRPr="003771DB">
        <w:t xml:space="preserve"> </w:t>
      </w:r>
      <w:r w:rsidR="00F87D5E" w:rsidRPr="003771DB">
        <w:t>a confirmed diagnosis of at least one of</w:t>
      </w:r>
      <w:r w:rsidR="00ED40A4" w:rsidRPr="003771DB">
        <w:t>:</w:t>
      </w:r>
      <w:r w:rsidR="00F87D5E" w:rsidRPr="003771DB">
        <w:t xml:space="preserve"> </w:t>
      </w:r>
      <w:r w:rsidRPr="003771DB">
        <w:t>obstructive sleep apnoea, knee osteoarthritis or pre-diabetes</w:t>
      </w:r>
      <w:r w:rsidR="00ED40A4" w:rsidRPr="003771DB">
        <w:t>;</w:t>
      </w:r>
      <w:r w:rsidRPr="003771DB">
        <w:t xml:space="preserve"> but who do not have diabetes.</w:t>
      </w:r>
    </w:p>
    <w:p w14:paraId="18CCC69E" w14:textId="77777777" w:rsidR="00BF677F" w:rsidRPr="003771DB" w:rsidRDefault="00BF677F" w:rsidP="00CA10F1">
      <w:pPr>
        <w:pStyle w:val="COMexecsumnumberedpara"/>
      </w:pPr>
      <w:r w:rsidRPr="003771DB">
        <w:t>Semaglutide is a long-acting glucagon-like peptide 1 receptor agonist (GLP-1 analogue). Semaglutide reduces blood glucose by stimulating insulin secretion and lowering glucagon secretion in a glucose-dependent manner. The exact mechanism by which semaglutide reduces body weight is unclear but is thought to be related to lower energy intake due to an overall reduction in appetite.</w:t>
      </w:r>
    </w:p>
    <w:p w14:paraId="28313FCC" w14:textId="668D3AFA" w:rsidR="00B40E61" w:rsidRPr="003771DB" w:rsidRDefault="00B40E61" w:rsidP="00CA10F1">
      <w:pPr>
        <w:pStyle w:val="COMexecsumnumberedpara"/>
      </w:pPr>
      <w:r w:rsidRPr="003771DB">
        <w:t>The resubmission</w:t>
      </w:r>
      <w:r w:rsidR="00BF677F" w:rsidRPr="003771DB">
        <w:t xml:space="preserve"> </w:t>
      </w:r>
      <w:r w:rsidRPr="003771DB">
        <w:t>positioned semaglutide as a</w:t>
      </w:r>
      <w:r w:rsidR="00BF677F" w:rsidRPr="003771DB">
        <w:t xml:space="preserve"> second-line treatment option after</w:t>
      </w:r>
      <w:r w:rsidRPr="003771DB">
        <w:t xml:space="preserve"> previous lifestyle interventions (diet and exercise). Treatment with semaglutide should be used alongside lifestyle modification, incorporating elements of a reduced calorie diet and increased physical activity. Semaglutide is intended to be used as a chronic therapy in order to maintain weight improvements over time</w:t>
      </w:r>
      <w:r w:rsidR="003771DB">
        <w:t xml:space="preserve">. </w:t>
      </w:r>
    </w:p>
    <w:p w14:paraId="5C014A2B" w14:textId="76A4DA9E" w:rsidR="006B4DDA" w:rsidRPr="003771DB" w:rsidRDefault="006B4DDA" w:rsidP="00CA10F1">
      <w:pPr>
        <w:pStyle w:val="COMexecsumnumberedpara"/>
      </w:pPr>
      <w:r w:rsidRPr="003771DB">
        <w:t>The resubmission acknowledged that semaglutide is a Pregnancy Category D medicine (drugs which have caused, are suspected to have caused</w:t>
      </w:r>
      <w:r w:rsidR="00A76CCE" w:rsidRPr="003771DB">
        <w:t>,</w:t>
      </w:r>
      <w:r w:rsidRPr="003771DB">
        <w:t xml:space="preserve"> or may be expected to cause, an increased incidence of human </w:t>
      </w:r>
      <w:r w:rsidR="009E6AE1" w:rsidRPr="003771DB">
        <w:t>foetal</w:t>
      </w:r>
      <w:r w:rsidRPr="003771DB">
        <w:t xml:space="preserve"> malformations or irreversible damage) but made no further statement. DUSC </w:t>
      </w:r>
      <w:r w:rsidR="006F3AD1" w:rsidRPr="003771DB">
        <w:t xml:space="preserve">had </w:t>
      </w:r>
      <w:r w:rsidRPr="003771DB">
        <w:t xml:space="preserve">previously raised concerns about the use of semaglutide in women of child-bearing age given that women who are trying to get pregnant may be advised to lose weight to improve fertility and one third of pregnancies are unplanned. The previous PSCR considered that this was a regulatory issue (para 6.74, semaglutide </w:t>
      </w:r>
      <w:r w:rsidR="00C6667F" w:rsidRPr="003771DB">
        <w:t>PSD</w:t>
      </w:r>
      <w:r w:rsidRPr="003771DB">
        <w:t>, March 2022 PBAC meeting).</w:t>
      </w:r>
    </w:p>
    <w:p w14:paraId="057FEBD8" w14:textId="5311B459" w:rsidR="0057081C" w:rsidRPr="003771DB" w:rsidRDefault="0057081C" w:rsidP="00CA10F1">
      <w:pPr>
        <w:pStyle w:val="COMexecsumnumberedpara"/>
      </w:pPr>
      <w:r w:rsidRPr="003771DB">
        <w:t xml:space="preserve">Semaglutide has been subject to ongoing worldwide supply issues due to increased demand for its use as a weight management therapy. </w:t>
      </w:r>
      <w:r w:rsidR="006F3AD1" w:rsidRPr="003771DB">
        <w:t>At the time of the November</w:t>
      </w:r>
      <w:r w:rsidR="00ED101B">
        <w:t> </w:t>
      </w:r>
      <w:r w:rsidR="006F3AD1" w:rsidRPr="003771DB">
        <w:t>2022 PBAC meeting, t</w:t>
      </w:r>
      <w:r w:rsidRPr="003771DB">
        <w:t>he TGA note</w:t>
      </w:r>
      <w:r w:rsidR="006F3AD1" w:rsidRPr="003771DB">
        <w:t>d</w:t>
      </w:r>
      <w:r w:rsidRPr="003771DB">
        <w:t xml:space="preserve"> there is limited supply of semaglutide in Australia and </w:t>
      </w:r>
      <w:r w:rsidR="006F3AD1" w:rsidRPr="003771DB">
        <w:t xml:space="preserve">it </w:t>
      </w:r>
      <w:r w:rsidRPr="003771DB">
        <w:t>has been actively working with the sponsor, wholesalers and healthcare professionals to manage the ongoing shortage</w:t>
      </w:r>
      <w:r w:rsidR="006F3AD1" w:rsidRPr="003771DB">
        <w:rPr>
          <w:rStyle w:val="FootnoteReference"/>
        </w:rPr>
        <w:footnoteReference w:id="3"/>
      </w:r>
      <w:r w:rsidRPr="003771DB">
        <w:t xml:space="preserve">. The resubmission did not address when the sponsor will be able to provide semaglutide in sufficient quantities to </w:t>
      </w:r>
      <w:r w:rsidR="0075093A" w:rsidRPr="003771DB">
        <w:t xml:space="preserve">supply </w:t>
      </w:r>
      <w:r w:rsidRPr="003771DB">
        <w:t>both the type 2 diabetes and the overweight/obesity indications.</w:t>
      </w:r>
      <w:r w:rsidR="00B66BDA" w:rsidRPr="003771DB">
        <w:t xml:space="preserve"> </w:t>
      </w:r>
      <w:r w:rsidR="006F3AD1" w:rsidRPr="003771DB">
        <w:t>At the time of the PBAC meeting, t</w:t>
      </w:r>
      <w:r w:rsidR="00B66BDA" w:rsidRPr="003771DB">
        <w:rPr>
          <w:iCs/>
        </w:rPr>
        <w:t>he sponsor ha</w:t>
      </w:r>
      <w:r w:rsidR="006F3AD1" w:rsidRPr="003771DB">
        <w:rPr>
          <w:iCs/>
        </w:rPr>
        <w:t>d</w:t>
      </w:r>
      <w:r w:rsidR="00B66BDA" w:rsidRPr="003771DB">
        <w:rPr>
          <w:iCs/>
        </w:rPr>
        <w:t xml:space="preserve"> not advised TGA when </w:t>
      </w:r>
      <w:proofErr w:type="spellStart"/>
      <w:r w:rsidR="00B66BDA" w:rsidRPr="003771DB">
        <w:rPr>
          <w:iCs/>
        </w:rPr>
        <w:t>Wegovy</w:t>
      </w:r>
      <w:proofErr w:type="spellEnd"/>
      <w:r w:rsidR="00B66BDA" w:rsidRPr="003771DB">
        <w:rPr>
          <w:iCs/>
        </w:rPr>
        <w:t>® will be launched in Australia.</w:t>
      </w:r>
    </w:p>
    <w:p w14:paraId="05F9CB1E" w14:textId="39008EEE" w:rsidR="003A1B34" w:rsidRPr="003771DB" w:rsidRDefault="003A1B34" w:rsidP="003A1B34">
      <w:pPr>
        <w:pStyle w:val="ListParagraph"/>
        <w:numPr>
          <w:ilvl w:val="0"/>
          <w:numId w:val="0"/>
        </w:numPr>
        <w:ind w:left="720"/>
        <w:rPr>
          <w:i/>
        </w:rPr>
      </w:pPr>
      <w:r w:rsidRPr="003771DB">
        <w:rPr>
          <w:i/>
        </w:rPr>
        <w:t>For more detail on PBAC’s view, see section 7 PBAC outcome.</w:t>
      </w:r>
    </w:p>
    <w:p w14:paraId="51E5AE96" w14:textId="5945884B" w:rsidR="00B50DB8" w:rsidRPr="003771DB" w:rsidRDefault="00B50DB8" w:rsidP="00CA10F1">
      <w:pPr>
        <w:pStyle w:val="COMH1numbered"/>
        <w:numPr>
          <w:ilvl w:val="0"/>
          <w:numId w:val="1"/>
        </w:numPr>
      </w:pPr>
      <w:bookmarkStart w:id="15" w:name="_Toc144899321"/>
      <w:r w:rsidRPr="003771DB">
        <w:lastRenderedPageBreak/>
        <w:t>Comparator</w:t>
      </w:r>
      <w:bookmarkEnd w:id="15"/>
    </w:p>
    <w:p w14:paraId="0CB97DCB" w14:textId="76B684AC" w:rsidR="00BF677F" w:rsidRPr="003771DB" w:rsidRDefault="00BF677F" w:rsidP="00CA10F1">
      <w:pPr>
        <w:pStyle w:val="COMexecsumnumberedpara"/>
        <w:rPr>
          <w:snapToGrid/>
        </w:rPr>
      </w:pPr>
      <w:r w:rsidRPr="003771DB">
        <w:rPr>
          <w:snapToGrid/>
        </w:rPr>
        <w:t xml:space="preserve">The resubmission nominated placebo (as a proxy for no pharmacological therapy) in conjunction with diet and exercise as the main comparator. The main argument in support of this nomination was that </w:t>
      </w:r>
      <w:r w:rsidR="00960D7C" w:rsidRPr="003771DB">
        <w:rPr>
          <w:snapToGrid/>
        </w:rPr>
        <w:t xml:space="preserve">the </w:t>
      </w:r>
      <w:r w:rsidRPr="003771DB">
        <w:rPr>
          <w:snapToGrid/>
        </w:rPr>
        <w:t>PBAC previously accepted this comparator in the March 2022 submission</w:t>
      </w:r>
      <w:r w:rsidR="00AD4391" w:rsidRPr="003771DB">
        <w:rPr>
          <w:snapToGrid/>
        </w:rPr>
        <w:t>,</w:t>
      </w:r>
      <w:r w:rsidRPr="003771DB">
        <w:rPr>
          <w:snapToGrid/>
        </w:rPr>
        <w:t xml:space="preserve"> given that there are no subsidised drugs for obesity on the PBS and the limited access</w:t>
      </w:r>
      <w:r w:rsidR="00AD4391" w:rsidRPr="003771DB">
        <w:rPr>
          <w:snapToGrid/>
        </w:rPr>
        <w:t xml:space="preserve"> to</w:t>
      </w:r>
      <w:r w:rsidRPr="003771DB">
        <w:rPr>
          <w:snapToGrid/>
        </w:rPr>
        <w:t xml:space="preserve"> bariatric surgery in Australia (para 7.5, semaglutide </w:t>
      </w:r>
      <w:r w:rsidR="00AD4391" w:rsidRPr="003771DB">
        <w:rPr>
          <w:snapToGrid/>
        </w:rPr>
        <w:t>PSD</w:t>
      </w:r>
      <w:r w:rsidRPr="003771DB">
        <w:rPr>
          <w:snapToGrid/>
        </w:rPr>
        <w:t>, March 2022 PBAC meeting).</w:t>
      </w:r>
    </w:p>
    <w:p w14:paraId="118DCCA9" w14:textId="7B38B29C" w:rsidR="00BF677F" w:rsidRPr="003771DB" w:rsidRDefault="00BF677F" w:rsidP="00CA10F1">
      <w:pPr>
        <w:pStyle w:val="COMexecsumnumberedpara"/>
        <w:rPr>
          <w:snapToGrid/>
        </w:rPr>
      </w:pPr>
      <w:r w:rsidRPr="003771DB">
        <w:rPr>
          <w:snapToGrid/>
        </w:rPr>
        <w:t xml:space="preserve">The previous consideration by PBAC was in the context of a broader requested patient population (patients with BMI </w:t>
      </w:r>
      <w:r w:rsidR="00B77B35" w:rsidRPr="003771DB">
        <w:rPr>
          <w:snapToGrid/>
        </w:rPr>
        <w:t>≥</w:t>
      </w:r>
      <w:r w:rsidR="00ED101B">
        <w:rPr>
          <w:snapToGrid/>
        </w:rPr>
        <w:t> </w:t>
      </w:r>
      <w:r w:rsidRPr="003771DB">
        <w:rPr>
          <w:snapToGrid/>
        </w:rPr>
        <w:t>35</w:t>
      </w:r>
      <w:r w:rsidR="00ED101B">
        <w:rPr>
          <w:snapToGrid/>
        </w:rPr>
        <w:t> </w:t>
      </w:r>
      <w:r w:rsidRPr="003771DB">
        <w:rPr>
          <w:snapToGrid/>
        </w:rPr>
        <w:t>kg/m</w:t>
      </w:r>
      <w:r w:rsidRPr="003771DB">
        <w:rPr>
          <w:snapToGrid/>
          <w:vertAlign w:val="superscript"/>
        </w:rPr>
        <w:t>2</w:t>
      </w:r>
      <w:r w:rsidRPr="003771DB">
        <w:rPr>
          <w:snapToGrid/>
        </w:rPr>
        <w:t xml:space="preserve"> and at least one weight-related comorbidity) and the same consideration may not apply to the narrower patient population requested in the resubmission (patients with BMI </w:t>
      </w:r>
      <w:r w:rsidR="00B77B35" w:rsidRPr="003771DB">
        <w:rPr>
          <w:snapToGrid/>
        </w:rPr>
        <w:t>≥</w:t>
      </w:r>
      <w:r w:rsidR="00ED101B">
        <w:rPr>
          <w:snapToGrid/>
        </w:rPr>
        <w:t> </w:t>
      </w:r>
      <w:r w:rsidRPr="003771DB">
        <w:rPr>
          <w:snapToGrid/>
        </w:rPr>
        <w:t>40</w:t>
      </w:r>
      <w:r w:rsidR="00ED101B">
        <w:rPr>
          <w:snapToGrid/>
        </w:rPr>
        <w:t> </w:t>
      </w:r>
      <w:r w:rsidRPr="003771DB">
        <w:rPr>
          <w:snapToGrid/>
        </w:rPr>
        <w:t>kg/m</w:t>
      </w:r>
      <w:r w:rsidRPr="003771DB">
        <w:rPr>
          <w:snapToGrid/>
          <w:vertAlign w:val="superscript"/>
        </w:rPr>
        <w:t>2</w:t>
      </w:r>
      <w:r w:rsidRPr="003771DB">
        <w:rPr>
          <w:snapToGrid/>
        </w:rPr>
        <w:t xml:space="preserve"> and </w:t>
      </w:r>
      <w:r w:rsidR="00B77B35" w:rsidRPr="003771DB">
        <w:rPr>
          <w:snapToGrid/>
        </w:rPr>
        <w:t>≥</w:t>
      </w:r>
      <w:r w:rsidR="00ED101B">
        <w:rPr>
          <w:snapToGrid/>
        </w:rPr>
        <w:t> </w:t>
      </w:r>
      <w:r w:rsidRPr="003771DB">
        <w:rPr>
          <w:snapToGrid/>
        </w:rPr>
        <w:t xml:space="preserve">2 weight-related comorbidities with </w:t>
      </w:r>
      <w:r w:rsidR="00F87D5E" w:rsidRPr="003771DB">
        <w:rPr>
          <w:snapToGrid/>
        </w:rPr>
        <w:t>a confirmed diagnosis of</w:t>
      </w:r>
      <w:r w:rsidR="007F7E92" w:rsidRPr="003771DB">
        <w:rPr>
          <w:snapToGrid/>
        </w:rPr>
        <w:t xml:space="preserve"> at least one of</w:t>
      </w:r>
      <w:r w:rsidR="00F87D5E" w:rsidRPr="003771DB">
        <w:rPr>
          <w:snapToGrid/>
        </w:rPr>
        <w:t xml:space="preserve"> </w:t>
      </w:r>
      <w:r w:rsidRPr="003771DB">
        <w:rPr>
          <w:snapToGrid/>
        </w:rPr>
        <w:t xml:space="preserve">obstructive sleep apnoea, knee osteoarthritis or pre-diabetes). </w:t>
      </w:r>
    </w:p>
    <w:p w14:paraId="07F11DA1" w14:textId="7D446CA3" w:rsidR="00BF677F" w:rsidRPr="003771DB" w:rsidRDefault="00BF677F" w:rsidP="00CA10F1">
      <w:pPr>
        <w:pStyle w:val="COMexecsumnumberedpara"/>
        <w:rPr>
          <w:snapToGrid/>
        </w:rPr>
      </w:pPr>
      <w:r w:rsidRPr="003771DB">
        <w:rPr>
          <w:snapToGrid/>
        </w:rPr>
        <w:t xml:space="preserve">In particular, it is unclear whether bariatric surgery should be considered a secondary comparator in the narrower target population. The PBAC previously noted that approximately 50,000 patients received MBS-listed bariatric services annually between 2013-2017 (para 5.4, semaglutide </w:t>
      </w:r>
      <w:r w:rsidR="008E4D7A" w:rsidRPr="003771DB">
        <w:rPr>
          <w:snapToGrid/>
        </w:rPr>
        <w:t>PSD</w:t>
      </w:r>
      <w:r w:rsidRPr="003771DB">
        <w:rPr>
          <w:snapToGrid/>
        </w:rPr>
        <w:t>, March 2022 PBAC meeting) which is likely to substantially overlap with the population expected to be treated with semaglutide under the proposed restriction (estimated to be approximately 100,000-200,000 patients per year).</w:t>
      </w:r>
      <w:r w:rsidR="00AF2C20" w:rsidRPr="003771DB">
        <w:rPr>
          <w:iCs/>
          <w:snapToGrid/>
        </w:rPr>
        <w:t xml:space="preserve"> The PSCR reiterated that access to bariatric surgery in Australia is very limited and highly unlikely to be the therapy most replaced in practice.</w:t>
      </w:r>
      <w:r w:rsidR="00FF1325" w:rsidRPr="003771DB">
        <w:rPr>
          <w:iCs/>
          <w:snapToGrid/>
        </w:rPr>
        <w:t xml:space="preserve"> The ESC considered</w:t>
      </w:r>
      <w:r w:rsidR="00A90907" w:rsidRPr="003771DB">
        <w:rPr>
          <w:iCs/>
          <w:snapToGrid/>
        </w:rPr>
        <w:t xml:space="preserve"> that, while</w:t>
      </w:r>
      <w:r w:rsidR="00FF1325" w:rsidRPr="003771DB">
        <w:rPr>
          <w:iCs/>
          <w:snapToGrid/>
        </w:rPr>
        <w:t xml:space="preserve"> this argument from the PSCR </w:t>
      </w:r>
      <w:r w:rsidR="00A90907" w:rsidRPr="003771DB">
        <w:rPr>
          <w:iCs/>
          <w:snapToGrid/>
        </w:rPr>
        <w:t xml:space="preserve">in relation to bariatric surgery as a comparator </w:t>
      </w:r>
      <w:r w:rsidR="00FF1325" w:rsidRPr="003771DB">
        <w:rPr>
          <w:iCs/>
          <w:snapToGrid/>
        </w:rPr>
        <w:t xml:space="preserve">was </w:t>
      </w:r>
      <w:r w:rsidR="00A90907" w:rsidRPr="003771DB">
        <w:rPr>
          <w:iCs/>
          <w:snapToGrid/>
        </w:rPr>
        <w:t>not un</w:t>
      </w:r>
      <w:r w:rsidR="00FF1325" w:rsidRPr="003771DB">
        <w:rPr>
          <w:iCs/>
          <w:snapToGrid/>
        </w:rPr>
        <w:t>reasonable</w:t>
      </w:r>
      <w:r w:rsidR="00A90907" w:rsidRPr="003771DB">
        <w:rPr>
          <w:iCs/>
          <w:snapToGrid/>
        </w:rPr>
        <w:t xml:space="preserve">, it also noted that bariatric surgery has been shown to be cost-effective in a number of studies and comparative cost-effectiveness had not been </w:t>
      </w:r>
      <w:r w:rsidR="00CE0B70" w:rsidRPr="003771DB">
        <w:rPr>
          <w:iCs/>
          <w:snapToGrid/>
        </w:rPr>
        <w:t>established</w:t>
      </w:r>
      <w:r w:rsidR="00FF1325" w:rsidRPr="003771DB">
        <w:rPr>
          <w:iCs/>
          <w:snapToGrid/>
        </w:rPr>
        <w:t>.</w:t>
      </w:r>
    </w:p>
    <w:p w14:paraId="3293EAF5" w14:textId="27E9FFAB" w:rsidR="00BF677F" w:rsidRPr="003771DB" w:rsidRDefault="00BF677F" w:rsidP="00CA10F1">
      <w:pPr>
        <w:pStyle w:val="COMexecsumnumberedpara"/>
        <w:rPr>
          <w:snapToGrid/>
        </w:rPr>
      </w:pPr>
      <w:r w:rsidRPr="003771DB">
        <w:rPr>
          <w:snapToGrid/>
        </w:rPr>
        <w:t>During the evaluation it was noted that both oral semaglutide and tirzepatide are potential near</w:t>
      </w:r>
      <w:r w:rsidR="008E4D7A" w:rsidRPr="003771DB">
        <w:rPr>
          <w:snapToGrid/>
        </w:rPr>
        <w:t xml:space="preserve"> market</w:t>
      </w:r>
      <w:r w:rsidRPr="003771DB">
        <w:rPr>
          <w:snapToGrid/>
        </w:rPr>
        <w:t xml:space="preserve"> comparators for this indication.</w:t>
      </w:r>
      <w:r w:rsidR="00AF2C20" w:rsidRPr="003771DB">
        <w:rPr>
          <w:snapToGrid/>
        </w:rPr>
        <w:t xml:space="preserve"> </w:t>
      </w:r>
      <w:r w:rsidR="00AF2C20" w:rsidRPr="003771DB">
        <w:rPr>
          <w:iCs/>
          <w:snapToGrid/>
        </w:rPr>
        <w:t xml:space="preserve">The </w:t>
      </w:r>
      <w:r w:rsidR="00A90907" w:rsidRPr="003771DB">
        <w:rPr>
          <w:iCs/>
          <w:snapToGrid/>
        </w:rPr>
        <w:t xml:space="preserve">ESC noted that tirzepatide </w:t>
      </w:r>
      <w:r w:rsidR="00CE0B70" w:rsidRPr="003771DB">
        <w:rPr>
          <w:iCs/>
          <w:snapToGrid/>
        </w:rPr>
        <w:t>was not recommended</w:t>
      </w:r>
      <w:r w:rsidR="00A90907" w:rsidRPr="003771DB">
        <w:rPr>
          <w:iCs/>
          <w:snapToGrid/>
        </w:rPr>
        <w:t xml:space="preserve"> by PBAC for diabetes mellitus and that no submission had been made to the PBAC for weight loss. It also noted that the</w:t>
      </w:r>
      <w:r w:rsidR="00AF2C20" w:rsidRPr="003771DB">
        <w:rPr>
          <w:iCs/>
          <w:snapToGrid/>
        </w:rPr>
        <w:t xml:space="preserve"> sponsor </w:t>
      </w:r>
      <w:r w:rsidR="00A90907" w:rsidRPr="003771DB">
        <w:rPr>
          <w:iCs/>
          <w:snapToGrid/>
        </w:rPr>
        <w:t>asserted</w:t>
      </w:r>
      <w:r w:rsidR="00AF2C20" w:rsidRPr="003771DB">
        <w:rPr>
          <w:iCs/>
          <w:snapToGrid/>
        </w:rPr>
        <w:t xml:space="preserve"> </w:t>
      </w:r>
      <w:r w:rsidR="00427AAD">
        <w:rPr>
          <w:iCs/>
          <w:snapToGrid/>
        </w:rPr>
        <w:t xml:space="preserve"> </w:t>
      </w:r>
      <w:r w:rsidR="00427AAD" w:rsidRPr="00FB1598">
        <w:rPr>
          <w:iCs/>
          <w:snapToGrid/>
          <w:color w:val="000000"/>
          <w:w w:val="15"/>
          <w:shd w:val="solid" w:color="000000" w:fill="000000"/>
          <w:fitText w:val="-20" w:id="-1032062461"/>
          <w14:textFill>
            <w14:solidFill>
              <w14:srgbClr w14:val="000000">
                <w14:alpha w14:val="100000"/>
              </w14:srgbClr>
            </w14:solidFill>
          </w14:textFill>
        </w:rPr>
        <w:t xml:space="preserve">|  </w:t>
      </w:r>
      <w:r w:rsidR="00427AAD" w:rsidRPr="00FB1598">
        <w:rPr>
          <w:iCs/>
          <w:snapToGrid/>
          <w:color w:val="000000"/>
          <w:spacing w:val="-69"/>
          <w:w w:val="15"/>
          <w:shd w:val="solid" w:color="000000" w:fill="000000"/>
          <w:fitText w:val="-20" w:id="-1032062461"/>
          <w14:textFill>
            <w14:solidFill>
              <w14:srgbClr w14:val="000000">
                <w14:alpha w14:val="100000"/>
              </w14:srgbClr>
            </w14:solidFill>
          </w14:textFill>
        </w:rPr>
        <w:t>|</w:t>
      </w:r>
      <w:r w:rsidR="00AF2C20" w:rsidRPr="003771DB">
        <w:rPr>
          <w:iCs/>
          <w:snapToGrid/>
        </w:rPr>
        <w:t xml:space="preserve"> plans for a PBS submission for oral semaglutide.</w:t>
      </w:r>
      <w:r w:rsidR="001945A7" w:rsidRPr="003771DB">
        <w:rPr>
          <w:iCs/>
          <w:snapToGrid/>
        </w:rPr>
        <w:t xml:space="preserve"> At the time of the PBAC meeting, the TGA had accepted an application for tirzepatide as ‘an adjunct to a reduced-calorie diet and increased physical activity for chronic weight management’.</w:t>
      </w:r>
      <w:r w:rsidR="001945A7" w:rsidRPr="003771DB">
        <w:rPr>
          <w:rStyle w:val="FootnoteReference"/>
          <w:iCs/>
          <w:snapToGrid/>
        </w:rPr>
        <w:footnoteReference w:id="4"/>
      </w:r>
      <w:r w:rsidR="00AF2C20" w:rsidRPr="003771DB">
        <w:rPr>
          <w:iCs/>
          <w:snapToGrid/>
        </w:rPr>
        <w:t xml:space="preserve"> </w:t>
      </w:r>
    </w:p>
    <w:p w14:paraId="494B614A" w14:textId="651CAF46" w:rsidR="003A1B34" w:rsidRPr="003771DB" w:rsidRDefault="003A1B34" w:rsidP="003A1B34">
      <w:pPr>
        <w:pStyle w:val="ListParagraph"/>
        <w:numPr>
          <w:ilvl w:val="0"/>
          <w:numId w:val="0"/>
        </w:numPr>
        <w:ind w:left="720"/>
        <w:rPr>
          <w:i/>
        </w:rPr>
      </w:pPr>
      <w:r w:rsidRPr="003771DB">
        <w:rPr>
          <w:i/>
        </w:rPr>
        <w:t>For more detail on PBAC’s view, see section 7 PBAC outcome.</w:t>
      </w:r>
    </w:p>
    <w:p w14:paraId="7F9C27C8" w14:textId="73EBD390" w:rsidR="00223D5A" w:rsidRPr="003771DB" w:rsidRDefault="00223D5A" w:rsidP="00CA10F1">
      <w:pPr>
        <w:pStyle w:val="COMH1numbered"/>
        <w:numPr>
          <w:ilvl w:val="0"/>
          <w:numId w:val="1"/>
        </w:numPr>
      </w:pPr>
      <w:bookmarkStart w:id="16" w:name="_Toc144899322"/>
      <w:r w:rsidRPr="003771DB">
        <w:lastRenderedPageBreak/>
        <w:t>Consideration of the evidence</w:t>
      </w:r>
      <w:bookmarkStart w:id="17" w:name="_Toc22897640"/>
      <w:bookmarkEnd w:id="16"/>
    </w:p>
    <w:p w14:paraId="0B459713" w14:textId="77777777" w:rsidR="003A1B34" w:rsidRPr="003771DB" w:rsidRDefault="003A1B34" w:rsidP="001945A7">
      <w:pPr>
        <w:pStyle w:val="COMH2-non-numbered"/>
      </w:pPr>
      <w:bookmarkStart w:id="18" w:name="_Hlk76375935"/>
      <w:bookmarkStart w:id="19" w:name="_Toc144899323"/>
      <w:r w:rsidRPr="003771DB">
        <w:t>Sponsor hearing</w:t>
      </w:r>
    </w:p>
    <w:p w14:paraId="23B00E81" w14:textId="0FDEF9D0" w:rsidR="003A1B34" w:rsidRPr="003771DB" w:rsidRDefault="003A1B34" w:rsidP="003A1B34">
      <w:pPr>
        <w:widowControl w:val="0"/>
        <w:numPr>
          <w:ilvl w:val="1"/>
          <w:numId w:val="1"/>
        </w:numPr>
        <w:spacing w:after="120"/>
        <w:ind w:left="720"/>
        <w:rPr>
          <w:rFonts w:cs="Calibri"/>
          <w:bCs/>
          <w:snapToGrid w:val="0"/>
        </w:rPr>
      </w:pPr>
      <w:r w:rsidRPr="003771DB">
        <w:rPr>
          <w:rFonts w:cs="Calibri"/>
          <w:bCs/>
          <w:snapToGrid w:val="0"/>
        </w:rPr>
        <w:t>There was no hearing for this item</w:t>
      </w:r>
      <w:r w:rsidR="001945A7" w:rsidRPr="003771DB">
        <w:rPr>
          <w:rFonts w:cs="Calibri"/>
          <w:bCs/>
          <w:snapToGrid w:val="0"/>
        </w:rPr>
        <w:t>.</w:t>
      </w:r>
    </w:p>
    <w:p w14:paraId="2B9FBD32" w14:textId="77777777" w:rsidR="003A1B34" w:rsidRPr="003771DB" w:rsidRDefault="003A1B34" w:rsidP="001945A7">
      <w:pPr>
        <w:pStyle w:val="COMH2-non-numbered"/>
      </w:pPr>
      <w:r w:rsidRPr="003771DB">
        <w:t>Consumer comments</w:t>
      </w:r>
    </w:p>
    <w:p w14:paraId="2998919C" w14:textId="00A05B23" w:rsidR="00D4631F" w:rsidRPr="003771DB" w:rsidRDefault="003A1B34" w:rsidP="00CB593D">
      <w:pPr>
        <w:widowControl w:val="0"/>
        <w:numPr>
          <w:ilvl w:val="1"/>
          <w:numId w:val="1"/>
        </w:numPr>
        <w:spacing w:after="120"/>
        <w:ind w:left="720"/>
        <w:rPr>
          <w:rFonts w:asciiTheme="minorHAnsi" w:hAnsiTheme="minorHAnsi"/>
          <w:bCs/>
          <w:snapToGrid w:val="0"/>
        </w:rPr>
      </w:pPr>
      <w:bookmarkStart w:id="20" w:name="_Hlk76382618"/>
      <w:r w:rsidRPr="003771DB">
        <w:rPr>
          <w:rFonts w:asciiTheme="minorHAnsi" w:hAnsiTheme="minorHAnsi"/>
          <w:bCs/>
          <w:snapToGrid w:val="0"/>
        </w:rPr>
        <w:t>The PBAC noted and welcomed the input from individuals (</w:t>
      </w:r>
      <w:r w:rsidR="006B332E" w:rsidRPr="003771DB">
        <w:rPr>
          <w:rFonts w:asciiTheme="minorHAnsi" w:hAnsiTheme="minorHAnsi"/>
          <w:bCs/>
          <w:snapToGrid w:val="0"/>
        </w:rPr>
        <w:t>10</w:t>
      </w:r>
      <w:r w:rsidRPr="003771DB">
        <w:rPr>
          <w:rFonts w:asciiTheme="minorHAnsi" w:hAnsiTheme="minorHAnsi"/>
          <w:bCs/>
          <w:snapToGrid w:val="0"/>
        </w:rPr>
        <w:t>4), health care professionals (</w:t>
      </w:r>
      <w:r w:rsidR="006B332E" w:rsidRPr="003771DB">
        <w:rPr>
          <w:rFonts w:asciiTheme="minorHAnsi" w:hAnsiTheme="minorHAnsi"/>
          <w:bCs/>
          <w:snapToGrid w:val="0"/>
        </w:rPr>
        <w:t>32</w:t>
      </w:r>
      <w:r w:rsidRPr="003771DB">
        <w:rPr>
          <w:rFonts w:asciiTheme="minorHAnsi" w:hAnsiTheme="minorHAnsi"/>
          <w:bCs/>
          <w:snapToGrid w:val="0"/>
        </w:rPr>
        <w:t>) and organisations (1</w:t>
      </w:r>
      <w:r w:rsidR="006B332E" w:rsidRPr="003771DB">
        <w:rPr>
          <w:rFonts w:asciiTheme="minorHAnsi" w:hAnsiTheme="minorHAnsi"/>
          <w:bCs/>
          <w:snapToGrid w:val="0"/>
        </w:rPr>
        <w:t>0</w:t>
      </w:r>
      <w:r w:rsidRPr="003771DB">
        <w:rPr>
          <w:rFonts w:asciiTheme="minorHAnsi" w:hAnsiTheme="minorHAnsi"/>
          <w:bCs/>
          <w:snapToGrid w:val="0"/>
        </w:rPr>
        <w:t xml:space="preserve">) via the Consumer Comments facility on the PBS website. </w:t>
      </w:r>
      <w:r w:rsidR="006C0DAA" w:rsidRPr="003771DB">
        <w:rPr>
          <w:rFonts w:asciiTheme="minorHAnsi" w:hAnsiTheme="minorHAnsi"/>
          <w:bCs/>
          <w:snapToGrid w:val="0"/>
        </w:rPr>
        <w:t>Comments were strongly supportive of making semaglutide available on the PBS for the treatment of obesity. Individuals and healthcare professionals discussed</w:t>
      </w:r>
      <w:r w:rsidR="004242E7" w:rsidRPr="003771DB">
        <w:rPr>
          <w:rFonts w:asciiTheme="minorHAnsi" w:hAnsiTheme="minorHAnsi"/>
          <w:bCs/>
          <w:snapToGrid w:val="0"/>
        </w:rPr>
        <w:t>:</w:t>
      </w:r>
      <w:r w:rsidR="006C0DAA" w:rsidRPr="003771DB">
        <w:rPr>
          <w:rFonts w:asciiTheme="minorHAnsi" w:hAnsiTheme="minorHAnsi"/>
          <w:bCs/>
          <w:snapToGrid w:val="0"/>
        </w:rPr>
        <w:t xml:space="preserve"> the impact of obesity on physical and mental health, and quality of life; the stigma and prejudice associated </w:t>
      </w:r>
      <w:r w:rsidR="00CB593D" w:rsidRPr="003771DB">
        <w:rPr>
          <w:rFonts w:asciiTheme="minorHAnsi" w:hAnsiTheme="minorHAnsi"/>
          <w:bCs/>
          <w:snapToGrid w:val="0"/>
        </w:rPr>
        <w:t>with the disease; the health benefits associated with weight loss; the potential impact</w:t>
      </w:r>
      <w:r w:rsidR="004242E7" w:rsidRPr="003771DB">
        <w:rPr>
          <w:rFonts w:asciiTheme="minorHAnsi" w:hAnsiTheme="minorHAnsi"/>
          <w:bCs/>
          <w:snapToGrid w:val="0"/>
        </w:rPr>
        <w:t xml:space="preserve"> of treatment</w:t>
      </w:r>
      <w:r w:rsidR="00CB593D" w:rsidRPr="003771DB">
        <w:rPr>
          <w:rFonts w:asciiTheme="minorHAnsi" w:hAnsiTheme="minorHAnsi"/>
          <w:bCs/>
          <w:snapToGrid w:val="0"/>
        </w:rPr>
        <w:t xml:space="preserve"> in particular population groups (e.g. young people and women with infertility); the importance of a multi-disciplinary approach to obesity treatment; the need for adequate training for healthcare professionals; and the known/manageable side effects of semaglutide treatment. </w:t>
      </w:r>
    </w:p>
    <w:p w14:paraId="5D0E3885" w14:textId="06F82DA7" w:rsidR="00CB593D" w:rsidRPr="003771DB" w:rsidRDefault="00CB593D" w:rsidP="00ED101B">
      <w:pPr>
        <w:widowControl w:val="0"/>
        <w:numPr>
          <w:ilvl w:val="1"/>
          <w:numId w:val="1"/>
        </w:numPr>
        <w:spacing w:after="120"/>
        <w:ind w:left="720"/>
        <w:rPr>
          <w:rFonts w:asciiTheme="minorHAnsi" w:hAnsiTheme="minorHAnsi"/>
          <w:bCs/>
          <w:snapToGrid w:val="0"/>
        </w:rPr>
      </w:pPr>
      <w:r w:rsidRPr="003771DB">
        <w:rPr>
          <w:rFonts w:asciiTheme="minorHAnsi" w:hAnsiTheme="minorHAnsi"/>
          <w:bCs/>
          <w:snapToGrid w:val="0"/>
        </w:rPr>
        <w:t>The PBAC also appreciated the input received from the following organisations:</w:t>
      </w:r>
    </w:p>
    <w:p w14:paraId="0BE17EAE" w14:textId="072B0D78" w:rsidR="00D4631F" w:rsidRPr="003771DB" w:rsidRDefault="00D4631F" w:rsidP="0042771B">
      <w:pPr>
        <w:pStyle w:val="ListParagraph"/>
        <w:widowControl w:val="0"/>
        <w:numPr>
          <w:ilvl w:val="0"/>
          <w:numId w:val="12"/>
        </w:numPr>
      </w:pPr>
      <w:r w:rsidRPr="003771DB">
        <w:t xml:space="preserve">Australian College of Nurse Practitioners </w:t>
      </w:r>
    </w:p>
    <w:p w14:paraId="776E4B9D" w14:textId="272981B4" w:rsidR="00D4631F" w:rsidRPr="003771DB" w:rsidRDefault="00D4631F" w:rsidP="0042771B">
      <w:pPr>
        <w:pStyle w:val="ListParagraph"/>
        <w:widowControl w:val="0"/>
        <w:numPr>
          <w:ilvl w:val="0"/>
          <w:numId w:val="12"/>
        </w:numPr>
      </w:pPr>
      <w:r w:rsidRPr="003771DB">
        <w:t xml:space="preserve">Australia and New Zealand Obesity Society </w:t>
      </w:r>
    </w:p>
    <w:p w14:paraId="1AD96C04" w14:textId="7A114EAA" w:rsidR="00D4631F" w:rsidRPr="003771DB" w:rsidRDefault="00D4631F" w:rsidP="0042771B">
      <w:pPr>
        <w:pStyle w:val="ListParagraph"/>
        <w:widowControl w:val="0"/>
        <w:numPr>
          <w:ilvl w:val="0"/>
          <w:numId w:val="12"/>
        </w:numPr>
      </w:pPr>
      <w:r w:rsidRPr="003771DB">
        <w:t xml:space="preserve">The Alfred </w:t>
      </w:r>
    </w:p>
    <w:p w14:paraId="4B088BD7" w14:textId="0F5F4110" w:rsidR="00D4631F" w:rsidRPr="003771DB" w:rsidRDefault="00D4631F" w:rsidP="0042771B">
      <w:pPr>
        <w:pStyle w:val="ListParagraph"/>
        <w:widowControl w:val="0"/>
        <w:numPr>
          <w:ilvl w:val="0"/>
          <w:numId w:val="12"/>
        </w:numPr>
      </w:pPr>
      <w:r w:rsidRPr="003771DB">
        <w:t xml:space="preserve">Impact Obesity </w:t>
      </w:r>
    </w:p>
    <w:p w14:paraId="086F594B" w14:textId="27A7F8EE" w:rsidR="00D4631F" w:rsidRPr="003771DB" w:rsidRDefault="00D4631F" w:rsidP="0042771B">
      <w:pPr>
        <w:pStyle w:val="ListParagraph"/>
        <w:widowControl w:val="0"/>
        <w:numPr>
          <w:ilvl w:val="0"/>
          <w:numId w:val="12"/>
        </w:numPr>
      </w:pPr>
      <w:r w:rsidRPr="003771DB">
        <w:t>National Aboriginal Community Controlled Health Organisation</w:t>
      </w:r>
    </w:p>
    <w:p w14:paraId="50DEA876" w14:textId="37653006" w:rsidR="00D4631F" w:rsidRPr="003771DB" w:rsidRDefault="00D4631F" w:rsidP="0042771B">
      <w:pPr>
        <w:pStyle w:val="ListParagraph"/>
        <w:widowControl w:val="0"/>
        <w:numPr>
          <w:ilvl w:val="0"/>
          <w:numId w:val="12"/>
        </w:numPr>
      </w:pPr>
      <w:r w:rsidRPr="003771DB">
        <w:t xml:space="preserve">National Paediatric Medicines Forum </w:t>
      </w:r>
    </w:p>
    <w:p w14:paraId="2938039B" w14:textId="4408D8D0" w:rsidR="00D4631F" w:rsidRPr="003771DB" w:rsidRDefault="00D4631F" w:rsidP="0042771B">
      <w:pPr>
        <w:pStyle w:val="ListParagraph"/>
        <w:widowControl w:val="0"/>
        <w:numPr>
          <w:ilvl w:val="0"/>
          <w:numId w:val="12"/>
        </w:numPr>
      </w:pPr>
      <w:r w:rsidRPr="003771DB">
        <w:t xml:space="preserve">Health Consumers’ Council </w:t>
      </w:r>
      <w:r w:rsidR="00CB593D" w:rsidRPr="003771DB">
        <w:t>(WA)</w:t>
      </w:r>
    </w:p>
    <w:p w14:paraId="5F925B47" w14:textId="58A24062" w:rsidR="00D4631F" w:rsidRPr="003771DB" w:rsidRDefault="00D4631F" w:rsidP="0042771B">
      <w:pPr>
        <w:pStyle w:val="ListParagraph"/>
        <w:widowControl w:val="0"/>
        <w:numPr>
          <w:ilvl w:val="0"/>
          <w:numId w:val="12"/>
        </w:numPr>
      </w:pPr>
      <w:r w:rsidRPr="003771DB">
        <w:t>Liver Foundation</w:t>
      </w:r>
    </w:p>
    <w:p w14:paraId="6C244595" w14:textId="5FF13D6E" w:rsidR="00D4631F" w:rsidRPr="003771DB" w:rsidRDefault="00D4631F" w:rsidP="0042771B">
      <w:pPr>
        <w:pStyle w:val="ListParagraph"/>
        <w:widowControl w:val="0"/>
        <w:numPr>
          <w:ilvl w:val="0"/>
          <w:numId w:val="12"/>
        </w:numPr>
      </w:pPr>
      <w:r w:rsidRPr="003771DB">
        <w:t>Arthritis Australia</w:t>
      </w:r>
    </w:p>
    <w:p w14:paraId="11A80254" w14:textId="0A0F3D34" w:rsidR="00D4631F" w:rsidRPr="003771DB" w:rsidRDefault="00D4631F" w:rsidP="0042771B">
      <w:pPr>
        <w:pStyle w:val="ListParagraph"/>
        <w:widowControl w:val="0"/>
        <w:numPr>
          <w:ilvl w:val="0"/>
          <w:numId w:val="12"/>
        </w:numPr>
      </w:pPr>
      <w:r w:rsidRPr="003771DB">
        <w:t>Weight Issues Network</w:t>
      </w:r>
    </w:p>
    <w:p w14:paraId="71BF10FE" w14:textId="7A798224" w:rsidR="00D4631F" w:rsidRPr="003771DB" w:rsidRDefault="00CB593D" w:rsidP="002D2F84">
      <w:pPr>
        <w:widowControl w:val="0"/>
        <w:numPr>
          <w:ilvl w:val="1"/>
          <w:numId w:val="1"/>
        </w:numPr>
        <w:ind w:left="720"/>
      </w:pPr>
      <w:r w:rsidRPr="003771DB">
        <w:t>These o</w:t>
      </w:r>
      <w:r w:rsidR="00D4631F" w:rsidRPr="003771DB">
        <w:t xml:space="preserve">rganisations </w:t>
      </w:r>
      <w:r w:rsidR="00B240A9" w:rsidRPr="003771DB">
        <w:t xml:space="preserve">made comments </w:t>
      </w:r>
      <w:r w:rsidR="00237C4B" w:rsidRPr="003771DB">
        <w:t xml:space="preserve">on a range of themes including: equity concerns as obesity disproportionately affects people with </w:t>
      </w:r>
      <w:r w:rsidR="00D4631F" w:rsidRPr="003771DB">
        <w:t>limited financial means</w:t>
      </w:r>
      <w:r w:rsidR="00237C4B" w:rsidRPr="003771DB">
        <w:t xml:space="preserve">; the particular health needs of </w:t>
      </w:r>
      <w:r w:rsidR="004242E7" w:rsidRPr="003771DB">
        <w:t xml:space="preserve">certain </w:t>
      </w:r>
      <w:r w:rsidR="00237C4B" w:rsidRPr="003771DB">
        <w:t>populations affected by obesity (</w:t>
      </w:r>
      <w:r w:rsidR="00AC31D6" w:rsidRPr="003771DB">
        <w:t xml:space="preserve">Aboriginal and Torres Strait Islander people, </w:t>
      </w:r>
      <w:r w:rsidR="00D4631F" w:rsidRPr="003771DB">
        <w:t>women, adolescents,</w:t>
      </w:r>
      <w:r w:rsidR="00AC31D6" w:rsidRPr="003771DB">
        <w:t xml:space="preserve"> </w:t>
      </w:r>
      <w:r w:rsidR="00237C4B" w:rsidRPr="003771DB">
        <w:t xml:space="preserve">and </w:t>
      </w:r>
      <w:r w:rsidR="00AC31D6" w:rsidRPr="003771DB">
        <w:t>those living with non-alcoholic fatty liver disease)</w:t>
      </w:r>
      <w:r w:rsidR="00237C4B" w:rsidRPr="003771DB">
        <w:t>; the negative impacts and costs of obesity on individuals and the health system</w:t>
      </w:r>
      <w:r w:rsidR="004242E7" w:rsidRPr="003771DB">
        <w:t xml:space="preserve"> as a whole</w:t>
      </w:r>
      <w:r w:rsidR="00237C4B" w:rsidRPr="003771DB">
        <w:t>; the</w:t>
      </w:r>
      <w:r w:rsidR="00D4631F" w:rsidRPr="003771DB">
        <w:t xml:space="preserve"> clinical evidence supporting the health benefits of semaglutide treatment; support for comprehensive </w:t>
      </w:r>
      <w:r w:rsidR="00237C4B" w:rsidRPr="003771DB">
        <w:t>diet and nutrition programs</w:t>
      </w:r>
      <w:r w:rsidR="00D4631F" w:rsidRPr="003771DB">
        <w:t xml:space="preserve"> to accompany pharmacotherapy</w:t>
      </w:r>
      <w:r w:rsidR="00237C4B" w:rsidRPr="003771DB">
        <w:t xml:space="preserve"> (including public funding of such programs); the </w:t>
      </w:r>
      <w:r w:rsidR="00AC31D6" w:rsidRPr="003771DB">
        <w:t>need for healthcare professional training</w:t>
      </w:r>
      <w:r w:rsidR="00A00526" w:rsidRPr="003771DB">
        <w:t xml:space="preserve">; and the ongoing urgency for preventative health programs for obesity. </w:t>
      </w:r>
    </w:p>
    <w:bookmarkEnd w:id="18"/>
    <w:bookmarkEnd w:id="20"/>
    <w:p w14:paraId="609C0765" w14:textId="6E1120E6" w:rsidR="00B60939" w:rsidRPr="003771DB" w:rsidRDefault="00B60939" w:rsidP="002E4F02">
      <w:pPr>
        <w:pStyle w:val="COMH2-non-numbered"/>
      </w:pPr>
      <w:r w:rsidRPr="003771DB">
        <w:lastRenderedPageBreak/>
        <w:t>Clinical trials</w:t>
      </w:r>
      <w:bookmarkEnd w:id="17"/>
      <w:bookmarkEnd w:id="19"/>
    </w:p>
    <w:p w14:paraId="52511315" w14:textId="0935AF82" w:rsidR="00D4509A" w:rsidRPr="003771DB" w:rsidRDefault="00B40E61" w:rsidP="00CA10F1">
      <w:pPr>
        <w:pStyle w:val="COMexecsumnumberedpara"/>
      </w:pPr>
      <w:r w:rsidRPr="003771DB">
        <w:t>The resubmission included data from five head-to-head randomised trials comparing semaglutide to placebo in the STEP clinical trial program (STEP 1-5)</w:t>
      </w:r>
      <w:r w:rsidR="003771DB">
        <w:t xml:space="preserve">. </w:t>
      </w:r>
      <w:r w:rsidR="00324A68" w:rsidRPr="003771DB">
        <w:t>T</w:t>
      </w:r>
      <w:r w:rsidR="00D4509A" w:rsidRPr="003771DB">
        <w:t xml:space="preserve">he resubmission </w:t>
      </w:r>
      <w:r w:rsidR="00324A68" w:rsidRPr="003771DB">
        <w:t>also presented new</w:t>
      </w:r>
      <w:r w:rsidR="00D4509A" w:rsidRPr="003771DB">
        <w:t xml:space="preserve"> </w:t>
      </w:r>
      <w:r w:rsidR="00D4509A" w:rsidRPr="003771DB">
        <w:rPr>
          <w:i/>
          <w:iCs/>
        </w:rPr>
        <w:t>post hoc</w:t>
      </w:r>
      <w:r w:rsidR="00D4509A" w:rsidRPr="003771DB">
        <w:t xml:space="preserve"> subgroup analyses of the STEP-1 trial.</w:t>
      </w:r>
    </w:p>
    <w:p w14:paraId="68695BB5" w14:textId="0A1ED684" w:rsidR="00D4509A" w:rsidRPr="003771DB" w:rsidRDefault="00D4509A" w:rsidP="00CA10F1">
      <w:pPr>
        <w:pStyle w:val="COMexecsumnumberedpara"/>
      </w:pPr>
      <w:r w:rsidRPr="003771DB">
        <w:t>Details of the included studies are provided in the</w:t>
      </w:r>
      <w:r w:rsidR="000A0746" w:rsidRPr="003771DB">
        <w:t xml:space="preserve"> </w:t>
      </w:r>
      <w:r w:rsidR="000A0746" w:rsidRPr="003771DB">
        <w:fldChar w:fldCharType="begin" w:fldLock="1"/>
      </w:r>
      <w:r w:rsidR="000A0746" w:rsidRPr="003771DB">
        <w:instrText xml:space="preserve"> REF _Ref143501293 \h </w:instrText>
      </w:r>
      <w:r w:rsidR="00E44DD1" w:rsidRPr="003771DB">
        <w:instrText xml:space="preserve"> \* MERGEFORMAT </w:instrText>
      </w:r>
      <w:r w:rsidR="000A0746" w:rsidRPr="003771DB">
        <w:fldChar w:fldCharType="separate"/>
      </w:r>
      <w:r w:rsidR="00D44FF6" w:rsidRPr="003771DB">
        <w:rPr>
          <w:rStyle w:val="CommentReference"/>
          <w:sz w:val="24"/>
          <w:szCs w:val="24"/>
        </w:rPr>
        <w:t>Table 3</w:t>
      </w:r>
      <w:r w:rsidR="000A0746" w:rsidRPr="003771DB">
        <w:fldChar w:fldCharType="end"/>
      </w:r>
      <w:r w:rsidRPr="003771DB">
        <w:t>.</w:t>
      </w:r>
    </w:p>
    <w:p w14:paraId="15E9ABB4" w14:textId="331C95D8" w:rsidR="00D4509A" w:rsidRPr="003771DB" w:rsidRDefault="00D4509A" w:rsidP="00597C44">
      <w:pPr>
        <w:pStyle w:val="Caption"/>
        <w:keepLines/>
      </w:pPr>
      <w:bookmarkStart w:id="21" w:name="_Ref143501293"/>
      <w:r w:rsidRPr="003771DB">
        <w:rPr>
          <w:rStyle w:val="CommentReference"/>
          <w:sz w:val="20"/>
          <w:szCs w:val="24"/>
        </w:rPr>
        <w:t xml:space="preserve">Table </w:t>
      </w:r>
      <w:r w:rsidR="00AD487C" w:rsidRPr="003771DB">
        <w:rPr>
          <w:rStyle w:val="CommentReference"/>
          <w:sz w:val="20"/>
          <w:szCs w:val="24"/>
        </w:rPr>
        <w:fldChar w:fldCharType="begin" w:fldLock="1"/>
      </w:r>
      <w:r w:rsidR="00AD487C" w:rsidRPr="003771DB">
        <w:rPr>
          <w:rStyle w:val="CommentReference"/>
          <w:sz w:val="20"/>
          <w:szCs w:val="24"/>
        </w:rPr>
        <w:instrText xml:space="preserve"> SEQ Table \* ARABIC </w:instrText>
      </w:r>
      <w:r w:rsidR="00AD487C" w:rsidRPr="003771DB">
        <w:rPr>
          <w:rStyle w:val="CommentReference"/>
          <w:sz w:val="20"/>
          <w:szCs w:val="24"/>
        </w:rPr>
        <w:fldChar w:fldCharType="separate"/>
      </w:r>
      <w:r w:rsidR="00AD487C" w:rsidRPr="00F7478B">
        <w:rPr>
          <w:rStyle w:val="CommentReference"/>
          <w:sz w:val="20"/>
          <w:szCs w:val="24"/>
        </w:rPr>
        <w:t>3</w:t>
      </w:r>
      <w:r w:rsidR="00AD487C" w:rsidRPr="003771DB">
        <w:rPr>
          <w:rStyle w:val="CommentReference"/>
          <w:sz w:val="20"/>
          <w:szCs w:val="24"/>
        </w:rPr>
        <w:fldChar w:fldCharType="end"/>
      </w:r>
      <w:bookmarkEnd w:id="21"/>
      <w:r w:rsidRPr="003771DB">
        <w:rPr>
          <w:rStyle w:val="CommentReference"/>
          <w:sz w:val="20"/>
          <w:szCs w:val="24"/>
        </w:rPr>
        <w:t xml:space="preserve">: Studies and associated reports presented in the </w:t>
      </w:r>
      <w:r w:rsidR="00847682" w:rsidRPr="003771DB">
        <w:rPr>
          <w:rStyle w:val="CommentReference"/>
          <w:sz w:val="20"/>
          <w:szCs w:val="24"/>
        </w:rPr>
        <w:t>re</w:t>
      </w:r>
      <w:r w:rsidRPr="003771DB">
        <w:rPr>
          <w:rStyle w:val="CommentReference"/>
          <w:sz w:val="20"/>
          <w:szCs w:val="24"/>
        </w:rPr>
        <w:t>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resubmission"/>
        <w:tblDescription w:val="Table 3: Studies and associated reports presented in the resubmission"/>
      </w:tblPr>
      <w:tblGrid>
        <w:gridCol w:w="1413"/>
        <w:gridCol w:w="4799"/>
        <w:gridCol w:w="2953"/>
      </w:tblGrid>
      <w:tr w:rsidR="00D4509A" w:rsidRPr="003771DB" w14:paraId="424A12AE" w14:textId="77777777" w:rsidTr="006C5871">
        <w:trPr>
          <w:tblHeader/>
        </w:trPr>
        <w:tc>
          <w:tcPr>
            <w:tcW w:w="771" w:type="pct"/>
            <w:tcBorders>
              <w:bottom w:val="single" w:sz="4" w:space="0" w:color="auto"/>
            </w:tcBorders>
            <w:vAlign w:val="center"/>
          </w:tcPr>
          <w:p w14:paraId="406CCA4B" w14:textId="77777777" w:rsidR="00D4509A" w:rsidRPr="003771DB" w:rsidRDefault="00D4509A" w:rsidP="00597C44">
            <w:pPr>
              <w:pStyle w:val="Tabletext0"/>
              <w:keepNext/>
              <w:keepLines/>
              <w:rPr>
                <w:b/>
              </w:rPr>
            </w:pPr>
            <w:r w:rsidRPr="003771DB">
              <w:rPr>
                <w:b/>
              </w:rPr>
              <w:t>Trial ID</w:t>
            </w:r>
          </w:p>
        </w:tc>
        <w:tc>
          <w:tcPr>
            <w:tcW w:w="2618" w:type="pct"/>
            <w:tcBorders>
              <w:bottom w:val="single" w:sz="4" w:space="0" w:color="auto"/>
            </w:tcBorders>
            <w:vAlign w:val="center"/>
          </w:tcPr>
          <w:p w14:paraId="2899780A" w14:textId="77777777" w:rsidR="00D4509A" w:rsidRPr="003771DB" w:rsidRDefault="00D4509A" w:rsidP="00597C44">
            <w:pPr>
              <w:pStyle w:val="Tabletext0"/>
              <w:keepNext/>
              <w:keepLines/>
              <w:jc w:val="center"/>
              <w:rPr>
                <w:b/>
              </w:rPr>
            </w:pPr>
            <w:r w:rsidRPr="003771DB">
              <w:rPr>
                <w:b/>
              </w:rPr>
              <w:t>Protocol title/ Publication title</w:t>
            </w:r>
          </w:p>
        </w:tc>
        <w:tc>
          <w:tcPr>
            <w:tcW w:w="1611" w:type="pct"/>
            <w:tcBorders>
              <w:bottom w:val="single" w:sz="4" w:space="0" w:color="auto"/>
            </w:tcBorders>
            <w:vAlign w:val="center"/>
          </w:tcPr>
          <w:p w14:paraId="229ED47A" w14:textId="77777777" w:rsidR="00D4509A" w:rsidRPr="003771DB" w:rsidRDefault="00D4509A" w:rsidP="00597C44">
            <w:pPr>
              <w:pStyle w:val="Tabletext0"/>
              <w:keepNext/>
              <w:keepLines/>
              <w:jc w:val="center"/>
              <w:rPr>
                <w:b/>
              </w:rPr>
            </w:pPr>
            <w:r w:rsidRPr="003771DB">
              <w:rPr>
                <w:b/>
              </w:rPr>
              <w:t>Publication citation</w:t>
            </w:r>
          </w:p>
        </w:tc>
      </w:tr>
      <w:tr w:rsidR="00D4509A" w:rsidRPr="003771DB" w14:paraId="0109714B" w14:textId="77777777" w:rsidTr="006C5871">
        <w:tc>
          <w:tcPr>
            <w:tcW w:w="771" w:type="pct"/>
            <w:vMerge w:val="restart"/>
            <w:tcBorders>
              <w:top w:val="single" w:sz="4" w:space="0" w:color="auto"/>
              <w:left w:val="single" w:sz="4" w:space="0" w:color="auto"/>
              <w:bottom w:val="nil"/>
              <w:right w:val="single" w:sz="4" w:space="0" w:color="auto"/>
            </w:tcBorders>
            <w:vAlign w:val="center"/>
          </w:tcPr>
          <w:p w14:paraId="2EBB6631" w14:textId="77777777" w:rsidR="00D4509A" w:rsidRPr="003771DB" w:rsidRDefault="00D4509A" w:rsidP="00597C44">
            <w:pPr>
              <w:pStyle w:val="Tabletext0"/>
              <w:keepNext/>
              <w:keepLines/>
            </w:pPr>
            <w:r w:rsidRPr="003771DB">
              <w:t>NN9536-4373</w:t>
            </w:r>
          </w:p>
          <w:p w14:paraId="664C3C7E" w14:textId="77777777" w:rsidR="00D4509A" w:rsidRPr="003771DB" w:rsidRDefault="00D4509A" w:rsidP="00597C44">
            <w:pPr>
              <w:pStyle w:val="Tabletext0"/>
              <w:keepNext/>
              <w:keepLines/>
            </w:pPr>
            <w:r w:rsidRPr="003771DB">
              <w:t>(STEP-1)</w:t>
            </w:r>
          </w:p>
        </w:tc>
        <w:tc>
          <w:tcPr>
            <w:tcW w:w="2618" w:type="pct"/>
            <w:tcBorders>
              <w:top w:val="single" w:sz="4" w:space="0" w:color="auto"/>
              <w:left w:val="single" w:sz="4" w:space="0" w:color="auto"/>
              <w:bottom w:val="nil"/>
              <w:right w:val="single" w:sz="4" w:space="0" w:color="auto"/>
            </w:tcBorders>
            <w:vAlign w:val="center"/>
          </w:tcPr>
          <w:p w14:paraId="15B98DAF" w14:textId="6032E035" w:rsidR="00D4509A" w:rsidRPr="003771DB" w:rsidRDefault="00D4509A" w:rsidP="00597C44">
            <w:pPr>
              <w:pStyle w:val="Tabletext0"/>
              <w:keepNext/>
              <w:keepLines/>
              <w:spacing w:after="20"/>
              <w:rPr>
                <w:szCs w:val="18"/>
              </w:rPr>
            </w:pPr>
            <w:r w:rsidRPr="003771DB">
              <w:rPr>
                <w:szCs w:val="18"/>
              </w:rPr>
              <w:t>Novo Nordisk (2020). Effect and safety of semaglutide 2.4 mg once-weekly in subjects with overweight or obesity</w:t>
            </w:r>
            <w:r w:rsidR="00815FA9" w:rsidRPr="003771DB">
              <w:rPr>
                <w:szCs w:val="18"/>
              </w:rPr>
              <w:t>.</w:t>
            </w:r>
          </w:p>
        </w:tc>
        <w:tc>
          <w:tcPr>
            <w:tcW w:w="1611" w:type="pct"/>
            <w:tcBorders>
              <w:top w:val="single" w:sz="4" w:space="0" w:color="auto"/>
              <w:left w:val="single" w:sz="4" w:space="0" w:color="auto"/>
              <w:bottom w:val="nil"/>
              <w:right w:val="single" w:sz="4" w:space="0" w:color="auto"/>
            </w:tcBorders>
          </w:tcPr>
          <w:p w14:paraId="0A7D393C" w14:textId="77777777" w:rsidR="00D4509A" w:rsidRPr="003771DB" w:rsidRDefault="00D4509A" w:rsidP="00597C44">
            <w:pPr>
              <w:pStyle w:val="Tabletext0"/>
              <w:keepNext/>
              <w:keepLines/>
              <w:spacing w:after="20"/>
            </w:pPr>
            <w:r w:rsidRPr="003771DB">
              <w:t>Internal study report</w:t>
            </w:r>
          </w:p>
        </w:tc>
      </w:tr>
      <w:tr w:rsidR="00D4509A" w:rsidRPr="003771DB" w14:paraId="0CFA6F4E" w14:textId="77777777" w:rsidTr="006C5871">
        <w:tc>
          <w:tcPr>
            <w:tcW w:w="771" w:type="pct"/>
            <w:vMerge/>
            <w:tcBorders>
              <w:top w:val="nil"/>
              <w:left w:val="single" w:sz="4" w:space="0" w:color="auto"/>
              <w:bottom w:val="nil"/>
              <w:right w:val="single" w:sz="4" w:space="0" w:color="auto"/>
            </w:tcBorders>
            <w:vAlign w:val="center"/>
          </w:tcPr>
          <w:p w14:paraId="624BEA17" w14:textId="77777777" w:rsidR="00D4509A" w:rsidRPr="003771DB" w:rsidRDefault="00D4509A" w:rsidP="00597C44">
            <w:pPr>
              <w:pStyle w:val="Tabletext0"/>
              <w:keepNext/>
              <w:keepLines/>
            </w:pPr>
          </w:p>
        </w:tc>
        <w:tc>
          <w:tcPr>
            <w:tcW w:w="2618" w:type="pct"/>
            <w:tcBorders>
              <w:top w:val="nil"/>
              <w:left w:val="single" w:sz="4" w:space="0" w:color="auto"/>
              <w:bottom w:val="nil"/>
              <w:right w:val="single" w:sz="4" w:space="0" w:color="auto"/>
            </w:tcBorders>
            <w:vAlign w:val="center"/>
          </w:tcPr>
          <w:p w14:paraId="156055C4" w14:textId="1AD04663" w:rsidR="00D4509A" w:rsidRPr="003771DB" w:rsidRDefault="00D4509A" w:rsidP="00597C44">
            <w:pPr>
              <w:pStyle w:val="Tabletext0"/>
              <w:keepNext/>
              <w:keepLines/>
              <w:spacing w:after="20"/>
              <w:rPr>
                <w:szCs w:val="18"/>
              </w:rPr>
            </w:pPr>
            <w:r w:rsidRPr="003771DB">
              <w:rPr>
                <w:szCs w:val="18"/>
              </w:rPr>
              <w:t>Novo Nordisk (2021). Effect and safety of semaglutide 2.4 mg once-weekly in subjects with overweight or obesity (extension phase)</w:t>
            </w:r>
            <w:r w:rsidR="00815FA9" w:rsidRPr="003771DB">
              <w:rPr>
                <w:szCs w:val="18"/>
              </w:rPr>
              <w:t>.</w:t>
            </w:r>
          </w:p>
        </w:tc>
        <w:tc>
          <w:tcPr>
            <w:tcW w:w="1611" w:type="pct"/>
            <w:tcBorders>
              <w:top w:val="nil"/>
              <w:left w:val="single" w:sz="4" w:space="0" w:color="auto"/>
              <w:bottom w:val="nil"/>
              <w:right w:val="single" w:sz="4" w:space="0" w:color="auto"/>
            </w:tcBorders>
          </w:tcPr>
          <w:p w14:paraId="2BC7043D" w14:textId="77777777" w:rsidR="00D4509A" w:rsidRPr="003771DB" w:rsidRDefault="00D4509A" w:rsidP="00597C44">
            <w:pPr>
              <w:pStyle w:val="Tabletext0"/>
              <w:keepNext/>
              <w:keepLines/>
              <w:spacing w:after="20"/>
            </w:pPr>
            <w:r w:rsidRPr="003771DB">
              <w:t>Internal study report</w:t>
            </w:r>
          </w:p>
        </w:tc>
      </w:tr>
      <w:tr w:rsidR="00D4509A" w:rsidRPr="003771DB" w14:paraId="4E0DF75C" w14:textId="77777777" w:rsidTr="006C5871">
        <w:tc>
          <w:tcPr>
            <w:tcW w:w="771" w:type="pct"/>
            <w:vMerge/>
            <w:tcBorders>
              <w:top w:val="nil"/>
              <w:left w:val="single" w:sz="4" w:space="0" w:color="auto"/>
              <w:bottom w:val="nil"/>
              <w:right w:val="single" w:sz="4" w:space="0" w:color="auto"/>
            </w:tcBorders>
            <w:vAlign w:val="center"/>
          </w:tcPr>
          <w:p w14:paraId="7E8CC053" w14:textId="77777777" w:rsidR="00D4509A" w:rsidRPr="003771DB" w:rsidRDefault="00D4509A" w:rsidP="00597C44">
            <w:pPr>
              <w:pStyle w:val="Tabletext0"/>
              <w:keepNext/>
              <w:keepLines/>
            </w:pPr>
          </w:p>
        </w:tc>
        <w:tc>
          <w:tcPr>
            <w:tcW w:w="2618" w:type="pct"/>
            <w:tcBorders>
              <w:top w:val="nil"/>
              <w:left w:val="single" w:sz="4" w:space="0" w:color="auto"/>
              <w:bottom w:val="nil"/>
              <w:right w:val="single" w:sz="4" w:space="0" w:color="auto"/>
            </w:tcBorders>
            <w:vAlign w:val="center"/>
          </w:tcPr>
          <w:p w14:paraId="78BB2ACF" w14:textId="2FB58A4A" w:rsidR="00D4509A" w:rsidRPr="003771DB" w:rsidRDefault="00D4509A" w:rsidP="00597C44">
            <w:pPr>
              <w:pStyle w:val="Tabletext0"/>
              <w:keepNext/>
              <w:keepLines/>
              <w:spacing w:after="20"/>
              <w:rPr>
                <w:szCs w:val="18"/>
              </w:rPr>
            </w:pPr>
            <w:r w:rsidRPr="003771DB">
              <w:rPr>
                <w:szCs w:val="18"/>
              </w:rPr>
              <w:t xml:space="preserve">Novo Nordisk (2021). STEP-1 </w:t>
            </w:r>
            <w:r w:rsidR="00815FA9" w:rsidRPr="003771DB">
              <w:rPr>
                <w:szCs w:val="18"/>
              </w:rPr>
              <w:t>s</w:t>
            </w:r>
            <w:r w:rsidRPr="003771DB">
              <w:rPr>
                <w:szCs w:val="18"/>
              </w:rPr>
              <w:t xml:space="preserve">ubgroup </w:t>
            </w:r>
            <w:r w:rsidR="00815FA9" w:rsidRPr="003771DB">
              <w:rPr>
                <w:szCs w:val="18"/>
              </w:rPr>
              <w:t>a</w:t>
            </w:r>
            <w:r w:rsidRPr="003771DB">
              <w:rPr>
                <w:szCs w:val="18"/>
              </w:rPr>
              <w:t>nalysis</w:t>
            </w:r>
            <w:r w:rsidR="00815FA9" w:rsidRPr="003771DB">
              <w:rPr>
                <w:szCs w:val="18"/>
              </w:rPr>
              <w:t>.</w:t>
            </w:r>
          </w:p>
        </w:tc>
        <w:tc>
          <w:tcPr>
            <w:tcW w:w="1611" w:type="pct"/>
            <w:tcBorders>
              <w:top w:val="nil"/>
              <w:left w:val="single" w:sz="4" w:space="0" w:color="auto"/>
              <w:bottom w:val="nil"/>
              <w:right w:val="single" w:sz="4" w:space="0" w:color="auto"/>
            </w:tcBorders>
          </w:tcPr>
          <w:p w14:paraId="3F662E60" w14:textId="77777777" w:rsidR="00D4509A" w:rsidRPr="003771DB" w:rsidRDefault="00D4509A" w:rsidP="00597C44">
            <w:pPr>
              <w:pStyle w:val="Tabletext0"/>
              <w:keepNext/>
              <w:keepLines/>
              <w:spacing w:after="20"/>
            </w:pPr>
            <w:r w:rsidRPr="003771DB">
              <w:t>Internal study report</w:t>
            </w:r>
          </w:p>
        </w:tc>
      </w:tr>
      <w:tr w:rsidR="00D4509A" w:rsidRPr="003771DB" w14:paraId="6BB33FFA" w14:textId="77777777" w:rsidTr="006C5871">
        <w:tc>
          <w:tcPr>
            <w:tcW w:w="771" w:type="pct"/>
            <w:vMerge/>
            <w:tcBorders>
              <w:top w:val="nil"/>
              <w:left w:val="single" w:sz="4" w:space="0" w:color="auto"/>
              <w:bottom w:val="nil"/>
              <w:right w:val="single" w:sz="4" w:space="0" w:color="auto"/>
            </w:tcBorders>
            <w:vAlign w:val="center"/>
          </w:tcPr>
          <w:p w14:paraId="08D76023" w14:textId="77777777" w:rsidR="00D4509A" w:rsidRPr="003771DB" w:rsidRDefault="00D4509A" w:rsidP="00597C44">
            <w:pPr>
              <w:pStyle w:val="Tabletext0"/>
              <w:keepNext/>
              <w:keepLines/>
            </w:pPr>
          </w:p>
        </w:tc>
        <w:tc>
          <w:tcPr>
            <w:tcW w:w="2618" w:type="pct"/>
            <w:tcBorders>
              <w:top w:val="nil"/>
              <w:left w:val="single" w:sz="4" w:space="0" w:color="auto"/>
              <w:bottom w:val="nil"/>
              <w:right w:val="single" w:sz="4" w:space="0" w:color="auto"/>
            </w:tcBorders>
            <w:vAlign w:val="center"/>
          </w:tcPr>
          <w:p w14:paraId="498FDEC7" w14:textId="6BFA9282" w:rsidR="00D4509A" w:rsidRPr="003771DB" w:rsidRDefault="00D4509A" w:rsidP="00597C44">
            <w:pPr>
              <w:pStyle w:val="Tabletext0"/>
              <w:keepNext/>
              <w:keepLines/>
              <w:spacing w:after="20"/>
              <w:rPr>
                <w:szCs w:val="18"/>
              </w:rPr>
            </w:pPr>
            <w:r w:rsidRPr="003771DB">
              <w:rPr>
                <w:szCs w:val="18"/>
              </w:rPr>
              <w:t xml:space="preserve">IQVIA (2022). Health </w:t>
            </w:r>
            <w:r w:rsidR="00815FA9" w:rsidRPr="003771DB">
              <w:rPr>
                <w:szCs w:val="18"/>
              </w:rPr>
              <w:t>e</w:t>
            </w:r>
            <w:r w:rsidRPr="003771DB">
              <w:rPr>
                <w:szCs w:val="18"/>
              </w:rPr>
              <w:t xml:space="preserve">conomics and </w:t>
            </w:r>
            <w:r w:rsidR="00815FA9" w:rsidRPr="003771DB">
              <w:rPr>
                <w:szCs w:val="18"/>
              </w:rPr>
              <w:t>o</w:t>
            </w:r>
            <w:r w:rsidRPr="003771DB">
              <w:rPr>
                <w:szCs w:val="18"/>
              </w:rPr>
              <w:t xml:space="preserve">utcomes </w:t>
            </w:r>
            <w:r w:rsidR="00815FA9" w:rsidRPr="003771DB">
              <w:rPr>
                <w:szCs w:val="18"/>
              </w:rPr>
              <w:t>r</w:t>
            </w:r>
            <w:r w:rsidRPr="003771DB">
              <w:rPr>
                <w:szCs w:val="18"/>
              </w:rPr>
              <w:t xml:space="preserve">esearch </w:t>
            </w:r>
            <w:r w:rsidR="00815FA9" w:rsidRPr="003771DB">
              <w:rPr>
                <w:szCs w:val="18"/>
              </w:rPr>
              <w:t>s</w:t>
            </w:r>
            <w:r w:rsidRPr="003771DB">
              <w:rPr>
                <w:szCs w:val="18"/>
              </w:rPr>
              <w:t xml:space="preserve">tatistical </w:t>
            </w:r>
            <w:r w:rsidR="00815FA9" w:rsidRPr="003771DB">
              <w:rPr>
                <w:szCs w:val="18"/>
              </w:rPr>
              <w:t>r</w:t>
            </w:r>
            <w:r w:rsidRPr="003771DB">
              <w:rPr>
                <w:szCs w:val="18"/>
              </w:rPr>
              <w:t>eport</w:t>
            </w:r>
            <w:r w:rsidR="00815FA9" w:rsidRPr="003771DB">
              <w:rPr>
                <w:szCs w:val="18"/>
              </w:rPr>
              <w:t>:</w:t>
            </w:r>
            <w:r w:rsidRPr="003771DB">
              <w:rPr>
                <w:szCs w:val="18"/>
              </w:rPr>
              <w:t xml:space="preserve"> Effect and safety of semaglutide 2.4 mg once-weekly in subjects with overweight or obesity</w:t>
            </w:r>
            <w:r w:rsidR="00815FA9" w:rsidRPr="003771DB">
              <w:rPr>
                <w:szCs w:val="18"/>
              </w:rPr>
              <w:t>.</w:t>
            </w:r>
          </w:p>
        </w:tc>
        <w:tc>
          <w:tcPr>
            <w:tcW w:w="1611" w:type="pct"/>
            <w:tcBorders>
              <w:top w:val="nil"/>
              <w:left w:val="single" w:sz="4" w:space="0" w:color="auto"/>
              <w:bottom w:val="nil"/>
              <w:right w:val="single" w:sz="4" w:space="0" w:color="auto"/>
            </w:tcBorders>
          </w:tcPr>
          <w:p w14:paraId="2F625DBF" w14:textId="77777777" w:rsidR="00D4509A" w:rsidRPr="003771DB" w:rsidRDefault="00D4509A" w:rsidP="00597C44">
            <w:pPr>
              <w:pStyle w:val="Tabletext0"/>
              <w:keepNext/>
              <w:keepLines/>
              <w:spacing w:after="20"/>
            </w:pPr>
            <w:r w:rsidRPr="003771DB">
              <w:t>Internal study report</w:t>
            </w:r>
          </w:p>
        </w:tc>
      </w:tr>
      <w:tr w:rsidR="00D4509A" w:rsidRPr="003771DB" w14:paraId="3AB978FB" w14:textId="77777777" w:rsidTr="006C5871">
        <w:tc>
          <w:tcPr>
            <w:tcW w:w="771" w:type="pct"/>
            <w:vMerge/>
            <w:tcBorders>
              <w:top w:val="nil"/>
              <w:left w:val="single" w:sz="4" w:space="0" w:color="auto"/>
              <w:bottom w:val="nil"/>
              <w:right w:val="single" w:sz="4" w:space="0" w:color="auto"/>
            </w:tcBorders>
            <w:vAlign w:val="center"/>
          </w:tcPr>
          <w:p w14:paraId="56AA409F" w14:textId="77777777" w:rsidR="00D4509A" w:rsidRPr="003771DB" w:rsidRDefault="00D4509A" w:rsidP="00597C44">
            <w:pPr>
              <w:pStyle w:val="Tabletext0"/>
              <w:keepNext/>
              <w:keepLines/>
            </w:pPr>
          </w:p>
        </w:tc>
        <w:tc>
          <w:tcPr>
            <w:tcW w:w="2618" w:type="pct"/>
            <w:tcBorders>
              <w:top w:val="nil"/>
              <w:left w:val="single" w:sz="4" w:space="0" w:color="auto"/>
              <w:bottom w:val="nil"/>
              <w:right w:val="single" w:sz="4" w:space="0" w:color="auto"/>
            </w:tcBorders>
            <w:vAlign w:val="center"/>
          </w:tcPr>
          <w:p w14:paraId="5C7DF5B1" w14:textId="30A86549" w:rsidR="00D4509A" w:rsidRPr="003771DB" w:rsidRDefault="00D4509A" w:rsidP="00597C44">
            <w:pPr>
              <w:pStyle w:val="Tabletext0"/>
              <w:keepNext/>
              <w:keepLines/>
              <w:spacing w:after="20"/>
              <w:rPr>
                <w:szCs w:val="18"/>
              </w:rPr>
            </w:pPr>
            <w:r w:rsidRPr="003771DB">
              <w:rPr>
                <w:szCs w:val="18"/>
              </w:rPr>
              <w:t>Wilding</w:t>
            </w:r>
            <w:r w:rsidR="00EC6B18" w:rsidRPr="003771DB">
              <w:rPr>
                <w:szCs w:val="18"/>
              </w:rPr>
              <w:t>,</w:t>
            </w:r>
            <w:r w:rsidRPr="003771DB">
              <w:rPr>
                <w:szCs w:val="18"/>
              </w:rPr>
              <w:t xml:space="preserve"> </w:t>
            </w:r>
            <w:r w:rsidRPr="003771DB">
              <w:rPr>
                <w:i/>
                <w:iCs/>
                <w:szCs w:val="18"/>
              </w:rPr>
              <w:t>et al</w:t>
            </w:r>
            <w:r w:rsidRPr="003771DB">
              <w:rPr>
                <w:szCs w:val="18"/>
              </w:rPr>
              <w:t xml:space="preserve"> (2021). Once-</w:t>
            </w:r>
            <w:r w:rsidR="00815FA9" w:rsidRPr="003771DB">
              <w:rPr>
                <w:szCs w:val="18"/>
              </w:rPr>
              <w:t>w</w:t>
            </w:r>
            <w:r w:rsidRPr="003771DB">
              <w:rPr>
                <w:szCs w:val="18"/>
              </w:rPr>
              <w:t xml:space="preserve">eekly </w:t>
            </w:r>
            <w:r w:rsidR="00815FA9" w:rsidRPr="003771DB">
              <w:rPr>
                <w:szCs w:val="18"/>
              </w:rPr>
              <w:t>s</w:t>
            </w:r>
            <w:r w:rsidRPr="003771DB">
              <w:rPr>
                <w:szCs w:val="18"/>
              </w:rPr>
              <w:t xml:space="preserve">emaglutide in </w:t>
            </w:r>
            <w:r w:rsidR="00815FA9" w:rsidRPr="003771DB">
              <w:rPr>
                <w:szCs w:val="18"/>
              </w:rPr>
              <w:t>a</w:t>
            </w:r>
            <w:r w:rsidRPr="003771DB">
              <w:rPr>
                <w:szCs w:val="18"/>
              </w:rPr>
              <w:t xml:space="preserve">dults with </w:t>
            </w:r>
            <w:r w:rsidR="00815FA9" w:rsidRPr="003771DB">
              <w:rPr>
                <w:szCs w:val="18"/>
              </w:rPr>
              <w:t>o</w:t>
            </w:r>
            <w:r w:rsidRPr="003771DB">
              <w:rPr>
                <w:szCs w:val="18"/>
              </w:rPr>
              <w:t xml:space="preserve">verweight or </w:t>
            </w:r>
            <w:r w:rsidR="00815FA9" w:rsidRPr="003771DB">
              <w:rPr>
                <w:szCs w:val="18"/>
              </w:rPr>
              <w:t>o</w:t>
            </w:r>
            <w:r w:rsidRPr="003771DB">
              <w:rPr>
                <w:szCs w:val="18"/>
              </w:rPr>
              <w:t>besity</w:t>
            </w:r>
            <w:r w:rsidR="00815FA9" w:rsidRPr="003771DB">
              <w:rPr>
                <w:szCs w:val="18"/>
              </w:rPr>
              <w:t>.</w:t>
            </w:r>
          </w:p>
        </w:tc>
        <w:tc>
          <w:tcPr>
            <w:tcW w:w="1611" w:type="pct"/>
            <w:tcBorders>
              <w:top w:val="nil"/>
              <w:left w:val="single" w:sz="4" w:space="0" w:color="auto"/>
              <w:bottom w:val="nil"/>
              <w:right w:val="single" w:sz="4" w:space="0" w:color="auto"/>
            </w:tcBorders>
          </w:tcPr>
          <w:p w14:paraId="674770A6" w14:textId="77777777" w:rsidR="00D4509A" w:rsidRPr="003771DB" w:rsidRDefault="00D4509A" w:rsidP="00597C44">
            <w:pPr>
              <w:pStyle w:val="Tabletext0"/>
              <w:keepNext/>
              <w:keepLines/>
              <w:spacing w:after="20"/>
            </w:pPr>
            <w:r w:rsidRPr="003771DB">
              <w:t>New England Journal of Medicine 384: 989-1002</w:t>
            </w:r>
          </w:p>
        </w:tc>
      </w:tr>
      <w:tr w:rsidR="00D4509A" w:rsidRPr="003771DB" w14:paraId="1AF24CD7" w14:textId="77777777" w:rsidTr="006C5871">
        <w:tc>
          <w:tcPr>
            <w:tcW w:w="771" w:type="pct"/>
            <w:vMerge/>
            <w:tcBorders>
              <w:top w:val="nil"/>
              <w:left w:val="single" w:sz="4" w:space="0" w:color="auto"/>
              <w:right w:val="single" w:sz="4" w:space="0" w:color="auto"/>
            </w:tcBorders>
            <w:vAlign w:val="center"/>
          </w:tcPr>
          <w:p w14:paraId="78630581" w14:textId="77777777" w:rsidR="00D4509A" w:rsidRPr="003771DB" w:rsidRDefault="00D4509A" w:rsidP="00597C44">
            <w:pPr>
              <w:pStyle w:val="Tabletext0"/>
              <w:keepNext/>
              <w:keepLines/>
            </w:pPr>
          </w:p>
        </w:tc>
        <w:tc>
          <w:tcPr>
            <w:tcW w:w="2618" w:type="pct"/>
            <w:tcBorders>
              <w:top w:val="nil"/>
              <w:left w:val="single" w:sz="4" w:space="0" w:color="auto"/>
              <w:bottom w:val="single" w:sz="4" w:space="0" w:color="auto"/>
              <w:right w:val="single" w:sz="4" w:space="0" w:color="auto"/>
            </w:tcBorders>
            <w:vAlign w:val="center"/>
          </w:tcPr>
          <w:p w14:paraId="09D71B48" w14:textId="0350A9EF" w:rsidR="00D4509A" w:rsidRPr="003771DB" w:rsidRDefault="00D4509A" w:rsidP="00597C44">
            <w:pPr>
              <w:pStyle w:val="Tabletext0"/>
              <w:keepNext/>
              <w:keepLines/>
              <w:rPr>
                <w:szCs w:val="18"/>
              </w:rPr>
            </w:pPr>
            <w:r w:rsidRPr="003771DB">
              <w:rPr>
                <w:szCs w:val="18"/>
              </w:rPr>
              <w:t xml:space="preserve">Kushner et al (2021a). Once-weekly </w:t>
            </w:r>
            <w:r w:rsidR="00815FA9" w:rsidRPr="003771DB">
              <w:rPr>
                <w:szCs w:val="18"/>
              </w:rPr>
              <w:t>s</w:t>
            </w:r>
            <w:r w:rsidRPr="003771DB">
              <w:rPr>
                <w:szCs w:val="18"/>
              </w:rPr>
              <w:t xml:space="preserve">ubcutaneous </w:t>
            </w:r>
            <w:r w:rsidR="00815FA9" w:rsidRPr="003771DB">
              <w:rPr>
                <w:szCs w:val="18"/>
              </w:rPr>
              <w:t>s</w:t>
            </w:r>
            <w:r w:rsidRPr="003771DB">
              <w:rPr>
                <w:szCs w:val="18"/>
              </w:rPr>
              <w:t xml:space="preserve">emaglutide 2.4 mg </w:t>
            </w:r>
            <w:r w:rsidR="00815FA9" w:rsidRPr="003771DB">
              <w:rPr>
                <w:szCs w:val="18"/>
              </w:rPr>
              <w:t>r</w:t>
            </w:r>
            <w:r w:rsidRPr="003771DB">
              <w:rPr>
                <w:szCs w:val="18"/>
              </w:rPr>
              <w:t xml:space="preserve">educes </w:t>
            </w:r>
            <w:r w:rsidR="00815FA9" w:rsidRPr="003771DB">
              <w:rPr>
                <w:szCs w:val="18"/>
              </w:rPr>
              <w:t>b</w:t>
            </w:r>
            <w:r w:rsidRPr="003771DB">
              <w:rPr>
                <w:szCs w:val="18"/>
              </w:rPr>
              <w:t xml:space="preserve">ody </w:t>
            </w:r>
            <w:r w:rsidR="00815FA9" w:rsidRPr="003771DB">
              <w:rPr>
                <w:szCs w:val="18"/>
              </w:rPr>
              <w:t>w</w:t>
            </w:r>
            <w:r w:rsidRPr="003771DB">
              <w:rPr>
                <w:szCs w:val="18"/>
              </w:rPr>
              <w:t xml:space="preserve">eight in </w:t>
            </w:r>
            <w:r w:rsidR="00815FA9" w:rsidRPr="003771DB">
              <w:rPr>
                <w:szCs w:val="18"/>
              </w:rPr>
              <w:t>a</w:t>
            </w:r>
            <w:r w:rsidRPr="003771DB">
              <w:rPr>
                <w:szCs w:val="18"/>
              </w:rPr>
              <w:t xml:space="preserve">dults with </w:t>
            </w:r>
            <w:r w:rsidR="00815FA9" w:rsidRPr="003771DB">
              <w:rPr>
                <w:szCs w:val="18"/>
              </w:rPr>
              <w:t>o</w:t>
            </w:r>
            <w:r w:rsidRPr="003771DB">
              <w:rPr>
                <w:szCs w:val="18"/>
              </w:rPr>
              <w:t xml:space="preserve">verweight or </w:t>
            </w:r>
            <w:r w:rsidR="00815FA9" w:rsidRPr="003771DB">
              <w:rPr>
                <w:szCs w:val="18"/>
              </w:rPr>
              <w:t>o</w:t>
            </w:r>
            <w:r w:rsidRPr="003771DB">
              <w:rPr>
                <w:szCs w:val="18"/>
              </w:rPr>
              <w:t xml:space="preserve">besity </w:t>
            </w:r>
            <w:r w:rsidR="00815FA9" w:rsidRPr="003771DB">
              <w:rPr>
                <w:szCs w:val="18"/>
              </w:rPr>
              <w:t>r</w:t>
            </w:r>
            <w:r w:rsidRPr="003771DB">
              <w:rPr>
                <w:szCs w:val="18"/>
              </w:rPr>
              <w:t xml:space="preserve">egardless of </w:t>
            </w:r>
            <w:r w:rsidR="00815FA9" w:rsidRPr="003771DB">
              <w:rPr>
                <w:szCs w:val="18"/>
              </w:rPr>
              <w:t>b</w:t>
            </w:r>
            <w:r w:rsidRPr="003771DB">
              <w:rPr>
                <w:szCs w:val="18"/>
              </w:rPr>
              <w:t xml:space="preserve">aseline </w:t>
            </w:r>
            <w:r w:rsidR="00815FA9" w:rsidRPr="003771DB">
              <w:rPr>
                <w:szCs w:val="18"/>
              </w:rPr>
              <w:t>c</w:t>
            </w:r>
            <w:r w:rsidRPr="003771DB">
              <w:rPr>
                <w:szCs w:val="18"/>
              </w:rPr>
              <w:t>haracteristics (STEP 1)</w:t>
            </w:r>
            <w:r w:rsidR="00815FA9" w:rsidRPr="003771DB">
              <w:rPr>
                <w:szCs w:val="18"/>
              </w:rPr>
              <w:t>.</w:t>
            </w:r>
          </w:p>
        </w:tc>
        <w:tc>
          <w:tcPr>
            <w:tcW w:w="1611" w:type="pct"/>
            <w:tcBorders>
              <w:top w:val="nil"/>
              <w:left w:val="single" w:sz="4" w:space="0" w:color="auto"/>
              <w:bottom w:val="single" w:sz="4" w:space="0" w:color="auto"/>
              <w:right w:val="single" w:sz="4" w:space="0" w:color="auto"/>
            </w:tcBorders>
          </w:tcPr>
          <w:p w14:paraId="1C3E3E8C" w14:textId="1D99CF0A" w:rsidR="00D4509A" w:rsidRPr="003771DB" w:rsidRDefault="00D4509A" w:rsidP="00597C44">
            <w:pPr>
              <w:pStyle w:val="Tabletext0"/>
              <w:keepNext/>
              <w:keepLines/>
            </w:pPr>
            <w:r w:rsidRPr="003771DB">
              <w:t>Journal of the Endocrine Society A24 [</w:t>
            </w:r>
            <w:r w:rsidR="00EC6B18" w:rsidRPr="003771DB">
              <w:t>a</w:t>
            </w:r>
            <w:r w:rsidRPr="003771DB">
              <w:t xml:space="preserve">bstract &amp; </w:t>
            </w:r>
            <w:r w:rsidR="00EC6B18" w:rsidRPr="003771DB">
              <w:t>p</w:t>
            </w:r>
            <w:r w:rsidRPr="003771DB">
              <w:t>oster only]</w:t>
            </w:r>
          </w:p>
        </w:tc>
      </w:tr>
      <w:tr w:rsidR="00D4509A" w:rsidRPr="003771DB" w14:paraId="1119072E" w14:textId="77777777" w:rsidTr="006C5871">
        <w:tc>
          <w:tcPr>
            <w:tcW w:w="771" w:type="pct"/>
            <w:vMerge w:val="restart"/>
            <w:tcBorders>
              <w:top w:val="single" w:sz="4" w:space="0" w:color="auto"/>
              <w:left w:val="single" w:sz="4" w:space="0" w:color="auto"/>
              <w:right w:val="single" w:sz="4" w:space="0" w:color="auto"/>
            </w:tcBorders>
            <w:vAlign w:val="center"/>
          </w:tcPr>
          <w:p w14:paraId="5C7A8EA0" w14:textId="77777777" w:rsidR="00D4509A" w:rsidRPr="003771DB" w:rsidRDefault="00D4509A" w:rsidP="00597C44">
            <w:pPr>
              <w:pStyle w:val="Tabletext0"/>
              <w:keepNext/>
              <w:keepLines/>
            </w:pPr>
            <w:r w:rsidRPr="003771DB">
              <w:t xml:space="preserve">NN9536-4374 </w:t>
            </w:r>
          </w:p>
          <w:p w14:paraId="64BE64A4" w14:textId="77777777" w:rsidR="00D4509A" w:rsidRPr="003771DB" w:rsidRDefault="00D4509A" w:rsidP="00597C44">
            <w:pPr>
              <w:pStyle w:val="Tabletext0"/>
              <w:keepNext/>
              <w:keepLines/>
            </w:pPr>
            <w:r w:rsidRPr="003771DB">
              <w:t>(STEP-2)</w:t>
            </w:r>
          </w:p>
        </w:tc>
        <w:tc>
          <w:tcPr>
            <w:tcW w:w="2618" w:type="pct"/>
            <w:tcBorders>
              <w:top w:val="single" w:sz="4" w:space="0" w:color="auto"/>
              <w:left w:val="single" w:sz="4" w:space="0" w:color="auto"/>
              <w:bottom w:val="nil"/>
              <w:right w:val="single" w:sz="4" w:space="0" w:color="auto"/>
            </w:tcBorders>
            <w:vAlign w:val="center"/>
          </w:tcPr>
          <w:p w14:paraId="7727E395" w14:textId="73E1F70D" w:rsidR="00D4509A" w:rsidRPr="003771DB" w:rsidRDefault="00D4509A" w:rsidP="00597C44">
            <w:pPr>
              <w:pStyle w:val="Tabletext0"/>
              <w:keepNext/>
              <w:keepLines/>
              <w:spacing w:after="20"/>
              <w:rPr>
                <w:szCs w:val="18"/>
              </w:rPr>
            </w:pPr>
            <w:r w:rsidRPr="003771DB">
              <w:rPr>
                <w:szCs w:val="18"/>
              </w:rPr>
              <w:t>Novo Nordisk (2020). Effect and safety of semaglutide 2.4 mg once-weekly in subjects with overweight or obesity and type 2 diabetes</w:t>
            </w:r>
            <w:r w:rsidR="00815FA9" w:rsidRPr="003771DB">
              <w:rPr>
                <w:szCs w:val="18"/>
              </w:rPr>
              <w:t>.</w:t>
            </w:r>
          </w:p>
        </w:tc>
        <w:tc>
          <w:tcPr>
            <w:tcW w:w="1611" w:type="pct"/>
            <w:tcBorders>
              <w:top w:val="single" w:sz="4" w:space="0" w:color="auto"/>
              <w:left w:val="single" w:sz="4" w:space="0" w:color="auto"/>
              <w:bottom w:val="nil"/>
              <w:right w:val="single" w:sz="4" w:space="0" w:color="auto"/>
            </w:tcBorders>
          </w:tcPr>
          <w:p w14:paraId="5052BC92" w14:textId="77777777" w:rsidR="00D4509A" w:rsidRPr="003771DB" w:rsidRDefault="00D4509A" w:rsidP="00597C44">
            <w:pPr>
              <w:pStyle w:val="Tabletext0"/>
              <w:keepNext/>
              <w:keepLines/>
              <w:spacing w:after="20"/>
            </w:pPr>
            <w:r w:rsidRPr="003771DB">
              <w:t>Internal study report</w:t>
            </w:r>
          </w:p>
        </w:tc>
      </w:tr>
      <w:tr w:rsidR="00D4509A" w:rsidRPr="003771DB" w14:paraId="26AAD0DE" w14:textId="77777777" w:rsidTr="006C5871">
        <w:tc>
          <w:tcPr>
            <w:tcW w:w="771" w:type="pct"/>
            <w:vMerge/>
            <w:tcBorders>
              <w:left w:val="single" w:sz="4" w:space="0" w:color="auto"/>
              <w:right w:val="single" w:sz="4" w:space="0" w:color="auto"/>
            </w:tcBorders>
            <w:vAlign w:val="center"/>
          </w:tcPr>
          <w:p w14:paraId="083536E6" w14:textId="77777777" w:rsidR="00D4509A" w:rsidRPr="003771DB" w:rsidRDefault="00D4509A" w:rsidP="00597C44">
            <w:pPr>
              <w:pStyle w:val="Tabletext0"/>
              <w:keepNext/>
              <w:keepLines/>
            </w:pPr>
          </w:p>
        </w:tc>
        <w:tc>
          <w:tcPr>
            <w:tcW w:w="2618" w:type="pct"/>
            <w:tcBorders>
              <w:top w:val="nil"/>
              <w:left w:val="single" w:sz="4" w:space="0" w:color="auto"/>
              <w:bottom w:val="single" w:sz="4" w:space="0" w:color="auto"/>
              <w:right w:val="single" w:sz="4" w:space="0" w:color="auto"/>
            </w:tcBorders>
            <w:vAlign w:val="center"/>
          </w:tcPr>
          <w:p w14:paraId="7C87B818" w14:textId="47427344" w:rsidR="00D4509A" w:rsidRPr="003771DB" w:rsidRDefault="00D4509A" w:rsidP="00597C44">
            <w:pPr>
              <w:pStyle w:val="Tabletext0"/>
              <w:keepNext/>
              <w:keepLines/>
              <w:rPr>
                <w:iCs/>
              </w:rPr>
            </w:pPr>
            <w:r w:rsidRPr="003771DB">
              <w:rPr>
                <w:iCs/>
              </w:rPr>
              <w:t>Davies</w:t>
            </w:r>
            <w:r w:rsidR="00EC6B18" w:rsidRPr="003771DB">
              <w:rPr>
                <w:iCs/>
              </w:rPr>
              <w:t>,</w:t>
            </w:r>
            <w:r w:rsidRPr="003771DB">
              <w:rPr>
                <w:i/>
              </w:rPr>
              <w:t xml:space="preserve"> et al</w:t>
            </w:r>
            <w:r w:rsidRPr="003771DB">
              <w:rPr>
                <w:iCs/>
              </w:rPr>
              <w:t xml:space="preserve"> (2021). Semaglutide 2·4 mg once a week in adults with overweight or obesity, and type 2 diabetes (STEP 2): a randomised, double-blind, double-dummy, placebo-controlled, phase 3 trial</w:t>
            </w:r>
            <w:r w:rsidR="00815FA9" w:rsidRPr="003771DB">
              <w:rPr>
                <w:iCs/>
              </w:rPr>
              <w:t>.</w:t>
            </w:r>
          </w:p>
        </w:tc>
        <w:tc>
          <w:tcPr>
            <w:tcW w:w="1611" w:type="pct"/>
            <w:tcBorders>
              <w:top w:val="nil"/>
              <w:left w:val="single" w:sz="4" w:space="0" w:color="auto"/>
              <w:bottom w:val="single" w:sz="4" w:space="0" w:color="auto"/>
              <w:right w:val="single" w:sz="4" w:space="0" w:color="auto"/>
            </w:tcBorders>
          </w:tcPr>
          <w:p w14:paraId="7DAE66CD" w14:textId="77777777" w:rsidR="00D4509A" w:rsidRPr="003771DB" w:rsidRDefault="00D4509A" w:rsidP="00597C44">
            <w:pPr>
              <w:pStyle w:val="Tabletext0"/>
              <w:keepNext/>
              <w:keepLines/>
            </w:pPr>
            <w:r w:rsidRPr="003771DB">
              <w:t>Lancet 397: 971-984</w:t>
            </w:r>
          </w:p>
        </w:tc>
      </w:tr>
      <w:tr w:rsidR="00D4509A" w:rsidRPr="003771DB" w14:paraId="548EEE53" w14:textId="77777777" w:rsidTr="006C5871">
        <w:tc>
          <w:tcPr>
            <w:tcW w:w="771" w:type="pct"/>
            <w:vMerge w:val="restart"/>
            <w:tcBorders>
              <w:top w:val="single" w:sz="4" w:space="0" w:color="auto"/>
              <w:left w:val="single" w:sz="4" w:space="0" w:color="auto"/>
              <w:right w:val="single" w:sz="4" w:space="0" w:color="auto"/>
            </w:tcBorders>
            <w:vAlign w:val="center"/>
          </w:tcPr>
          <w:p w14:paraId="021B9B03" w14:textId="77777777" w:rsidR="00D4509A" w:rsidRPr="003771DB" w:rsidRDefault="00D4509A" w:rsidP="00597C44">
            <w:pPr>
              <w:pStyle w:val="Tabletext0"/>
              <w:keepNext/>
              <w:keepLines/>
            </w:pPr>
            <w:r w:rsidRPr="003771DB">
              <w:t xml:space="preserve">NN9536-4375 </w:t>
            </w:r>
            <w:r w:rsidRPr="003771DB">
              <w:br/>
              <w:t>(STEP-3)</w:t>
            </w:r>
          </w:p>
        </w:tc>
        <w:tc>
          <w:tcPr>
            <w:tcW w:w="2618" w:type="pct"/>
            <w:tcBorders>
              <w:top w:val="single" w:sz="4" w:space="0" w:color="auto"/>
              <w:left w:val="single" w:sz="4" w:space="0" w:color="auto"/>
              <w:bottom w:val="nil"/>
              <w:right w:val="single" w:sz="4" w:space="0" w:color="auto"/>
            </w:tcBorders>
            <w:vAlign w:val="center"/>
          </w:tcPr>
          <w:p w14:paraId="781664B4" w14:textId="3C98D0A8" w:rsidR="00D4509A" w:rsidRPr="003771DB" w:rsidRDefault="00D4509A" w:rsidP="006C5871">
            <w:pPr>
              <w:pStyle w:val="Tabletext0"/>
              <w:keepNext/>
              <w:keepLines/>
              <w:spacing w:after="20"/>
              <w:rPr>
                <w:szCs w:val="18"/>
              </w:rPr>
            </w:pPr>
            <w:r w:rsidRPr="003771DB">
              <w:rPr>
                <w:szCs w:val="18"/>
              </w:rPr>
              <w:t>Novo Nordisk (2020). Effect and safety of semaglutide 2.4 mg once-weekly as adjunct to intensive behavioural therapy in subjects with overweight or obesity</w:t>
            </w:r>
            <w:r w:rsidR="00815FA9" w:rsidRPr="003771DB">
              <w:rPr>
                <w:szCs w:val="18"/>
              </w:rPr>
              <w:t>.</w:t>
            </w:r>
          </w:p>
        </w:tc>
        <w:tc>
          <w:tcPr>
            <w:tcW w:w="1611" w:type="pct"/>
            <w:tcBorders>
              <w:top w:val="single" w:sz="4" w:space="0" w:color="auto"/>
              <w:left w:val="single" w:sz="4" w:space="0" w:color="auto"/>
              <w:bottom w:val="nil"/>
              <w:right w:val="single" w:sz="4" w:space="0" w:color="auto"/>
            </w:tcBorders>
          </w:tcPr>
          <w:p w14:paraId="0E224A74" w14:textId="77777777" w:rsidR="00D4509A" w:rsidRPr="003771DB" w:rsidRDefault="00D4509A" w:rsidP="006C5871">
            <w:pPr>
              <w:pStyle w:val="Tabletext0"/>
              <w:keepNext/>
              <w:keepLines/>
              <w:spacing w:after="20"/>
            </w:pPr>
            <w:r w:rsidRPr="003771DB">
              <w:t>Internal study report</w:t>
            </w:r>
          </w:p>
        </w:tc>
      </w:tr>
      <w:tr w:rsidR="00D4509A" w:rsidRPr="003771DB" w14:paraId="0B84B6F0" w14:textId="77777777" w:rsidTr="006C5871">
        <w:tc>
          <w:tcPr>
            <w:tcW w:w="771" w:type="pct"/>
            <w:vMerge/>
            <w:tcBorders>
              <w:left w:val="single" w:sz="4" w:space="0" w:color="auto"/>
              <w:right w:val="single" w:sz="4" w:space="0" w:color="auto"/>
            </w:tcBorders>
            <w:vAlign w:val="center"/>
          </w:tcPr>
          <w:p w14:paraId="0A59CA1C" w14:textId="77777777" w:rsidR="00D4509A" w:rsidRPr="003771DB" w:rsidRDefault="00D4509A" w:rsidP="00597C44">
            <w:pPr>
              <w:pStyle w:val="Tabletext0"/>
              <w:keepNext/>
              <w:keepLines/>
            </w:pPr>
          </w:p>
        </w:tc>
        <w:tc>
          <w:tcPr>
            <w:tcW w:w="2618" w:type="pct"/>
            <w:tcBorders>
              <w:top w:val="nil"/>
              <w:left w:val="single" w:sz="4" w:space="0" w:color="auto"/>
              <w:bottom w:val="single" w:sz="4" w:space="0" w:color="auto"/>
              <w:right w:val="single" w:sz="4" w:space="0" w:color="auto"/>
            </w:tcBorders>
            <w:vAlign w:val="center"/>
          </w:tcPr>
          <w:p w14:paraId="31AB537D" w14:textId="5B4CD80F" w:rsidR="00D4509A" w:rsidRPr="003771DB" w:rsidRDefault="00D4509A" w:rsidP="00597C44">
            <w:pPr>
              <w:pStyle w:val="Tabletext0"/>
              <w:keepNext/>
              <w:keepLines/>
              <w:rPr>
                <w:szCs w:val="18"/>
              </w:rPr>
            </w:pPr>
            <w:proofErr w:type="spellStart"/>
            <w:r w:rsidRPr="003771DB">
              <w:rPr>
                <w:szCs w:val="18"/>
              </w:rPr>
              <w:t>Wadden</w:t>
            </w:r>
            <w:proofErr w:type="spellEnd"/>
            <w:r w:rsidR="00EC6B18" w:rsidRPr="003771DB">
              <w:rPr>
                <w:szCs w:val="18"/>
              </w:rPr>
              <w:t>,</w:t>
            </w:r>
            <w:r w:rsidRPr="003771DB">
              <w:rPr>
                <w:i/>
                <w:iCs/>
                <w:szCs w:val="18"/>
              </w:rPr>
              <w:t xml:space="preserve"> et al</w:t>
            </w:r>
            <w:r w:rsidRPr="003771DB">
              <w:rPr>
                <w:szCs w:val="18"/>
              </w:rPr>
              <w:t xml:space="preserve"> (2021). Effect of </w:t>
            </w:r>
            <w:r w:rsidR="00355859" w:rsidRPr="003771DB">
              <w:rPr>
                <w:szCs w:val="18"/>
              </w:rPr>
              <w:t>s</w:t>
            </w:r>
            <w:r w:rsidRPr="003771DB">
              <w:rPr>
                <w:szCs w:val="18"/>
              </w:rPr>
              <w:t xml:space="preserve">ubcutaneous </w:t>
            </w:r>
            <w:r w:rsidR="00355859" w:rsidRPr="003771DB">
              <w:rPr>
                <w:szCs w:val="18"/>
              </w:rPr>
              <w:t>s</w:t>
            </w:r>
            <w:r w:rsidRPr="003771DB">
              <w:rPr>
                <w:szCs w:val="18"/>
              </w:rPr>
              <w:t xml:space="preserve">emaglutide vs </w:t>
            </w:r>
            <w:r w:rsidR="00355859" w:rsidRPr="003771DB">
              <w:rPr>
                <w:szCs w:val="18"/>
              </w:rPr>
              <w:t>p</w:t>
            </w:r>
            <w:r w:rsidRPr="003771DB">
              <w:rPr>
                <w:szCs w:val="18"/>
              </w:rPr>
              <w:t xml:space="preserve">lacebo as an </w:t>
            </w:r>
            <w:r w:rsidR="00355859" w:rsidRPr="003771DB">
              <w:rPr>
                <w:szCs w:val="18"/>
              </w:rPr>
              <w:t>a</w:t>
            </w:r>
            <w:r w:rsidRPr="003771DB">
              <w:rPr>
                <w:szCs w:val="18"/>
              </w:rPr>
              <w:t xml:space="preserve">djunct to </w:t>
            </w:r>
            <w:r w:rsidR="00355859" w:rsidRPr="003771DB">
              <w:rPr>
                <w:szCs w:val="18"/>
              </w:rPr>
              <w:t>i</w:t>
            </w:r>
            <w:r w:rsidRPr="003771DB">
              <w:rPr>
                <w:szCs w:val="18"/>
              </w:rPr>
              <w:t xml:space="preserve">ntensive </w:t>
            </w:r>
            <w:proofErr w:type="spellStart"/>
            <w:r w:rsidR="00355859" w:rsidRPr="003771DB">
              <w:rPr>
                <w:szCs w:val="18"/>
              </w:rPr>
              <w:t>b</w:t>
            </w:r>
            <w:r w:rsidRPr="003771DB">
              <w:rPr>
                <w:szCs w:val="18"/>
              </w:rPr>
              <w:t>ehavioral</w:t>
            </w:r>
            <w:proofErr w:type="spellEnd"/>
            <w:r w:rsidRPr="003771DB">
              <w:rPr>
                <w:szCs w:val="18"/>
              </w:rPr>
              <w:t xml:space="preserve"> </w:t>
            </w:r>
            <w:r w:rsidR="00355859" w:rsidRPr="003771DB">
              <w:rPr>
                <w:szCs w:val="18"/>
              </w:rPr>
              <w:t>t</w:t>
            </w:r>
            <w:r w:rsidRPr="003771DB">
              <w:rPr>
                <w:szCs w:val="18"/>
              </w:rPr>
              <w:t xml:space="preserve">herapy on </w:t>
            </w:r>
            <w:r w:rsidR="00355859" w:rsidRPr="003771DB">
              <w:rPr>
                <w:szCs w:val="18"/>
              </w:rPr>
              <w:t>b</w:t>
            </w:r>
            <w:r w:rsidRPr="003771DB">
              <w:rPr>
                <w:szCs w:val="18"/>
              </w:rPr>
              <w:t xml:space="preserve">ody </w:t>
            </w:r>
            <w:r w:rsidR="00355859" w:rsidRPr="003771DB">
              <w:rPr>
                <w:szCs w:val="18"/>
              </w:rPr>
              <w:t>w</w:t>
            </w:r>
            <w:r w:rsidRPr="003771DB">
              <w:rPr>
                <w:szCs w:val="18"/>
              </w:rPr>
              <w:t xml:space="preserve">eight in </w:t>
            </w:r>
            <w:r w:rsidR="00355859" w:rsidRPr="003771DB">
              <w:rPr>
                <w:szCs w:val="18"/>
              </w:rPr>
              <w:t>a</w:t>
            </w:r>
            <w:r w:rsidRPr="003771DB">
              <w:rPr>
                <w:szCs w:val="18"/>
              </w:rPr>
              <w:t xml:space="preserve">dults </w:t>
            </w:r>
            <w:r w:rsidR="00815FA9" w:rsidRPr="003771DB">
              <w:rPr>
                <w:szCs w:val="18"/>
              </w:rPr>
              <w:t>w</w:t>
            </w:r>
            <w:r w:rsidRPr="003771DB">
              <w:rPr>
                <w:szCs w:val="18"/>
              </w:rPr>
              <w:t xml:space="preserve">ith </w:t>
            </w:r>
            <w:r w:rsidR="00787505" w:rsidRPr="003771DB">
              <w:rPr>
                <w:szCs w:val="18"/>
              </w:rPr>
              <w:t>o</w:t>
            </w:r>
            <w:r w:rsidRPr="003771DB">
              <w:rPr>
                <w:szCs w:val="18"/>
              </w:rPr>
              <w:t xml:space="preserve">verweight or </w:t>
            </w:r>
            <w:r w:rsidR="00787505" w:rsidRPr="003771DB">
              <w:rPr>
                <w:szCs w:val="18"/>
              </w:rPr>
              <w:t>o</w:t>
            </w:r>
            <w:r w:rsidRPr="003771DB">
              <w:rPr>
                <w:szCs w:val="18"/>
              </w:rPr>
              <w:t xml:space="preserve">besity: The STEP 3 </w:t>
            </w:r>
            <w:r w:rsidR="00787505" w:rsidRPr="003771DB">
              <w:rPr>
                <w:szCs w:val="18"/>
              </w:rPr>
              <w:t>r</w:t>
            </w:r>
            <w:r w:rsidRPr="003771DB">
              <w:rPr>
                <w:szCs w:val="18"/>
              </w:rPr>
              <w:t xml:space="preserve">andomized </w:t>
            </w:r>
            <w:r w:rsidR="00787505" w:rsidRPr="003771DB">
              <w:rPr>
                <w:szCs w:val="18"/>
              </w:rPr>
              <w:t>c</w:t>
            </w:r>
            <w:r w:rsidRPr="003771DB">
              <w:rPr>
                <w:szCs w:val="18"/>
              </w:rPr>
              <w:t xml:space="preserve">linical </w:t>
            </w:r>
            <w:r w:rsidR="00787505" w:rsidRPr="003771DB">
              <w:rPr>
                <w:szCs w:val="18"/>
              </w:rPr>
              <w:t>t</w:t>
            </w:r>
            <w:r w:rsidRPr="003771DB">
              <w:rPr>
                <w:szCs w:val="18"/>
              </w:rPr>
              <w:t>rial</w:t>
            </w:r>
            <w:r w:rsidR="00815FA9" w:rsidRPr="003771DB">
              <w:rPr>
                <w:szCs w:val="18"/>
              </w:rPr>
              <w:t>.</w:t>
            </w:r>
          </w:p>
        </w:tc>
        <w:tc>
          <w:tcPr>
            <w:tcW w:w="1611" w:type="pct"/>
            <w:tcBorders>
              <w:top w:val="nil"/>
              <w:left w:val="single" w:sz="4" w:space="0" w:color="auto"/>
              <w:bottom w:val="single" w:sz="4" w:space="0" w:color="auto"/>
              <w:right w:val="single" w:sz="4" w:space="0" w:color="auto"/>
            </w:tcBorders>
          </w:tcPr>
          <w:p w14:paraId="14AEA88C" w14:textId="77777777" w:rsidR="00D4509A" w:rsidRPr="003771DB" w:rsidRDefault="00D4509A" w:rsidP="00597C44">
            <w:pPr>
              <w:pStyle w:val="Tabletext0"/>
              <w:keepNext/>
              <w:keepLines/>
            </w:pPr>
            <w:r w:rsidRPr="003771DB">
              <w:t>Journal of the American Medical Association 325: 1403-1413</w:t>
            </w:r>
          </w:p>
        </w:tc>
      </w:tr>
      <w:tr w:rsidR="00D4509A" w:rsidRPr="003771DB" w14:paraId="27D35FBC" w14:textId="77777777" w:rsidTr="006C5871">
        <w:tc>
          <w:tcPr>
            <w:tcW w:w="771" w:type="pct"/>
            <w:vMerge w:val="restart"/>
            <w:tcBorders>
              <w:left w:val="single" w:sz="4" w:space="0" w:color="auto"/>
              <w:right w:val="single" w:sz="4" w:space="0" w:color="auto"/>
            </w:tcBorders>
            <w:vAlign w:val="center"/>
          </w:tcPr>
          <w:p w14:paraId="7D6AD1E0" w14:textId="77777777" w:rsidR="00D4509A" w:rsidRPr="003771DB" w:rsidRDefault="00D4509A" w:rsidP="00597C44">
            <w:pPr>
              <w:pStyle w:val="Tabletext0"/>
              <w:keepNext/>
              <w:keepLines/>
            </w:pPr>
            <w:r w:rsidRPr="003771DB">
              <w:t xml:space="preserve">NN9536-4376 </w:t>
            </w:r>
            <w:r w:rsidRPr="003771DB">
              <w:br/>
              <w:t>(STEP-4)</w:t>
            </w:r>
          </w:p>
        </w:tc>
        <w:tc>
          <w:tcPr>
            <w:tcW w:w="2618" w:type="pct"/>
            <w:tcBorders>
              <w:top w:val="single" w:sz="4" w:space="0" w:color="auto"/>
              <w:left w:val="single" w:sz="4" w:space="0" w:color="auto"/>
              <w:bottom w:val="nil"/>
              <w:right w:val="single" w:sz="4" w:space="0" w:color="auto"/>
            </w:tcBorders>
            <w:vAlign w:val="center"/>
          </w:tcPr>
          <w:p w14:paraId="06028387" w14:textId="2F7F7C70" w:rsidR="00D4509A" w:rsidRPr="003771DB" w:rsidRDefault="00D4509A" w:rsidP="006C5871">
            <w:pPr>
              <w:pStyle w:val="Tabletext0"/>
              <w:keepNext/>
              <w:keepLines/>
              <w:spacing w:after="20"/>
              <w:rPr>
                <w:szCs w:val="18"/>
              </w:rPr>
            </w:pPr>
            <w:r w:rsidRPr="003771DB">
              <w:rPr>
                <w:szCs w:val="18"/>
              </w:rPr>
              <w:t>Novo Nordisk (2020). Effect and safety of semaglutide 2.4 mg once-weekly in subjects with overweight or obesity who have reached target dose during run-in period</w:t>
            </w:r>
            <w:r w:rsidR="00815FA9" w:rsidRPr="003771DB">
              <w:rPr>
                <w:szCs w:val="18"/>
              </w:rPr>
              <w:t>.</w:t>
            </w:r>
          </w:p>
        </w:tc>
        <w:tc>
          <w:tcPr>
            <w:tcW w:w="1611" w:type="pct"/>
            <w:tcBorders>
              <w:top w:val="single" w:sz="4" w:space="0" w:color="auto"/>
              <w:left w:val="single" w:sz="4" w:space="0" w:color="auto"/>
              <w:bottom w:val="nil"/>
              <w:right w:val="single" w:sz="4" w:space="0" w:color="auto"/>
            </w:tcBorders>
          </w:tcPr>
          <w:p w14:paraId="297C7CFB" w14:textId="77777777" w:rsidR="00D4509A" w:rsidRPr="003771DB" w:rsidRDefault="00D4509A" w:rsidP="006C5871">
            <w:pPr>
              <w:pStyle w:val="Tabletext0"/>
              <w:keepNext/>
              <w:keepLines/>
              <w:spacing w:after="20"/>
            </w:pPr>
            <w:r w:rsidRPr="003771DB">
              <w:t>Internal study report</w:t>
            </w:r>
          </w:p>
        </w:tc>
      </w:tr>
      <w:tr w:rsidR="00D4509A" w:rsidRPr="003771DB" w14:paraId="7F933189" w14:textId="77777777" w:rsidTr="006C5871">
        <w:tc>
          <w:tcPr>
            <w:tcW w:w="771" w:type="pct"/>
            <w:vMerge/>
            <w:tcBorders>
              <w:left w:val="single" w:sz="4" w:space="0" w:color="auto"/>
              <w:right w:val="single" w:sz="4" w:space="0" w:color="auto"/>
            </w:tcBorders>
            <w:vAlign w:val="center"/>
          </w:tcPr>
          <w:p w14:paraId="730C6BC3" w14:textId="77777777" w:rsidR="00D4509A" w:rsidRPr="003771DB" w:rsidRDefault="00D4509A" w:rsidP="00597C44">
            <w:pPr>
              <w:pStyle w:val="Tabletext0"/>
              <w:keepNext/>
              <w:keepLines/>
            </w:pPr>
          </w:p>
        </w:tc>
        <w:tc>
          <w:tcPr>
            <w:tcW w:w="2618" w:type="pct"/>
            <w:tcBorders>
              <w:top w:val="nil"/>
              <w:left w:val="single" w:sz="4" w:space="0" w:color="auto"/>
              <w:bottom w:val="single" w:sz="4" w:space="0" w:color="auto"/>
              <w:right w:val="single" w:sz="4" w:space="0" w:color="auto"/>
            </w:tcBorders>
            <w:vAlign w:val="center"/>
          </w:tcPr>
          <w:p w14:paraId="3E8F0815" w14:textId="2E09A7EB" w:rsidR="00D4509A" w:rsidRPr="003771DB" w:rsidRDefault="00D4509A" w:rsidP="00597C44">
            <w:pPr>
              <w:pStyle w:val="Tabletext0"/>
              <w:keepNext/>
              <w:keepLines/>
              <w:rPr>
                <w:szCs w:val="18"/>
              </w:rPr>
            </w:pPr>
            <w:r w:rsidRPr="003771DB">
              <w:rPr>
                <w:szCs w:val="18"/>
              </w:rPr>
              <w:t>Rubino</w:t>
            </w:r>
            <w:r w:rsidR="00EC6B18" w:rsidRPr="003771DB">
              <w:rPr>
                <w:szCs w:val="18"/>
              </w:rPr>
              <w:t>,</w:t>
            </w:r>
            <w:r w:rsidRPr="003771DB">
              <w:rPr>
                <w:szCs w:val="18"/>
              </w:rPr>
              <w:t xml:space="preserve"> </w:t>
            </w:r>
            <w:r w:rsidRPr="003771DB">
              <w:rPr>
                <w:i/>
                <w:iCs/>
                <w:szCs w:val="18"/>
              </w:rPr>
              <w:t>et al</w:t>
            </w:r>
            <w:r w:rsidRPr="003771DB">
              <w:rPr>
                <w:szCs w:val="18"/>
              </w:rPr>
              <w:t xml:space="preserve"> (2021). Effect </w:t>
            </w:r>
            <w:r w:rsidR="00787505" w:rsidRPr="003771DB">
              <w:rPr>
                <w:szCs w:val="18"/>
              </w:rPr>
              <w:t>of continued weekly subcutaneous semaglutide vs placebo on weight loss maintenance in adults with overweight or obesity: The STEP 4 randomized clinical trial.</w:t>
            </w:r>
          </w:p>
        </w:tc>
        <w:tc>
          <w:tcPr>
            <w:tcW w:w="1611" w:type="pct"/>
            <w:tcBorders>
              <w:top w:val="nil"/>
              <w:left w:val="single" w:sz="4" w:space="0" w:color="auto"/>
              <w:bottom w:val="single" w:sz="4" w:space="0" w:color="auto"/>
              <w:right w:val="single" w:sz="4" w:space="0" w:color="auto"/>
            </w:tcBorders>
          </w:tcPr>
          <w:p w14:paraId="1035EB5E" w14:textId="77777777" w:rsidR="00D4509A" w:rsidRPr="003771DB" w:rsidRDefault="00D4509A" w:rsidP="00597C44">
            <w:pPr>
              <w:pStyle w:val="Tabletext0"/>
              <w:keepNext/>
              <w:keepLines/>
            </w:pPr>
            <w:r w:rsidRPr="003771DB">
              <w:t>Journal of the American Medical Association 325: 1414-1425</w:t>
            </w:r>
          </w:p>
        </w:tc>
      </w:tr>
      <w:tr w:rsidR="00D4509A" w:rsidRPr="003771DB" w14:paraId="63DB601F" w14:textId="77777777" w:rsidTr="006C5871">
        <w:tc>
          <w:tcPr>
            <w:tcW w:w="771" w:type="pct"/>
            <w:vMerge w:val="restart"/>
            <w:tcBorders>
              <w:left w:val="single" w:sz="4" w:space="0" w:color="auto"/>
              <w:right w:val="single" w:sz="4" w:space="0" w:color="auto"/>
            </w:tcBorders>
            <w:vAlign w:val="center"/>
          </w:tcPr>
          <w:p w14:paraId="4CE06468" w14:textId="77777777" w:rsidR="00D4509A" w:rsidRPr="003771DB" w:rsidRDefault="00D4509A" w:rsidP="00597C44">
            <w:pPr>
              <w:pStyle w:val="Tabletext0"/>
              <w:keepNext/>
              <w:keepLines/>
            </w:pPr>
            <w:r w:rsidRPr="003771DB">
              <w:t xml:space="preserve">NN9536-4378 </w:t>
            </w:r>
            <w:r w:rsidRPr="003771DB">
              <w:br/>
              <w:t>(STEP-5)</w:t>
            </w:r>
          </w:p>
        </w:tc>
        <w:tc>
          <w:tcPr>
            <w:tcW w:w="2618" w:type="pct"/>
            <w:tcBorders>
              <w:top w:val="single" w:sz="4" w:space="0" w:color="auto"/>
              <w:left w:val="single" w:sz="4" w:space="0" w:color="auto"/>
              <w:bottom w:val="nil"/>
              <w:right w:val="single" w:sz="4" w:space="0" w:color="auto"/>
            </w:tcBorders>
            <w:vAlign w:val="center"/>
          </w:tcPr>
          <w:p w14:paraId="5778CB90" w14:textId="4B4D11C5" w:rsidR="00D4509A" w:rsidRPr="003771DB" w:rsidRDefault="00D4509A" w:rsidP="006C5871">
            <w:pPr>
              <w:pStyle w:val="Tabletext0"/>
              <w:keepNext/>
              <w:keepLines/>
              <w:spacing w:after="20"/>
              <w:rPr>
                <w:szCs w:val="18"/>
              </w:rPr>
            </w:pPr>
            <w:r w:rsidRPr="003771DB">
              <w:rPr>
                <w:szCs w:val="18"/>
              </w:rPr>
              <w:t>Novo Nordisk (2021). Two-year effect and safety of semaglutide 2.4 mg once weekly in subjects with overweight or obesity</w:t>
            </w:r>
            <w:r w:rsidR="00815FA9" w:rsidRPr="003771DB">
              <w:rPr>
                <w:szCs w:val="18"/>
              </w:rPr>
              <w:t>.</w:t>
            </w:r>
          </w:p>
        </w:tc>
        <w:tc>
          <w:tcPr>
            <w:tcW w:w="1611" w:type="pct"/>
            <w:tcBorders>
              <w:top w:val="single" w:sz="4" w:space="0" w:color="auto"/>
              <w:left w:val="single" w:sz="4" w:space="0" w:color="auto"/>
              <w:bottom w:val="nil"/>
              <w:right w:val="single" w:sz="4" w:space="0" w:color="auto"/>
            </w:tcBorders>
          </w:tcPr>
          <w:p w14:paraId="50262EB9" w14:textId="77777777" w:rsidR="00D4509A" w:rsidRPr="003771DB" w:rsidRDefault="00D4509A" w:rsidP="006C5871">
            <w:pPr>
              <w:pStyle w:val="Tabletext0"/>
              <w:keepNext/>
              <w:keepLines/>
              <w:spacing w:after="20"/>
            </w:pPr>
            <w:r w:rsidRPr="003771DB">
              <w:t>Internal study report</w:t>
            </w:r>
          </w:p>
        </w:tc>
      </w:tr>
      <w:tr w:rsidR="00D4509A" w:rsidRPr="003771DB" w14:paraId="21C4C305" w14:textId="77777777" w:rsidTr="006C5871">
        <w:tc>
          <w:tcPr>
            <w:tcW w:w="771" w:type="pct"/>
            <w:vMerge/>
            <w:tcBorders>
              <w:left w:val="single" w:sz="4" w:space="0" w:color="auto"/>
              <w:right w:val="single" w:sz="4" w:space="0" w:color="auto"/>
            </w:tcBorders>
            <w:vAlign w:val="center"/>
          </w:tcPr>
          <w:p w14:paraId="72037B32" w14:textId="77777777" w:rsidR="00D4509A" w:rsidRPr="003771DB" w:rsidRDefault="00D4509A" w:rsidP="00076B84">
            <w:pPr>
              <w:pStyle w:val="Tabletext0"/>
            </w:pPr>
          </w:p>
        </w:tc>
        <w:tc>
          <w:tcPr>
            <w:tcW w:w="2618" w:type="pct"/>
            <w:tcBorders>
              <w:top w:val="nil"/>
              <w:left w:val="single" w:sz="4" w:space="0" w:color="auto"/>
              <w:bottom w:val="single" w:sz="4" w:space="0" w:color="auto"/>
              <w:right w:val="single" w:sz="4" w:space="0" w:color="auto"/>
            </w:tcBorders>
            <w:vAlign w:val="center"/>
          </w:tcPr>
          <w:p w14:paraId="0A9A29A0" w14:textId="437BAE80" w:rsidR="00D4509A" w:rsidRPr="003771DB" w:rsidRDefault="00D4509A" w:rsidP="00076B84">
            <w:pPr>
              <w:pStyle w:val="Tabletext0"/>
              <w:rPr>
                <w:szCs w:val="18"/>
              </w:rPr>
            </w:pPr>
            <w:r w:rsidRPr="003771DB">
              <w:rPr>
                <w:szCs w:val="18"/>
              </w:rPr>
              <w:t>Garvey</w:t>
            </w:r>
            <w:r w:rsidR="00EC6B18" w:rsidRPr="003771DB">
              <w:rPr>
                <w:szCs w:val="18"/>
              </w:rPr>
              <w:t>,</w:t>
            </w:r>
            <w:r w:rsidRPr="003771DB">
              <w:rPr>
                <w:szCs w:val="18"/>
              </w:rPr>
              <w:t xml:space="preserve"> et al (2022). Two-year effects of semaglutide in adults with overweight or obesity: the STEP 5 trial</w:t>
            </w:r>
            <w:r w:rsidR="00815FA9" w:rsidRPr="003771DB">
              <w:rPr>
                <w:szCs w:val="18"/>
              </w:rPr>
              <w:t>.</w:t>
            </w:r>
          </w:p>
        </w:tc>
        <w:tc>
          <w:tcPr>
            <w:tcW w:w="1611" w:type="pct"/>
            <w:tcBorders>
              <w:top w:val="nil"/>
              <w:left w:val="single" w:sz="4" w:space="0" w:color="auto"/>
              <w:bottom w:val="single" w:sz="4" w:space="0" w:color="auto"/>
              <w:right w:val="single" w:sz="4" w:space="0" w:color="auto"/>
            </w:tcBorders>
          </w:tcPr>
          <w:p w14:paraId="573B875C" w14:textId="77777777" w:rsidR="00D4509A" w:rsidRPr="003771DB" w:rsidRDefault="00D4509A" w:rsidP="00815FA9">
            <w:pPr>
              <w:pStyle w:val="Tabletext0"/>
            </w:pPr>
            <w:r w:rsidRPr="003771DB">
              <w:t>Nature Medicine 28: 2083-2091</w:t>
            </w:r>
          </w:p>
        </w:tc>
      </w:tr>
    </w:tbl>
    <w:p w14:paraId="134695B3" w14:textId="05FAB8A9" w:rsidR="00D4509A" w:rsidRPr="003771DB" w:rsidRDefault="00D4509A" w:rsidP="00D4509A">
      <w:pPr>
        <w:pStyle w:val="TableFigureFooter"/>
      </w:pPr>
      <w:r w:rsidRPr="003771DB">
        <w:t xml:space="preserve">Source: Table 2-4, p45 of the </w:t>
      </w:r>
      <w:r w:rsidR="00847682" w:rsidRPr="003771DB">
        <w:t>re</w:t>
      </w:r>
      <w:r w:rsidRPr="003771DB">
        <w:t xml:space="preserve">submission </w:t>
      </w:r>
    </w:p>
    <w:p w14:paraId="482847F6" w14:textId="484C05A4" w:rsidR="00D4509A" w:rsidRPr="003771DB" w:rsidRDefault="00D4509A" w:rsidP="004E2228">
      <w:pPr>
        <w:pStyle w:val="COMexecsumnumberedpara"/>
      </w:pPr>
      <w:r w:rsidRPr="003771DB">
        <w:t xml:space="preserve">The resubmission noted a recently completed cardiovascular outcomes trial of semaglutide compared to placebo in overweight/obese patients with established </w:t>
      </w:r>
      <w:r w:rsidRPr="003771DB">
        <w:lastRenderedPageBreak/>
        <w:t>cardiovascular disease (SELECT; actual completion June 2023). The resubmission also noted recently completed or ongoing studies in populations with obesity and knee osteoarthritis (STEP-9; estimated completion September 2023), pre-diabetes (STEP-10; actual completion January 2023) or preserved-ejection fraction heart failure (STEP-HFpEF; actual completion April 2023). However, these trials were excluded from the resubmission as no results were available</w:t>
      </w:r>
      <w:r w:rsidR="003771DB">
        <w:t xml:space="preserve">. </w:t>
      </w:r>
    </w:p>
    <w:p w14:paraId="1561CEBF" w14:textId="1DEA7E77" w:rsidR="00D4509A" w:rsidRPr="003771DB" w:rsidRDefault="00D4509A" w:rsidP="004E2228">
      <w:pPr>
        <w:pStyle w:val="COMexecsumnumberedpara"/>
      </w:pPr>
      <w:r w:rsidRPr="003771DB">
        <w:t xml:space="preserve">During the preparation of the commentary, top-line results from the SELECT trial </w:t>
      </w:r>
      <w:r w:rsidR="0075093A" w:rsidRPr="003771DB">
        <w:rPr>
          <w:iCs/>
        </w:rPr>
        <w:t>were released by the sponsor</w:t>
      </w:r>
      <w:r w:rsidR="00800BEE" w:rsidRPr="003771DB">
        <w:rPr>
          <w:iCs/>
        </w:rPr>
        <w:t xml:space="preserve"> via press release</w:t>
      </w:r>
      <w:r w:rsidR="001C0997" w:rsidRPr="003771DB">
        <w:t>,</w:t>
      </w:r>
      <w:r w:rsidRPr="003771DB">
        <w:t xml:space="preserve"> which indicated that semaglutide treatment was associated with a 20% relative risk reduction in major cardiovascular events (composite of cardiovascular death, non-fatal myocardial </w:t>
      </w:r>
      <w:r w:rsidR="007F7E92" w:rsidRPr="003771DB">
        <w:t>infarction,</w:t>
      </w:r>
      <w:r w:rsidRPr="003771DB">
        <w:t xml:space="preserve"> or non-fatal stroke) compared to placebo in overweight/obese patients with established cardiovascular disease</w:t>
      </w:r>
      <w:r w:rsidR="003771DB">
        <w:t xml:space="preserve">. </w:t>
      </w:r>
      <w:r w:rsidR="0075093A" w:rsidRPr="003771DB">
        <w:rPr>
          <w:iCs/>
        </w:rPr>
        <w:t xml:space="preserve">However, </w:t>
      </w:r>
      <w:r w:rsidR="00800BEE" w:rsidRPr="003771DB">
        <w:rPr>
          <w:iCs/>
        </w:rPr>
        <w:t xml:space="preserve">at the time of the PBAC meeting, </w:t>
      </w:r>
      <w:r w:rsidR="0075093A" w:rsidRPr="003771DB">
        <w:rPr>
          <w:iCs/>
        </w:rPr>
        <w:t>this trial ha</w:t>
      </w:r>
      <w:r w:rsidR="00800BEE" w:rsidRPr="003771DB">
        <w:rPr>
          <w:iCs/>
        </w:rPr>
        <w:t>d</w:t>
      </w:r>
      <w:r w:rsidR="0075093A" w:rsidRPr="003771DB">
        <w:rPr>
          <w:iCs/>
        </w:rPr>
        <w:t xml:space="preserve"> not been published</w:t>
      </w:r>
      <w:r w:rsidR="002879DC" w:rsidRPr="003771DB">
        <w:rPr>
          <w:iCs/>
        </w:rPr>
        <w:t xml:space="preserve"> in a peer-reviewed journal</w:t>
      </w:r>
      <w:r w:rsidR="0075093A" w:rsidRPr="003771DB">
        <w:t>.</w:t>
      </w:r>
    </w:p>
    <w:p w14:paraId="26417DE6" w14:textId="2B43015A" w:rsidR="00670307" w:rsidRPr="003771DB" w:rsidRDefault="00670307" w:rsidP="004E2228">
      <w:pPr>
        <w:pStyle w:val="COMexecsumnumberedpara"/>
      </w:pPr>
      <w:r w:rsidRPr="003771DB">
        <w:t>Full</w:t>
      </w:r>
      <w:r w:rsidR="000145E9" w:rsidRPr="003771DB">
        <w:t xml:space="preserve"> </w:t>
      </w:r>
      <w:r w:rsidRPr="003771DB">
        <w:t>trial results from the STEP-HFpEF trial were also published</w:t>
      </w:r>
      <w:r w:rsidR="00FE5FEB" w:rsidRPr="003771DB">
        <w:t xml:space="preserve"> in September 2023</w:t>
      </w:r>
      <w:r w:rsidRPr="003771DB">
        <w:t xml:space="preserve"> (</w:t>
      </w:r>
      <w:proofErr w:type="spellStart"/>
      <w:r w:rsidRPr="003771DB">
        <w:t>Kosiborod</w:t>
      </w:r>
      <w:proofErr w:type="spellEnd"/>
      <w:r w:rsidRPr="003771DB">
        <w:t xml:space="preserve"> 2023). These results were not evaluated in full but indicated that treatment with semaglutide was associated with </w:t>
      </w:r>
      <w:r w:rsidR="00FF2D09" w:rsidRPr="003771DB">
        <w:t>statistically significant improvements in the Kansas City Cardiomyopathy Questionnaire clinical summary score compared to placebo in overweight/obese patients with preserved</w:t>
      </w:r>
      <w:r w:rsidR="0065234A" w:rsidRPr="003771DB">
        <w:t xml:space="preserve"> </w:t>
      </w:r>
      <w:r w:rsidR="00FF2D09" w:rsidRPr="003771DB">
        <w:t>ejection fraction heart failure.</w:t>
      </w:r>
    </w:p>
    <w:p w14:paraId="2D8BF7C7" w14:textId="4CA06F35" w:rsidR="00D4509A" w:rsidRPr="003771DB" w:rsidRDefault="00D4509A" w:rsidP="004E2228">
      <w:pPr>
        <w:pStyle w:val="COMexecsumnumberedpara"/>
      </w:pPr>
      <w:r w:rsidRPr="003771DB">
        <w:t>The key features of the included studies are summarised in</w:t>
      </w:r>
      <w:r w:rsidR="005D50C9" w:rsidRPr="003771DB">
        <w:t xml:space="preserve"> </w:t>
      </w:r>
      <w:r w:rsidR="005D50C9" w:rsidRPr="003771DB">
        <w:fldChar w:fldCharType="begin" w:fldLock="1"/>
      </w:r>
      <w:r w:rsidR="005D50C9" w:rsidRPr="003771DB">
        <w:instrText xml:space="preserve"> REF _Ref143501258 \h </w:instrText>
      </w:r>
      <w:r w:rsidR="005D50C9" w:rsidRPr="003771DB">
        <w:fldChar w:fldCharType="separate"/>
      </w:r>
      <w:r w:rsidR="00D44FF6" w:rsidRPr="003771DB">
        <w:t xml:space="preserve">Table </w:t>
      </w:r>
      <w:r w:rsidR="00D44FF6" w:rsidRPr="00F7478B">
        <w:t>4</w:t>
      </w:r>
      <w:r w:rsidR="005D50C9" w:rsidRPr="003771DB">
        <w:fldChar w:fldCharType="end"/>
      </w:r>
      <w:r w:rsidRPr="003771DB">
        <w:t>.</w:t>
      </w:r>
    </w:p>
    <w:p w14:paraId="50AA3CF7" w14:textId="5AEDB619" w:rsidR="00D4509A" w:rsidRPr="003771DB" w:rsidRDefault="00D4509A" w:rsidP="005D50C9">
      <w:pPr>
        <w:pStyle w:val="Caption"/>
      </w:pPr>
      <w:bookmarkStart w:id="22" w:name="_Ref143501258"/>
      <w:r w:rsidRPr="003771DB">
        <w:t xml:space="preserve">Table </w:t>
      </w:r>
      <w:fldSimple w:instr=" SEQ Table \* ARABIC " w:fldLock="1">
        <w:r w:rsidR="00AD487C" w:rsidRPr="00F7478B">
          <w:t>4</w:t>
        </w:r>
      </w:fldSimple>
      <w:bookmarkEnd w:id="22"/>
      <w:r w:rsidRPr="003771DB">
        <w:t>: Key features of the included evidence</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Description w:val="Table 4: Key features of the included evidence"/>
      </w:tblPr>
      <w:tblGrid>
        <w:gridCol w:w="849"/>
        <w:gridCol w:w="566"/>
        <w:gridCol w:w="1972"/>
        <w:gridCol w:w="862"/>
        <w:gridCol w:w="1714"/>
        <w:gridCol w:w="1930"/>
        <w:gridCol w:w="1272"/>
      </w:tblGrid>
      <w:tr w:rsidR="00D4509A" w:rsidRPr="003771DB" w14:paraId="539EEE3A" w14:textId="77777777" w:rsidTr="005807D7">
        <w:trPr>
          <w:cantSplit/>
          <w:tblHeader/>
        </w:trPr>
        <w:tc>
          <w:tcPr>
            <w:tcW w:w="463" w:type="pct"/>
            <w:shd w:val="clear" w:color="auto" w:fill="auto"/>
            <w:vAlign w:val="center"/>
          </w:tcPr>
          <w:p w14:paraId="2DF1A7C6" w14:textId="77777777" w:rsidR="00D4509A" w:rsidRPr="003771DB" w:rsidRDefault="00D4509A" w:rsidP="00076B84">
            <w:pPr>
              <w:pStyle w:val="Tableheadingrow"/>
              <w:rPr>
                <w:lang w:val="en-AU"/>
              </w:rPr>
            </w:pPr>
            <w:r w:rsidRPr="003771DB">
              <w:rPr>
                <w:lang w:val="en-AU"/>
              </w:rPr>
              <w:t>Trial</w:t>
            </w:r>
          </w:p>
        </w:tc>
        <w:tc>
          <w:tcPr>
            <w:tcW w:w="309" w:type="pct"/>
            <w:shd w:val="clear" w:color="auto" w:fill="auto"/>
            <w:vAlign w:val="center"/>
          </w:tcPr>
          <w:p w14:paraId="2ABE1AD1" w14:textId="77777777" w:rsidR="00D4509A" w:rsidRPr="003771DB" w:rsidRDefault="00D4509A" w:rsidP="00076B84">
            <w:pPr>
              <w:pStyle w:val="Tableheadingrow"/>
              <w:jc w:val="center"/>
              <w:rPr>
                <w:lang w:val="en-AU"/>
              </w:rPr>
            </w:pPr>
            <w:r w:rsidRPr="003771DB">
              <w:rPr>
                <w:lang w:val="en-AU"/>
              </w:rPr>
              <w:t>N</w:t>
            </w:r>
          </w:p>
        </w:tc>
        <w:tc>
          <w:tcPr>
            <w:tcW w:w="1076" w:type="pct"/>
            <w:shd w:val="clear" w:color="auto" w:fill="auto"/>
            <w:vAlign w:val="center"/>
          </w:tcPr>
          <w:p w14:paraId="5A178D21" w14:textId="0EADE856" w:rsidR="00D4509A" w:rsidRPr="003771DB" w:rsidRDefault="00D4509A" w:rsidP="00076B84">
            <w:pPr>
              <w:pStyle w:val="Tableheadingrow"/>
              <w:jc w:val="center"/>
              <w:rPr>
                <w:lang w:val="en-AU"/>
              </w:rPr>
            </w:pPr>
            <w:r w:rsidRPr="003771DB">
              <w:rPr>
                <w:lang w:val="en-AU"/>
              </w:rPr>
              <w:t>Design/duration</w:t>
            </w:r>
          </w:p>
        </w:tc>
        <w:tc>
          <w:tcPr>
            <w:tcW w:w="470" w:type="pct"/>
            <w:shd w:val="clear" w:color="auto" w:fill="auto"/>
            <w:vAlign w:val="center"/>
          </w:tcPr>
          <w:p w14:paraId="548E1696" w14:textId="77777777" w:rsidR="00D4509A" w:rsidRPr="003771DB" w:rsidRDefault="00D4509A" w:rsidP="00076B84">
            <w:pPr>
              <w:pStyle w:val="Tableheadingrow"/>
              <w:jc w:val="center"/>
              <w:rPr>
                <w:lang w:val="en-AU"/>
              </w:rPr>
            </w:pPr>
            <w:r w:rsidRPr="003771DB">
              <w:rPr>
                <w:lang w:val="en-AU"/>
              </w:rPr>
              <w:t>Risk of bias</w:t>
            </w:r>
          </w:p>
        </w:tc>
        <w:tc>
          <w:tcPr>
            <w:tcW w:w="935" w:type="pct"/>
            <w:shd w:val="clear" w:color="auto" w:fill="auto"/>
            <w:vAlign w:val="center"/>
          </w:tcPr>
          <w:p w14:paraId="6A054C09" w14:textId="77777777" w:rsidR="00D4509A" w:rsidRPr="003771DB" w:rsidRDefault="00D4509A" w:rsidP="00076B84">
            <w:pPr>
              <w:pStyle w:val="Tableheadingrow"/>
              <w:jc w:val="center"/>
              <w:rPr>
                <w:lang w:val="en-AU"/>
              </w:rPr>
            </w:pPr>
            <w:r w:rsidRPr="003771DB">
              <w:rPr>
                <w:lang w:val="en-AU"/>
              </w:rPr>
              <w:t>Patient population</w:t>
            </w:r>
          </w:p>
        </w:tc>
        <w:tc>
          <w:tcPr>
            <w:tcW w:w="1053" w:type="pct"/>
            <w:shd w:val="clear" w:color="auto" w:fill="auto"/>
            <w:vAlign w:val="center"/>
          </w:tcPr>
          <w:p w14:paraId="6842E369" w14:textId="77777777" w:rsidR="00D4509A" w:rsidRPr="003771DB" w:rsidRDefault="00D4509A" w:rsidP="00076B84">
            <w:pPr>
              <w:pStyle w:val="Tableheadingrow"/>
              <w:jc w:val="center"/>
              <w:rPr>
                <w:lang w:val="en-AU"/>
              </w:rPr>
            </w:pPr>
            <w:r w:rsidRPr="003771DB">
              <w:rPr>
                <w:lang w:val="en-AU"/>
              </w:rPr>
              <w:t>Outcomes</w:t>
            </w:r>
          </w:p>
        </w:tc>
        <w:tc>
          <w:tcPr>
            <w:tcW w:w="695" w:type="pct"/>
            <w:shd w:val="clear" w:color="auto" w:fill="auto"/>
            <w:vAlign w:val="center"/>
          </w:tcPr>
          <w:p w14:paraId="691B33CB" w14:textId="77777777" w:rsidR="00D4509A" w:rsidRPr="003771DB" w:rsidRDefault="00D4509A" w:rsidP="00076B84">
            <w:pPr>
              <w:pStyle w:val="Tableheadingrow"/>
              <w:jc w:val="center"/>
              <w:rPr>
                <w:lang w:val="en-AU"/>
              </w:rPr>
            </w:pPr>
            <w:r w:rsidRPr="003771DB">
              <w:rPr>
                <w:lang w:val="en-AU"/>
              </w:rPr>
              <w:t>Use in modelled evaluation</w:t>
            </w:r>
          </w:p>
        </w:tc>
      </w:tr>
      <w:tr w:rsidR="00D4509A" w:rsidRPr="003771DB" w14:paraId="5194EB60" w14:textId="77777777" w:rsidTr="005807D7">
        <w:trPr>
          <w:cantSplit/>
        </w:trPr>
        <w:tc>
          <w:tcPr>
            <w:tcW w:w="463" w:type="pct"/>
            <w:shd w:val="clear" w:color="auto" w:fill="auto"/>
            <w:vAlign w:val="center"/>
          </w:tcPr>
          <w:p w14:paraId="13260E1A" w14:textId="77777777" w:rsidR="00D4509A" w:rsidRPr="003771DB" w:rsidRDefault="00D4509A" w:rsidP="00076B84">
            <w:pPr>
              <w:pStyle w:val="TableText"/>
            </w:pPr>
            <w:r w:rsidRPr="003771DB">
              <w:t>STEP-1</w:t>
            </w:r>
          </w:p>
        </w:tc>
        <w:tc>
          <w:tcPr>
            <w:tcW w:w="309" w:type="pct"/>
            <w:shd w:val="clear" w:color="auto" w:fill="auto"/>
            <w:vAlign w:val="center"/>
          </w:tcPr>
          <w:p w14:paraId="35F7A58E" w14:textId="77777777" w:rsidR="00D4509A" w:rsidRPr="003771DB" w:rsidRDefault="00D4509A" w:rsidP="00076B84">
            <w:pPr>
              <w:pStyle w:val="TableText"/>
              <w:jc w:val="center"/>
            </w:pPr>
            <w:r w:rsidRPr="003771DB">
              <w:t>1,961</w:t>
            </w:r>
          </w:p>
        </w:tc>
        <w:tc>
          <w:tcPr>
            <w:tcW w:w="1076" w:type="pct"/>
            <w:shd w:val="clear" w:color="auto" w:fill="auto"/>
            <w:vAlign w:val="center"/>
          </w:tcPr>
          <w:p w14:paraId="78971592" w14:textId="77777777" w:rsidR="00D4509A" w:rsidRPr="003771DB" w:rsidRDefault="00D4509A" w:rsidP="00076B84">
            <w:pPr>
              <w:pStyle w:val="TableText"/>
              <w:jc w:val="center"/>
            </w:pPr>
            <w:r w:rsidRPr="003771DB">
              <w:t xml:space="preserve">MC, R, DB, PC, </w:t>
            </w:r>
          </w:p>
          <w:p w14:paraId="57236BD6" w14:textId="77777777" w:rsidR="00D4509A" w:rsidRPr="003771DB" w:rsidRDefault="00D4509A" w:rsidP="00076B84">
            <w:pPr>
              <w:pStyle w:val="TableText"/>
              <w:jc w:val="center"/>
            </w:pPr>
            <w:r w:rsidRPr="003771DB">
              <w:t>75 weeks duration with off-treatment extension to 120 weeks</w:t>
            </w:r>
          </w:p>
        </w:tc>
        <w:tc>
          <w:tcPr>
            <w:tcW w:w="470" w:type="pct"/>
            <w:shd w:val="clear" w:color="auto" w:fill="auto"/>
            <w:vAlign w:val="center"/>
          </w:tcPr>
          <w:p w14:paraId="04ECDCDE" w14:textId="77777777" w:rsidR="00D4509A" w:rsidRPr="003771DB" w:rsidRDefault="00D4509A" w:rsidP="00076B84">
            <w:pPr>
              <w:pStyle w:val="TableText"/>
              <w:jc w:val="center"/>
              <w:rPr>
                <w:iCs/>
              </w:rPr>
            </w:pPr>
            <w:r w:rsidRPr="003771DB">
              <w:rPr>
                <w:iCs/>
              </w:rPr>
              <w:t>Low</w:t>
            </w:r>
          </w:p>
        </w:tc>
        <w:tc>
          <w:tcPr>
            <w:tcW w:w="935" w:type="pct"/>
            <w:shd w:val="clear" w:color="auto" w:fill="auto"/>
            <w:vAlign w:val="center"/>
          </w:tcPr>
          <w:p w14:paraId="0DE1E840" w14:textId="0CEB0095" w:rsidR="00D4509A" w:rsidRPr="003771DB" w:rsidRDefault="000A7844" w:rsidP="00076B84">
            <w:pPr>
              <w:pStyle w:val="TableText"/>
              <w:jc w:val="center"/>
            </w:pPr>
            <w:r w:rsidRPr="003771DB">
              <w:t>Overweight/obese p</w:t>
            </w:r>
            <w:r w:rsidR="00D4509A" w:rsidRPr="003771DB">
              <w:t>atients without diabetes</w:t>
            </w:r>
          </w:p>
        </w:tc>
        <w:tc>
          <w:tcPr>
            <w:tcW w:w="1053" w:type="pct"/>
            <w:shd w:val="clear" w:color="auto" w:fill="auto"/>
            <w:vAlign w:val="center"/>
          </w:tcPr>
          <w:p w14:paraId="2E978A2F" w14:textId="77777777" w:rsidR="00D4509A" w:rsidRPr="003771DB" w:rsidRDefault="00D4509A" w:rsidP="00076B84">
            <w:pPr>
              <w:pStyle w:val="TableText"/>
              <w:jc w:val="center"/>
            </w:pPr>
            <w:r w:rsidRPr="003771DB">
              <w:t>Weight, biomarkers, quality of life and adverse events</w:t>
            </w:r>
          </w:p>
        </w:tc>
        <w:tc>
          <w:tcPr>
            <w:tcW w:w="695" w:type="pct"/>
            <w:shd w:val="clear" w:color="auto" w:fill="auto"/>
            <w:vAlign w:val="center"/>
          </w:tcPr>
          <w:p w14:paraId="069D09FD" w14:textId="3BC4936B" w:rsidR="00D4509A" w:rsidRPr="003771DB" w:rsidRDefault="00D4509A" w:rsidP="00076B84">
            <w:pPr>
              <w:pStyle w:val="TableText"/>
              <w:jc w:val="center"/>
            </w:pPr>
            <w:r w:rsidRPr="003771DB">
              <w:t xml:space="preserve">Individual patient data from </w:t>
            </w:r>
            <w:r w:rsidR="00BD0DAC" w:rsidRPr="003771DB">
              <w:rPr>
                <w:i/>
                <w:iCs/>
              </w:rPr>
              <w:t>post hoc</w:t>
            </w:r>
            <w:r w:rsidR="00BD0DAC" w:rsidRPr="003771DB">
              <w:t xml:space="preserve"> </w:t>
            </w:r>
            <w:r w:rsidRPr="003771DB">
              <w:t>subgroup</w:t>
            </w:r>
            <w:r w:rsidR="00BD0DAC" w:rsidRPr="003771DB">
              <w:t>s</w:t>
            </w:r>
          </w:p>
        </w:tc>
      </w:tr>
      <w:tr w:rsidR="00D4509A" w:rsidRPr="003771DB" w14:paraId="07357C81" w14:textId="77777777" w:rsidTr="005807D7">
        <w:trPr>
          <w:cantSplit/>
        </w:trPr>
        <w:tc>
          <w:tcPr>
            <w:tcW w:w="463" w:type="pct"/>
            <w:shd w:val="clear" w:color="auto" w:fill="auto"/>
            <w:vAlign w:val="center"/>
          </w:tcPr>
          <w:p w14:paraId="5916B21E" w14:textId="77777777" w:rsidR="00D4509A" w:rsidRPr="003771DB" w:rsidRDefault="00D4509A" w:rsidP="00076B84">
            <w:pPr>
              <w:pStyle w:val="TableText"/>
            </w:pPr>
            <w:r w:rsidRPr="003771DB">
              <w:t>STEP-2</w:t>
            </w:r>
          </w:p>
        </w:tc>
        <w:tc>
          <w:tcPr>
            <w:tcW w:w="309" w:type="pct"/>
            <w:shd w:val="clear" w:color="auto" w:fill="auto"/>
            <w:vAlign w:val="center"/>
          </w:tcPr>
          <w:p w14:paraId="56BC067C" w14:textId="77777777" w:rsidR="00D4509A" w:rsidRPr="003771DB" w:rsidRDefault="00D4509A" w:rsidP="00076B84">
            <w:pPr>
              <w:pStyle w:val="TableText"/>
              <w:jc w:val="center"/>
            </w:pPr>
            <w:r w:rsidRPr="003771DB">
              <w:t>1,210</w:t>
            </w:r>
          </w:p>
        </w:tc>
        <w:tc>
          <w:tcPr>
            <w:tcW w:w="1076" w:type="pct"/>
            <w:shd w:val="clear" w:color="auto" w:fill="auto"/>
            <w:vAlign w:val="center"/>
          </w:tcPr>
          <w:p w14:paraId="065197DF" w14:textId="77777777" w:rsidR="00D4509A" w:rsidRPr="003771DB" w:rsidRDefault="00D4509A" w:rsidP="00076B84">
            <w:pPr>
              <w:pStyle w:val="TableText"/>
              <w:jc w:val="center"/>
            </w:pPr>
            <w:r w:rsidRPr="003771DB">
              <w:t xml:space="preserve">MC, R, DB, AC/PC, (Semaglutide 1.0 mg active control) </w:t>
            </w:r>
          </w:p>
          <w:p w14:paraId="033BEACE" w14:textId="77777777" w:rsidR="00D4509A" w:rsidRPr="003771DB" w:rsidRDefault="00D4509A" w:rsidP="00076B84">
            <w:pPr>
              <w:pStyle w:val="TableText"/>
              <w:jc w:val="center"/>
            </w:pPr>
            <w:r w:rsidRPr="003771DB">
              <w:t>75 weeks duration</w:t>
            </w:r>
          </w:p>
        </w:tc>
        <w:tc>
          <w:tcPr>
            <w:tcW w:w="470" w:type="pct"/>
            <w:shd w:val="clear" w:color="auto" w:fill="auto"/>
            <w:vAlign w:val="center"/>
          </w:tcPr>
          <w:p w14:paraId="2CAB9B6E" w14:textId="77777777" w:rsidR="00D4509A" w:rsidRPr="003771DB" w:rsidRDefault="00D4509A" w:rsidP="00076B84">
            <w:pPr>
              <w:pStyle w:val="TableText"/>
              <w:jc w:val="center"/>
              <w:rPr>
                <w:iCs/>
              </w:rPr>
            </w:pPr>
            <w:r w:rsidRPr="003771DB">
              <w:rPr>
                <w:iCs/>
              </w:rPr>
              <w:t>Low</w:t>
            </w:r>
          </w:p>
        </w:tc>
        <w:tc>
          <w:tcPr>
            <w:tcW w:w="935" w:type="pct"/>
            <w:shd w:val="clear" w:color="auto" w:fill="auto"/>
            <w:vAlign w:val="center"/>
          </w:tcPr>
          <w:p w14:paraId="4E76A673" w14:textId="1C088BE5" w:rsidR="00D4509A" w:rsidRPr="003771DB" w:rsidRDefault="000A7844" w:rsidP="00076B84">
            <w:pPr>
              <w:pStyle w:val="TableText"/>
              <w:jc w:val="center"/>
            </w:pPr>
            <w:r w:rsidRPr="003771DB">
              <w:t>Overweight/obese P</w:t>
            </w:r>
            <w:r w:rsidR="00D4509A" w:rsidRPr="003771DB">
              <w:t>atients with diabetes</w:t>
            </w:r>
          </w:p>
        </w:tc>
        <w:tc>
          <w:tcPr>
            <w:tcW w:w="1053" w:type="pct"/>
            <w:shd w:val="clear" w:color="auto" w:fill="auto"/>
            <w:vAlign w:val="center"/>
          </w:tcPr>
          <w:p w14:paraId="38DC724E" w14:textId="77777777" w:rsidR="00D4509A" w:rsidRPr="003771DB" w:rsidRDefault="00D4509A" w:rsidP="00076B84">
            <w:pPr>
              <w:pStyle w:val="TableText"/>
              <w:jc w:val="center"/>
            </w:pPr>
            <w:r w:rsidRPr="003771DB">
              <w:t>Weight, biomarkers, quality of life and adverse events</w:t>
            </w:r>
          </w:p>
        </w:tc>
        <w:tc>
          <w:tcPr>
            <w:tcW w:w="695" w:type="pct"/>
            <w:shd w:val="clear" w:color="auto" w:fill="auto"/>
            <w:vAlign w:val="center"/>
          </w:tcPr>
          <w:p w14:paraId="7C19DCB8" w14:textId="77777777" w:rsidR="00D4509A" w:rsidRPr="003771DB" w:rsidRDefault="00D4509A" w:rsidP="00076B84">
            <w:pPr>
              <w:pStyle w:val="TableText"/>
              <w:jc w:val="center"/>
            </w:pPr>
            <w:r w:rsidRPr="003771DB">
              <w:t>Not used</w:t>
            </w:r>
          </w:p>
        </w:tc>
      </w:tr>
      <w:tr w:rsidR="00D4509A" w:rsidRPr="003771DB" w14:paraId="365C3B2C" w14:textId="77777777" w:rsidTr="005807D7">
        <w:trPr>
          <w:cantSplit/>
        </w:trPr>
        <w:tc>
          <w:tcPr>
            <w:tcW w:w="463" w:type="pct"/>
            <w:shd w:val="clear" w:color="auto" w:fill="auto"/>
            <w:vAlign w:val="center"/>
          </w:tcPr>
          <w:p w14:paraId="29F60581" w14:textId="77777777" w:rsidR="00D4509A" w:rsidRPr="003771DB" w:rsidRDefault="00D4509A" w:rsidP="00076B84">
            <w:pPr>
              <w:pStyle w:val="TableText"/>
            </w:pPr>
            <w:r w:rsidRPr="003771DB">
              <w:t>STEP-3</w:t>
            </w:r>
          </w:p>
        </w:tc>
        <w:tc>
          <w:tcPr>
            <w:tcW w:w="309" w:type="pct"/>
            <w:shd w:val="clear" w:color="auto" w:fill="auto"/>
            <w:vAlign w:val="center"/>
          </w:tcPr>
          <w:p w14:paraId="5E3DF8E2" w14:textId="77777777" w:rsidR="00D4509A" w:rsidRPr="003771DB" w:rsidRDefault="00D4509A" w:rsidP="00076B84">
            <w:pPr>
              <w:pStyle w:val="TableText"/>
              <w:jc w:val="center"/>
            </w:pPr>
            <w:r w:rsidRPr="003771DB">
              <w:t>611</w:t>
            </w:r>
          </w:p>
        </w:tc>
        <w:tc>
          <w:tcPr>
            <w:tcW w:w="1076" w:type="pct"/>
            <w:shd w:val="clear" w:color="auto" w:fill="auto"/>
            <w:vAlign w:val="center"/>
          </w:tcPr>
          <w:p w14:paraId="0A81D9D6" w14:textId="77777777" w:rsidR="00D4509A" w:rsidRPr="003771DB" w:rsidRDefault="00D4509A" w:rsidP="00076B84">
            <w:pPr>
              <w:pStyle w:val="TableText"/>
              <w:jc w:val="center"/>
            </w:pPr>
            <w:r w:rsidRPr="003771DB">
              <w:t xml:space="preserve">MC, R, DB, PC, </w:t>
            </w:r>
          </w:p>
          <w:p w14:paraId="328E9127" w14:textId="77777777" w:rsidR="00D4509A" w:rsidRPr="003771DB" w:rsidRDefault="00D4509A" w:rsidP="00076B84">
            <w:pPr>
              <w:pStyle w:val="TableText"/>
              <w:jc w:val="center"/>
            </w:pPr>
            <w:r w:rsidRPr="003771DB">
              <w:t>75 weeks duration</w:t>
            </w:r>
          </w:p>
        </w:tc>
        <w:tc>
          <w:tcPr>
            <w:tcW w:w="470" w:type="pct"/>
            <w:shd w:val="clear" w:color="auto" w:fill="auto"/>
            <w:vAlign w:val="center"/>
          </w:tcPr>
          <w:p w14:paraId="226357AB" w14:textId="77777777" w:rsidR="00D4509A" w:rsidRPr="003771DB" w:rsidRDefault="00D4509A" w:rsidP="00076B84">
            <w:pPr>
              <w:pStyle w:val="TableText"/>
              <w:jc w:val="center"/>
              <w:rPr>
                <w:iCs/>
              </w:rPr>
            </w:pPr>
            <w:r w:rsidRPr="003771DB">
              <w:rPr>
                <w:iCs/>
              </w:rPr>
              <w:t>Low</w:t>
            </w:r>
          </w:p>
        </w:tc>
        <w:tc>
          <w:tcPr>
            <w:tcW w:w="935" w:type="pct"/>
            <w:shd w:val="clear" w:color="auto" w:fill="auto"/>
            <w:vAlign w:val="center"/>
          </w:tcPr>
          <w:p w14:paraId="5826EE12" w14:textId="0A7079B3" w:rsidR="00D4509A" w:rsidRPr="003771DB" w:rsidRDefault="000A7844" w:rsidP="00076B84">
            <w:pPr>
              <w:pStyle w:val="TableText"/>
              <w:jc w:val="center"/>
            </w:pPr>
            <w:r w:rsidRPr="003771DB">
              <w:t>Overweight/obese p</w:t>
            </w:r>
            <w:r w:rsidR="00D4509A" w:rsidRPr="003771DB">
              <w:t xml:space="preserve">atients without diabetes receiving intensive </w:t>
            </w:r>
            <w:r w:rsidR="002C3DB6" w:rsidRPr="003771DB">
              <w:t>behavioural</w:t>
            </w:r>
            <w:r w:rsidR="00D4509A" w:rsidRPr="003771DB">
              <w:t xml:space="preserve"> therapy</w:t>
            </w:r>
          </w:p>
        </w:tc>
        <w:tc>
          <w:tcPr>
            <w:tcW w:w="1053" w:type="pct"/>
            <w:shd w:val="clear" w:color="auto" w:fill="auto"/>
            <w:vAlign w:val="center"/>
          </w:tcPr>
          <w:p w14:paraId="68881628" w14:textId="77777777" w:rsidR="00D4509A" w:rsidRPr="003771DB" w:rsidRDefault="00D4509A" w:rsidP="00076B84">
            <w:pPr>
              <w:pStyle w:val="TableText"/>
              <w:jc w:val="center"/>
            </w:pPr>
            <w:r w:rsidRPr="003771DB">
              <w:t>Weight, biomarkers, quality of life and adverse events</w:t>
            </w:r>
          </w:p>
        </w:tc>
        <w:tc>
          <w:tcPr>
            <w:tcW w:w="695" w:type="pct"/>
            <w:shd w:val="clear" w:color="auto" w:fill="auto"/>
            <w:vAlign w:val="center"/>
          </w:tcPr>
          <w:p w14:paraId="47C6F2C5" w14:textId="77777777" w:rsidR="00D4509A" w:rsidRPr="003771DB" w:rsidRDefault="00D4509A" w:rsidP="00076B84">
            <w:pPr>
              <w:pStyle w:val="TableText"/>
              <w:jc w:val="center"/>
            </w:pPr>
            <w:r w:rsidRPr="003771DB">
              <w:t>Not used</w:t>
            </w:r>
          </w:p>
        </w:tc>
      </w:tr>
      <w:tr w:rsidR="00D4509A" w:rsidRPr="003771DB" w14:paraId="4BBB017F" w14:textId="77777777" w:rsidTr="005807D7">
        <w:trPr>
          <w:cantSplit/>
        </w:trPr>
        <w:tc>
          <w:tcPr>
            <w:tcW w:w="463" w:type="pct"/>
            <w:shd w:val="clear" w:color="auto" w:fill="auto"/>
            <w:vAlign w:val="center"/>
          </w:tcPr>
          <w:p w14:paraId="0B56C507" w14:textId="77777777" w:rsidR="00D4509A" w:rsidRPr="003771DB" w:rsidRDefault="00D4509A" w:rsidP="00076B84">
            <w:pPr>
              <w:pStyle w:val="TableText"/>
            </w:pPr>
            <w:r w:rsidRPr="003771DB">
              <w:t>STEP-4</w:t>
            </w:r>
          </w:p>
        </w:tc>
        <w:tc>
          <w:tcPr>
            <w:tcW w:w="309" w:type="pct"/>
            <w:shd w:val="clear" w:color="auto" w:fill="auto"/>
            <w:vAlign w:val="center"/>
          </w:tcPr>
          <w:p w14:paraId="1AD1604F" w14:textId="77777777" w:rsidR="00D4509A" w:rsidRPr="003771DB" w:rsidRDefault="00D4509A" w:rsidP="00076B84">
            <w:pPr>
              <w:pStyle w:val="TableText"/>
              <w:jc w:val="center"/>
            </w:pPr>
            <w:r w:rsidRPr="003771DB">
              <w:t>803</w:t>
            </w:r>
          </w:p>
        </w:tc>
        <w:tc>
          <w:tcPr>
            <w:tcW w:w="1076" w:type="pct"/>
            <w:shd w:val="clear" w:color="auto" w:fill="auto"/>
            <w:vAlign w:val="center"/>
          </w:tcPr>
          <w:p w14:paraId="6D68641A" w14:textId="77777777" w:rsidR="00D4509A" w:rsidRPr="003771DB" w:rsidRDefault="00D4509A" w:rsidP="00076B84">
            <w:pPr>
              <w:pStyle w:val="TableText"/>
              <w:jc w:val="center"/>
            </w:pPr>
            <w:r w:rsidRPr="003771DB">
              <w:t>MC, R, DB, PC, (treatment withdrawal study design)</w:t>
            </w:r>
          </w:p>
          <w:p w14:paraId="58D53C7E" w14:textId="77777777" w:rsidR="00D4509A" w:rsidRPr="003771DB" w:rsidRDefault="00D4509A" w:rsidP="00076B84">
            <w:pPr>
              <w:pStyle w:val="TableText"/>
              <w:jc w:val="center"/>
            </w:pPr>
            <w:r w:rsidRPr="003771DB">
              <w:t>75 weeks duration</w:t>
            </w:r>
          </w:p>
        </w:tc>
        <w:tc>
          <w:tcPr>
            <w:tcW w:w="470" w:type="pct"/>
            <w:shd w:val="clear" w:color="auto" w:fill="auto"/>
            <w:vAlign w:val="center"/>
          </w:tcPr>
          <w:p w14:paraId="077EA224" w14:textId="77777777" w:rsidR="00D4509A" w:rsidRPr="003771DB" w:rsidRDefault="00D4509A" w:rsidP="00076B84">
            <w:pPr>
              <w:pStyle w:val="TableText"/>
              <w:jc w:val="center"/>
              <w:rPr>
                <w:iCs/>
              </w:rPr>
            </w:pPr>
            <w:r w:rsidRPr="003771DB">
              <w:rPr>
                <w:iCs/>
              </w:rPr>
              <w:t>Low</w:t>
            </w:r>
          </w:p>
        </w:tc>
        <w:tc>
          <w:tcPr>
            <w:tcW w:w="935" w:type="pct"/>
            <w:shd w:val="clear" w:color="auto" w:fill="auto"/>
            <w:vAlign w:val="center"/>
          </w:tcPr>
          <w:p w14:paraId="201EF5EE" w14:textId="09743A4A" w:rsidR="00D4509A" w:rsidRPr="003771DB" w:rsidRDefault="005807D7" w:rsidP="00076B84">
            <w:pPr>
              <w:pStyle w:val="TableText"/>
              <w:jc w:val="center"/>
            </w:pPr>
            <w:r w:rsidRPr="003771DB">
              <w:t>Overweight/obese p</w:t>
            </w:r>
            <w:r w:rsidR="00D4509A" w:rsidRPr="003771DB">
              <w:t>atients without diabetes</w:t>
            </w:r>
          </w:p>
        </w:tc>
        <w:tc>
          <w:tcPr>
            <w:tcW w:w="1053" w:type="pct"/>
            <w:shd w:val="clear" w:color="auto" w:fill="auto"/>
            <w:vAlign w:val="center"/>
          </w:tcPr>
          <w:p w14:paraId="5ECD5D70" w14:textId="77777777" w:rsidR="00D4509A" w:rsidRPr="003771DB" w:rsidRDefault="00D4509A" w:rsidP="00076B84">
            <w:pPr>
              <w:pStyle w:val="TableText"/>
              <w:jc w:val="center"/>
            </w:pPr>
            <w:r w:rsidRPr="003771DB">
              <w:t>Weight, biomarkers, quality of life and adverse events</w:t>
            </w:r>
          </w:p>
        </w:tc>
        <w:tc>
          <w:tcPr>
            <w:tcW w:w="695" w:type="pct"/>
            <w:shd w:val="clear" w:color="auto" w:fill="auto"/>
            <w:vAlign w:val="center"/>
          </w:tcPr>
          <w:p w14:paraId="07867173" w14:textId="77777777" w:rsidR="00D4509A" w:rsidRPr="003771DB" w:rsidRDefault="00D4509A" w:rsidP="00076B84">
            <w:pPr>
              <w:pStyle w:val="TableText"/>
              <w:jc w:val="center"/>
            </w:pPr>
            <w:r w:rsidRPr="003771DB">
              <w:t>Not used</w:t>
            </w:r>
          </w:p>
        </w:tc>
      </w:tr>
      <w:tr w:rsidR="00D4509A" w:rsidRPr="003771DB" w14:paraId="0DA38782" w14:textId="77777777" w:rsidTr="005807D7">
        <w:trPr>
          <w:cantSplit/>
        </w:trPr>
        <w:tc>
          <w:tcPr>
            <w:tcW w:w="463" w:type="pct"/>
            <w:shd w:val="clear" w:color="auto" w:fill="auto"/>
            <w:vAlign w:val="center"/>
          </w:tcPr>
          <w:p w14:paraId="6035523B" w14:textId="77777777" w:rsidR="00D4509A" w:rsidRPr="003771DB" w:rsidRDefault="00D4509A" w:rsidP="00076B84">
            <w:pPr>
              <w:pStyle w:val="TableText"/>
            </w:pPr>
            <w:r w:rsidRPr="003771DB">
              <w:t>STEP-5</w:t>
            </w:r>
          </w:p>
        </w:tc>
        <w:tc>
          <w:tcPr>
            <w:tcW w:w="309" w:type="pct"/>
            <w:shd w:val="clear" w:color="auto" w:fill="auto"/>
            <w:vAlign w:val="center"/>
          </w:tcPr>
          <w:p w14:paraId="78A08D41" w14:textId="77777777" w:rsidR="00D4509A" w:rsidRPr="003771DB" w:rsidRDefault="00D4509A" w:rsidP="00076B84">
            <w:pPr>
              <w:pStyle w:val="TableText"/>
              <w:jc w:val="center"/>
            </w:pPr>
            <w:r w:rsidRPr="003771DB">
              <w:t>304</w:t>
            </w:r>
          </w:p>
        </w:tc>
        <w:tc>
          <w:tcPr>
            <w:tcW w:w="1076" w:type="pct"/>
            <w:shd w:val="clear" w:color="auto" w:fill="auto"/>
            <w:vAlign w:val="center"/>
          </w:tcPr>
          <w:p w14:paraId="4257DF10" w14:textId="77777777" w:rsidR="00D4509A" w:rsidRPr="003771DB" w:rsidRDefault="00D4509A" w:rsidP="00076B84">
            <w:pPr>
              <w:pStyle w:val="TableText"/>
              <w:jc w:val="center"/>
            </w:pPr>
            <w:r w:rsidRPr="003771DB">
              <w:t xml:space="preserve">MC, R, DB, PC, </w:t>
            </w:r>
          </w:p>
          <w:p w14:paraId="40154ABE" w14:textId="77777777" w:rsidR="00D4509A" w:rsidRPr="003771DB" w:rsidRDefault="00D4509A" w:rsidP="00076B84">
            <w:pPr>
              <w:pStyle w:val="TableText"/>
              <w:jc w:val="center"/>
            </w:pPr>
            <w:r w:rsidRPr="003771DB">
              <w:t>104 weeks duration</w:t>
            </w:r>
          </w:p>
        </w:tc>
        <w:tc>
          <w:tcPr>
            <w:tcW w:w="470" w:type="pct"/>
            <w:shd w:val="clear" w:color="auto" w:fill="auto"/>
            <w:vAlign w:val="center"/>
          </w:tcPr>
          <w:p w14:paraId="0BE14460" w14:textId="77777777" w:rsidR="00D4509A" w:rsidRPr="003771DB" w:rsidRDefault="00D4509A" w:rsidP="00076B84">
            <w:pPr>
              <w:pStyle w:val="TableText"/>
              <w:jc w:val="center"/>
              <w:rPr>
                <w:iCs/>
              </w:rPr>
            </w:pPr>
            <w:r w:rsidRPr="003771DB">
              <w:rPr>
                <w:iCs/>
              </w:rPr>
              <w:t>Low</w:t>
            </w:r>
          </w:p>
        </w:tc>
        <w:tc>
          <w:tcPr>
            <w:tcW w:w="935" w:type="pct"/>
            <w:shd w:val="clear" w:color="auto" w:fill="auto"/>
            <w:vAlign w:val="center"/>
          </w:tcPr>
          <w:p w14:paraId="5C08D92F" w14:textId="6B433A12" w:rsidR="00D4509A" w:rsidRPr="003771DB" w:rsidRDefault="005807D7" w:rsidP="00076B84">
            <w:pPr>
              <w:pStyle w:val="TableText"/>
              <w:jc w:val="center"/>
            </w:pPr>
            <w:r w:rsidRPr="003771DB">
              <w:t>Overweight/obese p</w:t>
            </w:r>
            <w:r w:rsidR="00D4509A" w:rsidRPr="003771DB">
              <w:t>atients without diabetes</w:t>
            </w:r>
          </w:p>
        </w:tc>
        <w:tc>
          <w:tcPr>
            <w:tcW w:w="1053" w:type="pct"/>
            <w:shd w:val="clear" w:color="auto" w:fill="auto"/>
            <w:vAlign w:val="center"/>
          </w:tcPr>
          <w:p w14:paraId="5A80D6C2" w14:textId="77777777" w:rsidR="00D4509A" w:rsidRPr="003771DB" w:rsidRDefault="00D4509A" w:rsidP="00076B84">
            <w:pPr>
              <w:pStyle w:val="TableText"/>
              <w:jc w:val="center"/>
            </w:pPr>
            <w:r w:rsidRPr="003771DB">
              <w:t>Weight, biomarkers and adverse events</w:t>
            </w:r>
          </w:p>
        </w:tc>
        <w:tc>
          <w:tcPr>
            <w:tcW w:w="695" w:type="pct"/>
            <w:shd w:val="clear" w:color="auto" w:fill="auto"/>
            <w:vAlign w:val="center"/>
          </w:tcPr>
          <w:p w14:paraId="1BBBC5E4" w14:textId="77777777" w:rsidR="00D4509A" w:rsidRPr="003771DB" w:rsidRDefault="00D4509A" w:rsidP="00076B84">
            <w:pPr>
              <w:pStyle w:val="TableText"/>
              <w:jc w:val="center"/>
            </w:pPr>
            <w:r w:rsidRPr="003771DB">
              <w:t>Not used</w:t>
            </w:r>
          </w:p>
        </w:tc>
      </w:tr>
    </w:tbl>
    <w:p w14:paraId="55924B3C" w14:textId="652E67B7" w:rsidR="00D4509A" w:rsidRPr="003771DB" w:rsidRDefault="00D4509A" w:rsidP="00D4509A">
      <w:pPr>
        <w:pStyle w:val="COMTablefooter"/>
      </w:pPr>
      <w:r w:rsidRPr="003771DB">
        <w:t>Source: Section 2.3</w:t>
      </w:r>
      <w:r w:rsidR="00AF78FE" w:rsidRPr="003771DB">
        <w:t>, pp47-56;</w:t>
      </w:r>
      <w:r w:rsidRPr="003771DB">
        <w:t xml:space="preserve"> Section 2.4</w:t>
      </w:r>
      <w:r w:rsidR="00AF78FE" w:rsidRPr="003771DB">
        <w:t>, pp57-77</w:t>
      </w:r>
      <w:r w:rsidRPr="003771DB">
        <w:t xml:space="preserve"> of the </w:t>
      </w:r>
      <w:r w:rsidR="00AF78FE" w:rsidRPr="003771DB">
        <w:t>re</w:t>
      </w:r>
      <w:r w:rsidRPr="003771DB">
        <w:t xml:space="preserve">submission </w:t>
      </w:r>
    </w:p>
    <w:p w14:paraId="13ABD597" w14:textId="3751F930" w:rsidR="00D4509A" w:rsidRPr="003771DB" w:rsidRDefault="00D4509A" w:rsidP="00D4509A">
      <w:pPr>
        <w:pStyle w:val="COMTablefooter"/>
      </w:pPr>
      <w:r w:rsidRPr="003771DB">
        <w:t>Abbreviations: AC, active-controlled; DB, double-blind; MC, multicentre; PC, placebo-controlled; R, randomised</w:t>
      </w:r>
    </w:p>
    <w:p w14:paraId="4A4FE085" w14:textId="43823699" w:rsidR="00B60939" w:rsidRPr="003771DB" w:rsidRDefault="00B60939" w:rsidP="00EC5836">
      <w:pPr>
        <w:pStyle w:val="COMH2-non-numbered"/>
      </w:pPr>
      <w:bookmarkStart w:id="23" w:name="_Toc22897641"/>
      <w:bookmarkStart w:id="24" w:name="_Toc144899324"/>
      <w:r w:rsidRPr="003771DB">
        <w:lastRenderedPageBreak/>
        <w:t>Comparative effectiveness</w:t>
      </w:r>
      <w:bookmarkEnd w:id="23"/>
      <w:bookmarkEnd w:id="24"/>
    </w:p>
    <w:p w14:paraId="5775BF95" w14:textId="7417EA2E" w:rsidR="00AD7350" w:rsidRPr="003771DB" w:rsidRDefault="00AD7350" w:rsidP="004E2228">
      <w:pPr>
        <w:pStyle w:val="COMexecsumnumberedpara"/>
      </w:pPr>
      <w:r w:rsidRPr="003771DB">
        <w:t xml:space="preserve">Treatment with semaglutide was associated with a statistically significant reduction in body weight over time, with a treatment difference of 10-12% compared to placebo in non-diabetic patients with and without adjunctive intensive behavioural therapy (STEP-1, STEP-3, STEP-5). </w:t>
      </w:r>
    </w:p>
    <w:p w14:paraId="4DCF0138" w14:textId="7EA6210B" w:rsidR="00AD7350" w:rsidRPr="003771DB" w:rsidRDefault="00AD7350" w:rsidP="004E2228">
      <w:pPr>
        <w:pStyle w:val="COMexecsumnumberedpara"/>
      </w:pPr>
      <w:r w:rsidRPr="003771DB">
        <w:t xml:space="preserve">Treatment with semaglutide was associated with smaller weight reductions in diabetic patients, with a treatment difference of 6% compared to placebo (STEP-2). The higher 2.4 mg dose of semaglutide was also associated with greater weight loss compared to the conventional 1.0 mg dose strength (treatment difference -2.65%; 95% CI </w:t>
      </w:r>
      <w:r w:rsidR="00101315" w:rsidRPr="003771DB">
        <w:noBreakHyphen/>
      </w:r>
      <w:r w:rsidRPr="003771DB">
        <w:t xml:space="preserve">3.66, </w:t>
      </w:r>
      <w:r w:rsidR="00101315" w:rsidRPr="003771DB">
        <w:noBreakHyphen/>
      </w:r>
      <w:r w:rsidRPr="003771DB">
        <w:t>1.64).</w:t>
      </w:r>
    </w:p>
    <w:p w14:paraId="5E199E75" w14:textId="196E8DA0" w:rsidR="00AD7350" w:rsidRPr="003771DB" w:rsidRDefault="00AD7350" w:rsidP="004E2228">
      <w:pPr>
        <w:pStyle w:val="COMexecsumnumberedpara"/>
      </w:pPr>
      <w:r w:rsidRPr="003771DB">
        <w:t>The reductions in body weight appeared to be maintained for two years while patients remained on treatment (STEP-5). Discontinuation of semaglutide treatment was associated with an increase in body weight (STEP-1 extension, STEP-4), with a substantial proportion of initial reductions lost within a year.</w:t>
      </w:r>
    </w:p>
    <w:p w14:paraId="702B5EF8" w14:textId="7B3B8A84" w:rsidR="00AD7350" w:rsidRPr="003771DB" w:rsidRDefault="00AD7350" w:rsidP="004E2228">
      <w:pPr>
        <w:pStyle w:val="COMexecsumnumberedpara"/>
      </w:pPr>
      <w:r w:rsidRPr="003771DB">
        <w:t xml:space="preserve">A larger proportion of patients achieved each weight loss threshold </w:t>
      </w:r>
      <w:r w:rsidR="000751E3" w:rsidRPr="003771DB">
        <w:t>(</w:t>
      </w:r>
      <w:r w:rsidR="00DF5B67" w:rsidRPr="003771DB">
        <w:t>≥</w:t>
      </w:r>
      <w:r w:rsidR="00ED101B">
        <w:t> </w:t>
      </w:r>
      <w:r w:rsidR="00DF5B67" w:rsidRPr="003771DB">
        <w:t>5%, ≥</w:t>
      </w:r>
      <w:r w:rsidR="00ED101B">
        <w:t> </w:t>
      </w:r>
      <w:r w:rsidR="00DF5B67" w:rsidRPr="003771DB">
        <w:t>10%, ≥</w:t>
      </w:r>
      <w:r w:rsidR="00ED101B">
        <w:t> </w:t>
      </w:r>
      <w:r w:rsidR="00DF5B67" w:rsidRPr="003771DB">
        <w:t>15%, ≥</w:t>
      </w:r>
      <w:r w:rsidR="00ED101B">
        <w:t> </w:t>
      </w:r>
      <w:r w:rsidR="00DF5B67" w:rsidRPr="003771DB">
        <w:t>20%</w:t>
      </w:r>
      <w:r w:rsidR="000751E3" w:rsidRPr="003771DB">
        <w:t xml:space="preserve">) </w:t>
      </w:r>
      <w:r w:rsidRPr="003771DB">
        <w:t xml:space="preserve">with semaglutide compared to placebo in the STEP trials. The differences between treatment arms were statistically significant in all trials. </w:t>
      </w:r>
    </w:p>
    <w:p w14:paraId="5B58F227" w14:textId="568D5734" w:rsidR="00AD7350" w:rsidRPr="003771DB" w:rsidRDefault="00AD7350" w:rsidP="004E2228">
      <w:pPr>
        <w:pStyle w:val="COMexecsumnumberedpara"/>
      </w:pPr>
      <w:r w:rsidRPr="003771DB">
        <w:t xml:space="preserve">A larger proportion of patients achieved each weight loss threshold with semaglutide </w:t>
      </w:r>
      <w:r w:rsidR="005279EE" w:rsidRPr="003771DB">
        <w:t>2.4</w:t>
      </w:r>
      <w:r w:rsidR="00ED101B">
        <w:t> </w:t>
      </w:r>
      <w:r w:rsidR="005279EE" w:rsidRPr="003771DB">
        <w:t xml:space="preserve">mg </w:t>
      </w:r>
      <w:r w:rsidRPr="003771DB">
        <w:t>compared to semaglutide 1.0</w:t>
      </w:r>
      <w:r w:rsidR="00ED101B">
        <w:t> </w:t>
      </w:r>
      <w:r w:rsidRPr="003771DB">
        <w:t xml:space="preserve">mg in </w:t>
      </w:r>
      <w:r w:rsidR="00E80949" w:rsidRPr="003771DB">
        <w:t xml:space="preserve">patients with </w:t>
      </w:r>
      <w:r w:rsidRPr="003771DB">
        <w:t>diabetes</w:t>
      </w:r>
      <w:r w:rsidR="00E80949" w:rsidRPr="003771DB">
        <w:t>,</w:t>
      </w:r>
      <w:r w:rsidRPr="003771DB">
        <w:t xml:space="preserve"> although the differences between arms were substantially smaller than observed for the placebo comparison.</w:t>
      </w:r>
    </w:p>
    <w:p w14:paraId="2C90A588" w14:textId="4FCBA688" w:rsidR="00AD7350" w:rsidRPr="003771DB" w:rsidRDefault="00AD7350" w:rsidP="004E2228">
      <w:pPr>
        <w:pStyle w:val="COMexecsumnumberedpara"/>
      </w:pPr>
      <w:r w:rsidRPr="003771DB">
        <w:t>Treatment with semaglutide was associated with a statistically significant improvement in SF-36 and IWQOL-Lite-CT physical functioning scores compared to placebo in both diabetic and non-diabetic patients (STEP-1, STEP-2), although larger benefits were observed in non-diabetic patients. SF-36 physical functioning scores also favoured semaglutide in patients receiving intensive behavioural therapy but the differences between treatment arms did not reach statistical significance (STEP-3). Discontinuation of semaglutide treatment was associated with a worsening of physical functioning scores back towards baseline levels (STEP-4).</w:t>
      </w:r>
    </w:p>
    <w:p w14:paraId="42599797" w14:textId="602E1E35" w:rsidR="00AD7350" w:rsidRPr="003771DB" w:rsidRDefault="00AD7350" w:rsidP="004E2228">
      <w:pPr>
        <w:pStyle w:val="COMexecsumnumberedpara"/>
      </w:pPr>
      <w:r w:rsidRPr="003771DB">
        <w:t xml:space="preserve">Other quality of life outcomes also favoured semaglutide compared to placebo although the differences were generally small between treatment arms and variable between trials. </w:t>
      </w:r>
    </w:p>
    <w:p w14:paraId="6EEA510C" w14:textId="6F49A042" w:rsidR="00AD7350" w:rsidRPr="003771DB" w:rsidRDefault="00AD7350" w:rsidP="004E2228">
      <w:pPr>
        <w:pStyle w:val="COMexecsumnumberedpara"/>
      </w:pPr>
      <w:r w:rsidRPr="003771DB">
        <w:t>There were no apparent differences in quality of life outcomes between different semaglutide dose strengths (2.4 mg or 1.0 mg) in diabetes patients</w:t>
      </w:r>
      <w:r w:rsidR="00A60B02" w:rsidRPr="003771DB">
        <w:t xml:space="preserve"> (STEP-2)</w:t>
      </w:r>
      <w:r w:rsidRPr="003771DB">
        <w:t>.</w:t>
      </w:r>
    </w:p>
    <w:p w14:paraId="1A190E58" w14:textId="5184B00D" w:rsidR="00AD7350" w:rsidRPr="003771DB" w:rsidRDefault="00AD7350" w:rsidP="004E2228">
      <w:pPr>
        <w:pStyle w:val="COMexecsumnumberedpara"/>
      </w:pPr>
      <w:r w:rsidRPr="003771DB">
        <w:t>Treatment with semaglutide was also associated with improvements in glucose metabolism, blood pressure and lipid metabolism compared to placebo.</w:t>
      </w:r>
    </w:p>
    <w:p w14:paraId="643EAEB9" w14:textId="509B42E8" w:rsidR="00AF5D36" w:rsidRPr="003771DB" w:rsidRDefault="00AF5D36" w:rsidP="004E2228">
      <w:pPr>
        <w:pStyle w:val="COMexecsumnumberedpara"/>
      </w:pPr>
      <w:r w:rsidRPr="003771DB">
        <w:t>No pre-specified subgroup analyses were identified in any of the included trial reports for the STEP clinical trial program.</w:t>
      </w:r>
    </w:p>
    <w:p w14:paraId="1C5C7DBD" w14:textId="1CE57FA9" w:rsidR="00AF5D36" w:rsidRPr="003771DB" w:rsidRDefault="00AF5D36" w:rsidP="004E2228">
      <w:pPr>
        <w:pStyle w:val="COMexecsumnumberedpara"/>
      </w:pPr>
      <w:bookmarkStart w:id="25" w:name="_Ref152238084"/>
      <w:r w:rsidRPr="003771DB">
        <w:lastRenderedPageBreak/>
        <w:t xml:space="preserve">The resubmission presented extensive </w:t>
      </w:r>
      <w:r w:rsidRPr="003771DB">
        <w:rPr>
          <w:i/>
          <w:iCs/>
        </w:rPr>
        <w:t>post hoc</w:t>
      </w:r>
      <w:r w:rsidRPr="003771DB">
        <w:t xml:space="preserve"> subgroup analyses of the STEP-1 trial based on various combinations of baseline BMI, number of comorbidities and presence/absence of specific comorbidities (obstructive sleep apnoea, knee osteoarthritis, pre-diabetes). There were substantial imbalances in the proportion of females and the proportion with pre-diabetes between treatment arms for many of the subgroups. Additionally, there were notable imbalances in the proportion</w:t>
      </w:r>
      <w:r w:rsidR="005B75E7" w:rsidRPr="003771DB">
        <w:t>s</w:t>
      </w:r>
      <w:r w:rsidRPr="003771DB">
        <w:t xml:space="preserve"> of patients with obstructive sleep apnoea and knee osteoarthritis between treatment arms in some of the smaller subgroup populations. Overall, the comparison of baseline characteristics suggests that the results of </w:t>
      </w:r>
      <w:r w:rsidR="00276DBD" w:rsidRPr="003771DB">
        <w:t xml:space="preserve">the </w:t>
      </w:r>
      <w:r w:rsidRPr="003771DB">
        <w:t>subgroup analyses, particularly for smaller subgroups, should be interpreted with caution.</w:t>
      </w:r>
      <w:bookmarkEnd w:id="25"/>
    </w:p>
    <w:p w14:paraId="6364144C" w14:textId="6E020E30" w:rsidR="00AF5D36" w:rsidRPr="003771DB" w:rsidRDefault="00AF5D36" w:rsidP="004E2228">
      <w:pPr>
        <w:pStyle w:val="COMexecsumnumberedpara"/>
      </w:pPr>
      <w:bookmarkStart w:id="26" w:name="_Ref147762162"/>
      <w:r w:rsidRPr="003771DB">
        <w:t xml:space="preserve">The resubmission did not present any of the results of </w:t>
      </w:r>
      <w:r w:rsidRPr="003771DB">
        <w:rPr>
          <w:i/>
          <w:iCs/>
        </w:rPr>
        <w:t>post hoc</w:t>
      </w:r>
      <w:r w:rsidRPr="003771DB">
        <w:t xml:space="preserve"> subgroup analyses and treatment interaction testing that were previously identified during the March</w:t>
      </w:r>
      <w:r w:rsidR="009329B0">
        <w:t> </w:t>
      </w:r>
      <w:r w:rsidRPr="003771DB">
        <w:t xml:space="preserve">2022 evaluation process (Kushner 2021). </w:t>
      </w:r>
      <w:r w:rsidRPr="003771DB">
        <w:rPr>
          <w:iCs/>
        </w:rPr>
        <w:t xml:space="preserve">These analyses indicated that </w:t>
      </w:r>
      <w:r w:rsidR="00E80949" w:rsidRPr="003771DB">
        <w:rPr>
          <w:iCs/>
        </w:rPr>
        <w:t>a slightly greater response to semaglutide was seen in female patients, w</w:t>
      </w:r>
      <w:r w:rsidRPr="003771DB">
        <w:rPr>
          <w:iCs/>
        </w:rPr>
        <w:t>hite</w:t>
      </w:r>
      <w:r w:rsidR="00E80949" w:rsidRPr="003771DB">
        <w:rPr>
          <w:iCs/>
        </w:rPr>
        <w:t xml:space="preserve"> as opposed to other racial groups</w:t>
      </w:r>
      <w:r w:rsidRPr="003771DB">
        <w:rPr>
          <w:iCs/>
        </w:rPr>
        <w:t xml:space="preserve">, </w:t>
      </w:r>
      <w:r w:rsidR="00E80949" w:rsidRPr="003771DB">
        <w:rPr>
          <w:iCs/>
        </w:rPr>
        <w:t xml:space="preserve">patients starting the trial with a </w:t>
      </w:r>
      <w:r w:rsidRPr="003771DB">
        <w:rPr>
          <w:iCs/>
        </w:rPr>
        <w:t xml:space="preserve">lower baseline body weight and </w:t>
      </w:r>
      <w:r w:rsidR="00E80949" w:rsidRPr="003771DB">
        <w:rPr>
          <w:iCs/>
        </w:rPr>
        <w:t>in patients without diabetes or prediabetes</w:t>
      </w:r>
      <w:r w:rsidRPr="003771DB">
        <w:t xml:space="preserve">. The largest differences were associated with </w:t>
      </w:r>
      <w:r w:rsidR="00E80949" w:rsidRPr="003771DB">
        <w:t xml:space="preserve">gender </w:t>
      </w:r>
      <w:r w:rsidRPr="003771DB">
        <w:t>(estimated treatment difference in mean body weight for females: 16.3%, males: 9.4%; interaction testing p &lt;0.001) and baseline body weight (estimated treatment difference in mean body weight for patients weighing &lt;</w:t>
      </w:r>
      <w:r w:rsidR="009329B0">
        <w:t> </w:t>
      </w:r>
      <w:r w:rsidRPr="003771DB">
        <w:t xml:space="preserve">115 kg: 15.2-16.4%, patients weighing </w:t>
      </w:r>
      <w:r w:rsidR="00022332" w:rsidRPr="003771DB">
        <w:t>≥</w:t>
      </w:r>
      <w:r w:rsidR="009329B0">
        <w:t> </w:t>
      </w:r>
      <w:r w:rsidRPr="003771DB">
        <w:t xml:space="preserve">115 kg: 10.8%; interaction testing p &lt;0.001) (para 6.25, semaglutide </w:t>
      </w:r>
      <w:r w:rsidR="000C4551" w:rsidRPr="003771DB">
        <w:t>PSD</w:t>
      </w:r>
      <w:r w:rsidRPr="003771DB">
        <w:t>, March 2022 PBAC meeting).</w:t>
      </w:r>
      <w:bookmarkEnd w:id="26"/>
    </w:p>
    <w:p w14:paraId="43816EAB" w14:textId="47B1387E" w:rsidR="00AF78FE" w:rsidRPr="003771DB" w:rsidRDefault="00AF78FE" w:rsidP="004E2228">
      <w:pPr>
        <w:pStyle w:val="COMexecsumnumberedpara"/>
      </w:pPr>
      <w:r w:rsidRPr="003771DB">
        <w:t xml:space="preserve">Key </w:t>
      </w:r>
      <w:r w:rsidRPr="003771DB">
        <w:rPr>
          <w:i/>
          <w:iCs/>
        </w:rPr>
        <w:t>post hoc</w:t>
      </w:r>
      <w:r w:rsidRPr="003771DB">
        <w:t xml:space="preserve"> subgroup analyses of the mean change in body weight with semaglutide and placebo in the STEP-1 trial are summarised in </w:t>
      </w:r>
      <w:r w:rsidR="00E44DD1" w:rsidRPr="003771DB">
        <w:fldChar w:fldCharType="begin" w:fldLock="1"/>
      </w:r>
      <w:r w:rsidR="00E44DD1" w:rsidRPr="003771DB">
        <w:instrText xml:space="preserve"> REF _Ref143501336 \h </w:instrText>
      </w:r>
      <w:r w:rsidR="00E44DD1" w:rsidRPr="003771DB">
        <w:fldChar w:fldCharType="separate"/>
      </w:r>
      <w:r w:rsidR="00D44FF6" w:rsidRPr="003771DB">
        <w:t xml:space="preserve">Table </w:t>
      </w:r>
      <w:r w:rsidR="00D44FF6" w:rsidRPr="00F7478B">
        <w:t>5</w:t>
      </w:r>
      <w:r w:rsidR="00E44DD1" w:rsidRPr="003771DB">
        <w:fldChar w:fldCharType="end"/>
      </w:r>
      <w:r w:rsidRPr="003771DB">
        <w:t>.</w:t>
      </w:r>
    </w:p>
    <w:p w14:paraId="3279F724" w14:textId="720B36B9" w:rsidR="00AF78FE" w:rsidRPr="003771DB" w:rsidRDefault="00AF78FE" w:rsidP="00E44DD1">
      <w:pPr>
        <w:pStyle w:val="Caption"/>
        <w:rPr>
          <w:color w:val="3366FF"/>
        </w:rPr>
      </w:pPr>
      <w:bookmarkStart w:id="27" w:name="_Ref143501336"/>
      <w:r w:rsidRPr="003771DB">
        <w:rPr>
          <w:snapToGrid w:val="0"/>
        </w:rPr>
        <w:t xml:space="preserve">Table </w:t>
      </w:r>
      <w:r w:rsidR="00AD487C" w:rsidRPr="003771DB">
        <w:rPr>
          <w:snapToGrid w:val="0"/>
        </w:rPr>
        <w:fldChar w:fldCharType="begin" w:fldLock="1"/>
      </w:r>
      <w:r w:rsidR="00AD487C" w:rsidRPr="003771DB">
        <w:rPr>
          <w:snapToGrid w:val="0"/>
        </w:rPr>
        <w:instrText xml:space="preserve"> SEQ Table \* ARABIC </w:instrText>
      </w:r>
      <w:r w:rsidR="00AD487C" w:rsidRPr="003771DB">
        <w:rPr>
          <w:snapToGrid w:val="0"/>
        </w:rPr>
        <w:fldChar w:fldCharType="separate"/>
      </w:r>
      <w:r w:rsidR="00AD487C" w:rsidRPr="00F7478B">
        <w:rPr>
          <w:snapToGrid w:val="0"/>
        </w:rPr>
        <w:t>5</w:t>
      </w:r>
      <w:r w:rsidR="00AD487C" w:rsidRPr="003771DB">
        <w:rPr>
          <w:snapToGrid w:val="0"/>
        </w:rPr>
        <w:fldChar w:fldCharType="end"/>
      </w:r>
      <w:bookmarkEnd w:id="27"/>
      <w:r w:rsidRPr="003771DB">
        <w:rPr>
          <w:snapToGrid w:val="0"/>
        </w:rPr>
        <w:t>: Key subgroup analyses of mean percentage change in body weight from baseline in the STEP-1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Key subgroup analyses of mean percentage change in body weight from baseline in the STEP-1 trial"/>
        <w:tblDescription w:val="Table 5: Key subgroup analyses of mean percentage change in body weight from baseline in the STEP-1 trial"/>
      </w:tblPr>
      <w:tblGrid>
        <w:gridCol w:w="4424"/>
        <w:gridCol w:w="1336"/>
        <w:gridCol w:w="1336"/>
        <w:gridCol w:w="1921"/>
      </w:tblGrid>
      <w:tr w:rsidR="00AF78FE" w:rsidRPr="003771DB" w14:paraId="4FE979B3" w14:textId="77777777" w:rsidTr="00076B84">
        <w:trPr>
          <w:cantSplit/>
          <w:tblHeader/>
        </w:trPr>
        <w:tc>
          <w:tcPr>
            <w:tcW w:w="2453" w:type="pct"/>
            <w:tcBorders>
              <w:right w:val="single" w:sz="4" w:space="0" w:color="auto"/>
            </w:tcBorders>
            <w:shd w:val="clear" w:color="auto" w:fill="auto"/>
            <w:vAlign w:val="center"/>
          </w:tcPr>
          <w:p w14:paraId="0C0AF619" w14:textId="77777777" w:rsidR="00AF78FE" w:rsidRPr="003771DB" w:rsidRDefault="00AF78FE" w:rsidP="00076B84">
            <w:pPr>
              <w:pStyle w:val="COMTableheadingrow"/>
              <w:keepNext w:val="0"/>
              <w:rPr>
                <w:snapToGrid w:val="0"/>
                <w:lang w:val="en-AU"/>
              </w:rPr>
            </w:pPr>
            <w:r w:rsidRPr="003771DB">
              <w:rPr>
                <w:snapToGrid w:val="0"/>
                <w:lang w:val="en-AU"/>
              </w:rPr>
              <w:t>Subgroup</w:t>
            </w:r>
          </w:p>
        </w:tc>
        <w:tc>
          <w:tcPr>
            <w:tcW w:w="741" w:type="pct"/>
            <w:tcBorders>
              <w:left w:val="single" w:sz="4" w:space="0" w:color="auto"/>
              <w:right w:val="single" w:sz="4" w:space="0" w:color="auto"/>
            </w:tcBorders>
            <w:shd w:val="clear" w:color="auto" w:fill="auto"/>
            <w:vAlign w:val="center"/>
          </w:tcPr>
          <w:p w14:paraId="1B8FE4A4" w14:textId="54A27F9A" w:rsidR="00AF78FE" w:rsidRPr="003771DB" w:rsidRDefault="00AF78FE" w:rsidP="00076B84">
            <w:pPr>
              <w:pStyle w:val="COMTableheadingrow"/>
              <w:keepNext w:val="0"/>
              <w:jc w:val="center"/>
              <w:rPr>
                <w:snapToGrid w:val="0"/>
                <w:lang w:val="en-AU"/>
              </w:rPr>
            </w:pPr>
            <w:r w:rsidRPr="003771DB">
              <w:rPr>
                <w:snapToGrid w:val="0"/>
                <w:lang w:val="en-AU"/>
              </w:rPr>
              <w:t>Semaglutide</w:t>
            </w:r>
          </w:p>
          <w:p w14:paraId="7A432CF5" w14:textId="3F14C19F" w:rsidR="00AF78FE" w:rsidRPr="003771DB" w:rsidRDefault="00AF78FE" w:rsidP="00076B84">
            <w:pPr>
              <w:pStyle w:val="COMTableheadingrow"/>
              <w:keepNext w:val="0"/>
              <w:jc w:val="center"/>
              <w:rPr>
                <w:snapToGrid w:val="0"/>
                <w:lang w:val="en-AU"/>
              </w:rPr>
            </w:pPr>
            <w:r w:rsidRPr="003771DB">
              <w:rPr>
                <w:snapToGrid w:val="0"/>
                <w:lang w:val="en-AU"/>
              </w:rPr>
              <w:t>Mean %</w:t>
            </w:r>
          </w:p>
        </w:tc>
        <w:tc>
          <w:tcPr>
            <w:tcW w:w="741" w:type="pct"/>
            <w:tcBorders>
              <w:left w:val="single" w:sz="4" w:space="0" w:color="auto"/>
              <w:right w:val="single" w:sz="4" w:space="0" w:color="auto"/>
            </w:tcBorders>
            <w:shd w:val="clear" w:color="auto" w:fill="auto"/>
            <w:vAlign w:val="center"/>
          </w:tcPr>
          <w:p w14:paraId="7E20BAD8" w14:textId="79060B50" w:rsidR="00AF78FE" w:rsidRPr="003771DB" w:rsidRDefault="00AF78FE" w:rsidP="00076B84">
            <w:pPr>
              <w:pStyle w:val="COMTableheadingrow"/>
              <w:keepNext w:val="0"/>
              <w:jc w:val="center"/>
              <w:rPr>
                <w:snapToGrid w:val="0"/>
                <w:lang w:val="en-AU"/>
              </w:rPr>
            </w:pPr>
            <w:r w:rsidRPr="003771DB">
              <w:rPr>
                <w:snapToGrid w:val="0"/>
                <w:lang w:val="en-AU"/>
              </w:rPr>
              <w:t>Placebo</w:t>
            </w:r>
          </w:p>
          <w:p w14:paraId="48ACFCCF" w14:textId="415398AB" w:rsidR="00AF78FE" w:rsidRPr="003771DB" w:rsidRDefault="00AF78FE" w:rsidP="00076B84">
            <w:pPr>
              <w:pStyle w:val="COMTableheadingrow"/>
              <w:keepNext w:val="0"/>
              <w:jc w:val="center"/>
              <w:rPr>
                <w:snapToGrid w:val="0"/>
                <w:lang w:val="en-AU"/>
              </w:rPr>
            </w:pPr>
            <w:r w:rsidRPr="003771DB">
              <w:rPr>
                <w:snapToGrid w:val="0"/>
                <w:lang w:val="en-AU"/>
              </w:rPr>
              <w:t>Mean %</w:t>
            </w:r>
          </w:p>
        </w:tc>
        <w:tc>
          <w:tcPr>
            <w:tcW w:w="1065" w:type="pct"/>
            <w:tcBorders>
              <w:left w:val="single" w:sz="4" w:space="0" w:color="auto"/>
            </w:tcBorders>
            <w:shd w:val="clear" w:color="auto" w:fill="auto"/>
            <w:vAlign w:val="center"/>
          </w:tcPr>
          <w:p w14:paraId="2F6B7348" w14:textId="77ECEA21" w:rsidR="00AF78FE" w:rsidRPr="003771DB" w:rsidRDefault="00AF78FE" w:rsidP="00076B84">
            <w:pPr>
              <w:pStyle w:val="COMTableheadingrow"/>
              <w:keepNext w:val="0"/>
              <w:jc w:val="center"/>
              <w:rPr>
                <w:snapToGrid w:val="0"/>
                <w:lang w:val="en-AU"/>
              </w:rPr>
            </w:pPr>
            <w:r w:rsidRPr="003771DB">
              <w:rPr>
                <w:snapToGrid w:val="0"/>
                <w:lang w:val="en-AU"/>
              </w:rPr>
              <w:t>Treatment difference</w:t>
            </w:r>
          </w:p>
          <w:p w14:paraId="48326214" w14:textId="56DEEDBF" w:rsidR="00AF78FE" w:rsidRPr="003771DB" w:rsidRDefault="00AF78FE" w:rsidP="00076B84">
            <w:pPr>
              <w:pStyle w:val="COMTableheadingrow"/>
              <w:keepNext w:val="0"/>
              <w:jc w:val="center"/>
              <w:rPr>
                <w:snapToGrid w:val="0"/>
                <w:lang w:val="en-AU"/>
              </w:rPr>
            </w:pPr>
            <w:r w:rsidRPr="003771DB">
              <w:rPr>
                <w:snapToGrid w:val="0"/>
                <w:lang w:val="en-AU"/>
              </w:rPr>
              <w:t>Mean % (95% CI)</w:t>
            </w:r>
          </w:p>
        </w:tc>
      </w:tr>
      <w:tr w:rsidR="00AF78FE" w:rsidRPr="003771DB" w14:paraId="207F64DB" w14:textId="77777777" w:rsidTr="00076B84">
        <w:trPr>
          <w:cantSplit/>
        </w:trPr>
        <w:tc>
          <w:tcPr>
            <w:tcW w:w="2453" w:type="pct"/>
            <w:tcBorders>
              <w:top w:val="single" w:sz="4" w:space="0" w:color="auto"/>
              <w:left w:val="single" w:sz="4" w:space="0" w:color="auto"/>
              <w:bottom w:val="single" w:sz="4" w:space="0" w:color="auto"/>
              <w:right w:val="single" w:sz="4" w:space="0" w:color="auto"/>
            </w:tcBorders>
            <w:shd w:val="clear" w:color="auto" w:fill="auto"/>
            <w:vAlign w:val="center"/>
          </w:tcPr>
          <w:p w14:paraId="0D2624F9" w14:textId="48CC8780" w:rsidR="00AF78FE" w:rsidRPr="003771DB" w:rsidRDefault="00AF78FE" w:rsidP="00076B84">
            <w:pPr>
              <w:pStyle w:val="COMTabletext"/>
              <w:keepNext w:val="0"/>
              <w:rPr>
                <w:snapToGrid w:val="0"/>
              </w:rPr>
            </w:pPr>
            <w:r w:rsidRPr="003771DB">
              <w:rPr>
                <w:snapToGrid w:val="0"/>
              </w:rPr>
              <w:t>ITT (N=1,961)</w:t>
            </w:r>
          </w:p>
        </w:tc>
        <w:tc>
          <w:tcPr>
            <w:tcW w:w="741" w:type="pct"/>
            <w:tcBorders>
              <w:top w:val="single" w:sz="4" w:space="0" w:color="auto"/>
              <w:left w:val="single" w:sz="4" w:space="0" w:color="auto"/>
              <w:bottom w:val="single" w:sz="4" w:space="0" w:color="auto"/>
              <w:right w:val="single" w:sz="4" w:space="0" w:color="auto"/>
            </w:tcBorders>
            <w:vAlign w:val="center"/>
          </w:tcPr>
          <w:p w14:paraId="0B652D37" w14:textId="77777777" w:rsidR="00AF78FE" w:rsidRPr="003771DB" w:rsidRDefault="00AF78FE" w:rsidP="00076B84">
            <w:pPr>
              <w:pStyle w:val="COMTabletext"/>
              <w:keepNext w:val="0"/>
              <w:jc w:val="center"/>
              <w:rPr>
                <w:snapToGrid w:val="0"/>
              </w:rPr>
            </w:pPr>
            <w:r w:rsidRPr="003771DB">
              <w:rPr>
                <w:snapToGrid w:val="0"/>
              </w:rPr>
              <w:t>-14.85</w:t>
            </w:r>
          </w:p>
        </w:tc>
        <w:tc>
          <w:tcPr>
            <w:tcW w:w="741" w:type="pct"/>
            <w:tcBorders>
              <w:top w:val="single" w:sz="4" w:space="0" w:color="auto"/>
              <w:left w:val="single" w:sz="4" w:space="0" w:color="auto"/>
              <w:bottom w:val="single" w:sz="4" w:space="0" w:color="auto"/>
              <w:right w:val="single" w:sz="4" w:space="0" w:color="auto"/>
            </w:tcBorders>
            <w:vAlign w:val="center"/>
          </w:tcPr>
          <w:p w14:paraId="438458C5" w14:textId="77777777" w:rsidR="00AF78FE" w:rsidRPr="003771DB" w:rsidRDefault="00AF78FE" w:rsidP="00076B84">
            <w:pPr>
              <w:pStyle w:val="COMTabletext"/>
              <w:keepNext w:val="0"/>
              <w:jc w:val="center"/>
              <w:rPr>
                <w:snapToGrid w:val="0"/>
              </w:rPr>
            </w:pPr>
            <w:r w:rsidRPr="003771DB">
              <w:rPr>
                <w:snapToGrid w:val="0"/>
              </w:rPr>
              <w:t>-2.41</w:t>
            </w:r>
          </w:p>
        </w:tc>
        <w:tc>
          <w:tcPr>
            <w:tcW w:w="1065" w:type="pct"/>
            <w:tcBorders>
              <w:top w:val="single" w:sz="4" w:space="0" w:color="auto"/>
              <w:left w:val="single" w:sz="4" w:space="0" w:color="auto"/>
              <w:bottom w:val="single" w:sz="4" w:space="0" w:color="auto"/>
              <w:right w:val="single" w:sz="4" w:space="0" w:color="auto"/>
            </w:tcBorders>
            <w:vAlign w:val="center"/>
          </w:tcPr>
          <w:p w14:paraId="474E4379" w14:textId="77777777" w:rsidR="00AF78FE" w:rsidRPr="003771DB" w:rsidRDefault="00AF78FE" w:rsidP="00076B84">
            <w:pPr>
              <w:pStyle w:val="COMTabletext"/>
              <w:keepNext w:val="0"/>
              <w:jc w:val="center"/>
              <w:rPr>
                <w:b/>
                <w:bCs w:val="0"/>
                <w:snapToGrid w:val="0"/>
              </w:rPr>
            </w:pPr>
            <w:r w:rsidRPr="003771DB">
              <w:rPr>
                <w:b/>
                <w:bCs w:val="0"/>
                <w:snapToGrid w:val="0"/>
              </w:rPr>
              <w:t>-12.44 (-13.37, -11.51)</w:t>
            </w:r>
          </w:p>
        </w:tc>
      </w:tr>
      <w:tr w:rsidR="00AF78FE" w:rsidRPr="003771DB" w14:paraId="7236EC67" w14:textId="77777777" w:rsidTr="00AF78FE">
        <w:trPr>
          <w:cantSplit/>
        </w:trPr>
        <w:tc>
          <w:tcPr>
            <w:tcW w:w="2453" w:type="pct"/>
            <w:tcBorders>
              <w:top w:val="single" w:sz="4" w:space="0" w:color="auto"/>
              <w:left w:val="single" w:sz="4" w:space="0" w:color="auto"/>
              <w:bottom w:val="single" w:sz="4" w:space="0" w:color="auto"/>
              <w:right w:val="single" w:sz="4" w:space="0" w:color="auto"/>
            </w:tcBorders>
            <w:shd w:val="clear" w:color="auto" w:fill="auto"/>
            <w:vAlign w:val="center"/>
          </w:tcPr>
          <w:p w14:paraId="7544072D" w14:textId="11D5791A" w:rsidR="00AF78FE" w:rsidRPr="003771DB" w:rsidRDefault="00AF78FE" w:rsidP="00AF78FE">
            <w:pPr>
              <w:pStyle w:val="COMTabletext"/>
              <w:keepNext w:val="0"/>
              <w:rPr>
                <w:snapToGrid w:val="0"/>
              </w:rPr>
            </w:pPr>
            <w:r w:rsidRPr="003771DB">
              <w:rPr>
                <w:snapToGrid w:val="0"/>
              </w:rPr>
              <w:t xml:space="preserve">BMI </w:t>
            </w:r>
            <w:r w:rsidR="00057366" w:rsidRPr="003771DB">
              <w:rPr>
                <w:snapToGrid w:val="0"/>
              </w:rPr>
              <w:t>≥</w:t>
            </w:r>
            <w:r w:rsidRPr="003771DB">
              <w:rPr>
                <w:snapToGrid w:val="0"/>
              </w:rPr>
              <w:t>35 kg/m</w:t>
            </w:r>
            <w:r w:rsidRPr="003771DB">
              <w:rPr>
                <w:snapToGrid w:val="0"/>
                <w:vertAlign w:val="superscript"/>
              </w:rPr>
              <w:t>2</w:t>
            </w:r>
            <w:r w:rsidRPr="003771DB">
              <w:rPr>
                <w:snapToGrid w:val="0"/>
              </w:rPr>
              <w:t xml:space="preserve"> and </w:t>
            </w:r>
            <w:r w:rsidR="00057366" w:rsidRPr="003771DB">
              <w:rPr>
                <w:snapToGrid w:val="0"/>
              </w:rPr>
              <w:t>≥</w:t>
            </w:r>
            <w:r w:rsidRPr="003771DB">
              <w:rPr>
                <w:snapToGrid w:val="0"/>
              </w:rPr>
              <w:t>2 weight-related comorbidities with OSA or KOA (N=273; 13.9% of trial population)</w:t>
            </w:r>
          </w:p>
        </w:tc>
        <w:tc>
          <w:tcPr>
            <w:tcW w:w="741" w:type="pct"/>
            <w:tcBorders>
              <w:top w:val="single" w:sz="4" w:space="0" w:color="auto"/>
              <w:left w:val="single" w:sz="4" w:space="0" w:color="auto"/>
              <w:bottom w:val="single" w:sz="4" w:space="0" w:color="auto"/>
              <w:right w:val="single" w:sz="4" w:space="0" w:color="auto"/>
            </w:tcBorders>
            <w:vAlign w:val="center"/>
          </w:tcPr>
          <w:p w14:paraId="4DD4353E" w14:textId="5E877FE9" w:rsidR="00AF78FE" w:rsidRPr="003771DB" w:rsidRDefault="00AF78FE" w:rsidP="00AF78FE">
            <w:pPr>
              <w:pStyle w:val="COMTabletext"/>
              <w:keepNext w:val="0"/>
              <w:jc w:val="center"/>
              <w:rPr>
                <w:snapToGrid w:val="0"/>
              </w:rPr>
            </w:pPr>
            <w:r w:rsidRPr="003771DB">
              <w:rPr>
                <w:snapToGrid w:val="0"/>
              </w:rPr>
              <w:t>-13.64</w:t>
            </w:r>
          </w:p>
        </w:tc>
        <w:tc>
          <w:tcPr>
            <w:tcW w:w="741" w:type="pct"/>
            <w:tcBorders>
              <w:top w:val="single" w:sz="4" w:space="0" w:color="auto"/>
              <w:left w:val="single" w:sz="4" w:space="0" w:color="auto"/>
              <w:bottom w:val="single" w:sz="4" w:space="0" w:color="auto"/>
              <w:right w:val="single" w:sz="4" w:space="0" w:color="auto"/>
            </w:tcBorders>
            <w:vAlign w:val="center"/>
          </w:tcPr>
          <w:p w14:paraId="610B7AF1" w14:textId="0F4308FB" w:rsidR="00AF78FE" w:rsidRPr="003771DB" w:rsidRDefault="00AF78FE" w:rsidP="00AF78FE">
            <w:pPr>
              <w:pStyle w:val="COMTabletext"/>
              <w:keepNext w:val="0"/>
              <w:jc w:val="center"/>
              <w:rPr>
                <w:snapToGrid w:val="0"/>
              </w:rPr>
            </w:pPr>
            <w:r w:rsidRPr="003771DB">
              <w:rPr>
                <w:snapToGrid w:val="0"/>
              </w:rPr>
              <w:t>-1.81</w:t>
            </w:r>
          </w:p>
        </w:tc>
        <w:tc>
          <w:tcPr>
            <w:tcW w:w="1065" w:type="pct"/>
            <w:tcBorders>
              <w:top w:val="single" w:sz="4" w:space="0" w:color="auto"/>
              <w:left w:val="single" w:sz="4" w:space="0" w:color="auto"/>
              <w:bottom w:val="single" w:sz="4" w:space="0" w:color="auto"/>
              <w:right w:val="single" w:sz="4" w:space="0" w:color="auto"/>
            </w:tcBorders>
            <w:vAlign w:val="center"/>
          </w:tcPr>
          <w:p w14:paraId="10784D37" w14:textId="19BC37EA" w:rsidR="00AF78FE" w:rsidRPr="003771DB" w:rsidRDefault="00AF78FE" w:rsidP="00AF78FE">
            <w:pPr>
              <w:pStyle w:val="COMTabletext"/>
              <w:keepNext w:val="0"/>
              <w:jc w:val="center"/>
              <w:rPr>
                <w:b/>
                <w:bCs w:val="0"/>
                <w:snapToGrid w:val="0"/>
              </w:rPr>
            </w:pPr>
            <w:r w:rsidRPr="003771DB">
              <w:rPr>
                <w:b/>
                <w:bCs w:val="0"/>
                <w:snapToGrid w:val="0"/>
              </w:rPr>
              <w:t>-11.83 (-13.96, -9.70)</w:t>
            </w:r>
          </w:p>
        </w:tc>
      </w:tr>
      <w:tr w:rsidR="00AF78FE" w:rsidRPr="003771DB" w14:paraId="060A2776" w14:textId="77777777" w:rsidTr="00AF78FE">
        <w:trPr>
          <w:cantSplit/>
        </w:trPr>
        <w:tc>
          <w:tcPr>
            <w:tcW w:w="2453" w:type="pct"/>
            <w:tcBorders>
              <w:top w:val="single" w:sz="4" w:space="0" w:color="auto"/>
              <w:left w:val="single" w:sz="4" w:space="0" w:color="auto"/>
              <w:bottom w:val="single" w:sz="4" w:space="0" w:color="auto"/>
              <w:right w:val="single" w:sz="4" w:space="0" w:color="auto"/>
            </w:tcBorders>
            <w:shd w:val="clear" w:color="auto" w:fill="auto"/>
            <w:vAlign w:val="center"/>
          </w:tcPr>
          <w:p w14:paraId="6FCDED9E" w14:textId="56BCB577" w:rsidR="00AF78FE" w:rsidRPr="003771DB" w:rsidRDefault="00AF78FE" w:rsidP="00AF78FE">
            <w:pPr>
              <w:pStyle w:val="COMTabletext"/>
              <w:keepNext w:val="0"/>
              <w:rPr>
                <w:snapToGrid w:val="0"/>
              </w:rPr>
            </w:pPr>
            <w:r w:rsidRPr="003771DB">
              <w:rPr>
                <w:snapToGrid w:val="0"/>
              </w:rPr>
              <w:t xml:space="preserve">BMI </w:t>
            </w:r>
            <w:r w:rsidR="00057366" w:rsidRPr="003771DB">
              <w:rPr>
                <w:snapToGrid w:val="0"/>
              </w:rPr>
              <w:t>≥</w:t>
            </w:r>
            <w:r w:rsidRPr="003771DB">
              <w:rPr>
                <w:snapToGrid w:val="0"/>
              </w:rPr>
              <w:t>40 kg/m</w:t>
            </w:r>
            <w:r w:rsidRPr="003771DB">
              <w:rPr>
                <w:snapToGrid w:val="0"/>
                <w:vertAlign w:val="superscript"/>
              </w:rPr>
              <w:t>2</w:t>
            </w:r>
            <w:r w:rsidRPr="003771DB">
              <w:rPr>
                <w:snapToGrid w:val="0"/>
              </w:rPr>
              <w:t xml:space="preserve"> and </w:t>
            </w:r>
            <w:r w:rsidR="00057366" w:rsidRPr="003771DB">
              <w:rPr>
                <w:snapToGrid w:val="0"/>
              </w:rPr>
              <w:t>≥</w:t>
            </w:r>
            <w:r w:rsidRPr="003771DB">
              <w:rPr>
                <w:snapToGrid w:val="0"/>
              </w:rPr>
              <w:t>1 weight-related comorbidity with OSA or KOA (N=167; 8.5% of trial population)</w:t>
            </w:r>
          </w:p>
        </w:tc>
        <w:tc>
          <w:tcPr>
            <w:tcW w:w="741" w:type="pct"/>
            <w:tcBorders>
              <w:top w:val="single" w:sz="4" w:space="0" w:color="auto"/>
              <w:left w:val="single" w:sz="4" w:space="0" w:color="auto"/>
              <w:bottom w:val="single" w:sz="4" w:space="0" w:color="auto"/>
              <w:right w:val="single" w:sz="4" w:space="0" w:color="auto"/>
            </w:tcBorders>
            <w:vAlign w:val="center"/>
          </w:tcPr>
          <w:p w14:paraId="4A21B538" w14:textId="44C8ABA9" w:rsidR="00AF78FE" w:rsidRPr="003771DB" w:rsidRDefault="00AF78FE" w:rsidP="00AF78FE">
            <w:pPr>
              <w:pStyle w:val="COMTabletext"/>
              <w:keepNext w:val="0"/>
              <w:jc w:val="center"/>
              <w:rPr>
                <w:snapToGrid w:val="0"/>
              </w:rPr>
            </w:pPr>
            <w:r w:rsidRPr="003771DB">
              <w:rPr>
                <w:snapToGrid w:val="0"/>
              </w:rPr>
              <w:t>-12.84</w:t>
            </w:r>
          </w:p>
        </w:tc>
        <w:tc>
          <w:tcPr>
            <w:tcW w:w="741" w:type="pct"/>
            <w:tcBorders>
              <w:top w:val="single" w:sz="4" w:space="0" w:color="auto"/>
              <w:left w:val="single" w:sz="4" w:space="0" w:color="auto"/>
              <w:bottom w:val="single" w:sz="4" w:space="0" w:color="auto"/>
              <w:right w:val="single" w:sz="4" w:space="0" w:color="auto"/>
            </w:tcBorders>
            <w:vAlign w:val="center"/>
          </w:tcPr>
          <w:p w14:paraId="0A31F1B3" w14:textId="616E3CDF" w:rsidR="00AF78FE" w:rsidRPr="003771DB" w:rsidRDefault="00AF78FE" w:rsidP="00AF78FE">
            <w:pPr>
              <w:pStyle w:val="COMTabletext"/>
              <w:keepNext w:val="0"/>
              <w:jc w:val="center"/>
              <w:rPr>
                <w:snapToGrid w:val="0"/>
              </w:rPr>
            </w:pPr>
            <w:r w:rsidRPr="003771DB">
              <w:rPr>
                <w:snapToGrid w:val="0"/>
              </w:rPr>
              <w:t>-2.01</w:t>
            </w:r>
          </w:p>
        </w:tc>
        <w:tc>
          <w:tcPr>
            <w:tcW w:w="1065" w:type="pct"/>
            <w:tcBorders>
              <w:top w:val="single" w:sz="4" w:space="0" w:color="auto"/>
              <w:left w:val="single" w:sz="4" w:space="0" w:color="auto"/>
              <w:bottom w:val="single" w:sz="4" w:space="0" w:color="auto"/>
              <w:right w:val="single" w:sz="4" w:space="0" w:color="auto"/>
            </w:tcBorders>
            <w:vAlign w:val="center"/>
          </w:tcPr>
          <w:p w14:paraId="39121707" w14:textId="5D2225FB" w:rsidR="00AF78FE" w:rsidRPr="003771DB" w:rsidRDefault="00AF78FE" w:rsidP="00AF78FE">
            <w:pPr>
              <w:pStyle w:val="COMTabletext"/>
              <w:keepNext w:val="0"/>
              <w:jc w:val="center"/>
              <w:rPr>
                <w:b/>
                <w:bCs w:val="0"/>
                <w:snapToGrid w:val="0"/>
              </w:rPr>
            </w:pPr>
            <w:r w:rsidRPr="003771DB">
              <w:rPr>
                <w:b/>
                <w:bCs w:val="0"/>
                <w:snapToGrid w:val="0"/>
              </w:rPr>
              <w:t>-10.83 (-13.43, -8.23)</w:t>
            </w:r>
          </w:p>
        </w:tc>
      </w:tr>
      <w:tr w:rsidR="00AF78FE" w:rsidRPr="003771DB" w14:paraId="0544EF81" w14:textId="77777777" w:rsidTr="00AF78FE">
        <w:trPr>
          <w:cantSplit/>
        </w:trPr>
        <w:tc>
          <w:tcPr>
            <w:tcW w:w="2453" w:type="pct"/>
            <w:tcBorders>
              <w:top w:val="single" w:sz="4" w:space="0" w:color="auto"/>
              <w:left w:val="single" w:sz="4" w:space="0" w:color="auto"/>
              <w:bottom w:val="single" w:sz="4" w:space="0" w:color="auto"/>
              <w:right w:val="single" w:sz="4" w:space="0" w:color="auto"/>
            </w:tcBorders>
            <w:shd w:val="clear" w:color="auto" w:fill="auto"/>
            <w:vAlign w:val="center"/>
          </w:tcPr>
          <w:p w14:paraId="50B0EF15" w14:textId="48D2EB81" w:rsidR="00AF78FE" w:rsidRPr="003771DB" w:rsidRDefault="00AF78FE" w:rsidP="00AF78FE">
            <w:pPr>
              <w:pStyle w:val="COMTabletext"/>
              <w:keepNext w:val="0"/>
              <w:rPr>
                <w:snapToGrid w:val="0"/>
              </w:rPr>
            </w:pPr>
            <w:r w:rsidRPr="003771DB">
              <w:rPr>
                <w:snapToGrid w:val="0"/>
              </w:rPr>
              <w:t xml:space="preserve">BMI </w:t>
            </w:r>
            <w:r w:rsidR="00057366" w:rsidRPr="003771DB">
              <w:rPr>
                <w:snapToGrid w:val="0"/>
              </w:rPr>
              <w:t>≥</w:t>
            </w:r>
            <w:r w:rsidRPr="003771DB">
              <w:rPr>
                <w:snapToGrid w:val="0"/>
              </w:rPr>
              <w:t>40 kg/m</w:t>
            </w:r>
            <w:r w:rsidRPr="003771DB">
              <w:rPr>
                <w:snapToGrid w:val="0"/>
                <w:vertAlign w:val="superscript"/>
              </w:rPr>
              <w:t>2</w:t>
            </w:r>
            <w:r w:rsidRPr="003771DB">
              <w:rPr>
                <w:snapToGrid w:val="0"/>
              </w:rPr>
              <w:t xml:space="preserve"> and </w:t>
            </w:r>
            <w:r w:rsidR="00057366" w:rsidRPr="003771DB">
              <w:rPr>
                <w:snapToGrid w:val="0"/>
              </w:rPr>
              <w:t>≥</w:t>
            </w:r>
            <w:r w:rsidRPr="003771DB">
              <w:rPr>
                <w:snapToGrid w:val="0"/>
              </w:rPr>
              <w:t>2 weight-related comorbidities with OSA or KOA (N=142; 7.2% of trial population)</w:t>
            </w:r>
          </w:p>
        </w:tc>
        <w:tc>
          <w:tcPr>
            <w:tcW w:w="741" w:type="pct"/>
            <w:tcBorders>
              <w:top w:val="single" w:sz="4" w:space="0" w:color="auto"/>
              <w:left w:val="single" w:sz="4" w:space="0" w:color="auto"/>
              <w:bottom w:val="single" w:sz="4" w:space="0" w:color="auto"/>
              <w:right w:val="single" w:sz="4" w:space="0" w:color="auto"/>
            </w:tcBorders>
            <w:vAlign w:val="center"/>
          </w:tcPr>
          <w:p w14:paraId="2ED0E700" w14:textId="77777777" w:rsidR="00AF78FE" w:rsidRPr="003771DB" w:rsidRDefault="00AF78FE" w:rsidP="00AF78FE">
            <w:pPr>
              <w:pStyle w:val="COMTabletext"/>
              <w:keepNext w:val="0"/>
              <w:jc w:val="center"/>
              <w:rPr>
                <w:snapToGrid w:val="0"/>
              </w:rPr>
            </w:pPr>
            <w:r w:rsidRPr="003771DB">
              <w:rPr>
                <w:snapToGrid w:val="0"/>
              </w:rPr>
              <w:t>-12.84</w:t>
            </w:r>
          </w:p>
        </w:tc>
        <w:tc>
          <w:tcPr>
            <w:tcW w:w="741" w:type="pct"/>
            <w:tcBorders>
              <w:top w:val="single" w:sz="4" w:space="0" w:color="auto"/>
              <w:left w:val="single" w:sz="4" w:space="0" w:color="auto"/>
              <w:bottom w:val="single" w:sz="4" w:space="0" w:color="auto"/>
              <w:right w:val="single" w:sz="4" w:space="0" w:color="auto"/>
            </w:tcBorders>
            <w:vAlign w:val="center"/>
          </w:tcPr>
          <w:p w14:paraId="1F3AB3D5" w14:textId="77777777" w:rsidR="00AF78FE" w:rsidRPr="003771DB" w:rsidRDefault="00AF78FE" w:rsidP="00AF78FE">
            <w:pPr>
              <w:pStyle w:val="COMTabletext"/>
              <w:keepNext w:val="0"/>
              <w:jc w:val="center"/>
              <w:rPr>
                <w:snapToGrid w:val="0"/>
              </w:rPr>
            </w:pPr>
            <w:r w:rsidRPr="003771DB">
              <w:rPr>
                <w:snapToGrid w:val="0"/>
              </w:rPr>
              <w:t>-2.23</w:t>
            </w:r>
          </w:p>
        </w:tc>
        <w:tc>
          <w:tcPr>
            <w:tcW w:w="1065" w:type="pct"/>
            <w:tcBorders>
              <w:top w:val="single" w:sz="4" w:space="0" w:color="auto"/>
              <w:left w:val="single" w:sz="4" w:space="0" w:color="auto"/>
              <w:bottom w:val="single" w:sz="4" w:space="0" w:color="auto"/>
              <w:right w:val="single" w:sz="4" w:space="0" w:color="auto"/>
            </w:tcBorders>
            <w:vAlign w:val="center"/>
          </w:tcPr>
          <w:p w14:paraId="2A11BB23" w14:textId="77777777" w:rsidR="00AF78FE" w:rsidRPr="003771DB" w:rsidRDefault="00AF78FE" w:rsidP="00AF78FE">
            <w:pPr>
              <w:pStyle w:val="COMTabletext"/>
              <w:keepNext w:val="0"/>
              <w:jc w:val="center"/>
              <w:rPr>
                <w:b/>
                <w:bCs w:val="0"/>
                <w:snapToGrid w:val="0"/>
              </w:rPr>
            </w:pPr>
            <w:r w:rsidRPr="003771DB">
              <w:rPr>
                <w:b/>
                <w:bCs w:val="0"/>
                <w:snapToGrid w:val="0"/>
              </w:rPr>
              <w:t>-10.61 (-13.47, -7.76)</w:t>
            </w:r>
          </w:p>
        </w:tc>
      </w:tr>
      <w:tr w:rsidR="00AF78FE" w:rsidRPr="003771DB" w14:paraId="581A567F" w14:textId="77777777" w:rsidTr="00AF78FE">
        <w:trPr>
          <w:cantSplit/>
        </w:trPr>
        <w:tc>
          <w:tcPr>
            <w:tcW w:w="245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A4EDC6" w14:textId="3F680A64" w:rsidR="00AF78FE" w:rsidRPr="003771DB" w:rsidRDefault="00AF78FE" w:rsidP="00AF78FE">
            <w:pPr>
              <w:pStyle w:val="COMTabletext"/>
              <w:keepNext w:val="0"/>
              <w:rPr>
                <w:snapToGrid w:val="0"/>
              </w:rPr>
            </w:pPr>
            <w:r w:rsidRPr="003771DB">
              <w:rPr>
                <w:snapToGrid w:val="0"/>
              </w:rPr>
              <w:t xml:space="preserve">BMI </w:t>
            </w:r>
            <w:r w:rsidR="00057366" w:rsidRPr="003771DB">
              <w:rPr>
                <w:snapToGrid w:val="0"/>
              </w:rPr>
              <w:t>≥</w:t>
            </w:r>
            <w:r w:rsidRPr="003771DB">
              <w:rPr>
                <w:snapToGrid w:val="0"/>
              </w:rPr>
              <w:t>40 kg/m</w:t>
            </w:r>
            <w:r w:rsidRPr="003771DB">
              <w:rPr>
                <w:snapToGrid w:val="0"/>
                <w:vertAlign w:val="superscript"/>
              </w:rPr>
              <w:t>2</w:t>
            </w:r>
            <w:r w:rsidRPr="003771DB">
              <w:rPr>
                <w:snapToGrid w:val="0"/>
              </w:rPr>
              <w:t xml:space="preserve"> and </w:t>
            </w:r>
            <w:r w:rsidR="00057366" w:rsidRPr="003771DB">
              <w:rPr>
                <w:snapToGrid w:val="0"/>
              </w:rPr>
              <w:t>≥</w:t>
            </w:r>
            <w:r w:rsidRPr="003771DB">
              <w:rPr>
                <w:snapToGrid w:val="0"/>
              </w:rPr>
              <w:t>2 weight-related comorbidities with OSA, KOA or PD (N=257; 13.1% of trial population)</w:t>
            </w:r>
          </w:p>
        </w:tc>
        <w:tc>
          <w:tcPr>
            <w:tcW w:w="74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2428A77" w14:textId="77777777" w:rsidR="00AF78FE" w:rsidRPr="003771DB" w:rsidRDefault="00AF78FE" w:rsidP="00AF78FE">
            <w:pPr>
              <w:pStyle w:val="COMTabletext"/>
              <w:keepNext w:val="0"/>
              <w:jc w:val="center"/>
              <w:rPr>
                <w:snapToGrid w:val="0"/>
              </w:rPr>
            </w:pPr>
            <w:r w:rsidRPr="003771DB">
              <w:rPr>
                <w:snapToGrid w:val="0"/>
              </w:rPr>
              <w:t>-13.01</w:t>
            </w:r>
          </w:p>
        </w:tc>
        <w:tc>
          <w:tcPr>
            <w:tcW w:w="74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C6C04A" w14:textId="77777777" w:rsidR="00AF78FE" w:rsidRPr="003771DB" w:rsidRDefault="00AF78FE" w:rsidP="00AF78FE">
            <w:pPr>
              <w:pStyle w:val="COMTabletext"/>
              <w:keepNext w:val="0"/>
              <w:jc w:val="center"/>
              <w:rPr>
                <w:snapToGrid w:val="0"/>
              </w:rPr>
            </w:pPr>
            <w:r w:rsidRPr="003771DB">
              <w:rPr>
                <w:snapToGrid w:val="0"/>
              </w:rPr>
              <w:t>-2.16</w:t>
            </w:r>
          </w:p>
        </w:tc>
        <w:tc>
          <w:tcPr>
            <w:tcW w:w="1065"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CCB8E2D" w14:textId="77777777" w:rsidR="00AF78FE" w:rsidRPr="003771DB" w:rsidRDefault="00AF78FE" w:rsidP="00AF78FE">
            <w:pPr>
              <w:pStyle w:val="COMTabletext"/>
              <w:keepNext w:val="0"/>
              <w:jc w:val="center"/>
              <w:rPr>
                <w:b/>
                <w:bCs w:val="0"/>
                <w:snapToGrid w:val="0"/>
              </w:rPr>
            </w:pPr>
            <w:r w:rsidRPr="003771DB">
              <w:rPr>
                <w:b/>
                <w:bCs w:val="0"/>
                <w:snapToGrid w:val="0"/>
              </w:rPr>
              <w:t>-10.85 (-13.19, -8.51)</w:t>
            </w:r>
          </w:p>
        </w:tc>
      </w:tr>
    </w:tbl>
    <w:p w14:paraId="68371AFC" w14:textId="77777777" w:rsidR="00AF78FE" w:rsidRPr="003771DB" w:rsidRDefault="00AF78FE" w:rsidP="00AF78FE">
      <w:pPr>
        <w:pStyle w:val="COMTablefooter"/>
      </w:pPr>
      <w:r w:rsidRPr="003771DB">
        <w:t>Source: Table 2-70, p144 of the resubmission; Table 166, p338; Table 167, p339; Table 172, p341; Table 173, p342; Table 174, p342 of the STEP-1 subgroup analysis report</w:t>
      </w:r>
    </w:p>
    <w:p w14:paraId="251314A2" w14:textId="77777777" w:rsidR="00AF78FE" w:rsidRPr="003771DB" w:rsidRDefault="00AF78FE" w:rsidP="00AF78FE">
      <w:pPr>
        <w:pStyle w:val="COMTablefooter"/>
      </w:pPr>
      <w:r w:rsidRPr="003771DB">
        <w:t>Abbreviations: BMI, body mass index; CI, confidence interval; KOA, knee osteoarthritis; OSA, obstructive sleep apnoea; PD, pre-diabetes</w:t>
      </w:r>
    </w:p>
    <w:p w14:paraId="4CE619D6" w14:textId="03DF9707" w:rsidR="00AF78FE" w:rsidRPr="003771DB" w:rsidRDefault="00AF78FE" w:rsidP="00AF78FE">
      <w:pPr>
        <w:pStyle w:val="COMTablefooter"/>
      </w:pPr>
      <w:r w:rsidRPr="003771DB">
        <w:t xml:space="preserve">Note: Green shading indicates the main target population in the resubmission </w:t>
      </w:r>
    </w:p>
    <w:p w14:paraId="43959BB8" w14:textId="7CC840E7" w:rsidR="00720D26" w:rsidRPr="003771DB" w:rsidRDefault="00720D26" w:rsidP="004E2228">
      <w:pPr>
        <w:pStyle w:val="COMexecsumnumberedpara"/>
        <w:rPr>
          <w:i/>
          <w:iCs/>
        </w:rPr>
      </w:pPr>
      <w:r w:rsidRPr="003771DB">
        <w:t xml:space="preserve">Treatment with semaglutide was associated with a statistically significant reduction in body weight compared to placebo </w:t>
      </w:r>
      <w:r w:rsidR="007F7E92" w:rsidRPr="003771DB">
        <w:t>in the intent</w:t>
      </w:r>
      <w:r w:rsidR="0065234A" w:rsidRPr="003771DB">
        <w:t>ion</w:t>
      </w:r>
      <w:r w:rsidR="007F7E92" w:rsidRPr="003771DB">
        <w:t xml:space="preserve"> to treat (ITT) </w:t>
      </w:r>
      <w:r w:rsidR="009A7632" w:rsidRPr="003771DB">
        <w:t>population</w:t>
      </w:r>
      <w:r w:rsidR="007F7E92" w:rsidRPr="003771DB">
        <w:t xml:space="preserve"> and </w:t>
      </w:r>
      <w:r w:rsidRPr="003771DB">
        <w:t xml:space="preserve">across all nominated subgroups. However, the magnitude of difference between treatments was generally smaller in the subgroup populations compared to the </w:t>
      </w:r>
      <w:r w:rsidR="007F7E92" w:rsidRPr="003771DB">
        <w:t>ITT</w:t>
      </w:r>
      <w:r w:rsidR="00402709" w:rsidRPr="003771DB">
        <w:t xml:space="preserve"> population</w:t>
      </w:r>
      <w:r w:rsidRPr="003771DB">
        <w:t xml:space="preserve">. </w:t>
      </w:r>
    </w:p>
    <w:p w14:paraId="36EA45C9" w14:textId="34D99018" w:rsidR="00720D26" w:rsidRPr="003771DB" w:rsidRDefault="00720D26" w:rsidP="004E2228">
      <w:pPr>
        <w:pStyle w:val="COMexecsumnumberedpara"/>
      </w:pPr>
      <w:r w:rsidRPr="003771DB">
        <w:lastRenderedPageBreak/>
        <w:t xml:space="preserve">Key </w:t>
      </w:r>
      <w:r w:rsidRPr="003771DB">
        <w:rPr>
          <w:i/>
          <w:iCs/>
        </w:rPr>
        <w:t>post hoc</w:t>
      </w:r>
      <w:r w:rsidRPr="003771DB">
        <w:t xml:space="preserve"> subgroup analyses of the proportions of patients achieving a 5% or 10% reduction in body weight with semaglutide and placebo in the STEP-1 trial are summarised in </w:t>
      </w:r>
      <w:r w:rsidR="004906EC" w:rsidRPr="003771DB">
        <w:fldChar w:fldCharType="begin" w:fldLock="1"/>
      </w:r>
      <w:r w:rsidR="004906EC" w:rsidRPr="003771DB">
        <w:instrText xml:space="preserve"> REF _Ref143501365 \h </w:instrText>
      </w:r>
      <w:r w:rsidR="004906EC" w:rsidRPr="003771DB">
        <w:fldChar w:fldCharType="separate"/>
      </w:r>
      <w:r w:rsidR="00D44FF6" w:rsidRPr="003771DB">
        <w:t xml:space="preserve">Table </w:t>
      </w:r>
      <w:r w:rsidR="00D44FF6" w:rsidRPr="00F7478B">
        <w:t>6</w:t>
      </w:r>
      <w:r w:rsidR="004906EC" w:rsidRPr="003771DB">
        <w:fldChar w:fldCharType="end"/>
      </w:r>
      <w:r w:rsidRPr="003771DB">
        <w:t>. The resubmission did not provide estimates of the proportion of patients achieving a 15% reduction in body weight</w:t>
      </w:r>
      <w:r w:rsidR="00304CEB" w:rsidRPr="003771DB">
        <w:t>,</w:t>
      </w:r>
      <w:r w:rsidRPr="003771DB">
        <w:t xml:space="preserve"> which is the guideline recommended target for patients with a BMI </w:t>
      </w:r>
      <w:r w:rsidR="001726ED" w:rsidRPr="003771DB">
        <w:t>≥</w:t>
      </w:r>
      <w:r w:rsidR="009329B0">
        <w:t> </w:t>
      </w:r>
      <w:r w:rsidRPr="003771DB">
        <w:t>40</w:t>
      </w:r>
      <w:r w:rsidR="009329B0">
        <w:rPr>
          <w:iCs/>
        </w:rPr>
        <w:t> </w:t>
      </w:r>
      <w:r w:rsidR="009329B0" w:rsidRPr="003771DB">
        <w:rPr>
          <w:iCs/>
        </w:rPr>
        <w:t>kg/m</w:t>
      </w:r>
      <w:r w:rsidR="009329B0" w:rsidRPr="003771DB">
        <w:rPr>
          <w:iCs/>
          <w:vertAlign w:val="superscript"/>
        </w:rPr>
        <w:t>2</w:t>
      </w:r>
      <w:r w:rsidRPr="003771DB">
        <w:t xml:space="preserve"> with weight-related comorbidities (</w:t>
      </w:r>
      <w:r w:rsidR="00D43D13" w:rsidRPr="003771DB">
        <w:t>Markovic</w:t>
      </w:r>
      <w:r w:rsidRPr="003771DB">
        <w:t xml:space="preserve"> 2022).</w:t>
      </w:r>
    </w:p>
    <w:p w14:paraId="314223CC" w14:textId="70FE5941" w:rsidR="008D50F3" w:rsidRPr="003771DB" w:rsidRDefault="008D50F3" w:rsidP="00E44DD1">
      <w:pPr>
        <w:pStyle w:val="Caption"/>
        <w:rPr>
          <w:color w:val="3366FF"/>
        </w:rPr>
      </w:pPr>
      <w:bookmarkStart w:id="28" w:name="_Ref143501365"/>
      <w:r w:rsidRPr="003771DB">
        <w:rPr>
          <w:snapToGrid w:val="0"/>
        </w:rPr>
        <w:t xml:space="preserve">Table </w:t>
      </w:r>
      <w:r w:rsidR="00AD487C" w:rsidRPr="003771DB">
        <w:rPr>
          <w:snapToGrid w:val="0"/>
        </w:rPr>
        <w:fldChar w:fldCharType="begin" w:fldLock="1"/>
      </w:r>
      <w:r w:rsidR="00AD487C" w:rsidRPr="003771DB">
        <w:rPr>
          <w:snapToGrid w:val="0"/>
        </w:rPr>
        <w:instrText xml:space="preserve"> SEQ Table \* ARABIC </w:instrText>
      </w:r>
      <w:r w:rsidR="00AD487C" w:rsidRPr="003771DB">
        <w:rPr>
          <w:snapToGrid w:val="0"/>
        </w:rPr>
        <w:fldChar w:fldCharType="separate"/>
      </w:r>
      <w:r w:rsidR="00AD487C" w:rsidRPr="00F7478B">
        <w:rPr>
          <w:snapToGrid w:val="0"/>
        </w:rPr>
        <w:t>6</w:t>
      </w:r>
      <w:r w:rsidR="00AD487C" w:rsidRPr="003771DB">
        <w:rPr>
          <w:snapToGrid w:val="0"/>
        </w:rPr>
        <w:fldChar w:fldCharType="end"/>
      </w:r>
      <w:bookmarkEnd w:id="28"/>
      <w:r w:rsidRPr="003771DB">
        <w:rPr>
          <w:snapToGrid w:val="0"/>
        </w:rPr>
        <w:t>: Key subgroup analyses of the proportion of patients with weight loss in the STEP-1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6: Key subgroup analyses of the proportion of patients with weight loss in the STEP-1 trial"/>
        <w:tblDescription w:val="Table 6: Key subgroup analyses of the proportion of patients with weight loss in the STEP-1 trial"/>
      </w:tblPr>
      <w:tblGrid>
        <w:gridCol w:w="3024"/>
        <w:gridCol w:w="904"/>
        <w:gridCol w:w="904"/>
        <w:gridCol w:w="1190"/>
        <w:gridCol w:w="851"/>
        <w:gridCol w:w="853"/>
        <w:gridCol w:w="1291"/>
      </w:tblGrid>
      <w:tr w:rsidR="00A861F6" w:rsidRPr="003771DB" w14:paraId="542021F1" w14:textId="77777777" w:rsidTr="00076B84">
        <w:trPr>
          <w:cantSplit/>
          <w:tblHeader/>
        </w:trPr>
        <w:tc>
          <w:tcPr>
            <w:tcW w:w="1677" w:type="pct"/>
            <w:vMerge w:val="restart"/>
            <w:tcBorders>
              <w:right w:val="single" w:sz="4" w:space="0" w:color="auto"/>
            </w:tcBorders>
            <w:shd w:val="clear" w:color="auto" w:fill="auto"/>
            <w:vAlign w:val="center"/>
          </w:tcPr>
          <w:p w14:paraId="516422CC" w14:textId="62DA014D" w:rsidR="00A861F6" w:rsidRPr="003771DB" w:rsidRDefault="00A861F6" w:rsidP="00373E5D">
            <w:pPr>
              <w:pStyle w:val="COMTableheadingrow"/>
              <w:rPr>
                <w:snapToGrid w:val="0"/>
                <w:lang w:val="en-AU"/>
              </w:rPr>
            </w:pPr>
            <w:r w:rsidRPr="003771DB">
              <w:rPr>
                <w:snapToGrid w:val="0"/>
                <w:lang w:val="en-AU"/>
              </w:rPr>
              <w:t>Subgroup</w:t>
            </w:r>
          </w:p>
        </w:tc>
        <w:tc>
          <w:tcPr>
            <w:tcW w:w="1662" w:type="pct"/>
            <w:gridSpan w:val="3"/>
            <w:tcBorders>
              <w:left w:val="single" w:sz="4" w:space="0" w:color="auto"/>
              <w:right w:val="double" w:sz="4" w:space="0" w:color="auto"/>
            </w:tcBorders>
            <w:shd w:val="clear" w:color="auto" w:fill="auto"/>
            <w:vAlign w:val="center"/>
          </w:tcPr>
          <w:p w14:paraId="0997D636" w14:textId="1AA3311F" w:rsidR="00A861F6" w:rsidRPr="003771DB" w:rsidRDefault="00A861F6" w:rsidP="00373E5D">
            <w:pPr>
              <w:pStyle w:val="COMTableheadingrow"/>
              <w:jc w:val="center"/>
              <w:rPr>
                <w:snapToGrid w:val="0"/>
                <w:lang w:val="en-AU"/>
              </w:rPr>
            </w:pPr>
            <w:r w:rsidRPr="003771DB">
              <w:rPr>
                <w:snapToGrid w:val="0"/>
                <w:lang w:val="en-AU"/>
              </w:rPr>
              <w:t>≥5% reduction from baseline</w:t>
            </w:r>
          </w:p>
        </w:tc>
        <w:tc>
          <w:tcPr>
            <w:tcW w:w="1661" w:type="pct"/>
            <w:gridSpan w:val="3"/>
            <w:tcBorders>
              <w:left w:val="double" w:sz="4" w:space="0" w:color="auto"/>
            </w:tcBorders>
            <w:shd w:val="clear" w:color="auto" w:fill="auto"/>
            <w:vAlign w:val="center"/>
          </w:tcPr>
          <w:p w14:paraId="210190E3" w14:textId="01A03866" w:rsidR="00A861F6" w:rsidRPr="003771DB" w:rsidRDefault="00A861F6" w:rsidP="00373E5D">
            <w:pPr>
              <w:pStyle w:val="COMTableheadingrow"/>
              <w:jc w:val="center"/>
              <w:rPr>
                <w:snapToGrid w:val="0"/>
                <w:lang w:val="en-AU"/>
              </w:rPr>
            </w:pPr>
            <w:r w:rsidRPr="003771DB">
              <w:rPr>
                <w:snapToGrid w:val="0"/>
                <w:lang w:val="en-AU"/>
              </w:rPr>
              <w:t>≥10% reduction from baseline</w:t>
            </w:r>
          </w:p>
        </w:tc>
      </w:tr>
      <w:tr w:rsidR="00A861F6" w:rsidRPr="003771DB" w14:paraId="224A9663" w14:textId="77777777" w:rsidTr="00076B84">
        <w:trPr>
          <w:cantSplit/>
          <w:tblHeader/>
        </w:trPr>
        <w:tc>
          <w:tcPr>
            <w:tcW w:w="1677" w:type="pct"/>
            <w:vMerge/>
            <w:tcBorders>
              <w:right w:val="single" w:sz="4" w:space="0" w:color="auto"/>
            </w:tcBorders>
            <w:shd w:val="clear" w:color="auto" w:fill="auto"/>
            <w:vAlign w:val="center"/>
          </w:tcPr>
          <w:p w14:paraId="6FC2ED58" w14:textId="1985B487" w:rsidR="00A861F6" w:rsidRPr="003771DB" w:rsidRDefault="00A861F6" w:rsidP="00373E5D">
            <w:pPr>
              <w:pStyle w:val="COMTableheadingrow"/>
              <w:rPr>
                <w:snapToGrid w:val="0"/>
                <w:lang w:val="en-AU"/>
              </w:rPr>
            </w:pPr>
          </w:p>
        </w:tc>
        <w:tc>
          <w:tcPr>
            <w:tcW w:w="501" w:type="pct"/>
            <w:tcBorders>
              <w:left w:val="single" w:sz="4" w:space="0" w:color="auto"/>
              <w:right w:val="single" w:sz="4" w:space="0" w:color="auto"/>
            </w:tcBorders>
            <w:shd w:val="clear" w:color="auto" w:fill="auto"/>
            <w:vAlign w:val="center"/>
          </w:tcPr>
          <w:p w14:paraId="24183E29" w14:textId="77777777" w:rsidR="00A861F6" w:rsidRPr="003771DB" w:rsidRDefault="00A861F6" w:rsidP="00373E5D">
            <w:pPr>
              <w:pStyle w:val="COMTableheadingrow"/>
              <w:jc w:val="center"/>
              <w:rPr>
                <w:snapToGrid w:val="0"/>
                <w:lang w:val="en-AU"/>
              </w:rPr>
            </w:pPr>
            <w:r w:rsidRPr="003771DB">
              <w:rPr>
                <w:snapToGrid w:val="0"/>
                <w:lang w:val="en-AU"/>
              </w:rPr>
              <w:t>SEMA</w:t>
            </w:r>
          </w:p>
          <w:p w14:paraId="511561AB" w14:textId="77777777" w:rsidR="00A861F6" w:rsidRPr="003771DB" w:rsidRDefault="00A861F6" w:rsidP="00373E5D">
            <w:pPr>
              <w:pStyle w:val="COMTableheadingrow"/>
              <w:jc w:val="center"/>
              <w:rPr>
                <w:snapToGrid w:val="0"/>
                <w:lang w:val="en-AU"/>
              </w:rPr>
            </w:pPr>
            <w:r w:rsidRPr="003771DB">
              <w:rPr>
                <w:snapToGrid w:val="0"/>
                <w:lang w:val="en-AU"/>
              </w:rPr>
              <w:t>Odds</w:t>
            </w:r>
          </w:p>
        </w:tc>
        <w:tc>
          <w:tcPr>
            <w:tcW w:w="501" w:type="pct"/>
            <w:tcBorders>
              <w:left w:val="single" w:sz="4" w:space="0" w:color="auto"/>
              <w:right w:val="single" w:sz="4" w:space="0" w:color="auto"/>
            </w:tcBorders>
            <w:shd w:val="clear" w:color="auto" w:fill="auto"/>
            <w:vAlign w:val="center"/>
          </w:tcPr>
          <w:p w14:paraId="3C50AE7E" w14:textId="77777777" w:rsidR="00A861F6" w:rsidRPr="003771DB" w:rsidRDefault="00A861F6" w:rsidP="00373E5D">
            <w:pPr>
              <w:pStyle w:val="COMTableheadingrow"/>
              <w:jc w:val="center"/>
              <w:rPr>
                <w:snapToGrid w:val="0"/>
                <w:lang w:val="en-AU"/>
              </w:rPr>
            </w:pPr>
            <w:r w:rsidRPr="003771DB">
              <w:rPr>
                <w:snapToGrid w:val="0"/>
                <w:lang w:val="en-AU"/>
              </w:rPr>
              <w:t>PBO Odds</w:t>
            </w:r>
          </w:p>
        </w:tc>
        <w:tc>
          <w:tcPr>
            <w:tcW w:w="660" w:type="pct"/>
            <w:tcBorders>
              <w:left w:val="single" w:sz="4" w:space="0" w:color="auto"/>
              <w:right w:val="double" w:sz="4" w:space="0" w:color="auto"/>
            </w:tcBorders>
            <w:shd w:val="clear" w:color="auto" w:fill="auto"/>
            <w:vAlign w:val="center"/>
          </w:tcPr>
          <w:p w14:paraId="7E42FBA6" w14:textId="77777777" w:rsidR="00A861F6" w:rsidRPr="003771DB" w:rsidRDefault="00A861F6" w:rsidP="00373E5D">
            <w:pPr>
              <w:pStyle w:val="COMTableheadingrow"/>
              <w:jc w:val="center"/>
              <w:rPr>
                <w:snapToGrid w:val="0"/>
                <w:lang w:val="en-AU"/>
              </w:rPr>
            </w:pPr>
            <w:r w:rsidRPr="003771DB">
              <w:rPr>
                <w:snapToGrid w:val="0"/>
                <w:lang w:val="en-AU"/>
              </w:rPr>
              <w:t>Odds ratio (95% CI)</w:t>
            </w:r>
          </w:p>
        </w:tc>
        <w:tc>
          <w:tcPr>
            <w:tcW w:w="472" w:type="pct"/>
            <w:tcBorders>
              <w:left w:val="double" w:sz="4" w:space="0" w:color="auto"/>
              <w:right w:val="single" w:sz="4" w:space="0" w:color="auto"/>
            </w:tcBorders>
            <w:shd w:val="clear" w:color="auto" w:fill="auto"/>
            <w:vAlign w:val="center"/>
          </w:tcPr>
          <w:p w14:paraId="6ABD1460" w14:textId="77777777" w:rsidR="00A861F6" w:rsidRPr="003771DB" w:rsidRDefault="00A861F6" w:rsidP="00373E5D">
            <w:pPr>
              <w:pStyle w:val="COMTableheadingrow"/>
              <w:jc w:val="center"/>
              <w:rPr>
                <w:snapToGrid w:val="0"/>
                <w:lang w:val="en-AU"/>
              </w:rPr>
            </w:pPr>
            <w:r w:rsidRPr="003771DB">
              <w:rPr>
                <w:snapToGrid w:val="0"/>
                <w:lang w:val="en-AU"/>
              </w:rPr>
              <w:t>SEMA</w:t>
            </w:r>
          </w:p>
          <w:p w14:paraId="72C3977D" w14:textId="77777777" w:rsidR="00A861F6" w:rsidRPr="003771DB" w:rsidRDefault="00A861F6" w:rsidP="00373E5D">
            <w:pPr>
              <w:pStyle w:val="COMTableheadingrow"/>
              <w:jc w:val="center"/>
              <w:rPr>
                <w:snapToGrid w:val="0"/>
                <w:lang w:val="en-AU"/>
              </w:rPr>
            </w:pPr>
            <w:r w:rsidRPr="003771DB">
              <w:rPr>
                <w:snapToGrid w:val="0"/>
                <w:lang w:val="en-AU"/>
              </w:rPr>
              <w:t>Odds</w:t>
            </w:r>
          </w:p>
        </w:tc>
        <w:tc>
          <w:tcPr>
            <w:tcW w:w="473" w:type="pct"/>
            <w:tcBorders>
              <w:left w:val="single" w:sz="4" w:space="0" w:color="auto"/>
            </w:tcBorders>
            <w:shd w:val="clear" w:color="auto" w:fill="auto"/>
            <w:vAlign w:val="center"/>
          </w:tcPr>
          <w:p w14:paraId="549796D6" w14:textId="77777777" w:rsidR="00A861F6" w:rsidRPr="003771DB" w:rsidRDefault="00A861F6" w:rsidP="00373E5D">
            <w:pPr>
              <w:pStyle w:val="COMTableheadingrow"/>
              <w:jc w:val="center"/>
              <w:rPr>
                <w:snapToGrid w:val="0"/>
                <w:lang w:val="en-AU"/>
              </w:rPr>
            </w:pPr>
            <w:r w:rsidRPr="003771DB">
              <w:rPr>
                <w:snapToGrid w:val="0"/>
                <w:lang w:val="en-AU"/>
              </w:rPr>
              <w:t>PBO</w:t>
            </w:r>
          </w:p>
          <w:p w14:paraId="56827678" w14:textId="77777777" w:rsidR="00A861F6" w:rsidRPr="003771DB" w:rsidRDefault="00A861F6" w:rsidP="00373E5D">
            <w:pPr>
              <w:pStyle w:val="COMTableheadingrow"/>
              <w:jc w:val="center"/>
              <w:rPr>
                <w:snapToGrid w:val="0"/>
                <w:lang w:val="en-AU"/>
              </w:rPr>
            </w:pPr>
            <w:r w:rsidRPr="003771DB">
              <w:rPr>
                <w:snapToGrid w:val="0"/>
                <w:lang w:val="en-AU"/>
              </w:rPr>
              <w:t>Odds</w:t>
            </w:r>
          </w:p>
        </w:tc>
        <w:tc>
          <w:tcPr>
            <w:tcW w:w="716" w:type="pct"/>
            <w:tcBorders>
              <w:left w:val="single" w:sz="4" w:space="0" w:color="auto"/>
            </w:tcBorders>
            <w:shd w:val="clear" w:color="auto" w:fill="auto"/>
            <w:vAlign w:val="center"/>
          </w:tcPr>
          <w:p w14:paraId="6607B48E" w14:textId="77777777" w:rsidR="00A861F6" w:rsidRPr="003771DB" w:rsidRDefault="00A861F6" w:rsidP="00373E5D">
            <w:pPr>
              <w:pStyle w:val="COMTableheadingrow"/>
              <w:jc w:val="center"/>
              <w:rPr>
                <w:snapToGrid w:val="0"/>
                <w:lang w:val="en-AU"/>
              </w:rPr>
            </w:pPr>
            <w:r w:rsidRPr="003771DB">
              <w:rPr>
                <w:snapToGrid w:val="0"/>
                <w:lang w:val="en-AU"/>
              </w:rPr>
              <w:t xml:space="preserve">Odds ratio </w:t>
            </w:r>
          </w:p>
          <w:p w14:paraId="50A6990E" w14:textId="77777777" w:rsidR="00A861F6" w:rsidRPr="003771DB" w:rsidRDefault="00A861F6" w:rsidP="00373E5D">
            <w:pPr>
              <w:pStyle w:val="COMTableheadingrow"/>
              <w:jc w:val="center"/>
              <w:rPr>
                <w:snapToGrid w:val="0"/>
                <w:lang w:val="en-AU"/>
              </w:rPr>
            </w:pPr>
            <w:r w:rsidRPr="003771DB">
              <w:rPr>
                <w:snapToGrid w:val="0"/>
                <w:lang w:val="en-AU"/>
              </w:rPr>
              <w:t>(95% CI)</w:t>
            </w:r>
          </w:p>
        </w:tc>
      </w:tr>
      <w:tr w:rsidR="008D50F3" w:rsidRPr="003771DB" w14:paraId="2C249B73" w14:textId="77777777" w:rsidTr="00076B84">
        <w:trPr>
          <w:cantSplit/>
        </w:trPr>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14:paraId="5CB2825D" w14:textId="1E1E31D7" w:rsidR="008D50F3" w:rsidRPr="003771DB" w:rsidRDefault="008D50F3" w:rsidP="00373E5D">
            <w:pPr>
              <w:pStyle w:val="COMTabletext"/>
              <w:rPr>
                <w:snapToGrid w:val="0"/>
              </w:rPr>
            </w:pPr>
            <w:r w:rsidRPr="003771DB">
              <w:rPr>
                <w:snapToGrid w:val="0"/>
              </w:rPr>
              <w:t>ITT (N=1,961)</w:t>
            </w:r>
          </w:p>
        </w:tc>
        <w:tc>
          <w:tcPr>
            <w:tcW w:w="501" w:type="pct"/>
            <w:tcBorders>
              <w:top w:val="single" w:sz="4" w:space="0" w:color="auto"/>
              <w:left w:val="single" w:sz="4" w:space="0" w:color="auto"/>
              <w:bottom w:val="single" w:sz="4" w:space="0" w:color="auto"/>
              <w:right w:val="single" w:sz="4" w:space="0" w:color="auto"/>
            </w:tcBorders>
            <w:vAlign w:val="center"/>
          </w:tcPr>
          <w:p w14:paraId="4740007A" w14:textId="77777777" w:rsidR="008D50F3" w:rsidRPr="003771DB" w:rsidRDefault="008D50F3" w:rsidP="00373E5D">
            <w:pPr>
              <w:pStyle w:val="COMTabletext"/>
              <w:jc w:val="center"/>
              <w:rPr>
                <w:snapToGrid w:val="0"/>
              </w:rPr>
            </w:pPr>
            <w:r w:rsidRPr="003771DB">
              <w:rPr>
                <w:snapToGrid w:val="0"/>
              </w:rPr>
              <w:t>5.03</w:t>
            </w:r>
          </w:p>
        </w:tc>
        <w:tc>
          <w:tcPr>
            <w:tcW w:w="501" w:type="pct"/>
            <w:tcBorders>
              <w:top w:val="single" w:sz="4" w:space="0" w:color="auto"/>
              <w:left w:val="single" w:sz="4" w:space="0" w:color="auto"/>
              <w:bottom w:val="single" w:sz="4" w:space="0" w:color="auto"/>
              <w:right w:val="single" w:sz="4" w:space="0" w:color="auto"/>
            </w:tcBorders>
            <w:vAlign w:val="center"/>
          </w:tcPr>
          <w:p w14:paraId="7D5F283A" w14:textId="77777777" w:rsidR="008D50F3" w:rsidRPr="003771DB" w:rsidRDefault="008D50F3" w:rsidP="00373E5D">
            <w:pPr>
              <w:pStyle w:val="COMTabletext"/>
              <w:jc w:val="center"/>
              <w:rPr>
                <w:snapToGrid w:val="0"/>
              </w:rPr>
            </w:pPr>
            <w:r w:rsidRPr="003771DB">
              <w:rPr>
                <w:snapToGrid w:val="0"/>
              </w:rPr>
              <w:t>0.45</w:t>
            </w:r>
          </w:p>
        </w:tc>
        <w:tc>
          <w:tcPr>
            <w:tcW w:w="660" w:type="pct"/>
            <w:tcBorders>
              <w:top w:val="single" w:sz="4" w:space="0" w:color="auto"/>
              <w:left w:val="single" w:sz="4" w:space="0" w:color="auto"/>
              <w:bottom w:val="single" w:sz="4" w:space="0" w:color="auto"/>
              <w:right w:val="double" w:sz="4" w:space="0" w:color="auto"/>
            </w:tcBorders>
            <w:vAlign w:val="center"/>
          </w:tcPr>
          <w:p w14:paraId="46972617" w14:textId="77777777" w:rsidR="008D50F3" w:rsidRPr="003771DB" w:rsidRDefault="008D50F3" w:rsidP="00373E5D">
            <w:pPr>
              <w:pStyle w:val="COMTabletext"/>
              <w:jc w:val="center"/>
              <w:rPr>
                <w:b/>
                <w:bCs w:val="0"/>
                <w:snapToGrid w:val="0"/>
              </w:rPr>
            </w:pPr>
            <w:r w:rsidRPr="003771DB">
              <w:rPr>
                <w:b/>
                <w:bCs w:val="0"/>
                <w:snapToGrid w:val="0"/>
              </w:rPr>
              <w:t>11.22</w:t>
            </w:r>
          </w:p>
          <w:p w14:paraId="2F9D2549" w14:textId="77777777" w:rsidR="008D50F3" w:rsidRPr="003771DB" w:rsidRDefault="008D50F3" w:rsidP="00373E5D">
            <w:pPr>
              <w:pStyle w:val="COMTabletext"/>
              <w:jc w:val="center"/>
              <w:rPr>
                <w:b/>
                <w:bCs w:val="0"/>
                <w:snapToGrid w:val="0"/>
              </w:rPr>
            </w:pPr>
            <w:r w:rsidRPr="003771DB">
              <w:rPr>
                <w:b/>
                <w:bCs w:val="0"/>
                <w:snapToGrid w:val="0"/>
              </w:rPr>
              <w:t>(8.88, 14.19)</w:t>
            </w:r>
          </w:p>
        </w:tc>
        <w:tc>
          <w:tcPr>
            <w:tcW w:w="472" w:type="pct"/>
            <w:tcBorders>
              <w:top w:val="single" w:sz="4" w:space="0" w:color="auto"/>
              <w:left w:val="double" w:sz="4" w:space="0" w:color="auto"/>
              <w:bottom w:val="single" w:sz="4" w:space="0" w:color="auto"/>
              <w:right w:val="single" w:sz="4" w:space="0" w:color="auto"/>
            </w:tcBorders>
            <w:vAlign w:val="center"/>
          </w:tcPr>
          <w:p w14:paraId="3AAC2EB2" w14:textId="77777777" w:rsidR="008D50F3" w:rsidRPr="003771DB" w:rsidRDefault="008D50F3" w:rsidP="00373E5D">
            <w:pPr>
              <w:pStyle w:val="COMTabletext"/>
              <w:jc w:val="center"/>
              <w:rPr>
                <w:snapToGrid w:val="0"/>
              </w:rPr>
            </w:pPr>
            <w:r w:rsidRPr="003771DB">
              <w:rPr>
                <w:snapToGrid w:val="0"/>
              </w:rPr>
              <w:t>1.95</w:t>
            </w:r>
          </w:p>
        </w:tc>
        <w:tc>
          <w:tcPr>
            <w:tcW w:w="473" w:type="pct"/>
            <w:tcBorders>
              <w:top w:val="single" w:sz="4" w:space="0" w:color="auto"/>
              <w:left w:val="single" w:sz="4" w:space="0" w:color="auto"/>
              <w:bottom w:val="single" w:sz="4" w:space="0" w:color="auto"/>
              <w:right w:val="single" w:sz="4" w:space="0" w:color="auto"/>
            </w:tcBorders>
            <w:vAlign w:val="center"/>
          </w:tcPr>
          <w:p w14:paraId="7A883FF2" w14:textId="77777777" w:rsidR="008D50F3" w:rsidRPr="003771DB" w:rsidRDefault="008D50F3" w:rsidP="00373E5D">
            <w:pPr>
              <w:pStyle w:val="COMTabletext"/>
              <w:jc w:val="center"/>
              <w:rPr>
                <w:snapToGrid w:val="0"/>
              </w:rPr>
            </w:pPr>
            <w:r w:rsidRPr="003771DB">
              <w:rPr>
                <w:snapToGrid w:val="0"/>
              </w:rPr>
              <w:t>0.13</w:t>
            </w:r>
          </w:p>
        </w:tc>
        <w:tc>
          <w:tcPr>
            <w:tcW w:w="716" w:type="pct"/>
            <w:tcBorders>
              <w:top w:val="single" w:sz="4" w:space="0" w:color="auto"/>
              <w:left w:val="single" w:sz="4" w:space="0" w:color="auto"/>
              <w:bottom w:val="single" w:sz="4" w:space="0" w:color="auto"/>
              <w:right w:val="single" w:sz="4" w:space="0" w:color="auto"/>
            </w:tcBorders>
            <w:vAlign w:val="center"/>
          </w:tcPr>
          <w:p w14:paraId="580A2C96" w14:textId="77777777" w:rsidR="008D50F3" w:rsidRPr="003771DB" w:rsidRDefault="008D50F3" w:rsidP="00373E5D">
            <w:pPr>
              <w:pStyle w:val="COMTabletext"/>
              <w:jc w:val="center"/>
              <w:rPr>
                <w:b/>
                <w:bCs w:val="0"/>
                <w:snapToGrid w:val="0"/>
              </w:rPr>
            </w:pPr>
            <w:r w:rsidRPr="003771DB">
              <w:rPr>
                <w:b/>
                <w:bCs w:val="0"/>
                <w:snapToGrid w:val="0"/>
              </w:rPr>
              <w:t xml:space="preserve">14.68 </w:t>
            </w:r>
          </w:p>
          <w:p w14:paraId="195D5222" w14:textId="77777777" w:rsidR="008D50F3" w:rsidRPr="003771DB" w:rsidRDefault="008D50F3" w:rsidP="00373E5D">
            <w:pPr>
              <w:pStyle w:val="COMTabletext"/>
              <w:jc w:val="center"/>
              <w:rPr>
                <w:b/>
                <w:bCs w:val="0"/>
                <w:snapToGrid w:val="0"/>
              </w:rPr>
            </w:pPr>
            <w:r w:rsidRPr="003771DB">
              <w:rPr>
                <w:b/>
                <w:bCs w:val="0"/>
                <w:snapToGrid w:val="0"/>
              </w:rPr>
              <w:t>(11.08, 19.44)</w:t>
            </w:r>
          </w:p>
        </w:tc>
      </w:tr>
      <w:tr w:rsidR="008D50F3" w:rsidRPr="003771DB" w14:paraId="6E40FAB6" w14:textId="77777777" w:rsidTr="00076B84">
        <w:trPr>
          <w:cantSplit/>
        </w:trPr>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14:paraId="4F2EFD01" w14:textId="7BE67DE8" w:rsidR="008D50F3" w:rsidRPr="003771DB" w:rsidRDefault="008D50F3" w:rsidP="00373E5D">
            <w:pPr>
              <w:pStyle w:val="COMTabletext"/>
              <w:rPr>
                <w:snapToGrid w:val="0"/>
              </w:rPr>
            </w:pPr>
            <w:r w:rsidRPr="003771DB">
              <w:rPr>
                <w:snapToGrid w:val="0"/>
              </w:rPr>
              <w:t xml:space="preserve">BMI </w:t>
            </w:r>
            <w:r w:rsidR="00C01EAA" w:rsidRPr="003771DB">
              <w:rPr>
                <w:snapToGrid w:val="0"/>
              </w:rPr>
              <w:t>≥</w:t>
            </w:r>
            <w:r w:rsidRPr="003771DB">
              <w:rPr>
                <w:snapToGrid w:val="0"/>
              </w:rPr>
              <w:t>35 kg/m</w:t>
            </w:r>
            <w:r w:rsidRPr="003771DB">
              <w:rPr>
                <w:snapToGrid w:val="0"/>
                <w:vertAlign w:val="superscript"/>
              </w:rPr>
              <w:t>2</w:t>
            </w:r>
            <w:r w:rsidRPr="003771DB">
              <w:rPr>
                <w:snapToGrid w:val="0"/>
              </w:rPr>
              <w:t xml:space="preserve"> and </w:t>
            </w:r>
            <w:r w:rsidR="00C01EAA" w:rsidRPr="003771DB">
              <w:rPr>
                <w:snapToGrid w:val="0"/>
              </w:rPr>
              <w:t>≥</w:t>
            </w:r>
            <w:r w:rsidRPr="003771DB">
              <w:rPr>
                <w:snapToGrid w:val="0"/>
              </w:rPr>
              <w:t>2 weight-related comorbidities with OSA or KOA (N=273; 13.9% of trial population)</w:t>
            </w:r>
          </w:p>
        </w:tc>
        <w:tc>
          <w:tcPr>
            <w:tcW w:w="501" w:type="pct"/>
            <w:tcBorders>
              <w:top w:val="single" w:sz="4" w:space="0" w:color="auto"/>
              <w:left w:val="single" w:sz="4" w:space="0" w:color="auto"/>
              <w:bottom w:val="single" w:sz="4" w:space="0" w:color="auto"/>
              <w:right w:val="single" w:sz="4" w:space="0" w:color="auto"/>
            </w:tcBorders>
            <w:vAlign w:val="center"/>
          </w:tcPr>
          <w:p w14:paraId="58ACF6D7" w14:textId="147BC418" w:rsidR="008D50F3" w:rsidRPr="003771DB" w:rsidRDefault="008D50F3" w:rsidP="00373E5D">
            <w:pPr>
              <w:pStyle w:val="COMTabletext"/>
              <w:jc w:val="center"/>
              <w:rPr>
                <w:snapToGrid w:val="0"/>
              </w:rPr>
            </w:pPr>
            <w:r w:rsidRPr="003771DB">
              <w:rPr>
                <w:snapToGrid w:val="0"/>
              </w:rPr>
              <w:t>6.49</w:t>
            </w:r>
          </w:p>
        </w:tc>
        <w:tc>
          <w:tcPr>
            <w:tcW w:w="501" w:type="pct"/>
            <w:tcBorders>
              <w:top w:val="single" w:sz="4" w:space="0" w:color="auto"/>
              <w:left w:val="single" w:sz="4" w:space="0" w:color="auto"/>
              <w:bottom w:val="single" w:sz="4" w:space="0" w:color="auto"/>
              <w:right w:val="single" w:sz="4" w:space="0" w:color="auto"/>
            </w:tcBorders>
            <w:vAlign w:val="center"/>
          </w:tcPr>
          <w:p w14:paraId="7E866A06" w14:textId="6B1E88CF" w:rsidR="008D50F3" w:rsidRPr="003771DB" w:rsidRDefault="008D50F3" w:rsidP="00373E5D">
            <w:pPr>
              <w:pStyle w:val="COMTabletext"/>
              <w:jc w:val="center"/>
              <w:rPr>
                <w:snapToGrid w:val="0"/>
              </w:rPr>
            </w:pPr>
            <w:r w:rsidRPr="003771DB">
              <w:rPr>
                <w:snapToGrid w:val="0"/>
              </w:rPr>
              <w:t>0.35</w:t>
            </w:r>
          </w:p>
        </w:tc>
        <w:tc>
          <w:tcPr>
            <w:tcW w:w="660" w:type="pct"/>
            <w:tcBorders>
              <w:top w:val="single" w:sz="4" w:space="0" w:color="auto"/>
              <w:left w:val="single" w:sz="4" w:space="0" w:color="auto"/>
              <w:bottom w:val="single" w:sz="4" w:space="0" w:color="auto"/>
              <w:right w:val="double" w:sz="4" w:space="0" w:color="auto"/>
            </w:tcBorders>
            <w:vAlign w:val="center"/>
          </w:tcPr>
          <w:p w14:paraId="0D7360F8" w14:textId="77777777" w:rsidR="008D50F3" w:rsidRPr="003771DB" w:rsidRDefault="008D50F3" w:rsidP="00373E5D">
            <w:pPr>
              <w:pStyle w:val="COMTabletext"/>
              <w:jc w:val="center"/>
              <w:rPr>
                <w:b/>
                <w:bCs w:val="0"/>
                <w:snapToGrid w:val="0"/>
              </w:rPr>
            </w:pPr>
            <w:r w:rsidRPr="003771DB">
              <w:rPr>
                <w:b/>
                <w:bCs w:val="0"/>
                <w:snapToGrid w:val="0"/>
              </w:rPr>
              <w:t xml:space="preserve">18.68 </w:t>
            </w:r>
          </w:p>
          <w:p w14:paraId="059E52CE" w14:textId="1E5BAFA3" w:rsidR="008D50F3" w:rsidRPr="003771DB" w:rsidRDefault="008D50F3" w:rsidP="00373E5D">
            <w:pPr>
              <w:pStyle w:val="COMTabletext"/>
              <w:jc w:val="center"/>
              <w:rPr>
                <w:b/>
                <w:bCs w:val="0"/>
                <w:snapToGrid w:val="0"/>
              </w:rPr>
            </w:pPr>
            <w:r w:rsidRPr="003771DB">
              <w:rPr>
                <w:b/>
                <w:bCs w:val="0"/>
                <w:snapToGrid w:val="0"/>
              </w:rPr>
              <w:t>(9.55, 36.51)</w:t>
            </w:r>
          </w:p>
        </w:tc>
        <w:tc>
          <w:tcPr>
            <w:tcW w:w="472" w:type="pct"/>
            <w:tcBorders>
              <w:top w:val="single" w:sz="4" w:space="0" w:color="auto"/>
              <w:left w:val="double" w:sz="4" w:space="0" w:color="auto"/>
              <w:bottom w:val="single" w:sz="4" w:space="0" w:color="auto"/>
              <w:right w:val="single" w:sz="4" w:space="0" w:color="auto"/>
            </w:tcBorders>
            <w:vAlign w:val="center"/>
          </w:tcPr>
          <w:p w14:paraId="25DB6E99" w14:textId="3E6DB3C4" w:rsidR="008D50F3" w:rsidRPr="003771DB" w:rsidRDefault="008D50F3" w:rsidP="00373E5D">
            <w:pPr>
              <w:pStyle w:val="COMTabletext"/>
              <w:jc w:val="center"/>
              <w:rPr>
                <w:snapToGrid w:val="0"/>
              </w:rPr>
            </w:pPr>
            <w:r w:rsidRPr="003771DB">
              <w:rPr>
                <w:snapToGrid w:val="0"/>
              </w:rPr>
              <w:t>1.43</w:t>
            </w:r>
          </w:p>
        </w:tc>
        <w:tc>
          <w:tcPr>
            <w:tcW w:w="473" w:type="pct"/>
            <w:tcBorders>
              <w:top w:val="single" w:sz="4" w:space="0" w:color="auto"/>
              <w:left w:val="single" w:sz="4" w:space="0" w:color="auto"/>
              <w:bottom w:val="single" w:sz="4" w:space="0" w:color="auto"/>
              <w:right w:val="single" w:sz="4" w:space="0" w:color="auto"/>
            </w:tcBorders>
            <w:vAlign w:val="center"/>
          </w:tcPr>
          <w:p w14:paraId="6E2E9B2D" w14:textId="11963ED9" w:rsidR="008D50F3" w:rsidRPr="003771DB" w:rsidRDefault="008D50F3" w:rsidP="00373E5D">
            <w:pPr>
              <w:pStyle w:val="COMTabletext"/>
              <w:jc w:val="center"/>
              <w:rPr>
                <w:snapToGrid w:val="0"/>
              </w:rPr>
            </w:pPr>
            <w:r w:rsidRPr="003771DB">
              <w:rPr>
                <w:snapToGrid w:val="0"/>
              </w:rPr>
              <w:t>0.14</w:t>
            </w:r>
          </w:p>
        </w:tc>
        <w:tc>
          <w:tcPr>
            <w:tcW w:w="716" w:type="pct"/>
            <w:tcBorders>
              <w:top w:val="single" w:sz="4" w:space="0" w:color="auto"/>
              <w:left w:val="single" w:sz="4" w:space="0" w:color="auto"/>
              <w:bottom w:val="single" w:sz="4" w:space="0" w:color="auto"/>
              <w:right w:val="single" w:sz="4" w:space="0" w:color="auto"/>
            </w:tcBorders>
            <w:vAlign w:val="center"/>
          </w:tcPr>
          <w:p w14:paraId="4BF5B9BD" w14:textId="77777777" w:rsidR="008D50F3" w:rsidRPr="003771DB" w:rsidRDefault="008D50F3" w:rsidP="00373E5D">
            <w:pPr>
              <w:pStyle w:val="COMTabletext"/>
              <w:jc w:val="center"/>
              <w:rPr>
                <w:b/>
                <w:bCs w:val="0"/>
                <w:snapToGrid w:val="0"/>
              </w:rPr>
            </w:pPr>
            <w:r w:rsidRPr="003771DB">
              <w:rPr>
                <w:b/>
                <w:bCs w:val="0"/>
                <w:snapToGrid w:val="0"/>
              </w:rPr>
              <w:t xml:space="preserve">9.87 </w:t>
            </w:r>
          </w:p>
          <w:p w14:paraId="0D040503" w14:textId="2CE35643" w:rsidR="008D50F3" w:rsidRPr="003771DB" w:rsidRDefault="008D50F3" w:rsidP="00373E5D">
            <w:pPr>
              <w:pStyle w:val="COMTabletext"/>
              <w:jc w:val="center"/>
              <w:rPr>
                <w:b/>
                <w:bCs w:val="0"/>
                <w:snapToGrid w:val="0"/>
              </w:rPr>
            </w:pPr>
            <w:r w:rsidRPr="003771DB">
              <w:rPr>
                <w:b/>
                <w:bCs w:val="0"/>
                <w:snapToGrid w:val="0"/>
              </w:rPr>
              <w:t>(4.90, 19.91)</w:t>
            </w:r>
          </w:p>
        </w:tc>
      </w:tr>
      <w:tr w:rsidR="008D50F3" w:rsidRPr="003771DB" w14:paraId="05D51581" w14:textId="77777777" w:rsidTr="00076B84">
        <w:trPr>
          <w:cantSplit/>
        </w:trPr>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14:paraId="68DA4364" w14:textId="77777777" w:rsidR="00346B93" w:rsidRPr="003771DB" w:rsidRDefault="008D50F3" w:rsidP="00373E5D">
            <w:pPr>
              <w:pStyle w:val="COMTabletext"/>
              <w:rPr>
                <w:snapToGrid w:val="0"/>
              </w:rPr>
            </w:pPr>
            <w:r w:rsidRPr="003771DB">
              <w:rPr>
                <w:snapToGrid w:val="0"/>
              </w:rPr>
              <w:t xml:space="preserve">BMI </w:t>
            </w:r>
            <w:r w:rsidR="00C01EAA" w:rsidRPr="003771DB">
              <w:rPr>
                <w:snapToGrid w:val="0"/>
              </w:rPr>
              <w:t>≥</w:t>
            </w:r>
            <w:r w:rsidRPr="003771DB">
              <w:rPr>
                <w:snapToGrid w:val="0"/>
              </w:rPr>
              <w:t>40 kg/m</w:t>
            </w:r>
            <w:r w:rsidRPr="003771DB">
              <w:rPr>
                <w:snapToGrid w:val="0"/>
                <w:vertAlign w:val="superscript"/>
              </w:rPr>
              <w:t>2</w:t>
            </w:r>
            <w:r w:rsidRPr="003771DB">
              <w:rPr>
                <w:snapToGrid w:val="0"/>
              </w:rPr>
              <w:t xml:space="preserve"> and </w:t>
            </w:r>
            <w:r w:rsidR="00C01EAA" w:rsidRPr="003771DB">
              <w:rPr>
                <w:snapToGrid w:val="0"/>
              </w:rPr>
              <w:t>≥</w:t>
            </w:r>
            <w:r w:rsidRPr="003771DB">
              <w:rPr>
                <w:snapToGrid w:val="0"/>
              </w:rPr>
              <w:t>1 weight-related comorbidity with OSA or KOA</w:t>
            </w:r>
          </w:p>
          <w:p w14:paraId="027BAA12" w14:textId="73A3AABE" w:rsidR="008D50F3" w:rsidRPr="003771DB" w:rsidRDefault="008D50F3" w:rsidP="00373E5D">
            <w:pPr>
              <w:pStyle w:val="COMTabletext"/>
              <w:rPr>
                <w:snapToGrid w:val="0"/>
              </w:rPr>
            </w:pPr>
            <w:r w:rsidRPr="003771DB">
              <w:rPr>
                <w:snapToGrid w:val="0"/>
              </w:rPr>
              <w:t>(N</w:t>
            </w:r>
            <w:r w:rsidR="00C01EAA" w:rsidRPr="003771DB">
              <w:rPr>
                <w:snapToGrid w:val="0"/>
              </w:rPr>
              <w:t>=</w:t>
            </w:r>
            <w:r w:rsidRPr="003771DB">
              <w:rPr>
                <w:snapToGrid w:val="0"/>
              </w:rPr>
              <w:t>167; 8.5% of trial population)</w:t>
            </w:r>
          </w:p>
        </w:tc>
        <w:tc>
          <w:tcPr>
            <w:tcW w:w="501" w:type="pct"/>
            <w:tcBorders>
              <w:top w:val="single" w:sz="4" w:space="0" w:color="auto"/>
              <w:left w:val="single" w:sz="4" w:space="0" w:color="auto"/>
              <w:bottom w:val="single" w:sz="4" w:space="0" w:color="auto"/>
              <w:right w:val="single" w:sz="4" w:space="0" w:color="auto"/>
            </w:tcBorders>
            <w:vAlign w:val="center"/>
          </w:tcPr>
          <w:p w14:paraId="5D3836D9" w14:textId="14958EC7" w:rsidR="008D50F3" w:rsidRPr="003771DB" w:rsidRDefault="008D50F3" w:rsidP="00373E5D">
            <w:pPr>
              <w:pStyle w:val="COMTabletext"/>
              <w:jc w:val="center"/>
              <w:rPr>
                <w:snapToGrid w:val="0"/>
              </w:rPr>
            </w:pPr>
            <w:r w:rsidRPr="003771DB">
              <w:rPr>
                <w:snapToGrid w:val="0"/>
              </w:rPr>
              <w:t>5.90</w:t>
            </w:r>
          </w:p>
        </w:tc>
        <w:tc>
          <w:tcPr>
            <w:tcW w:w="501" w:type="pct"/>
            <w:tcBorders>
              <w:top w:val="single" w:sz="4" w:space="0" w:color="auto"/>
              <w:left w:val="single" w:sz="4" w:space="0" w:color="auto"/>
              <w:bottom w:val="single" w:sz="4" w:space="0" w:color="auto"/>
              <w:right w:val="single" w:sz="4" w:space="0" w:color="auto"/>
            </w:tcBorders>
            <w:vAlign w:val="center"/>
          </w:tcPr>
          <w:p w14:paraId="509D1985" w14:textId="489324AF" w:rsidR="008D50F3" w:rsidRPr="003771DB" w:rsidRDefault="008D50F3" w:rsidP="00373E5D">
            <w:pPr>
              <w:pStyle w:val="COMTabletext"/>
              <w:jc w:val="center"/>
              <w:rPr>
                <w:snapToGrid w:val="0"/>
              </w:rPr>
            </w:pPr>
            <w:r w:rsidRPr="003771DB">
              <w:rPr>
                <w:snapToGrid w:val="0"/>
              </w:rPr>
              <w:t>0.33</w:t>
            </w:r>
          </w:p>
        </w:tc>
        <w:tc>
          <w:tcPr>
            <w:tcW w:w="660" w:type="pct"/>
            <w:tcBorders>
              <w:top w:val="single" w:sz="4" w:space="0" w:color="auto"/>
              <w:left w:val="single" w:sz="4" w:space="0" w:color="auto"/>
              <w:bottom w:val="single" w:sz="4" w:space="0" w:color="auto"/>
              <w:right w:val="double" w:sz="4" w:space="0" w:color="auto"/>
            </w:tcBorders>
            <w:vAlign w:val="center"/>
          </w:tcPr>
          <w:p w14:paraId="4FF336D9" w14:textId="77777777" w:rsidR="008D50F3" w:rsidRPr="003771DB" w:rsidRDefault="008D50F3" w:rsidP="00373E5D">
            <w:pPr>
              <w:pStyle w:val="COMTabletext"/>
              <w:jc w:val="center"/>
              <w:rPr>
                <w:b/>
                <w:bCs w:val="0"/>
                <w:snapToGrid w:val="0"/>
              </w:rPr>
            </w:pPr>
            <w:r w:rsidRPr="003771DB">
              <w:rPr>
                <w:b/>
                <w:bCs w:val="0"/>
                <w:snapToGrid w:val="0"/>
              </w:rPr>
              <w:t xml:space="preserve">18.03 </w:t>
            </w:r>
          </w:p>
          <w:p w14:paraId="35E8E95F" w14:textId="408C048A" w:rsidR="008D50F3" w:rsidRPr="003771DB" w:rsidRDefault="008D50F3" w:rsidP="00373E5D">
            <w:pPr>
              <w:pStyle w:val="COMTabletext"/>
              <w:jc w:val="center"/>
              <w:rPr>
                <w:b/>
                <w:bCs w:val="0"/>
                <w:snapToGrid w:val="0"/>
              </w:rPr>
            </w:pPr>
            <w:r w:rsidRPr="003771DB">
              <w:rPr>
                <w:b/>
                <w:bCs w:val="0"/>
                <w:snapToGrid w:val="0"/>
              </w:rPr>
              <w:t>(7.65, 42.50)</w:t>
            </w:r>
          </w:p>
        </w:tc>
        <w:tc>
          <w:tcPr>
            <w:tcW w:w="472" w:type="pct"/>
            <w:tcBorders>
              <w:top w:val="single" w:sz="4" w:space="0" w:color="auto"/>
              <w:left w:val="double" w:sz="4" w:space="0" w:color="auto"/>
              <w:bottom w:val="single" w:sz="4" w:space="0" w:color="auto"/>
              <w:right w:val="single" w:sz="4" w:space="0" w:color="auto"/>
            </w:tcBorders>
            <w:vAlign w:val="center"/>
          </w:tcPr>
          <w:p w14:paraId="434DA420" w14:textId="5696F693" w:rsidR="008D50F3" w:rsidRPr="003771DB" w:rsidRDefault="008D50F3" w:rsidP="00373E5D">
            <w:pPr>
              <w:pStyle w:val="COMTabletext"/>
              <w:jc w:val="center"/>
              <w:rPr>
                <w:snapToGrid w:val="0"/>
              </w:rPr>
            </w:pPr>
            <w:r w:rsidRPr="003771DB">
              <w:rPr>
                <w:snapToGrid w:val="0"/>
              </w:rPr>
              <w:t>1.38</w:t>
            </w:r>
          </w:p>
        </w:tc>
        <w:tc>
          <w:tcPr>
            <w:tcW w:w="473" w:type="pct"/>
            <w:tcBorders>
              <w:top w:val="single" w:sz="4" w:space="0" w:color="auto"/>
              <w:left w:val="single" w:sz="4" w:space="0" w:color="auto"/>
              <w:bottom w:val="single" w:sz="4" w:space="0" w:color="auto"/>
              <w:right w:val="single" w:sz="4" w:space="0" w:color="auto"/>
            </w:tcBorders>
            <w:vAlign w:val="center"/>
          </w:tcPr>
          <w:p w14:paraId="149E2576" w14:textId="787E5A70" w:rsidR="008D50F3" w:rsidRPr="003771DB" w:rsidRDefault="008D50F3" w:rsidP="00373E5D">
            <w:pPr>
              <w:pStyle w:val="COMTabletext"/>
              <w:jc w:val="center"/>
              <w:rPr>
                <w:snapToGrid w:val="0"/>
              </w:rPr>
            </w:pPr>
            <w:r w:rsidRPr="003771DB">
              <w:rPr>
                <w:snapToGrid w:val="0"/>
              </w:rPr>
              <w:t>0.14</w:t>
            </w:r>
          </w:p>
        </w:tc>
        <w:tc>
          <w:tcPr>
            <w:tcW w:w="716" w:type="pct"/>
            <w:tcBorders>
              <w:top w:val="single" w:sz="4" w:space="0" w:color="auto"/>
              <w:left w:val="single" w:sz="4" w:space="0" w:color="auto"/>
              <w:bottom w:val="single" w:sz="4" w:space="0" w:color="auto"/>
              <w:right w:val="single" w:sz="4" w:space="0" w:color="auto"/>
            </w:tcBorders>
            <w:vAlign w:val="center"/>
          </w:tcPr>
          <w:p w14:paraId="22607041" w14:textId="77777777" w:rsidR="008D50F3" w:rsidRPr="003771DB" w:rsidRDefault="008D50F3" w:rsidP="00373E5D">
            <w:pPr>
              <w:pStyle w:val="COMTabletext"/>
              <w:jc w:val="center"/>
              <w:rPr>
                <w:b/>
                <w:bCs w:val="0"/>
                <w:snapToGrid w:val="0"/>
              </w:rPr>
            </w:pPr>
            <w:r w:rsidRPr="003771DB">
              <w:rPr>
                <w:b/>
                <w:bCs w:val="0"/>
                <w:snapToGrid w:val="0"/>
              </w:rPr>
              <w:t xml:space="preserve">9.99 </w:t>
            </w:r>
          </w:p>
          <w:p w14:paraId="120FDE6F" w14:textId="68BF20F0" w:rsidR="008D50F3" w:rsidRPr="003771DB" w:rsidRDefault="008D50F3" w:rsidP="00373E5D">
            <w:pPr>
              <w:pStyle w:val="COMTabletext"/>
              <w:jc w:val="center"/>
              <w:rPr>
                <w:b/>
                <w:bCs w:val="0"/>
                <w:snapToGrid w:val="0"/>
              </w:rPr>
            </w:pPr>
            <w:r w:rsidRPr="003771DB">
              <w:rPr>
                <w:b/>
                <w:bCs w:val="0"/>
                <w:snapToGrid w:val="0"/>
              </w:rPr>
              <w:t>(4.11, 24.29)</w:t>
            </w:r>
          </w:p>
        </w:tc>
      </w:tr>
      <w:tr w:rsidR="008D50F3" w:rsidRPr="003771DB" w14:paraId="0FDE1C12" w14:textId="77777777" w:rsidTr="008D50F3">
        <w:trPr>
          <w:cantSplit/>
        </w:trPr>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14:paraId="6BF39029" w14:textId="7DFAE2DD" w:rsidR="008D50F3" w:rsidRPr="003771DB" w:rsidRDefault="008D50F3" w:rsidP="00373E5D">
            <w:pPr>
              <w:pStyle w:val="COMTabletext"/>
              <w:rPr>
                <w:snapToGrid w:val="0"/>
              </w:rPr>
            </w:pPr>
            <w:r w:rsidRPr="003771DB">
              <w:rPr>
                <w:snapToGrid w:val="0"/>
              </w:rPr>
              <w:t xml:space="preserve">BMI </w:t>
            </w:r>
            <w:r w:rsidR="00346B93" w:rsidRPr="003771DB">
              <w:rPr>
                <w:snapToGrid w:val="0"/>
              </w:rPr>
              <w:t>≥</w:t>
            </w:r>
            <w:r w:rsidRPr="003771DB">
              <w:rPr>
                <w:snapToGrid w:val="0"/>
              </w:rPr>
              <w:t>40 kg/m</w:t>
            </w:r>
            <w:r w:rsidRPr="003771DB">
              <w:rPr>
                <w:snapToGrid w:val="0"/>
                <w:vertAlign w:val="superscript"/>
              </w:rPr>
              <w:t>2</w:t>
            </w:r>
            <w:r w:rsidRPr="003771DB">
              <w:rPr>
                <w:snapToGrid w:val="0"/>
              </w:rPr>
              <w:t xml:space="preserve"> and </w:t>
            </w:r>
            <w:r w:rsidR="00346B93" w:rsidRPr="003771DB">
              <w:rPr>
                <w:snapToGrid w:val="0"/>
              </w:rPr>
              <w:t>≥</w:t>
            </w:r>
            <w:r w:rsidRPr="003771DB">
              <w:rPr>
                <w:snapToGrid w:val="0"/>
              </w:rPr>
              <w:t>2 weight-related comorbidities with OSA or KOA (N=142; 7.2% of trial population)</w:t>
            </w:r>
          </w:p>
        </w:tc>
        <w:tc>
          <w:tcPr>
            <w:tcW w:w="501" w:type="pct"/>
            <w:tcBorders>
              <w:top w:val="single" w:sz="4" w:space="0" w:color="auto"/>
              <w:left w:val="single" w:sz="4" w:space="0" w:color="auto"/>
              <w:bottom w:val="single" w:sz="4" w:space="0" w:color="auto"/>
              <w:right w:val="single" w:sz="4" w:space="0" w:color="auto"/>
            </w:tcBorders>
            <w:vAlign w:val="center"/>
          </w:tcPr>
          <w:p w14:paraId="79EE7864" w14:textId="77777777" w:rsidR="008D50F3" w:rsidRPr="003771DB" w:rsidRDefault="008D50F3" w:rsidP="00373E5D">
            <w:pPr>
              <w:pStyle w:val="COMTabletext"/>
              <w:jc w:val="center"/>
              <w:rPr>
                <w:snapToGrid w:val="0"/>
              </w:rPr>
            </w:pPr>
            <w:r w:rsidRPr="003771DB">
              <w:rPr>
                <w:snapToGrid w:val="0"/>
              </w:rPr>
              <w:t>5.56</w:t>
            </w:r>
          </w:p>
        </w:tc>
        <w:tc>
          <w:tcPr>
            <w:tcW w:w="501" w:type="pct"/>
            <w:tcBorders>
              <w:top w:val="single" w:sz="4" w:space="0" w:color="auto"/>
              <w:left w:val="single" w:sz="4" w:space="0" w:color="auto"/>
              <w:bottom w:val="single" w:sz="4" w:space="0" w:color="auto"/>
              <w:right w:val="single" w:sz="4" w:space="0" w:color="auto"/>
            </w:tcBorders>
            <w:vAlign w:val="center"/>
          </w:tcPr>
          <w:p w14:paraId="4C8D8C23" w14:textId="77777777" w:rsidR="008D50F3" w:rsidRPr="003771DB" w:rsidRDefault="008D50F3" w:rsidP="00373E5D">
            <w:pPr>
              <w:pStyle w:val="COMTabletext"/>
              <w:jc w:val="center"/>
              <w:rPr>
                <w:snapToGrid w:val="0"/>
              </w:rPr>
            </w:pPr>
            <w:r w:rsidRPr="003771DB">
              <w:rPr>
                <w:snapToGrid w:val="0"/>
              </w:rPr>
              <w:t>0.30</w:t>
            </w:r>
          </w:p>
        </w:tc>
        <w:tc>
          <w:tcPr>
            <w:tcW w:w="660" w:type="pct"/>
            <w:tcBorders>
              <w:top w:val="single" w:sz="4" w:space="0" w:color="auto"/>
              <w:left w:val="single" w:sz="4" w:space="0" w:color="auto"/>
              <w:bottom w:val="single" w:sz="4" w:space="0" w:color="auto"/>
              <w:right w:val="double" w:sz="4" w:space="0" w:color="auto"/>
            </w:tcBorders>
            <w:vAlign w:val="center"/>
          </w:tcPr>
          <w:p w14:paraId="6D4605A3" w14:textId="77777777" w:rsidR="008D50F3" w:rsidRPr="003771DB" w:rsidRDefault="008D50F3" w:rsidP="00373E5D">
            <w:pPr>
              <w:pStyle w:val="COMTabletext"/>
              <w:jc w:val="center"/>
              <w:rPr>
                <w:b/>
                <w:bCs w:val="0"/>
                <w:snapToGrid w:val="0"/>
              </w:rPr>
            </w:pPr>
            <w:r w:rsidRPr="003771DB">
              <w:rPr>
                <w:b/>
                <w:bCs w:val="0"/>
                <w:snapToGrid w:val="0"/>
              </w:rPr>
              <w:t xml:space="preserve">18.24 </w:t>
            </w:r>
          </w:p>
          <w:p w14:paraId="32531FC6" w14:textId="77777777" w:rsidR="008D50F3" w:rsidRPr="003771DB" w:rsidRDefault="008D50F3" w:rsidP="00373E5D">
            <w:pPr>
              <w:pStyle w:val="COMTabletext"/>
              <w:jc w:val="center"/>
              <w:rPr>
                <w:b/>
                <w:bCs w:val="0"/>
                <w:snapToGrid w:val="0"/>
              </w:rPr>
            </w:pPr>
            <w:r w:rsidRPr="003771DB">
              <w:rPr>
                <w:b/>
                <w:bCs w:val="0"/>
                <w:snapToGrid w:val="0"/>
              </w:rPr>
              <w:t>(7.22, 46.11)</w:t>
            </w:r>
          </w:p>
        </w:tc>
        <w:tc>
          <w:tcPr>
            <w:tcW w:w="472" w:type="pct"/>
            <w:tcBorders>
              <w:top w:val="single" w:sz="4" w:space="0" w:color="auto"/>
              <w:left w:val="double" w:sz="4" w:space="0" w:color="auto"/>
              <w:bottom w:val="single" w:sz="4" w:space="0" w:color="auto"/>
              <w:right w:val="single" w:sz="4" w:space="0" w:color="auto"/>
            </w:tcBorders>
            <w:vAlign w:val="center"/>
          </w:tcPr>
          <w:p w14:paraId="39F6B596" w14:textId="77777777" w:rsidR="008D50F3" w:rsidRPr="003771DB" w:rsidRDefault="008D50F3" w:rsidP="00373E5D">
            <w:pPr>
              <w:pStyle w:val="COMTabletext"/>
              <w:jc w:val="center"/>
              <w:rPr>
                <w:snapToGrid w:val="0"/>
              </w:rPr>
            </w:pPr>
            <w:r w:rsidRPr="003771DB">
              <w:rPr>
                <w:snapToGrid w:val="0"/>
              </w:rPr>
              <w:t>1.33</w:t>
            </w:r>
          </w:p>
        </w:tc>
        <w:tc>
          <w:tcPr>
            <w:tcW w:w="473" w:type="pct"/>
            <w:tcBorders>
              <w:top w:val="single" w:sz="4" w:space="0" w:color="auto"/>
              <w:left w:val="single" w:sz="4" w:space="0" w:color="auto"/>
              <w:bottom w:val="single" w:sz="4" w:space="0" w:color="auto"/>
              <w:right w:val="single" w:sz="4" w:space="0" w:color="auto"/>
            </w:tcBorders>
            <w:vAlign w:val="center"/>
          </w:tcPr>
          <w:p w14:paraId="48A12058" w14:textId="77777777" w:rsidR="008D50F3" w:rsidRPr="003771DB" w:rsidRDefault="008D50F3" w:rsidP="00373E5D">
            <w:pPr>
              <w:pStyle w:val="COMTabletext"/>
              <w:jc w:val="center"/>
              <w:rPr>
                <w:snapToGrid w:val="0"/>
              </w:rPr>
            </w:pPr>
            <w:r w:rsidRPr="003771DB">
              <w:rPr>
                <w:snapToGrid w:val="0"/>
              </w:rPr>
              <w:t>0.17</w:t>
            </w:r>
          </w:p>
        </w:tc>
        <w:tc>
          <w:tcPr>
            <w:tcW w:w="716" w:type="pct"/>
            <w:tcBorders>
              <w:top w:val="single" w:sz="4" w:space="0" w:color="auto"/>
              <w:left w:val="single" w:sz="4" w:space="0" w:color="auto"/>
              <w:bottom w:val="single" w:sz="4" w:space="0" w:color="auto"/>
              <w:right w:val="single" w:sz="4" w:space="0" w:color="auto"/>
            </w:tcBorders>
            <w:vAlign w:val="center"/>
          </w:tcPr>
          <w:p w14:paraId="6862BC8A" w14:textId="77777777" w:rsidR="008D50F3" w:rsidRPr="003771DB" w:rsidRDefault="008D50F3" w:rsidP="00373E5D">
            <w:pPr>
              <w:pStyle w:val="COMTabletext"/>
              <w:jc w:val="center"/>
              <w:rPr>
                <w:b/>
                <w:bCs w:val="0"/>
                <w:snapToGrid w:val="0"/>
              </w:rPr>
            </w:pPr>
            <w:r w:rsidRPr="003771DB">
              <w:rPr>
                <w:b/>
                <w:bCs w:val="0"/>
                <w:snapToGrid w:val="0"/>
              </w:rPr>
              <w:t xml:space="preserve">7.99 </w:t>
            </w:r>
          </w:p>
          <w:p w14:paraId="2EE7DB8A" w14:textId="77777777" w:rsidR="008D50F3" w:rsidRPr="003771DB" w:rsidRDefault="008D50F3" w:rsidP="00373E5D">
            <w:pPr>
              <w:pStyle w:val="COMTabletext"/>
              <w:jc w:val="center"/>
              <w:rPr>
                <w:b/>
                <w:bCs w:val="0"/>
                <w:snapToGrid w:val="0"/>
              </w:rPr>
            </w:pPr>
            <w:r w:rsidRPr="003771DB">
              <w:rPr>
                <w:b/>
                <w:bCs w:val="0"/>
                <w:snapToGrid w:val="0"/>
              </w:rPr>
              <w:t>(3.21, 19.89)</w:t>
            </w:r>
          </w:p>
        </w:tc>
      </w:tr>
      <w:tr w:rsidR="008D50F3" w:rsidRPr="003771DB" w14:paraId="3B079641" w14:textId="77777777" w:rsidTr="008D50F3">
        <w:trPr>
          <w:cantSplit/>
        </w:trPr>
        <w:tc>
          <w:tcPr>
            <w:tcW w:w="167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6E79755" w14:textId="1140D28F" w:rsidR="008D50F3" w:rsidRPr="003771DB" w:rsidRDefault="008D50F3" w:rsidP="00373E5D">
            <w:pPr>
              <w:pStyle w:val="COMTabletext"/>
              <w:rPr>
                <w:snapToGrid w:val="0"/>
              </w:rPr>
            </w:pPr>
            <w:r w:rsidRPr="003771DB">
              <w:rPr>
                <w:snapToGrid w:val="0"/>
              </w:rPr>
              <w:t xml:space="preserve">BMI </w:t>
            </w:r>
            <w:r w:rsidR="00346B93" w:rsidRPr="003771DB">
              <w:rPr>
                <w:snapToGrid w:val="0"/>
              </w:rPr>
              <w:t>≥</w:t>
            </w:r>
            <w:r w:rsidRPr="003771DB">
              <w:rPr>
                <w:snapToGrid w:val="0"/>
              </w:rPr>
              <w:t>40 kg/m</w:t>
            </w:r>
            <w:r w:rsidRPr="003771DB">
              <w:rPr>
                <w:snapToGrid w:val="0"/>
                <w:vertAlign w:val="superscript"/>
              </w:rPr>
              <w:t>2</w:t>
            </w:r>
            <w:r w:rsidRPr="003771DB">
              <w:rPr>
                <w:snapToGrid w:val="0"/>
              </w:rPr>
              <w:t xml:space="preserve"> and </w:t>
            </w:r>
            <w:r w:rsidR="00346B93" w:rsidRPr="003771DB">
              <w:rPr>
                <w:snapToGrid w:val="0"/>
              </w:rPr>
              <w:t>≥</w:t>
            </w:r>
            <w:r w:rsidRPr="003771DB">
              <w:rPr>
                <w:snapToGrid w:val="0"/>
              </w:rPr>
              <w:t>2 weight-related comorbidities with OSA, KOA or PD (N=257; 13.1% of trial population)</w:t>
            </w:r>
          </w:p>
        </w:tc>
        <w:tc>
          <w:tcPr>
            <w:tcW w:w="50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DA58BF2" w14:textId="77777777" w:rsidR="008D50F3" w:rsidRPr="003771DB" w:rsidRDefault="008D50F3" w:rsidP="00373E5D">
            <w:pPr>
              <w:pStyle w:val="COMTabletext"/>
              <w:jc w:val="center"/>
              <w:rPr>
                <w:snapToGrid w:val="0"/>
              </w:rPr>
            </w:pPr>
            <w:r w:rsidRPr="003771DB">
              <w:rPr>
                <w:snapToGrid w:val="0"/>
              </w:rPr>
              <w:t>4.66</w:t>
            </w:r>
          </w:p>
        </w:tc>
        <w:tc>
          <w:tcPr>
            <w:tcW w:w="501"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2F68441" w14:textId="77777777" w:rsidR="008D50F3" w:rsidRPr="003771DB" w:rsidRDefault="008D50F3" w:rsidP="00373E5D">
            <w:pPr>
              <w:pStyle w:val="COMTabletext"/>
              <w:jc w:val="center"/>
              <w:rPr>
                <w:snapToGrid w:val="0"/>
              </w:rPr>
            </w:pPr>
            <w:r w:rsidRPr="003771DB">
              <w:rPr>
                <w:snapToGrid w:val="0"/>
              </w:rPr>
              <w:t>0.36</w:t>
            </w:r>
          </w:p>
        </w:tc>
        <w:tc>
          <w:tcPr>
            <w:tcW w:w="660" w:type="pct"/>
            <w:tcBorders>
              <w:top w:val="single" w:sz="4" w:space="0" w:color="auto"/>
              <w:left w:val="single" w:sz="4" w:space="0" w:color="auto"/>
              <w:bottom w:val="single" w:sz="4" w:space="0" w:color="auto"/>
              <w:right w:val="double" w:sz="4" w:space="0" w:color="auto"/>
            </w:tcBorders>
            <w:shd w:val="clear" w:color="auto" w:fill="EAF1DD" w:themeFill="accent3" w:themeFillTint="33"/>
            <w:vAlign w:val="center"/>
          </w:tcPr>
          <w:p w14:paraId="663C7413" w14:textId="77777777" w:rsidR="008D50F3" w:rsidRPr="003771DB" w:rsidRDefault="008D50F3" w:rsidP="00373E5D">
            <w:pPr>
              <w:pStyle w:val="COMTabletext"/>
              <w:jc w:val="center"/>
              <w:rPr>
                <w:b/>
                <w:bCs w:val="0"/>
                <w:snapToGrid w:val="0"/>
              </w:rPr>
            </w:pPr>
            <w:r w:rsidRPr="003771DB">
              <w:rPr>
                <w:b/>
                <w:bCs w:val="0"/>
                <w:snapToGrid w:val="0"/>
              </w:rPr>
              <w:t xml:space="preserve">13.03 </w:t>
            </w:r>
          </w:p>
          <w:p w14:paraId="383DDB2A" w14:textId="77777777" w:rsidR="008D50F3" w:rsidRPr="003771DB" w:rsidRDefault="008D50F3" w:rsidP="00373E5D">
            <w:pPr>
              <w:pStyle w:val="COMTabletext"/>
              <w:jc w:val="center"/>
              <w:rPr>
                <w:b/>
                <w:bCs w:val="0"/>
                <w:snapToGrid w:val="0"/>
              </w:rPr>
            </w:pPr>
            <w:r w:rsidRPr="003771DB">
              <w:rPr>
                <w:b/>
                <w:bCs w:val="0"/>
                <w:snapToGrid w:val="0"/>
              </w:rPr>
              <w:t>(6.83, 24.88)</w:t>
            </w:r>
          </w:p>
        </w:tc>
        <w:tc>
          <w:tcPr>
            <w:tcW w:w="472" w:type="pct"/>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380DA111" w14:textId="77777777" w:rsidR="008D50F3" w:rsidRPr="003771DB" w:rsidRDefault="008D50F3" w:rsidP="00373E5D">
            <w:pPr>
              <w:pStyle w:val="COMTabletext"/>
              <w:jc w:val="center"/>
              <w:rPr>
                <w:snapToGrid w:val="0"/>
              </w:rPr>
            </w:pPr>
            <w:r w:rsidRPr="003771DB">
              <w:rPr>
                <w:snapToGrid w:val="0"/>
              </w:rPr>
              <w:t>1.38</w:t>
            </w:r>
          </w:p>
        </w:tc>
        <w:tc>
          <w:tcPr>
            <w:tcW w:w="47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E8D599" w14:textId="77777777" w:rsidR="008D50F3" w:rsidRPr="003771DB" w:rsidRDefault="008D50F3" w:rsidP="00373E5D">
            <w:pPr>
              <w:pStyle w:val="COMTabletext"/>
              <w:jc w:val="center"/>
              <w:rPr>
                <w:snapToGrid w:val="0"/>
              </w:rPr>
            </w:pPr>
            <w:r w:rsidRPr="003771DB">
              <w:rPr>
                <w:snapToGrid w:val="0"/>
              </w:rPr>
              <w:t>0.14</w:t>
            </w:r>
          </w:p>
        </w:tc>
        <w:tc>
          <w:tcPr>
            <w:tcW w:w="71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575946" w14:textId="77777777" w:rsidR="008D50F3" w:rsidRPr="003771DB" w:rsidRDefault="008D50F3" w:rsidP="00373E5D">
            <w:pPr>
              <w:pStyle w:val="COMTabletext"/>
              <w:jc w:val="center"/>
              <w:rPr>
                <w:b/>
                <w:bCs w:val="0"/>
                <w:snapToGrid w:val="0"/>
              </w:rPr>
            </w:pPr>
            <w:r w:rsidRPr="003771DB">
              <w:rPr>
                <w:b/>
                <w:bCs w:val="0"/>
                <w:snapToGrid w:val="0"/>
              </w:rPr>
              <w:t xml:space="preserve">9.68 </w:t>
            </w:r>
          </w:p>
          <w:p w14:paraId="7A08B4A8" w14:textId="77777777" w:rsidR="008D50F3" w:rsidRPr="003771DB" w:rsidRDefault="008D50F3" w:rsidP="00373E5D">
            <w:pPr>
              <w:pStyle w:val="COMTabletext"/>
              <w:jc w:val="center"/>
              <w:rPr>
                <w:b/>
                <w:bCs w:val="0"/>
                <w:snapToGrid w:val="0"/>
              </w:rPr>
            </w:pPr>
            <w:r w:rsidRPr="003771DB">
              <w:rPr>
                <w:b/>
                <w:bCs w:val="0"/>
                <w:snapToGrid w:val="0"/>
              </w:rPr>
              <w:t>(4.75, 19.73)</w:t>
            </w:r>
          </w:p>
        </w:tc>
      </w:tr>
    </w:tbl>
    <w:p w14:paraId="5593FCD6" w14:textId="77777777" w:rsidR="008D50F3" w:rsidRPr="003771DB" w:rsidRDefault="008D50F3" w:rsidP="008D50F3">
      <w:pPr>
        <w:pStyle w:val="COMTablefooter"/>
      </w:pPr>
      <w:r w:rsidRPr="003771DB">
        <w:t>Source: Table 2-71, p145 of the resubmission; Table 184, p347; Table 185, p 348; Table 190, p350; Table 191, p351; Table 192, p351; Table 202, p356; Table 203, p357; Table 208, p359; Table 209, p360; Table 210, p360 of the STEP-1 subgroup analysis report</w:t>
      </w:r>
    </w:p>
    <w:p w14:paraId="29578179" w14:textId="77777777" w:rsidR="008D50F3" w:rsidRPr="003771DB" w:rsidRDefault="008D50F3" w:rsidP="008D50F3">
      <w:pPr>
        <w:pStyle w:val="COMTablefooter"/>
      </w:pPr>
      <w:r w:rsidRPr="003771DB">
        <w:t>Abbreviations: BMI, body mass index; CI, confidence interval; KOA, knee osteoarthritis; OSA, obstructive sleep apnoea; PBO, placebo; PD, pre-diabetes; SEMA, semaglutide</w:t>
      </w:r>
    </w:p>
    <w:p w14:paraId="63B4FC5B" w14:textId="4AF46F48" w:rsidR="008D50F3" w:rsidRPr="003771DB" w:rsidRDefault="008D50F3" w:rsidP="008D50F3">
      <w:pPr>
        <w:pStyle w:val="COMTablefooter"/>
      </w:pPr>
      <w:r w:rsidRPr="003771DB">
        <w:t xml:space="preserve">Note: Green shading indicates the main target population in the resubmission </w:t>
      </w:r>
    </w:p>
    <w:p w14:paraId="4C2ABBBF" w14:textId="4A3C4FB6" w:rsidR="008D50F3" w:rsidRPr="003771DB" w:rsidRDefault="008D50F3" w:rsidP="004E2228">
      <w:pPr>
        <w:pStyle w:val="COMexecsumnumberedpara"/>
        <w:rPr>
          <w:i/>
          <w:iCs/>
        </w:rPr>
      </w:pPr>
      <w:r w:rsidRPr="003771DB">
        <w:t xml:space="preserve">Treatment with semaglutide was associated with statistically significantly higher proportions of patients achieving a 5% or 10% reduction in body weight compared to placebo </w:t>
      </w:r>
      <w:r w:rsidR="007F7E92" w:rsidRPr="003771DB">
        <w:t xml:space="preserve">in the ITT population and </w:t>
      </w:r>
      <w:r w:rsidRPr="003771DB">
        <w:t xml:space="preserve">across all nominated subgroups. </w:t>
      </w:r>
    </w:p>
    <w:p w14:paraId="2CD153EC" w14:textId="2136F683" w:rsidR="008D50F3" w:rsidRPr="003771DB" w:rsidRDefault="008D50F3" w:rsidP="004E2228">
      <w:pPr>
        <w:pStyle w:val="COMexecsumnumberedpara"/>
      </w:pPr>
      <w:r w:rsidRPr="003771DB">
        <w:t xml:space="preserve">Key </w:t>
      </w:r>
      <w:r w:rsidRPr="003771DB">
        <w:rPr>
          <w:i/>
          <w:iCs/>
        </w:rPr>
        <w:t>post hoc</w:t>
      </w:r>
      <w:r w:rsidRPr="003771DB">
        <w:t xml:space="preserve"> subgroup analyses of SF-36 scores (physical </w:t>
      </w:r>
      <w:r w:rsidR="00160172" w:rsidRPr="003771DB">
        <w:t xml:space="preserve">component </w:t>
      </w:r>
      <w:r w:rsidRPr="003771DB">
        <w:t xml:space="preserve">and mental component summary scores) with semaglutide and placebo in the STEP-1 trial are summarised in </w:t>
      </w:r>
      <w:r w:rsidR="004906EC" w:rsidRPr="003771DB">
        <w:fldChar w:fldCharType="begin" w:fldLock="1"/>
      </w:r>
      <w:r w:rsidR="004906EC" w:rsidRPr="003771DB">
        <w:instrText xml:space="preserve"> REF _Ref143501388 \h </w:instrText>
      </w:r>
      <w:r w:rsidR="004906EC" w:rsidRPr="003771DB">
        <w:fldChar w:fldCharType="separate"/>
      </w:r>
      <w:r w:rsidR="00D44FF6" w:rsidRPr="003771DB">
        <w:t xml:space="preserve">Table </w:t>
      </w:r>
      <w:r w:rsidR="00D44FF6" w:rsidRPr="00F7478B">
        <w:t>7</w:t>
      </w:r>
      <w:r w:rsidR="004906EC" w:rsidRPr="003771DB">
        <w:fldChar w:fldCharType="end"/>
      </w:r>
      <w:r w:rsidRPr="003771DB">
        <w:t>.</w:t>
      </w:r>
    </w:p>
    <w:p w14:paraId="45C8505F" w14:textId="6EA0351B" w:rsidR="00373E5D" w:rsidRPr="003771DB" w:rsidRDefault="00373E5D" w:rsidP="004906EC">
      <w:pPr>
        <w:pStyle w:val="Caption"/>
        <w:keepLines/>
        <w:rPr>
          <w:color w:val="3366FF"/>
        </w:rPr>
      </w:pPr>
      <w:bookmarkStart w:id="29" w:name="_Ref143501388"/>
      <w:r w:rsidRPr="003771DB">
        <w:rPr>
          <w:snapToGrid w:val="0"/>
        </w:rPr>
        <w:lastRenderedPageBreak/>
        <w:t xml:space="preserve">Table </w:t>
      </w:r>
      <w:r w:rsidR="00AD487C" w:rsidRPr="003771DB">
        <w:rPr>
          <w:snapToGrid w:val="0"/>
        </w:rPr>
        <w:fldChar w:fldCharType="begin" w:fldLock="1"/>
      </w:r>
      <w:r w:rsidR="00AD487C" w:rsidRPr="003771DB">
        <w:rPr>
          <w:snapToGrid w:val="0"/>
        </w:rPr>
        <w:instrText xml:space="preserve"> SEQ Table \* ARABIC </w:instrText>
      </w:r>
      <w:r w:rsidR="00AD487C" w:rsidRPr="003771DB">
        <w:rPr>
          <w:snapToGrid w:val="0"/>
        </w:rPr>
        <w:fldChar w:fldCharType="separate"/>
      </w:r>
      <w:r w:rsidR="00AD487C" w:rsidRPr="00F7478B">
        <w:rPr>
          <w:snapToGrid w:val="0"/>
        </w:rPr>
        <w:t>7</w:t>
      </w:r>
      <w:r w:rsidR="00AD487C" w:rsidRPr="003771DB">
        <w:rPr>
          <w:snapToGrid w:val="0"/>
        </w:rPr>
        <w:fldChar w:fldCharType="end"/>
      </w:r>
      <w:bookmarkEnd w:id="29"/>
      <w:r w:rsidRPr="003771DB">
        <w:rPr>
          <w:snapToGrid w:val="0"/>
        </w:rPr>
        <w:t xml:space="preserve">: </w:t>
      </w:r>
      <w:r w:rsidR="00354B6E" w:rsidRPr="003771DB">
        <w:rPr>
          <w:snapToGrid w:val="0"/>
        </w:rPr>
        <w:t>Key s</w:t>
      </w:r>
      <w:r w:rsidRPr="003771DB">
        <w:rPr>
          <w:snapToGrid w:val="0"/>
        </w:rPr>
        <w:t>ubgroup analyses of mean change in SF-36 scores in the STEP-1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7: Key subgroup analyses of mean change in SF-36 scores in the STEP-1 trial"/>
        <w:tblDescription w:val="Table 7: Key subgroup analyses of mean change in SF-36 scores in the STEP-1 trial"/>
      </w:tblPr>
      <w:tblGrid>
        <w:gridCol w:w="1133"/>
        <w:gridCol w:w="1039"/>
        <w:gridCol w:w="1039"/>
        <w:gridCol w:w="1039"/>
        <w:gridCol w:w="1039"/>
        <w:gridCol w:w="1039"/>
        <w:gridCol w:w="1041"/>
        <w:gridCol w:w="1648"/>
      </w:tblGrid>
      <w:tr w:rsidR="00373E5D" w:rsidRPr="003771DB" w14:paraId="68C97686" w14:textId="77777777" w:rsidTr="00C65354">
        <w:trPr>
          <w:cantSplit/>
          <w:tblHeader/>
        </w:trPr>
        <w:tc>
          <w:tcPr>
            <w:tcW w:w="629" w:type="pct"/>
            <w:vMerge w:val="restart"/>
            <w:tcBorders>
              <w:right w:val="single" w:sz="4" w:space="0" w:color="auto"/>
            </w:tcBorders>
            <w:shd w:val="clear" w:color="auto" w:fill="auto"/>
            <w:vAlign w:val="center"/>
          </w:tcPr>
          <w:p w14:paraId="30C02155" w14:textId="77777777" w:rsidR="00373E5D" w:rsidRPr="003771DB" w:rsidRDefault="00373E5D" w:rsidP="004906EC">
            <w:pPr>
              <w:pStyle w:val="COMTableheadingrow"/>
              <w:keepLines/>
              <w:rPr>
                <w:snapToGrid w:val="0"/>
                <w:lang w:val="en-AU"/>
              </w:rPr>
            </w:pPr>
            <w:r w:rsidRPr="003771DB">
              <w:rPr>
                <w:snapToGrid w:val="0"/>
                <w:lang w:val="en-AU"/>
              </w:rPr>
              <w:t>Subgroup</w:t>
            </w:r>
          </w:p>
        </w:tc>
        <w:tc>
          <w:tcPr>
            <w:tcW w:w="1728" w:type="pct"/>
            <w:gridSpan w:val="3"/>
            <w:tcBorders>
              <w:left w:val="single" w:sz="4" w:space="0" w:color="auto"/>
              <w:right w:val="single" w:sz="4" w:space="0" w:color="auto"/>
            </w:tcBorders>
            <w:shd w:val="clear" w:color="auto" w:fill="auto"/>
            <w:vAlign w:val="center"/>
          </w:tcPr>
          <w:p w14:paraId="55CB8508" w14:textId="77777777" w:rsidR="00373E5D" w:rsidRPr="003771DB" w:rsidRDefault="00373E5D" w:rsidP="004906EC">
            <w:pPr>
              <w:pStyle w:val="COMTableheadingrow"/>
              <w:keepLines/>
              <w:jc w:val="center"/>
              <w:rPr>
                <w:snapToGrid w:val="0"/>
                <w:lang w:val="en-AU"/>
              </w:rPr>
            </w:pPr>
            <w:r w:rsidRPr="003771DB">
              <w:rPr>
                <w:snapToGrid w:val="0"/>
                <w:lang w:val="en-AU"/>
              </w:rPr>
              <w:t>Semaglutide, Mean (SD)</w:t>
            </w:r>
          </w:p>
        </w:tc>
        <w:tc>
          <w:tcPr>
            <w:tcW w:w="1729" w:type="pct"/>
            <w:gridSpan w:val="3"/>
            <w:tcBorders>
              <w:left w:val="single" w:sz="4" w:space="0" w:color="auto"/>
            </w:tcBorders>
            <w:shd w:val="clear" w:color="auto" w:fill="auto"/>
            <w:vAlign w:val="center"/>
          </w:tcPr>
          <w:p w14:paraId="7BBB64DC" w14:textId="77777777" w:rsidR="00373E5D" w:rsidRPr="003771DB" w:rsidRDefault="00373E5D" w:rsidP="004906EC">
            <w:pPr>
              <w:pStyle w:val="COMTableheadingrow"/>
              <w:keepLines/>
              <w:jc w:val="center"/>
              <w:rPr>
                <w:snapToGrid w:val="0"/>
                <w:lang w:val="en-AU"/>
              </w:rPr>
            </w:pPr>
            <w:r w:rsidRPr="003771DB">
              <w:rPr>
                <w:snapToGrid w:val="0"/>
                <w:lang w:val="en-AU"/>
              </w:rPr>
              <w:t>Placebo, Mean (SD)</w:t>
            </w:r>
          </w:p>
        </w:tc>
        <w:tc>
          <w:tcPr>
            <w:tcW w:w="913" w:type="pct"/>
            <w:vMerge w:val="restart"/>
            <w:tcBorders>
              <w:left w:val="single" w:sz="4" w:space="0" w:color="auto"/>
            </w:tcBorders>
            <w:shd w:val="clear" w:color="auto" w:fill="auto"/>
            <w:vAlign w:val="center"/>
          </w:tcPr>
          <w:p w14:paraId="5F194DC5" w14:textId="5141A1DF" w:rsidR="00373E5D" w:rsidRPr="003771DB" w:rsidRDefault="00373E5D" w:rsidP="00C65354">
            <w:pPr>
              <w:pStyle w:val="COMTableheadingrow"/>
              <w:keepLines/>
              <w:jc w:val="center"/>
              <w:rPr>
                <w:snapToGrid w:val="0"/>
                <w:lang w:val="en-AU"/>
              </w:rPr>
            </w:pPr>
            <w:r w:rsidRPr="003771DB">
              <w:rPr>
                <w:snapToGrid w:val="0"/>
                <w:lang w:val="en-AU"/>
              </w:rPr>
              <w:t>Treatment difference</w:t>
            </w:r>
            <w:r w:rsidR="00C65354" w:rsidRPr="003771DB">
              <w:rPr>
                <w:snapToGrid w:val="0"/>
                <w:lang w:val="en-AU"/>
              </w:rPr>
              <w:t xml:space="preserve"> </w:t>
            </w:r>
            <w:r w:rsidRPr="003771DB">
              <w:rPr>
                <w:snapToGrid w:val="0"/>
                <w:lang w:val="en-AU"/>
              </w:rPr>
              <w:t>(95% CI)</w:t>
            </w:r>
          </w:p>
        </w:tc>
      </w:tr>
      <w:tr w:rsidR="00373E5D" w:rsidRPr="003771DB" w14:paraId="64D1C076" w14:textId="77777777" w:rsidTr="00C65354">
        <w:trPr>
          <w:cantSplit/>
          <w:tblHeader/>
        </w:trPr>
        <w:tc>
          <w:tcPr>
            <w:tcW w:w="629" w:type="pct"/>
            <w:vMerge/>
            <w:tcBorders>
              <w:right w:val="single" w:sz="4" w:space="0" w:color="auto"/>
            </w:tcBorders>
            <w:shd w:val="clear" w:color="auto" w:fill="auto"/>
            <w:vAlign w:val="center"/>
          </w:tcPr>
          <w:p w14:paraId="13D4EB78" w14:textId="77777777" w:rsidR="00373E5D" w:rsidRPr="003771DB" w:rsidRDefault="00373E5D" w:rsidP="004906EC">
            <w:pPr>
              <w:pStyle w:val="COMTableheadingrow"/>
              <w:keepLines/>
              <w:rPr>
                <w:snapToGrid w:val="0"/>
                <w:lang w:val="en-AU"/>
              </w:rPr>
            </w:pPr>
          </w:p>
        </w:tc>
        <w:tc>
          <w:tcPr>
            <w:tcW w:w="576" w:type="pct"/>
            <w:tcBorders>
              <w:left w:val="single" w:sz="4" w:space="0" w:color="auto"/>
              <w:right w:val="single" w:sz="4" w:space="0" w:color="auto"/>
            </w:tcBorders>
            <w:shd w:val="clear" w:color="auto" w:fill="auto"/>
            <w:vAlign w:val="center"/>
          </w:tcPr>
          <w:p w14:paraId="6A5A0693" w14:textId="77777777" w:rsidR="00373E5D" w:rsidRPr="003771DB" w:rsidRDefault="00373E5D" w:rsidP="004906EC">
            <w:pPr>
              <w:pStyle w:val="COMTableheadingrow"/>
              <w:keepLines/>
              <w:jc w:val="center"/>
              <w:rPr>
                <w:snapToGrid w:val="0"/>
                <w:lang w:val="en-AU"/>
              </w:rPr>
            </w:pPr>
            <w:r w:rsidRPr="003771DB">
              <w:rPr>
                <w:snapToGrid w:val="0"/>
                <w:lang w:val="en-AU"/>
              </w:rPr>
              <w:t>Baseline</w:t>
            </w:r>
          </w:p>
        </w:tc>
        <w:tc>
          <w:tcPr>
            <w:tcW w:w="576" w:type="pct"/>
            <w:tcBorders>
              <w:left w:val="single" w:sz="4" w:space="0" w:color="auto"/>
              <w:right w:val="single" w:sz="4" w:space="0" w:color="auto"/>
            </w:tcBorders>
            <w:shd w:val="clear" w:color="auto" w:fill="auto"/>
            <w:vAlign w:val="center"/>
          </w:tcPr>
          <w:p w14:paraId="1ABB2725" w14:textId="77777777" w:rsidR="00373E5D" w:rsidRPr="003771DB" w:rsidRDefault="00373E5D" w:rsidP="004906EC">
            <w:pPr>
              <w:pStyle w:val="COMTableheadingrow"/>
              <w:keepLines/>
              <w:jc w:val="center"/>
              <w:rPr>
                <w:snapToGrid w:val="0"/>
                <w:lang w:val="en-AU"/>
              </w:rPr>
            </w:pPr>
            <w:r w:rsidRPr="003771DB">
              <w:rPr>
                <w:snapToGrid w:val="0"/>
                <w:lang w:val="en-AU"/>
              </w:rPr>
              <w:t>Week 68</w:t>
            </w:r>
          </w:p>
        </w:tc>
        <w:tc>
          <w:tcPr>
            <w:tcW w:w="576" w:type="pct"/>
            <w:tcBorders>
              <w:left w:val="single" w:sz="4" w:space="0" w:color="auto"/>
              <w:right w:val="single" w:sz="4" w:space="0" w:color="auto"/>
            </w:tcBorders>
            <w:shd w:val="clear" w:color="auto" w:fill="auto"/>
            <w:vAlign w:val="center"/>
          </w:tcPr>
          <w:p w14:paraId="18D985F1" w14:textId="77777777" w:rsidR="00373E5D" w:rsidRPr="003771DB" w:rsidRDefault="00373E5D" w:rsidP="004906EC">
            <w:pPr>
              <w:pStyle w:val="COMTableheadingrow"/>
              <w:keepLines/>
              <w:jc w:val="center"/>
              <w:rPr>
                <w:snapToGrid w:val="0"/>
                <w:lang w:val="en-AU"/>
              </w:rPr>
            </w:pPr>
            <w:r w:rsidRPr="003771DB">
              <w:rPr>
                <w:snapToGrid w:val="0"/>
                <w:lang w:val="en-AU"/>
              </w:rPr>
              <w:t>Change</w:t>
            </w:r>
          </w:p>
        </w:tc>
        <w:tc>
          <w:tcPr>
            <w:tcW w:w="576" w:type="pct"/>
            <w:tcBorders>
              <w:left w:val="single" w:sz="4" w:space="0" w:color="auto"/>
              <w:right w:val="single" w:sz="4" w:space="0" w:color="auto"/>
            </w:tcBorders>
            <w:shd w:val="clear" w:color="auto" w:fill="auto"/>
            <w:vAlign w:val="center"/>
          </w:tcPr>
          <w:p w14:paraId="6BF43DAC" w14:textId="77777777" w:rsidR="00373E5D" w:rsidRPr="003771DB" w:rsidRDefault="00373E5D" w:rsidP="004906EC">
            <w:pPr>
              <w:pStyle w:val="COMTableheadingrow"/>
              <w:keepLines/>
              <w:jc w:val="center"/>
              <w:rPr>
                <w:snapToGrid w:val="0"/>
                <w:lang w:val="en-AU"/>
              </w:rPr>
            </w:pPr>
            <w:r w:rsidRPr="003771DB">
              <w:rPr>
                <w:snapToGrid w:val="0"/>
                <w:lang w:val="en-AU"/>
              </w:rPr>
              <w:t>Baseline</w:t>
            </w:r>
          </w:p>
        </w:tc>
        <w:tc>
          <w:tcPr>
            <w:tcW w:w="576" w:type="pct"/>
            <w:tcBorders>
              <w:left w:val="single" w:sz="4" w:space="0" w:color="auto"/>
              <w:right w:val="single" w:sz="4" w:space="0" w:color="auto"/>
            </w:tcBorders>
            <w:shd w:val="clear" w:color="auto" w:fill="auto"/>
            <w:vAlign w:val="center"/>
          </w:tcPr>
          <w:p w14:paraId="13EEE87F" w14:textId="77777777" w:rsidR="00373E5D" w:rsidRPr="003771DB" w:rsidRDefault="00373E5D" w:rsidP="004906EC">
            <w:pPr>
              <w:pStyle w:val="COMTableheadingrow"/>
              <w:keepLines/>
              <w:jc w:val="center"/>
              <w:rPr>
                <w:snapToGrid w:val="0"/>
                <w:lang w:val="en-AU"/>
              </w:rPr>
            </w:pPr>
            <w:r w:rsidRPr="003771DB">
              <w:rPr>
                <w:snapToGrid w:val="0"/>
                <w:lang w:val="en-AU"/>
              </w:rPr>
              <w:t>Week 68</w:t>
            </w:r>
          </w:p>
        </w:tc>
        <w:tc>
          <w:tcPr>
            <w:tcW w:w="577" w:type="pct"/>
            <w:tcBorders>
              <w:left w:val="single" w:sz="4" w:space="0" w:color="auto"/>
            </w:tcBorders>
            <w:shd w:val="clear" w:color="auto" w:fill="auto"/>
            <w:vAlign w:val="center"/>
          </w:tcPr>
          <w:p w14:paraId="4F5A1119" w14:textId="77777777" w:rsidR="00373E5D" w:rsidRPr="003771DB" w:rsidRDefault="00373E5D" w:rsidP="004906EC">
            <w:pPr>
              <w:pStyle w:val="COMTableheadingrow"/>
              <w:keepLines/>
              <w:jc w:val="center"/>
              <w:rPr>
                <w:snapToGrid w:val="0"/>
                <w:lang w:val="en-AU"/>
              </w:rPr>
            </w:pPr>
            <w:r w:rsidRPr="003771DB">
              <w:rPr>
                <w:snapToGrid w:val="0"/>
                <w:lang w:val="en-AU"/>
              </w:rPr>
              <w:t>Change</w:t>
            </w:r>
          </w:p>
        </w:tc>
        <w:tc>
          <w:tcPr>
            <w:tcW w:w="913" w:type="pct"/>
            <w:vMerge/>
            <w:tcBorders>
              <w:left w:val="single" w:sz="4" w:space="0" w:color="auto"/>
            </w:tcBorders>
            <w:shd w:val="clear" w:color="auto" w:fill="auto"/>
            <w:vAlign w:val="center"/>
          </w:tcPr>
          <w:p w14:paraId="4D4ED86E" w14:textId="77777777" w:rsidR="00373E5D" w:rsidRPr="003771DB" w:rsidRDefault="00373E5D" w:rsidP="004906EC">
            <w:pPr>
              <w:pStyle w:val="COMTableheadingrow"/>
              <w:keepLines/>
              <w:jc w:val="center"/>
              <w:rPr>
                <w:snapToGrid w:val="0"/>
                <w:lang w:val="en-AU"/>
              </w:rPr>
            </w:pPr>
          </w:p>
        </w:tc>
      </w:tr>
      <w:tr w:rsidR="00373E5D" w:rsidRPr="003771DB" w14:paraId="437CDB4B" w14:textId="77777777" w:rsidTr="004906EC">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D15A2A" w14:textId="4521D47D" w:rsidR="00373E5D" w:rsidRPr="003771DB" w:rsidRDefault="00373E5D" w:rsidP="004906EC">
            <w:pPr>
              <w:pStyle w:val="COMTabletext"/>
              <w:keepLines/>
              <w:rPr>
                <w:b/>
                <w:snapToGrid w:val="0"/>
              </w:rPr>
            </w:pPr>
            <w:r w:rsidRPr="003771DB">
              <w:rPr>
                <w:b/>
                <w:snapToGrid w:val="0"/>
              </w:rPr>
              <w:t>ITT (N=1,961)</w:t>
            </w:r>
          </w:p>
        </w:tc>
      </w:tr>
      <w:tr w:rsidR="00373E5D" w:rsidRPr="003771DB" w14:paraId="3417B76F"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7F5A483" w14:textId="77777777"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PCS</w:t>
            </w:r>
            <w:r w:rsidRPr="003771DB">
              <w:rPr>
                <w:snapToGrid w:val="0"/>
                <w:vertAlign w:val="superscript"/>
              </w:rPr>
              <w:t>a</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15B50E62" w14:textId="77777777" w:rsidR="00373E5D" w:rsidRPr="003771DB" w:rsidRDefault="00373E5D" w:rsidP="004906EC">
            <w:pPr>
              <w:pStyle w:val="COMTabletext"/>
              <w:keepLines/>
              <w:jc w:val="center"/>
              <w:rPr>
                <w:snapToGrid w:val="0"/>
              </w:rPr>
            </w:pPr>
            <w:r w:rsidRPr="003771DB">
              <w:t>51.1 (7.3)</w:t>
            </w:r>
          </w:p>
        </w:tc>
        <w:tc>
          <w:tcPr>
            <w:tcW w:w="576" w:type="pct"/>
            <w:tcBorders>
              <w:top w:val="single" w:sz="4" w:space="0" w:color="auto"/>
              <w:left w:val="single" w:sz="4" w:space="0" w:color="auto"/>
              <w:bottom w:val="single" w:sz="4" w:space="0" w:color="auto"/>
              <w:right w:val="single" w:sz="4" w:space="0" w:color="auto"/>
            </w:tcBorders>
            <w:vAlign w:val="center"/>
          </w:tcPr>
          <w:p w14:paraId="5DF58271" w14:textId="77777777" w:rsidR="00373E5D" w:rsidRPr="003771DB" w:rsidRDefault="00373E5D" w:rsidP="004906EC">
            <w:pPr>
              <w:pStyle w:val="COMTabletext"/>
              <w:keepLines/>
              <w:jc w:val="center"/>
              <w:rPr>
                <w:snapToGrid w:val="0"/>
              </w:rPr>
            </w:pPr>
            <w:r w:rsidRPr="003771DB">
              <w:t>53.6 (7.3)</w:t>
            </w:r>
          </w:p>
        </w:tc>
        <w:tc>
          <w:tcPr>
            <w:tcW w:w="576" w:type="pct"/>
            <w:tcBorders>
              <w:top w:val="single" w:sz="4" w:space="0" w:color="auto"/>
              <w:left w:val="single" w:sz="4" w:space="0" w:color="auto"/>
              <w:bottom w:val="single" w:sz="4" w:space="0" w:color="auto"/>
              <w:right w:val="single" w:sz="4" w:space="0" w:color="auto"/>
            </w:tcBorders>
            <w:vAlign w:val="center"/>
          </w:tcPr>
          <w:p w14:paraId="2E9A15C6" w14:textId="77777777" w:rsidR="00373E5D" w:rsidRPr="003771DB" w:rsidRDefault="00373E5D" w:rsidP="004906EC">
            <w:pPr>
              <w:pStyle w:val="TableText"/>
              <w:keepLines/>
              <w:widowControl w:val="0"/>
              <w:jc w:val="center"/>
            </w:pPr>
            <w:r w:rsidRPr="003771DB">
              <w:t>2.4 (6.7)</w:t>
            </w:r>
          </w:p>
        </w:tc>
        <w:tc>
          <w:tcPr>
            <w:tcW w:w="576" w:type="pct"/>
            <w:tcBorders>
              <w:top w:val="single" w:sz="4" w:space="0" w:color="auto"/>
              <w:left w:val="single" w:sz="4" w:space="0" w:color="auto"/>
              <w:bottom w:val="single" w:sz="4" w:space="0" w:color="auto"/>
              <w:right w:val="single" w:sz="4" w:space="0" w:color="auto"/>
            </w:tcBorders>
            <w:vAlign w:val="center"/>
          </w:tcPr>
          <w:p w14:paraId="684215E8" w14:textId="77777777" w:rsidR="00373E5D" w:rsidRPr="003771DB" w:rsidRDefault="00373E5D" w:rsidP="004906EC">
            <w:pPr>
              <w:pStyle w:val="COMTabletext"/>
              <w:keepLines/>
              <w:jc w:val="center"/>
              <w:rPr>
                <w:snapToGrid w:val="0"/>
              </w:rPr>
            </w:pPr>
            <w:r w:rsidRPr="003771DB">
              <w:t>51.1 (7.9)</w:t>
            </w:r>
          </w:p>
        </w:tc>
        <w:tc>
          <w:tcPr>
            <w:tcW w:w="576" w:type="pct"/>
            <w:tcBorders>
              <w:top w:val="single" w:sz="4" w:space="0" w:color="auto"/>
              <w:left w:val="single" w:sz="4" w:space="0" w:color="auto"/>
              <w:bottom w:val="single" w:sz="4" w:space="0" w:color="auto"/>
              <w:right w:val="single" w:sz="4" w:space="0" w:color="auto"/>
            </w:tcBorders>
            <w:vAlign w:val="center"/>
          </w:tcPr>
          <w:p w14:paraId="4A4F6256" w14:textId="77777777" w:rsidR="00373E5D" w:rsidRPr="003771DB" w:rsidRDefault="00373E5D" w:rsidP="004906EC">
            <w:pPr>
              <w:pStyle w:val="COMTabletext"/>
              <w:keepLines/>
              <w:jc w:val="center"/>
              <w:rPr>
                <w:snapToGrid w:val="0"/>
              </w:rPr>
            </w:pPr>
            <w:r w:rsidRPr="003771DB">
              <w:t>51.4 (8.7)</w:t>
            </w:r>
          </w:p>
        </w:tc>
        <w:tc>
          <w:tcPr>
            <w:tcW w:w="577" w:type="pct"/>
            <w:tcBorders>
              <w:top w:val="single" w:sz="4" w:space="0" w:color="auto"/>
              <w:left w:val="single" w:sz="4" w:space="0" w:color="auto"/>
              <w:bottom w:val="single" w:sz="4" w:space="0" w:color="auto"/>
              <w:right w:val="single" w:sz="4" w:space="0" w:color="auto"/>
            </w:tcBorders>
            <w:vAlign w:val="center"/>
          </w:tcPr>
          <w:p w14:paraId="627C5D26" w14:textId="77777777" w:rsidR="00373E5D" w:rsidRPr="003771DB" w:rsidRDefault="00373E5D" w:rsidP="004906EC">
            <w:pPr>
              <w:pStyle w:val="TableText"/>
              <w:keepLines/>
              <w:widowControl w:val="0"/>
              <w:jc w:val="center"/>
            </w:pPr>
            <w:r w:rsidRPr="003771DB">
              <w:t>0.2 (7.1)</w:t>
            </w:r>
          </w:p>
        </w:tc>
        <w:tc>
          <w:tcPr>
            <w:tcW w:w="913" w:type="pct"/>
            <w:tcBorders>
              <w:top w:val="single" w:sz="4" w:space="0" w:color="auto"/>
              <w:left w:val="single" w:sz="4" w:space="0" w:color="auto"/>
              <w:bottom w:val="single" w:sz="4" w:space="0" w:color="auto"/>
              <w:right w:val="single" w:sz="4" w:space="0" w:color="auto"/>
            </w:tcBorders>
            <w:vAlign w:val="center"/>
          </w:tcPr>
          <w:p w14:paraId="3BB1EE82" w14:textId="3058F24E" w:rsidR="00373E5D" w:rsidRPr="003771DB" w:rsidRDefault="00373E5D" w:rsidP="004906EC">
            <w:pPr>
              <w:pStyle w:val="TableText"/>
              <w:keepLines/>
              <w:widowControl w:val="0"/>
              <w:jc w:val="center"/>
              <w:rPr>
                <w:b/>
                <w:bCs w:val="0"/>
                <w:snapToGrid w:val="0"/>
              </w:rPr>
            </w:pPr>
            <w:r w:rsidRPr="003771DB">
              <w:rPr>
                <w:b/>
                <w:bCs w:val="0"/>
              </w:rPr>
              <w:t>1.96 (1.31, 2.61)</w:t>
            </w:r>
          </w:p>
        </w:tc>
      </w:tr>
      <w:tr w:rsidR="00373E5D" w:rsidRPr="003771DB" w14:paraId="6AB1A033"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CE4FEBC" w14:textId="77777777"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MCS</w:t>
            </w:r>
            <w:r w:rsidRPr="003771DB">
              <w:rPr>
                <w:snapToGrid w:val="0"/>
                <w:vertAlign w:val="superscript"/>
              </w:rPr>
              <w:t>b</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480D2ADE" w14:textId="77777777" w:rsidR="00373E5D" w:rsidRPr="003771DB" w:rsidRDefault="00373E5D" w:rsidP="004906EC">
            <w:pPr>
              <w:pStyle w:val="COMTabletext"/>
              <w:keepLines/>
              <w:jc w:val="center"/>
              <w:rPr>
                <w:snapToGrid w:val="0"/>
              </w:rPr>
            </w:pPr>
            <w:r w:rsidRPr="003771DB">
              <w:t>55.4 (5.7)</w:t>
            </w:r>
          </w:p>
        </w:tc>
        <w:tc>
          <w:tcPr>
            <w:tcW w:w="576" w:type="pct"/>
            <w:tcBorders>
              <w:top w:val="single" w:sz="4" w:space="0" w:color="auto"/>
              <w:left w:val="single" w:sz="4" w:space="0" w:color="auto"/>
              <w:bottom w:val="single" w:sz="4" w:space="0" w:color="auto"/>
              <w:right w:val="single" w:sz="4" w:space="0" w:color="auto"/>
            </w:tcBorders>
            <w:vAlign w:val="center"/>
          </w:tcPr>
          <w:p w14:paraId="3C3265CF" w14:textId="77777777" w:rsidR="00373E5D" w:rsidRPr="003771DB" w:rsidRDefault="00373E5D" w:rsidP="004906EC">
            <w:pPr>
              <w:pStyle w:val="COMTabletext"/>
              <w:keepLines/>
              <w:jc w:val="center"/>
              <w:rPr>
                <w:snapToGrid w:val="0"/>
              </w:rPr>
            </w:pPr>
            <w:r w:rsidRPr="003771DB">
              <w:t>54.0 (7.2)</w:t>
            </w:r>
          </w:p>
        </w:tc>
        <w:tc>
          <w:tcPr>
            <w:tcW w:w="576" w:type="pct"/>
            <w:tcBorders>
              <w:top w:val="single" w:sz="4" w:space="0" w:color="auto"/>
              <w:left w:val="single" w:sz="4" w:space="0" w:color="auto"/>
              <w:bottom w:val="single" w:sz="4" w:space="0" w:color="auto"/>
              <w:right w:val="single" w:sz="4" w:space="0" w:color="auto"/>
            </w:tcBorders>
            <w:vAlign w:val="center"/>
          </w:tcPr>
          <w:p w14:paraId="747883E6" w14:textId="77777777" w:rsidR="00373E5D" w:rsidRPr="003771DB" w:rsidRDefault="00373E5D" w:rsidP="004906EC">
            <w:pPr>
              <w:pStyle w:val="TableText"/>
              <w:keepLines/>
              <w:widowControl w:val="0"/>
              <w:jc w:val="center"/>
            </w:pPr>
            <w:r w:rsidRPr="003771DB">
              <w:t>-1.5 (7.1)</w:t>
            </w:r>
          </w:p>
        </w:tc>
        <w:tc>
          <w:tcPr>
            <w:tcW w:w="576" w:type="pct"/>
            <w:tcBorders>
              <w:top w:val="single" w:sz="4" w:space="0" w:color="auto"/>
              <w:left w:val="single" w:sz="4" w:space="0" w:color="auto"/>
              <w:bottom w:val="single" w:sz="4" w:space="0" w:color="auto"/>
              <w:right w:val="single" w:sz="4" w:space="0" w:color="auto"/>
            </w:tcBorders>
            <w:vAlign w:val="center"/>
          </w:tcPr>
          <w:p w14:paraId="4E68F641" w14:textId="77777777" w:rsidR="00373E5D" w:rsidRPr="003771DB" w:rsidRDefault="00373E5D" w:rsidP="004906EC">
            <w:pPr>
              <w:pStyle w:val="COMTabletext"/>
              <w:keepLines/>
              <w:jc w:val="center"/>
              <w:rPr>
                <w:snapToGrid w:val="0"/>
              </w:rPr>
            </w:pPr>
            <w:r w:rsidRPr="003771DB">
              <w:t>55.5 (5.9)</w:t>
            </w:r>
          </w:p>
        </w:tc>
        <w:tc>
          <w:tcPr>
            <w:tcW w:w="576" w:type="pct"/>
            <w:tcBorders>
              <w:top w:val="single" w:sz="4" w:space="0" w:color="auto"/>
              <w:left w:val="single" w:sz="4" w:space="0" w:color="auto"/>
              <w:bottom w:val="single" w:sz="4" w:space="0" w:color="auto"/>
              <w:right w:val="single" w:sz="4" w:space="0" w:color="auto"/>
            </w:tcBorders>
            <w:vAlign w:val="center"/>
          </w:tcPr>
          <w:p w14:paraId="2BBC0471" w14:textId="77777777" w:rsidR="00373E5D" w:rsidRPr="003771DB" w:rsidRDefault="00373E5D" w:rsidP="004906EC">
            <w:pPr>
              <w:pStyle w:val="COMTabletext"/>
              <w:keepLines/>
              <w:jc w:val="center"/>
              <w:rPr>
                <w:snapToGrid w:val="0"/>
              </w:rPr>
            </w:pPr>
            <w:r w:rsidRPr="003771DB">
              <w:t>53.4 (7.9)</w:t>
            </w:r>
          </w:p>
        </w:tc>
        <w:tc>
          <w:tcPr>
            <w:tcW w:w="577" w:type="pct"/>
            <w:tcBorders>
              <w:top w:val="single" w:sz="4" w:space="0" w:color="auto"/>
              <w:left w:val="single" w:sz="4" w:space="0" w:color="auto"/>
              <w:bottom w:val="single" w:sz="4" w:space="0" w:color="auto"/>
              <w:right w:val="single" w:sz="4" w:space="0" w:color="auto"/>
            </w:tcBorders>
            <w:vAlign w:val="center"/>
          </w:tcPr>
          <w:p w14:paraId="67031AF2" w14:textId="77777777" w:rsidR="00373E5D" w:rsidRPr="003771DB" w:rsidRDefault="00373E5D" w:rsidP="004906EC">
            <w:pPr>
              <w:pStyle w:val="TableText"/>
              <w:keepLines/>
              <w:widowControl w:val="0"/>
              <w:jc w:val="center"/>
            </w:pPr>
            <w:r w:rsidRPr="003771DB">
              <w:t>-2.1 (7.7)</w:t>
            </w:r>
          </w:p>
        </w:tc>
        <w:tc>
          <w:tcPr>
            <w:tcW w:w="913" w:type="pct"/>
            <w:tcBorders>
              <w:top w:val="single" w:sz="4" w:space="0" w:color="auto"/>
              <w:left w:val="single" w:sz="4" w:space="0" w:color="auto"/>
              <w:bottom w:val="single" w:sz="4" w:space="0" w:color="auto"/>
              <w:right w:val="single" w:sz="4" w:space="0" w:color="auto"/>
            </w:tcBorders>
            <w:vAlign w:val="center"/>
          </w:tcPr>
          <w:p w14:paraId="5AD64F6B" w14:textId="0A2BC0C3" w:rsidR="00373E5D" w:rsidRPr="003771DB" w:rsidRDefault="00373E5D" w:rsidP="004906EC">
            <w:pPr>
              <w:pStyle w:val="TableText"/>
              <w:keepLines/>
              <w:widowControl w:val="0"/>
              <w:jc w:val="center"/>
              <w:rPr>
                <w:b/>
                <w:bCs w:val="0"/>
                <w:snapToGrid w:val="0"/>
              </w:rPr>
            </w:pPr>
            <w:r w:rsidRPr="003771DB">
              <w:rPr>
                <w:b/>
                <w:bCs w:val="0"/>
              </w:rPr>
              <w:t>0.92 (0.10, 1.73)</w:t>
            </w:r>
          </w:p>
        </w:tc>
      </w:tr>
      <w:tr w:rsidR="00373E5D" w:rsidRPr="003771DB" w14:paraId="287111BB" w14:textId="77777777" w:rsidTr="004906EC">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BC074D" w14:textId="14678AEA" w:rsidR="00373E5D" w:rsidRPr="003771DB" w:rsidRDefault="00373E5D" w:rsidP="004906EC">
            <w:pPr>
              <w:pStyle w:val="TableText"/>
              <w:keepLines/>
              <w:widowControl w:val="0"/>
            </w:pPr>
            <w:r w:rsidRPr="003771DB">
              <w:rPr>
                <w:b/>
                <w:bCs w:val="0"/>
                <w:snapToGrid w:val="0"/>
              </w:rPr>
              <w:t xml:space="preserve">BMI </w:t>
            </w:r>
            <w:r w:rsidR="003E2839" w:rsidRPr="003771DB">
              <w:rPr>
                <w:b/>
                <w:bCs w:val="0"/>
                <w:snapToGrid w:val="0"/>
              </w:rPr>
              <w:t>≥</w:t>
            </w:r>
            <w:r w:rsidRPr="003771DB">
              <w:rPr>
                <w:b/>
                <w:bCs w:val="0"/>
                <w:snapToGrid w:val="0"/>
              </w:rPr>
              <w:t>35 kg/m</w:t>
            </w:r>
            <w:r w:rsidRPr="003771DB">
              <w:rPr>
                <w:b/>
                <w:bCs w:val="0"/>
                <w:snapToGrid w:val="0"/>
                <w:vertAlign w:val="superscript"/>
              </w:rPr>
              <w:t>2</w:t>
            </w:r>
            <w:r w:rsidRPr="003771DB">
              <w:rPr>
                <w:b/>
                <w:bCs w:val="0"/>
                <w:snapToGrid w:val="0"/>
              </w:rPr>
              <w:t xml:space="preserve"> and </w:t>
            </w:r>
            <w:r w:rsidR="003E2839" w:rsidRPr="003771DB">
              <w:rPr>
                <w:b/>
                <w:bCs w:val="0"/>
                <w:snapToGrid w:val="0"/>
              </w:rPr>
              <w:t>≥</w:t>
            </w:r>
            <w:r w:rsidRPr="003771DB">
              <w:rPr>
                <w:b/>
                <w:bCs w:val="0"/>
                <w:snapToGrid w:val="0"/>
              </w:rPr>
              <w:t>2 weight-related comorbidities with OSA or KOA (N=273; 13.9% of trial population)</w:t>
            </w:r>
          </w:p>
        </w:tc>
      </w:tr>
      <w:tr w:rsidR="00373E5D" w:rsidRPr="003771DB" w14:paraId="2B6B63CE"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78602F7" w14:textId="4D768103"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PCS</w:t>
            </w:r>
            <w:r w:rsidRPr="003771DB">
              <w:rPr>
                <w:snapToGrid w:val="0"/>
                <w:vertAlign w:val="superscript"/>
              </w:rPr>
              <w:t>a</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3B2C763A" w14:textId="56402CA0" w:rsidR="00373E5D" w:rsidRPr="003771DB" w:rsidRDefault="00373E5D" w:rsidP="004906EC">
            <w:pPr>
              <w:pStyle w:val="COMTabletext"/>
              <w:keepLines/>
              <w:jc w:val="center"/>
            </w:pPr>
            <w:r w:rsidRPr="003771DB">
              <w:rPr>
                <w:snapToGrid w:val="0"/>
              </w:rPr>
              <w:t>46.5 (8.0)</w:t>
            </w:r>
          </w:p>
        </w:tc>
        <w:tc>
          <w:tcPr>
            <w:tcW w:w="576" w:type="pct"/>
            <w:tcBorders>
              <w:top w:val="single" w:sz="4" w:space="0" w:color="auto"/>
              <w:left w:val="single" w:sz="4" w:space="0" w:color="auto"/>
              <w:bottom w:val="single" w:sz="4" w:space="0" w:color="auto"/>
              <w:right w:val="single" w:sz="4" w:space="0" w:color="auto"/>
            </w:tcBorders>
            <w:vAlign w:val="center"/>
          </w:tcPr>
          <w:p w14:paraId="33C06743" w14:textId="76FCDC79" w:rsidR="00373E5D" w:rsidRPr="003771DB" w:rsidRDefault="00373E5D" w:rsidP="004906EC">
            <w:pPr>
              <w:pStyle w:val="COMTabletext"/>
              <w:keepLines/>
              <w:jc w:val="center"/>
            </w:pPr>
            <w:r w:rsidRPr="003771DB">
              <w:rPr>
                <w:snapToGrid w:val="0"/>
              </w:rPr>
              <w:t>49.6 (8.6)</w:t>
            </w:r>
          </w:p>
        </w:tc>
        <w:tc>
          <w:tcPr>
            <w:tcW w:w="576" w:type="pct"/>
            <w:tcBorders>
              <w:top w:val="single" w:sz="4" w:space="0" w:color="auto"/>
              <w:left w:val="single" w:sz="4" w:space="0" w:color="auto"/>
              <w:bottom w:val="single" w:sz="4" w:space="0" w:color="auto"/>
              <w:right w:val="single" w:sz="4" w:space="0" w:color="auto"/>
            </w:tcBorders>
            <w:vAlign w:val="center"/>
          </w:tcPr>
          <w:p w14:paraId="77464729" w14:textId="5DA312CE" w:rsidR="00373E5D" w:rsidRPr="003771DB" w:rsidRDefault="00373E5D" w:rsidP="004906EC">
            <w:pPr>
              <w:pStyle w:val="TableText"/>
              <w:keepLines/>
              <w:widowControl w:val="0"/>
              <w:jc w:val="center"/>
            </w:pPr>
            <w:r w:rsidRPr="003771DB">
              <w:rPr>
                <w:snapToGrid w:val="0"/>
              </w:rPr>
              <w:t>2.9 (7.6)</w:t>
            </w:r>
          </w:p>
        </w:tc>
        <w:tc>
          <w:tcPr>
            <w:tcW w:w="576" w:type="pct"/>
            <w:tcBorders>
              <w:top w:val="single" w:sz="4" w:space="0" w:color="auto"/>
              <w:left w:val="single" w:sz="4" w:space="0" w:color="auto"/>
              <w:bottom w:val="single" w:sz="4" w:space="0" w:color="auto"/>
              <w:right w:val="single" w:sz="4" w:space="0" w:color="auto"/>
            </w:tcBorders>
            <w:vAlign w:val="center"/>
          </w:tcPr>
          <w:p w14:paraId="5E24D738" w14:textId="5415449F" w:rsidR="00373E5D" w:rsidRPr="003771DB" w:rsidRDefault="00373E5D" w:rsidP="004906EC">
            <w:pPr>
              <w:pStyle w:val="COMTabletext"/>
              <w:keepLines/>
              <w:jc w:val="center"/>
            </w:pPr>
            <w:r w:rsidRPr="003771DB">
              <w:rPr>
                <w:snapToGrid w:val="0"/>
              </w:rPr>
              <w:t>45.7 (8.4)</w:t>
            </w:r>
          </w:p>
        </w:tc>
        <w:tc>
          <w:tcPr>
            <w:tcW w:w="576" w:type="pct"/>
            <w:tcBorders>
              <w:top w:val="single" w:sz="4" w:space="0" w:color="auto"/>
              <w:left w:val="single" w:sz="4" w:space="0" w:color="auto"/>
              <w:bottom w:val="single" w:sz="4" w:space="0" w:color="auto"/>
              <w:right w:val="single" w:sz="4" w:space="0" w:color="auto"/>
            </w:tcBorders>
            <w:vAlign w:val="center"/>
          </w:tcPr>
          <w:p w14:paraId="46616BC4" w14:textId="4EF67528" w:rsidR="00373E5D" w:rsidRPr="003771DB" w:rsidRDefault="00373E5D" w:rsidP="004906EC">
            <w:pPr>
              <w:pStyle w:val="COMTabletext"/>
              <w:keepLines/>
              <w:jc w:val="center"/>
            </w:pPr>
            <w:r w:rsidRPr="003771DB">
              <w:rPr>
                <w:snapToGrid w:val="0"/>
              </w:rPr>
              <w:t>45.0 (9.8)</w:t>
            </w:r>
          </w:p>
        </w:tc>
        <w:tc>
          <w:tcPr>
            <w:tcW w:w="577" w:type="pct"/>
            <w:tcBorders>
              <w:top w:val="single" w:sz="4" w:space="0" w:color="auto"/>
              <w:left w:val="single" w:sz="4" w:space="0" w:color="auto"/>
              <w:bottom w:val="single" w:sz="4" w:space="0" w:color="auto"/>
              <w:right w:val="single" w:sz="4" w:space="0" w:color="auto"/>
            </w:tcBorders>
            <w:vAlign w:val="center"/>
          </w:tcPr>
          <w:p w14:paraId="227011AD" w14:textId="5FF960DD" w:rsidR="00373E5D" w:rsidRPr="003771DB" w:rsidRDefault="00373E5D" w:rsidP="004906EC">
            <w:pPr>
              <w:pStyle w:val="TableText"/>
              <w:keepLines/>
              <w:widowControl w:val="0"/>
              <w:jc w:val="center"/>
            </w:pPr>
            <w:r w:rsidRPr="003771DB">
              <w:rPr>
                <w:snapToGrid w:val="0"/>
              </w:rPr>
              <w:t>-0.5 (7.6)</w:t>
            </w:r>
          </w:p>
        </w:tc>
        <w:tc>
          <w:tcPr>
            <w:tcW w:w="913" w:type="pct"/>
            <w:tcBorders>
              <w:top w:val="single" w:sz="4" w:space="0" w:color="auto"/>
              <w:left w:val="single" w:sz="4" w:space="0" w:color="auto"/>
              <w:bottom w:val="single" w:sz="4" w:space="0" w:color="auto"/>
              <w:right w:val="single" w:sz="4" w:space="0" w:color="auto"/>
            </w:tcBorders>
            <w:vAlign w:val="center"/>
          </w:tcPr>
          <w:p w14:paraId="4062DAA9" w14:textId="42C8B23E" w:rsidR="00373E5D" w:rsidRPr="003771DB" w:rsidRDefault="00373E5D" w:rsidP="004906EC">
            <w:pPr>
              <w:pStyle w:val="COMTabletext"/>
              <w:keepLines/>
              <w:jc w:val="center"/>
              <w:rPr>
                <w:b/>
                <w:bCs w:val="0"/>
              </w:rPr>
            </w:pPr>
            <w:r w:rsidRPr="003771DB">
              <w:rPr>
                <w:b/>
                <w:bCs w:val="0"/>
                <w:snapToGrid w:val="0"/>
              </w:rPr>
              <w:t>3.30 (1.43, 5.16)</w:t>
            </w:r>
          </w:p>
        </w:tc>
      </w:tr>
      <w:tr w:rsidR="00373E5D" w:rsidRPr="003771DB" w14:paraId="1A97B611"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2DA98FB" w14:textId="6AFA86CE"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MCS</w:t>
            </w:r>
            <w:r w:rsidRPr="003771DB">
              <w:rPr>
                <w:snapToGrid w:val="0"/>
                <w:vertAlign w:val="superscript"/>
              </w:rPr>
              <w:t>b</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572BAAC0" w14:textId="28127F07" w:rsidR="00373E5D" w:rsidRPr="003771DB" w:rsidRDefault="00373E5D" w:rsidP="004906EC">
            <w:pPr>
              <w:pStyle w:val="COMTabletext"/>
              <w:keepLines/>
              <w:jc w:val="center"/>
            </w:pPr>
            <w:r w:rsidRPr="003771DB">
              <w:rPr>
                <w:snapToGrid w:val="0"/>
              </w:rPr>
              <w:t>56.8 (5.4)</w:t>
            </w:r>
          </w:p>
        </w:tc>
        <w:tc>
          <w:tcPr>
            <w:tcW w:w="576" w:type="pct"/>
            <w:tcBorders>
              <w:top w:val="single" w:sz="4" w:space="0" w:color="auto"/>
              <w:left w:val="single" w:sz="4" w:space="0" w:color="auto"/>
              <w:bottom w:val="single" w:sz="4" w:space="0" w:color="auto"/>
              <w:right w:val="single" w:sz="4" w:space="0" w:color="auto"/>
            </w:tcBorders>
            <w:vAlign w:val="center"/>
          </w:tcPr>
          <w:p w14:paraId="41427239" w14:textId="68A0027D" w:rsidR="00373E5D" w:rsidRPr="003771DB" w:rsidRDefault="00373E5D" w:rsidP="004906EC">
            <w:pPr>
              <w:pStyle w:val="COMTabletext"/>
              <w:keepLines/>
              <w:jc w:val="center"/>
            </w:pPr>
            <w:r w:rsidRPr="003771DB">
              <w:rPr>
                <w:snapToGrid w:val="0"/>
              </w:rPr>
              <w:t>54.9 (7.2)</w:t>
            </w:r>
          </w:p>
        </w:tc>
        <w:tc>
          <w:tcPr>
            <w:tcW w:w="576" w:type="pct"/>
            <w:tcBorders>
              <w:top w:val="single" w:sz="4" w:space="0" w:color="auto"/>
              <w:left w:val="single" w:sz="4" w:space="0" w:color="auto"/>
              <w:bottom w:val="single" w:sz="4" w:space="0" w:color="auto"/>
              <w:right w:val="single" w:sz="4" w:space="0" w:color="auto"/>
            </w:tcBorders>
            <w:vAlign w:val="center"/>
          </w:tcPr>
          <w:p w14:paraId="2D24D2D2" w14:textId="5D8C522B" w:rsidR="00373E5D" w:rsidRPr="003771DB" w:rsidRDefault="00373E5D" w:rsidP="004906EC">
            <w:pPr>
              <w:pStyle w:val="TableText"/>
              <w:keepLines/>
              <w:widowControl w:val="0"/>
              <w:jc w:val="center"/>
            </w:pPr>
            <w:r w:rsidRPr="003771DB">
              <w:rPr>
                <w:snapToGrid w:val="0"/>
              </w:rPr>
              <w:t>-1.7 (5.9)</w:t>
            </w:r>
          </w:p>
        </w:tc>
        <w:tc>
          <w:tcPr>
            <w:tcW w:w="576" w:type="pct"/>
            <w:tcBorders>
              <w:top w:val="single" w:sz="4" w:space="0" w:color="auto"/>
              <w:left w:val="single" w:sz="4" w:space="0" w:color="auto"/>
              <w:bottom w:val="single" w:sz="4" w:space="0" w:color="auto"/>
              <w:right w:val="single" w:sz="4" w:space="0" w:color="auto"/>
            </w:tcBorders>
            <w:vAlign w:val="center"/>
          </w:tcPr>
          <w:p w14:paraId="78B87B28" w14:textId="6B3936E0" w:rsidR="00373E5D" w:rsidRPr="003771DB" w:rsidRDefault="00373E5D" w:rsidP="004906EC">
            <w:pPr>
              <w:pStyle w:val="COMTabletext"/>
              <w:keepLines/>
              <w:jc w:val="center"/>
            </w:pPr>
            <w:r w:rsidRPr="003771DB">
              <w:rPr>
                <w:snapToGrid w:val="0"/>
              </w:rPr>
              <w:t>57.1 (5.6)</w:t>
            </w:r>
          </w:p>
        </w:tc>
        <w:tc>
          <w:tcPr>
            <w:tcW w:w="576" w:type="pct"/>
            <w:tcBorders>
              <w:top w:val="single" w:sz="4" w:space="0" w:color="auto"/>
              <w:left w:val="single" w:sz="4" w:space="0" w:color="auto"/>
              <w:bottom w:val="single" w:sz="4" w:space="0" w:color="auto"/>
              <w:right w:val="single" w:sz="4" w:space="0" w:color="auto"/>
            </w:tcBorders>
            <w:vAlign w:val="center"/>
          </w:tcPr>
          <w:p w14:paraId="5859A890" w14:textId="0CFB27DD" w:rsidR="00373E5D" w:rsidRPr="003771DB" w:rsidRDefault="00373E5D" w:rsidP="004906EC">
            <w:pPr>
              <w:pStyle w:val="COMTabletext"/>
              <w:keepLines/>
              <w:jc w:val="center"/>
            </w:pPr>
            <w:r w:rsidRPr="003771DB">
              <w:rPr>
                <w:snapToGrid w:val="0"/>
              </w:rPr>
              <w:t>54.2 (8.6)</w:t>
            </w:r>
          </w:p>
        </w:tc>
        <w:tc>
          <w:tcPr>
            <w:tcW w:w="577" w:type="pct"/>
            <w:tcBorders>
              <w:top w:val="single" w:sz="4" w:space="0" w:color="auto"/>
              <w:left w:val="single" w:sz="4" w:space="0" w:color="auto"/>
              <w:bottom w:val="single" w:sz="4" w:space="0" w:color="auto"/>
              <w:right w:val="single" w:sz="4" w:space="0" w:color="auto"/>
            </w:tcBorders>
            <w:vAlign w:val="center"/>
          </w:tcPr>
          <w:p w14:paraId="02A4800C" w14:textId="1A34FFC3" w:rsidR="00373E5D" w:rsidRPr="003771DB" w:rsidRDefault="00373E5D" w:rsidP="004906EC">
            <w:pPr>
              <w:pStyle w:val="TableText"/>
              <w:keepLines/>
              <w:widowControl w:val="0"/>
              <w:jc w:val="center"/>
            </w:pPr>
            <w:r w:rsidRPr="003771DB">
              <w:rPr>
                <w:snapToGrid w:val="0"/>
              </w:rPr>
              <w:t>-2.1 (6.4)</w:t>
            </w:r>
          </w:p>
        </w:tc>
        <w:tc>
          <w:tcPr>
            <w:tcW w:w="913" w:type="pct"/>
            <w:tcBorders>
              <w:top w:val="single" w:sz="4" w:space="0" w:color="auto"/>
              <w:left w:val="single" w:sz="4" w:space="0" w:color="auto"/>
              <w:bottom w:val="single" w:sz="4" w:space="0" w:color="auto"/>
              <w:right w:val="single" w:sz="4" w:space="0" w:color="auto"/>
            </w:tcBorders>
            <w:vAlign w:val="center"/>
          </w:tcPr>
          <w:p w14:paraId="7BD0F6C4" w14:textId="7F6097AB" w:rsidR="00373E5D" w:rsidRPr="003771DB" w:rsidRDefault="00373E5D" w:rsidP="004906EC">
            <w:pPr>
              <w:pStyle w:val="COMTabletext"/>
              <w:keepLines/>
              <w:jc w:val="center"/>
            </w:pPr>
            <w:r w:rsidRPr="003771DB">
              <w:rPr>
                <w:snapToGrid w:val="0"/>
              </w:rPr>
              <w:t>0.93 (-1.02, 2.88)</w:t>
            </w:r>
          </w:p>
        </w:tc>
      </w:tr>
      <w:tr w:rsidR="00373E5D" w:rsidRPr="003771DB" w14:paraId="13D8F445" w14:textId="77777777" w:rsidTr="004906EC">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2BD50FD" w14:textId="7FE147A7" w:rsidR="00373E5D" w:rsidRPr="003771DB" w:rsidRDefault="00373E5D" w:rsidP="004906EC">
            <w:pPr>
              <w:pStyle w:val="TableText"/>
              <w:keepLines/>
              <w:widowControl w:val="0"/>
            </w:pPr>
            <w:r w:rsidRPr="003771DB">
              <w:rPr>
                <w:b/>
                <w:bCs w:val="0"/>
                <w:snapToGrid w:val="0"/>
              </w:rPr>
              <w:t xml:space="preserve">BMI </w:t>
            </w:r>
            <w:r w:rsidR="003E2839" w:rsidRPr="003771DB">
              <w:rPr>
                <w:b/>
                <w:bCs w:val="0"/>
                <w:snapToGrid w:val="0"/>
              </w:rPr>
              <w:t>≥</w:t>
            </w:r>
            <w:r w:rsidRPr="003771DB">
              <w:rPr>
                <w:b/>
                <w:bCs w:val="0"/>
                <w:snapToGrid w:val="0"/>
              </w:rPr>
              <w:t>40 kg/m</w:t>
            </w:r>
            <w:r w:rsidRPr="003771DB">
              <w:rPr>
                <w:b/>
                <w:bCs w:val="0"/>
                <w:snapToGrid w:val="0"/>
                <w:vertAlign w:val="superscript"/>
              </w:rPr>
              <w:t>2</w:t>
            </w:r>
            <w:r w:rsidRPr="003771DB">
              <w:rPr>
                <w:b/>
                <w:bCs w:val="0"/>
                <w:snapToGrid w:val="0"/>
              </w:rPr>
              <w:t xml:space="preserve"> and </w:t>
            </w:r>
            <w:r w:rsidR="003E2839" w:rsidRPr="003771DB">
              <w:rPr>
                <w:b/>
                <w:bCs w:val="0"/>
                <w:snapToGrid w:val="0"/>
              </w:rPr>
              <w:t>≥</w:t>
            </w:r>
            <w:r w:rsidRPr="003771DB">
              <w:rPr>
                <w:b/>
                <w:bCs w:val="0"/>
                <w:snapToGrid w:val="0"/>
              </w:rPr>
              <w:t>1 weight-related comorbidity with OSA or KOA (N=167; 8.5% of trial population)</w:t>
            </w:r>
          </w:p>
        </w:tc>
      </w:tr>
      <w:tr w:rsidR="00373E5D" w:rsidRPr="003771DB" w14:paraId="6FAC2BF4"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09E1F80" w14:textId="5059F683"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PCS</w:t>
            </w:r>
            <w:r w:rsidRPr="003771DB">
              <w:rPr>
                <w:snapToGrid w:val="0"/>
                <w:vertAlign w:val="superscript"/>
              </w:rPr>
              <w:t>a</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1D2B1D09" w14:textId="2652D649" w:rsidR="00373E5D" w:rsidRPr="003771DB" w:rsidRDefault="00373E5D" w:rsidP="004906EC">
            <w:pPr>
              <w:pStyle w:val="COMTabletext"/>
              <w:keepLines/>
              <w:jc w:val="center"/>
            </w:pPr>
            <w:r w:rsidRPr="003771DB">
              <w:rPr>
                <w:snapToGrid w:val="0"/>
              </w:rPr>
              <w:t>44.7 (8.2)</w:t>
            </w:r>
          </w:p>
        </w:tc>
        <w:tc>
          <w:tcPr>
            <w:tcW w:w="576" w:type="pct"/>
            <w:tcBorders>
              <w:top w:val="single" w:sz="4" w:space="0" w:color="auto"/>
              <w:left w:val="single" w:sz="4" w:space="0" w:color="auto"/>
              <w:bottom w:val="single" w:sz="4" w:space="0" w:color="auto"/>
              <w:right w:val="single" w:sz="4" w:space="0" w:color="auto"/>
            </w:tcBorders>
            <w:vAlign w:val="center"/>
          </w:tcPr>
          <w:p w14:paraId="1A05AA34" w14:textId="52F36810" w:rsidR="00373E5D" w:rsidRPr="003771DB" w:rsidRDefault="00373E5D" w:rsidP="004906EC">
            <w:pPr>
              <w:pStyle w:val="COMTabletext"/>
              <w:keepLines/>
              <w:jc w:val="center"/>
            </w:pPr>
            <w:r w:rsidRPr="003771DB">
              <w:rPr>
                <w:snapToGrid w:val="0"/>
              </w:rPr>
              <w:t>49.2 (8.6)</w:t>
            </w:r>
          </w:p>
        </w:tc>
        <w:tc>
          <w:tcPr>
            <w:tcW w:w="576" w:type="pct"/>
            <w:tcBorders>
              <w:top w:val="single" w:sz="4" w:space="0" w:color="auto"/>
              <w:left w:val="single" w:sz="4" w:space="0" w:color="auto"/>
              <w:bottom w:val="single" w:sz="4" w:space="0" w:color="auto"/>
              <w:right w:val="single" w:sz="4" w:space="0" w:color="auto"/>
            </w:tcBorders>
            <w:vAlign w:val="center"/>
          </w:tcPr>
          <w:p w14:paraId="665F4EC0" w14:textId="5EEC1AD5" w:rsidR="00373E5D" w:rsidRPr="003771DB" w:rsidRDefault="00373E5D" w:rsidP="004906EC">
            <w:pPr>
              <w:pStyle w:val="TableText"/>
              <w:keepLines/>
              <w:widowControl w:val="0"/>
              <w:jc w:val="center"/>
            </w:pPr>
            <w:r w:rsidRPr="003771DB">
              <w:rPr>
                <w:snapToGrid w:val="0"/>
              </w:rPr>
              <w:t>4.4 (8.2)</w:t>
            </w:r>
          </w:p>
        </w:tc>
        <w:tc>
          <w:tcPr>
            <w:tcW w:w="576" w:type="pct"/>
            <w:tcBorders>
              <w:top w:val="single" w:sz="4" w:space="0" w:color="auto"/>
              <w:left w:val="single" w:sz="4" w:space="0" w:color="auto"/>
              <w:bottom w:val="single" w:sz="4" w:space="0" w:color="auto"/>
              <w:right w:val="single" w:sz="4" w:space="0" w:color="auto"/>
            </w:tcBorders>
            <w:vAlign w:val="center"/>
          </w:tcPr>
          <w:p w14:paraId="715D0EFD" w14:textId="22CE423C" w:rsidR="00373E5D" w:rsidRPr="003771DB" w:rsidRDefault="00373E5D" w:rsidP="004906EC">
            <w:pPr>
              <w:pStyle w:val="COMTabletext"/>
              <w:keepLines/>
              <w:jc w:val="center"/>
            </w:pPr>
            <w:r w:rsidRPr="003771DB">
              <w:rPr>
                <w:snapToGrid w:val="0"/>
              </w:rPr>
              <w:t>43.7 (8.7)</w:t>
            </w:r>
          </w:p>
        </w:tc>
        <w:tc>
          <w:tcPr>
            <w:tcW w:w="576" w:type="pct"/>
            <w:tcBorders>
              <w:top w:val="single" w:sz="4" w:space="0" w:color="auto"/>
              <w:left w:val="single" w:sz="4" w:space="0" w:color="auto"/>
              <w:bottom w:val="single" w:sz="4" w:space="0" w:color="auto"/>
              <w:right w:val="single" w:sz="4" w:space="0" w:color="auto"/>
            </w:tcBorders>
            <w:vAlign w:val="center"/>
          </w:tcPr>
          <w:p w14:paraId="1A14E7B0" w14:textId="5DCFBE01" w:rsidR="00373E5D" w:rsidRPr="003771DB" w:rsidRDefault="00373E5D" w:rsidP="004906EC">
            <w:pPr>
              <w:pStyle w:val="COMTabletext"/>
              <w:keepLines/>
              <w:jc w:val="center"/>
            </w:pPr>
            <w:r w:rsidRPr="003771DB">
              <w:rPr>
                <w:snapToGrid w:val="0"/>
              </w:rPr>
              <w:t>43.3 (10.5)</w:t>
            </w:r>
          </w:p>
        </w:tc>
        <w:tc>
          <w:tcPr>
            <w:tcW w:w="577" w:type="pct"/>
            <w:tcBorders>
              <w:top w:val="single" w:sz="4" w:space="0" w:color="auto"/>
              <w:left w:val="single" w:sz="4" w:space="0" w:color="auto"/>
              <w:bottom w:val="single" w:sz="4" w:space="0" w:color="auto"/>
              <w:right w:val="single" w:sz="4" w:space="0" w:color="auto"/>
            </w:tcBorders>
            <w:vAlign w:val="center"/>
          </w:tcPr>
          <w:p w14:paraId="2F091472" w14:textId="05B90DC6" w:rsidR="00373E5D" w:rsidRPr="003771DB" w:rsidRDefault="00373E5D" w:rsidP="004906EC">
            <w:pPr>
              <w:pStyle w:val="TableText"/>
              <w:keepLines/>
              <w:widowControl w:val="0"/>
              <w:jc w:val="center"/>
            </w:pPr>
            <w:r w:rsidRPr="003771DB">
              <w:rPr>
                <w:snapToGrid w:val="0"/>
              </w:rPr>
              <w:t>0.1 (8.0)</w:t>
            </w:r>
          </w:p>
        </w:tc>
        <w:tc>
          <w:tcPr>
            <w:tcW w:w="913" w:type="pct"/>
            <w:tcBorders>
              <w:top w:val="single" w:sz="4" w:space="0" w:color="auto"/>
              <w:left w:val="single" w:sz="4" w:space="0" w:color="auto"/>
              <w:bottom w:val="single" w:sz="4" w:space="0" w:color="auto"/>
              <w:right w:val="single" w:sz="4" w:space="0" w:color="auto"/>
            </w:tcBorders>
            <w:vAlign w:val="center"/>
          </w:tcPr>
          <w:p w14:paraId="0A621429" w14:textId="0F40D8A6" w:rsidR="00373E5D" w:rsidRPr="003771DB" w:rsidRDefault="00373E5D" w:rsidP="004906EC">
            <w:pPr>
              <w:pStyle w:val="COMTabletext"/>
              <w:keepLines/>
              <w:jc w:val="center"/>
              <w:rPr>
                <w:b/>
                <w:bCs w:val="0"/>
              </w:rPr>
            </w:pPr>
            <w:r w:rsidRPr="003771DB">
              <w:rPr>
                <w:b/>
                <w:bCs w:val="0"/>
                <w:snapToGrid w:val="0"/>
              </w:rPr>
              <w:t>4.28 (1.80, 6.75)</w:t>
            </w:r>
          </w:p>
        </w:tc>
      </w:tr>
      <w:tr w:rsidR="00373E5D" w:rsidRPr="003771DB" w14:paraId="4FCE8EDB"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EF83B5E" w14:textId="599A9F18"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MCS</w:t>
            </w:r>
            <w:r w:rsidRPr="003771DB">
              <w:rPr>
                <w:snapToGrid w:val="0"/>
                <w:vertAlign w:val="superscript"/>
              </w:rPr>
              <w:t>b</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240A6908" w14:textId="1BD6436C" w:rsidR="00373E5D" w:rsidRPr="003771DB" w:rsidRDefault="00373E5D" w:rsidP="004906EC">
            <w:pPr>
              <w:pStyle w:val="COMTabletext"/>
              <w:keepLines/>
              <w:jc w:val="center"/>
            </w:pPr>
            <w:r w:rsidRPr="003771DB">
              <w:rPr>
                <w:snapToGrid w:val="0"/>
              </w:rPr>
              <w:t>56.2 (6.2)</w:t>
            </w:r>
          </w:p>
        </w:tc>
        <w:tc>
          <w:tcPr>
            <w:tcW w:w="576" w:type="pct"/>
            <w:tcBorders>
              <w:top w:val="single" w:sz="4" w:space="0" w:color="auto"/>
              <w:left w:val="single" w:sz="4" w:space="0" w:color="auto"/>
              <w:bottom w:val="single" w:sz="4" w:space="0" w:color="auto"/>
              <w:right w:val="single" w:sz="4" w:space="0" w:color="auto"/>
            </w:tcBorders>
            <w:vAlign w:val="center"/>
          </w:tcPr>
          <w:p w14:paraId="3E6C1041" w14:textId="05E548B3" w:rsidR="00373E5D" w:rsidRPr="003771DB" w:rsidRDefault="00373E5D" w:rsidP="004906EC">
            <w:pPr>
              <w:pStyle w:val="COMTabletext"/>
              <w:keepLines/>
              <w:jc w:val="center"/>
            </w:pPr>
            <w:r w:rsidRPr="003771DB">
              <w:rPr>
                <w:snapToGrid w:val="0"/>
              </w:rPr>
              <w:t>54.1 (8.0)</w:t>
            </w:r>
          </w:p>
        </w:tc>
        <w:tc>
          <w:tcPr>
            <w:tcW w:w="576" w:type="pct"/>
            <w:tcBorders>
              <w:top w:val="single" w:sz="4" w:space="0" w:color="auto"/>
              <w:left w:val="single" w:sz="4" w:space="0" w:color="auto"/>
              <w:bottom w:val="single" w:sz="4" w:space="0" w:color="auto"/>
              <w:right w:val="single" w:sz="4" w:space="0" w:color="auto"/>
            </w:tcBorders>
            <w:vAlign w:val="center"/>
          </w:tcPr>
          <w:p w14:paraId="52B857DE" w14:textId="4822B2EC" w:rsidR="00373E5D" w:rsidRPr="003771DB" w:rsidRDefault="00373E5D" w:rsidP="004906EC">
            <w:pPr>
              <w:pStyle w:val="TableText"/>
              <w:keepLines/>
              <w:widowControl w:val="0"/>
              <w:jc w:val="center"/>
            </w:pPr>
            <w:r w:rsidRPr="003771DB">
              <w:rPr>
                <w:snapToGrid w:val="0"/>
              </w:rPr>
              <w:t>-2.1 (7.3)</w:t>
            </w:r>
          </w:p>
        </w:tc>
        <w:tc>
          <w:tcPr>
            <w:tcW w:w="576" w:type="pct"/>
            <w:tcBorders>
              <w:top w:val="single" w:sz="4" w:space="0" w:color="auto"/>
              <w:left w:val="single" w:sz="4" w:space="0" w:color="auto"/>
              <w:bottom w:val="single" w:sz="4" w:space="0" w:color="auto"/>
              <w:right w:val="single" w:sz="4" w:space="0" w:color="auto"/>
            </w:tcBorders>
            <w:vAlign w:val="center"/>
          </w:tcPr>
          <w:p w14:paraId="050FB9B7" w14:textId="7636F4E7" w:rsidR="00373E5D" w:rsidRPr="003771DB" w:rsidRDefault="00373E5D" w:rsidP="004906EC">
            <w:pPr>
              <w:pStyle w:val="COMTabletext"/>
              <w:keepLines/>
              <w:jc w:val="center"/>
            </w:pPr>
            <w:r w:rsidRPr="003771DB">
              <w:rPr>
                <w:snapToGrid w:val="0"/>
              </w:rPr>
              <w:t>57.0 (6.4)</w:t>
            </w:r>
          </w:p>
        </w:tc>
        <w:tc>
          <w:tcPr>
            <w:tcW w:w="576" w:type="pct"/>
            <w:tcBorders>
              <w:top w:val="single" w:sz="4" w:space="0" w:color="auto"/>
              <w:left w:val="single" w:sz="4" w:space="0" w:color="auto"/>
              <w:bottom w:val="single" w:sz="4" w:space="0" w:color="auto"/>
              <w:right w:val="single" w:sz="4" w:space="0" w:color="auto"/>
            </w:tcBorders>
            <w:vAlign w:val="center"/>
          </w:tcPr>
          <w:p w14:paraId="475461B2" w14:textId="355E34B6" w:rsidR="00373E5D" w:rsidRPr="003771DB" w:rsidRDefault="00373E5D" w:rsidP="004906EC">
            <w:pPr>
              <w:pStyle w:val="COMTabletext"/>
              <w:keepLines/>
              <w:jc w:val="center"/>
            </w:pPr>
            <w:r w:rsidRPr="003771DB">
              <w:rPr>
                <w:snapToGrid w:val="0"/>
              </w:rPr>
              <w:t>54.3 (9.1)</w:t>
            </w:r>
          </w:p>
        </w:tc>
        <w:tc>
          <w:tcPr>
            <w:tcW w:w="577" w:type="pct"/>
            <w:tcBorders>
              <w:top w:val="single" w:sz="4" w:space="0" w:color="auto"/>
              <w:left w:val="single" w:sz="4" w:space="0" w:color="auto"/>
              <w:bottom w:val="single" w:sz="4" w:space="0" w:color="auto"/>
              <w:right w:val="single" w:sz="4" w:space="0" w:color="auto"/>
            </w:tcBorders>
            <w:vAlign w:val="center"/>
          </w:tcPr>
          <w:p w14:paraId="0B34B6B2" w14:textId="7A18E814" w:rsidR="00373E5D" w:rsidRPr="003771DB" w:rsidRDefault="00373E5D" w:rsidP="004906EC">
            <w:pPr>
              <w:pStyle w:val="TableText"/>
              <w:keepLines/>
              <w:widowControl w:val="0"/>
              <w:jc w:val="center"/>
            </w:pPr>
            <w:r w:rsidRPr="003771DB">
              <w:rPr>
                <w:snapToGrid w:val="0"/>
              </w:rPr>
              <w:t>-2.5 (7.9)</w:t>
            </w:r>
          </w:p>
        </w:tc>
        <w:tc>
          <w:tcPr>
            <w:tcW w:w="913" w:type="pct"/>
            <w:tcBorders>
              <w:top w:val="single" w:sz="4" w:space="0" w:color="auto"/>
              <w:left w:val="single" w:sz="4" w:space="0" w:color="auto"/>
              <w:bottom w:val="single" w:sz="4" w:space="0" w:color="auto"/>
              <w:right w:val="single" w:sz="4" w:space="0" w:color="auto"/>
            </w:tcBorders>
            <w:vAlign w:val="center"/>
          </w:tcPr>
          <w:p w14:paraId="005173A7" w14:textId="1F6C0C30" w:rsidR="00373E5D" w:rsidRPr="003771DB" w:rsidRDefault="00373E5D" w:rsidP="004906EC">
            <w:pPr>
              <w:pStyle w:val="COMTabletext"/>
              <w:keepLines/>
              <w:jc w:val="center"/>
            </w:pPr>
            <w:r w:rsidRPr="003771DB">
              <w:rPr>
                <w:snapToGrid w:val="0"/>
              </w:rPr>
              <w:t>0.55 (-2.13, 3.23)</w:t>
            </w:r>
          </w:p>
        </w:tc>
      </w:tr>
      <w:tr w:rsidR="00373E5D" w:rsidRPr="003771DB" w14:paraId="6158809C" w14:textId="77777777" w:rsidTr="004906EC">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BC2EB4" w14:textId="4FFA40A7" w:rsidR="00373E5D" w:rsidRPr="003771DB" w:rsidRDefault="00373E5D" w:rsidP="004906EC">
            <w:pPr>
              <w:pStyle w:val="COMTabletext"/>
              <w:keepLines/>
              <w:rPr>
                <w:b/>
                <w:bCs w:val="0"/>
                <w:snapToGrid w:val="0"/>
              </w:rPr>
            </w:pPr>
            <w:r w:rsidRPr="003771DB">
              <w:rPr>
                <w:b/>
                <w:bCs w:val="0"/>
                <w:snapToGrid w:val="0"/>
              </w:rPr>
              <w:t xml:space="preserve">BMI </w:t>
            </w:r>
            <w:r w:rsidR="003E2839" w:rsidRPr="003771DB">
              <w:rPr>
                <w:b/>
                <w:bCs w:val="0"/>
                <w:snapToGrid w:val="0"/>
              </w:rPr>
              <w:t>≥</w:t>
            </w:r>
            <w:r w:rsidRPr="003771DB">
              <w:rPr>
                <w:b/>
                <w:bCs w:val="0"/>
                <w:snapToGrid w:val="0"/>
              </w:rPr>
              <w:t>40 kg/m</w:t>
            </w:r>
            <w:r w:rsidRPr="003771DB">
              <w:rPr>
                <w:b/>
                <w:bCs w:val="0"/>
                <w:snapToGrid w:val="0"/>
                <w:vertAlign w:val="superscript"/>
              </w:rPr>
              <w:t>2</w:t>
            </w:r>
            <w:r w:rsidRPr="003771DB">
              <w:rPr>
                <w:b/>
                <w:bCs w:val="0"/>
                <w:snapToGrid w:val="0"/>
              </w:rPr>
              <w:t xml:space="preserve"> and </w:t>
            </w:r>
            <w:r w:rsidR="003E2839" w:rsidRPr="003771DB">
              <w:rPr>
                <w:b/>
                <w:bCs w:val="0"/>
                <w:snapToGrid w:val="0"/>
              </w:rPr>
              <w:t>≥</w:t>
            </w:r>
            <w:r w:rsidRPr="003771DB">
              <w:rPr>
                <w:b/>
                <w:bCs w:val="0"/>
                <w:snapToGrid w:val="0"/>
              </w:rPr>
              <w:t>2 weight-related comorbidities with OSA or KOA (N=142; 7.2% of trial population)</w:t>
            </w:r>
          </w:p>
        </w:tc>
      </w:tr>
      <w:tr w:rsidR="00373E5D" w:rsidRPr="003771DB" w14:paraId="602DA4CB"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B4ADCFB" w14:textId="77777777"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PCS</w:t>
            </w:r>
            <w:r w:rsidRPr="003771DB">
              <w:rPr>
                <w:snapToGrid w:val="0"/>
                <w:vertAlign w:val="superscript"/>
              </w:rPr>
              <w:t>a</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220C49C6" w14:textId="77777777" w:rsidR="00373E5D" w:rsidRPr="003771DB" w:rsidRDefault="00373E5D" w:rsidP="004906EC">
            <w:pPr>
              <w:pStyle w:val="COMTabletext"/>
              <w:keepLines/>
              <w:jc w:val="center"/>
              <w:rPr>
                <w:snapToGrid w:val="0"/>
              </w:rPr>
            </w:pPr>
            <w:r w:rsidRPr="003771DB">
              <w:rPr>
                <w:snapToGrid w:val="0"/>
              </w:rPr>
              <w:t>44.7 (8.2)</w:t>
            </w:r>
          </w:p>
        </w:tc>
        <w:tc>
          <w:tcPr>
            <w:tcW w:w="576" w:type="pct"/>
            <w:tcBorders>
              <w:top w:val="single" w:sz="4" w:space="0" w:color="auto"/>
              <w:left w:val="single" w:sz="4" w:space="0" w:color="auto"/>
              <w:bottom w:val="single" w:sz="4" w:space="0" w:color="auto"/>
              <w:right w:val="single" w:sz="4" w:space="0" w:color="auto"/>
            </w:tcBorders>
            <w:vAlign w:val="center"/>
          </w:tcPr>
          <w:p w14:paraId="4C76FA6F" w14:textId="77777777" w:rsidR="00373E5D" w:rsidRPr="003771DB" w:rsidRDefault="00373E5D" w:rsidP="004906EC">
            <w:pPr>
              <w:pStyle w:val="COMTabletext"/>
              <w:keepLines/>
              <w:jc w:val="center"/>
              <w:rPr>
                <w:snapToGrid w:val="0"/>
              </w:rPr>
            </w:pPr>
            <w:r w:rsidRPr="003771DB">
              <w:rPr>
                <w:snapToGrid w:val="0"/>
              </w:rPr>
              <w:t>49.0 (9.0)</w:t>
            </w:r>
          </w:p>
        </w:tc>
        <w:tc>
          <w:tcPr>
            <w:tcW w:w="576" w:type="pct"/>
            <w:tcBorders>
              <w:top w:val="single" w:sz="4" w:space="0" w:color="auto"/>
              <w:left w:val="single" w:sz="4" w:space="0" w:color="auto"/>
              <w:bottom w:val="single" w:sz="4" w:space="0" w:color="auto"/>
              <w:right w:val="single" w:sz="4" w:space="0" w:color="auto"/>
            </w:tcBorders>
            <w:vAlign w:val="center"/>
          </w:tcPr>
          <w:p w14:paraId="0B72556F" w14:textId="77777777" w:rsidR="00373E5D" w:rsidRPr="003771DB" w:rsidRDefault="00373E5D" w:rsidP="004906EC">
            <w:pPr>
              <w:pStyle w:val="COMTabletext"/>
              <w:keepLines/>
              <w:jc w:val="center"/>
              <w:rPr>
                <w:snapToGrid w:val="0"/>
              </w:rPr>
            </w:pPr>
            <w:r w:rsidRPr="003771DB">
              <w:rPr>
                <w:snapToGrid w:val="0"/>
              </w:rPr>
              <w:t>4.2 (8.4)</w:t>
            </w:r>
          </w:p>
        </w:tc>
        <w:tc>
          <w:tcPr>
            <w:tcW w:w="576" w:type="pct"/>
            <w:tcBorders>
              <w:top w:val="single" w:sz="4" w:space="0" w:color="auto"/>
              <w:left w:val="single" w:sz="4" w:space="0" w:color="auto"/>
              <w:bottom w:val="single" w:sz="4" w:space="0" w:color="auto"/>
              <w:right w:val="single" w:sz="4" w:space="0" w:color="auto"/>
            </w:tcBorders>
            <w:vAlign w:val="center"/>
          </w:tcPr>
          <w:p w14:paraId="3C444663" w14:textId="77777777" w:rsidR="00373E5D" w:rsidRPr="003771DB" w:rsidRDefault="00373E5D" w:rsidP="004906EC">
            <w:pPr>
              <w:pStyle w:val="COMTabletext"/>
              <w:keepLines/>
              <w:jc w:val="center"/>
              <w:rPr>
                <w:snapToGrid w:val="0"/>
              </w:rPr>
            </w:pPr>
            <w:r w:rsidRPr="003771DB">
              <w:rPr>
                <w:snapToGrid w:val="0"/>
              </w:rPr>
              <w:t>43.2 (8.4)</w:t>
            </w:r>
          </w:p>
        </w:tc>
        <w:tc>
          <w:tcPr>
            <w:tcW w:w="576" w:type="pct"/>
            <w:tcBorders>
              <w:top w:val="single" w:sz="4" w:space="0" w:color="auto"/>
              <w:left w:val="single" w:sz="4" w:space="0" w:color="auto"/>
              <w:bottom w:val="single" w:sz="4" w:space="0" w:color="auto"/>
              <w:right w:val="single" w:sz="4" w:space="0" w:color="auto"/>
            </w:tcBorders>
            <w:vAlign w:val="center"/>
          </w:tcPr>
          <w:p w14:paraId="224D0D3F" w14:textId="77777777" w:rsidR="00373E5D" w:rsidRPr="003771DB" w:rsidRDefault="00373E5D" w:rsidP="004906EC">
            <w:pPr>
              <w:pStyle w:val="COMTabletext"/>
              <w:keepLines/>
              <w:jc w:val="center"/>
              <w:rPr>
                <w:snapToGrid w:val="0"/>
              </w:rPr>
            </w:pPr>
            <w:r w:rsidRPr="003771DB">
              <w:rPr>
                <w:snapToGrid w:val="0"/>
              </w:rPr>
              <w:t>42.1 (10.5)</w:t>
            </w:r>
          </w:p>
        </w:tc>
        <w:tc>
          <w:tcPr>
            <w:tcW w:w="577" w:type="pct"/>
            <w:tcBorders>
              <w:top w:val="single" w:sz="4" w:space="0" w:color="auto"/>
              <w:left w:val="single" w:sz="4" w:space="0" w:color="auto"/>
              <w:bottom w:val="single" w:sz="4" w:space="0" w:color="auto"/>
              <w:right w:val="single" w:sz="4" w:space="0" w:color="auto"/>
            </w:tcBorders>
            <w:vAlign w:val="center"/>
          </w:tcPr>
          <w:p w14:paraId="0101F618" w14:textId="77777777" w:rsidR="00373E5D" w:rsidRPr="003771DB" w:rsidRDefault="00373E5D" w:rsidP="004906EC">
            <w:pPr>
              <w:pStyle w:val="COMTabletext"/>
              <w:keepLines/>
              <w:jc w:val="center"/>
              <w:rPr>
                <w:snapToGrid w:val="0"/>
              </w:rPr>
            </w:pPr>
            <w:r w:rsidRPr="003771DB">
              <w:rPr>
                <w:snapToGrid w:val="0"/>
              </w:rPr>
              <w:t>-0.4 (8.3)</w:t>
            </w:r>
          </w:p>
        </w:tc>
        <w:tc>
          <w:tcPr>
            <w:tcW w:w="913" w:type="pct"/>
            <w:tcBorders>
              <w:top w:val="single" w:sz="4" w:space="0" w:color="auto"/>
              <w:left w:val="single" w:sz="4" w:space="0" w:color="auto"/>
              <w:bottom w:val="single" w:sz="4" w:space="0" w:color="auto"/>
              <w:right w:val="single" w:sz="4" w:space="0" w:color="auto"/>
            </w:tcBorders>
            <w:vAlign w:val="center"/>
          </w:tcPr>
          <w:p w14:paraId="20E083D1" w14:textId="3A75E5F8" w:rsidR="00373E5D" w:rsidRPr="003771DB" w:rsidRDefault="00373E5D" w:rsidP="004906EC">
            <w:pPr>
              <w:pStyle w:val="COMTabletext"/>
              <w:keepLines/>
              <w:jc w:val="center"/>
              <w:rPr>
                <w:b/>
                <w:bCs w:val="0"/>
                <w:snapToGrid w:val="0"/>
              </w:rPr>
            </w:pPr>
            <w:r w:rsidRPr="003771DB">
              <w:rPr>
                <w:b/>
                <w:bCs w:val="0"/>
                <w:snapToGrid w:val="0"/>
              </w:rPr>
              <w:t>4.60 (1.80, 7.41)</w:t>
            </w:r>
          </w:p>
        </w:tc>
      </w:tr>
      <w:tr w:rsidR="00373E5D" w:rsidRPr="003771DB" w14:paraId="3F6D26C5"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217DE9B" w14:textId="77777777"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MCS</w:t>
            </w:r>
            <w:r w:rsidRPr="003771DB">
              <w:rPr>
                <w:snapToGrid w:val="0"/>
                <w:vertAlign w:val="superscript"/>
              </w:rPr>
              <w:t>b</w:t>
            </w:r>
            <w:proofErr w:type="spellEnd"/>
          </w:p>
        </w:tc>
        <w:tc>
          <w:tcPr>
            <w:tcW w:w="576" w:type="pct"/>
            <w:tcBorders>
              <w:top w:val="single" w:sz="4" w:space="0" w:color="auto"/>
              <w:left w:val="single" w:sz="4" w:space="0" w:color="auto"/>
              <w:bottom w:val="single" w:sz="4" w:space="0" w:color="auto"/>
              <w:right w:val="single" w:sz="4" w:space="0" w:color="auto"/>
            </w:tcBorders>
            <w:vAlign w:val="center"/>
          </w:tcPr>
          <w:p w14:paraId="78C3B87F" w14:textId="77777777" w:rsidR="00373E5D" w:rsidRPr="003771DB" w:rsidRDefault="00373E5D" w:rsidP="004906EC">
            <w:pPr>
              <w:pStyle w:val="COMTabletext"/>
              <w:keepLines/>
              <w:jc w:val="center"/>
              <w:rPr>
                <w:snapToGrid w:val="0"/>
              </w:rPr>
            </w:pPr>
            <w:r w:rsidRPr="003771DB">
              <w:rPr>
                <w:snapToGrid w:val="0"/>
              </w:rPr>
              <w:t>56.0 (6.3)</w:t>
            </w:r>
          </w:p>
        </w:tc>
        <w:tc>
          <w:tcPr>
            <w:tcW w:w="576" w:type="pct"/>
            <w:tcBorders>
              <w:top w:val="single" w:sz="4" w:space="0" w:color="auto"/>
              <w:left w:val="single" w:sz="4" w:space="0" w:color="auto"/>
              <w:bottom w:val="single" w:sz="4" w:space="0" w:color="auto"/>
              <w:right w:val="single" w:sz="4" w:space="0" w:color="auto"/>
            </w:tcBorders>
            <w:vAlign w:val="center"/>
          </w:tcPr>
          <w:p w14:paraId="0789D853" w14:textId="77777777" w:rsidR="00373E5D" w:rsidRPr="003771DB" w:rsidRDefault="00373E5D" w:rsidP="004906EC">
            <w:pPr>
              <w:pStyle w:val="COMTabletext"/>
              <w:keepLines/>
              <w:jc w:val="center"/>
              <w:rPr>
                <w:snapToGrid w:val="0"/>
              </w:rPr>
            </w:pPr>
            <w:r w:rsidRPr="003771DB">
              <w:rPr>
                <w:snapToGrid w:val="0"/>
              </w:rPr>
              <w:t>53.8 (8.5)</w:t>
            </w:r>
          </w:p>
        </w:tc>
        <w:tc>
          <w:tcPr>
            <w:tcW w:w="576" w:type="pct"/>
            <w:tcBorders>
              <w:top w:val="single" w:sz="4" w:space="0" w:color="auto"/>
              <w:left w:val="single" w:sz="4" w:space="0" w:color="auto"/>
              <w:bottom w:val="single" w:sz="4" w:space="0" w:color="auto"/>
              <w:right w:val="single" w:sz="4" w:space="0" w:color="auto"/>
            </w:tcBorders>
            <w:vAlign w:val="center"/>
          </w:tcPr>
          <w:p w14:paraId="4E3CA91D" w14:textId="77777777" w:rsidR="00373E5D" w:rsidRPr="003771DB" w:rsidRDefault="00373E5D" w:rsidP="004906EC">
            <w:pPr>
              <w:pStyle w:val="COMTabletext"/>
              <w:keepLines/>
              <w:jc w:val="center"/>
              <w:rPr>
                <w:snapToGrid w:val="0"/>
              </w:rPr>
            </w:pPr>
            <w:r w:rsidRPr="003771DB">
              <w:rPr>
                <w:snapToGrid w:val="0"/>
              </w:rPr>
              <w:t>-2.1 (7.7)</w:t>
            </w:r>
          </w:p>
        </w:tc>
        <w:tc>
          <w:tcPr>
            <w:tcW w:w="576" w:type="pct"/>
            <w:tcBorders>
              <w:top w:val="single" w:sz="4" w:space="0" w:color="auto"/>
              <w:left w:val="single" w:sz="4" w:space="0" w:color="auto"/>
              <w:bottom w:val="single" w:sz="4" w:space="0" w:color="auto"/>
              <w:right w:val="single" w:sz="4" w:space="0" w:color="auto"/>
            </w:tcBorders>
            <w:vAlign w:val="center"/>
          </w:tcPr>
          <w:p w14:paraId="0830A9E3" w14:textId="77777777" w:rsidR="00373E5D" w:rsidRPr="003771DB" w:rsidRDefault="00373E5D" w:rsidP="004906EC">
            <w:pPr>
              <w:pStyle w:val="COMTabletext"/>
              <w:keepLines/>
              <w:jc w:val="center"/>
              <w:rPr>
                <w:snapToGrid w:val="0"/>
              </w:rPr>
            </w:pPr>
            <w:r w:rsidRPr="003771DB">
              <w:rPr>
                <w:snapToGrid w:val="0"/>
              </w:rPr>
              <w:t>57.0 (6.6)</w:t>
            </w:r>
          </w:p>
        </w:tc>
        <w:tc>
          <w:tcPr>
            <w:tcW w:w="576" w:type="pct"/>
            <w:tcBorders>
              <w:top w:val="single" w:sz="4" w:space="0" w:color="auto"/>
              <w:left w:val="single" w:sz="4" w:space="0" w:color="auto"/>
              <w:bottom w:val="single" w:sz="4" w:space="0" w:color="auto"/>
              <w:right w:val="single" w:sz="4" w:space="0" w:color="auto"/>
            </w:tcBorders>
            <w:vAlign w:val="center"/>
          </w:tcPr>
          <w:p w14:paraId="4DF20F9A" w14:textId="77777777" w:rsidR="00373E5D" w:rsidRPr="003771DB" w:rsidRDefault="00373E5D" w:rsidP="004906EC">
            <w:pPr>
              <w:pStyle w:val="COMTabletext"/>
              <w:keepLines/>
              <w:jc w:val="center"/>
              <w:rPr>
                <w:snapToGrid w:val="0"/>
              </w:rPr>
            </w:pPr>
            <w:r w:rsidRPr="003771DB">
              <w:rPr>
                <w:snapToGrid w:val="0"/>
              </w:rPr>
              <w:t>53.8 (9.8)</w:t>
            </w:r>
          </w:p>
        </w:tc>
        <w:tc>
          <w:tcPr>
            <w:tcW w:w="577" w:type="pct"/>
            <w:tcBorders>
              <w:top w:val="single" w:sz="4" w:space="0" w:color="auto"/>
              <w:left w:val="single" w:sz="4" w:space="0" w:color="auto"/>
              <w:bottom w:val="single" w:sz="4" w:space="0" w:color="auto"/>
              <w:right w:val="single" w:sz="4" w:space="0" w:color="auto"/>
            </w:tcBorders>
            <w:vAlign w:val="center"/>
          </w:tcPr>
          <w:p w14:paraId="5A4D723E" w14:textId="77777777" w:rsidR="00373E5D" w:rsidRPr="003771DB" w:rsidRDefault="00373E5D" w:rsidP="004906EC">
            <w:pPr>
              <w:pStyle w:val="COMTabletext"/>
              <w:keepLines/>
              <w:jc w:val="center"/>
              <w:rPr>
                <w:snapToGrid w:val="0"/>
              </w:rPr>
            </w:pPr>
            <w:r w:rsidRPr="003771DB">
              <w:rPr>
                <w:snapToGrid w:val="0"/>
              </w:rPr>
              <w:t>-2.9 (8.3)</w:t>
            </w:r>
          </w:p>
        </w:tc>
        <w:tc>
          <w:tcPr>
            <w:tcW w:w="913" w:type="pct"/>
            <w:tcBorders>
              <w:top w:val="single" w:sz="4" w:space="0" w:color="auto"/>
              <w:left w:val="single" w:sz="4" w:space="0" w:color="auto"/>
              <w:bottom w:val="single" w:sz="4" w:space="0" w:color="auto"/>
              <w:right w:val="single" w:sz="4" w:space="0" w:color="auto"/>
            </w:tcBorders>
            <w:vAlign w:val="center"/>
          </w:tcPr>
          <w:p w14:paraId="5E175037" w14:textId="2DEBFF46" w:rsidR="00373E5D" w:rsidRPr="003771DB" w:rsidRDefault="00373E5D" w:rsidP="004906EC">
            <w:pPr>
              <w:pStyle w:val="COMTabletext"/>
              <w:keepLines/>
              <w:jc w:val="center"/>
              <w:rPr>
                <w:snapToGrid w:val="0"/>
              </w:rPr>
            </w:pPr>
            <w:r w:rsidRPr="003771DB">
              <w:rPr>
                <w:snapToGrid w:val="0"/>
              </w:rPr>
              <w:t>0.67 (-2.38, 3.71)</w:t>
            </w:r>
          </w:p>
        </w:tc>
      </w:tr>
      <w:tr w:rsidR="00373E5D" w:rsidRPr="003771DB" w14:paraId="00C3104B" w14:textId="77777777" w:rsidTr="004906EC">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7536C5" w14:textId="6249AA98" w:rsidR="00373E5D" w:rsidRPr="003771DB" w:rsidRDefault="00373E5D" w:rsidP="004906EC">
            <w:pPr>
              <w:pStyle w:val="COMTabletext"/>
              <w:keepLines/>
              <w:rPr>
                <w:b/>
                <w:bCs w:val="0"/>
                <w:snapToGrid w:val="0"/>
              </w:rPr>
            </w:pPr>
            <w:r w:rsidRPr="003771DB">
              <w:rPr>
                <w:b/>
                <w:bCs w:val="0"/>
                <w:snapToGrid w:val="0"/>
              </w:rPr>
              <w:t xml:space="preserve">BMI </w:t>
            </w:r>
            <w:r w:rsidR="003E2839" w:rsidRPr="003771DB">
              <w:rPr>
                <w:b/>
                <w:bCs w:val="0"/>
                <w:snapToGrid w:val="0"/>
              </w:rPr>
              <w:t>≥</w:t>
            </w:r>
            <w:r w:rsidRPr="003771DB">
              <w:rPr>
                <w:b/>
                <w:bCs w:val="0"/>
                <w:snapToGrid w:val="0"/>
              </w:rPr>
              <w:t>40 kg/m</w:t>
            </w:r>
            <w:r w:rsidRPr="003771DB">
              <w:rPr>
                <w:b/>
                <w:bCs w:val="0"/>
                <w:snapToGrid w:val="0"/>
                <w:vertAlign w:val="superscript"/>
              </w:rPr>
              <w:t>2</w:t>
            </w:r>
            <w:r w:rsidRPr="003771DB">
              <w:rPr>
                <w:b/>
                <w:bCs w:val="0"/>
                <w:snapToGrid w:val="0"/>
              </w:rPr>
              <w:t xml:space="preserve"> and </w:t>
            </w:r>
            <w:r w:rsidR="003E2839" w:rsidRPr="003771DB">
              <w:rPr>
                <w:b/>
                <w:bCs w:val="0"/>
                <w:snapToGrid w:val="0"/>
              </w:rPr>
              <w:t>≥</w:t>
            </w:r>
            <w:r w:rsidRPr="003771DB">
              <w:rPr>
                <w:b/>
                <w:bCs w:val="0"/>
                <w:snapToGrid w:val="0"/>
              </w:rPr>
              <w:t>2 weight-related comorbidities with OSA, KOA or PD (N=257; 13.1% of trial population)</w:t>
            </w:r>
          </w:p>
        </w:tc>
      </w:tr>
      <w:tr w:rsidR="00373E5D" w:rsidRPr="003771DB" w14:paraId="03D0E947"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654AFDD" w14:textId="77777777" w:rsidR="00373E5D" w:rsidRPr="003771DB" w:rsidRDefault="00373E5D" w:rsidP="004906EC">
            <w:pPr>
              <w:pStyle w:val="COMTabletext"/>
              <w:keepLines/>
              <w:rPr>
                <w:snapToGrid w:val="0"/>
              </w:rPr>
            </w:pPr>
            <w:r w:rsidRPr="003771DB">
              <w:rPr>
                <w:snapToGrid w:val="0"/>
              </w:rPr>
              <w:t xml:space="preserve">SF-36 </w:t>
            </w:r>
            <w:proofErr w:type="spellStart"/>
            <w:r w:rsidRPr="003771DB">
              <w:rPr>
                <w:snapToGrid w:val="0"/>
              </w:rPr>
              <w:t>PCS</w:t>
            </w:r>
            <w:r w:rsidRPr="003771DB">
              <w:rPr>
                <w:snapToGrid w:val="0"/>
                <w:vertAlign w:val="superscript"/>
              </w:rPr>
              <w:t>a</w:t>
            </w:r>
            <w:proofErr w:type="spellEnd"/>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EB87FB" w14:textId="77777777" w:rsidR="00373E5D" w:rsidRPr="003771DB" w:rsidRDefault="00373E5D" w:rsidP="004906EC">
            <w:pPr>
              <w:pStyle w:val="COMTabletext"/>
              <w:keepLines/>
              <w:jc w:val="center"/>
              <w:rPr>
                <w:snapToGrid w:val="0"/>
              </w:rPr>
            </w:pPr>
            <w:r w:rsidRPr="003771DB">
              <w:rPr>
                <w:snapToGrid w:val="0"/>
              </w:rPr>
              <w:t>46.5 (8.7)</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CC6D32" w14:textId="77777777" w:rsidR="00373E5D" w:rsidRPr="003771DB" w:rsidRDefault="00373E5D" w:rsidP="004906EC">
            <w:pPr>
              <w:pStyle w:val="COMTabletext"/>
              <w:keepLines/>
              <w:jc w:val="center"/>
              <w:rPr>
                <w:snapToGrid w:val="0"/>
              </w:rPr>
            </w:pPr>
            <w:r w:rsidRPr="003771DB">
              <w:rPr>
                <w:snapToGrid w:val="0"/>
              </w:rPr>
              <w:t>50.5 (8.5)</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C85D5CD" w14:textId="77777777" w:rsidR="00373E5D" w:rsidRPr="003771DB" w:rsidRDefault="00373E5D" w:rsidP="004906EC">
            <w:pPr>
              <w:pStyle w:val="COMTabletext"/>
              <w:keepLines/>
              <w:jc w:val="center"/>
              <w:rPr>
                <w:snapToGrid w:val="0"/>
              </w:rPr>
            </w:pPr>
            <w:r w:rsidRPr="003771DB">
              <w:rPr>
                <w:snapToGrid w:val="0"/>
              </w:rPr>
              <w:t>4.3 (8.0)</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6813FC" w14:textId="77777777" w:rsidR="00373E5D" w:rsidRPr="003771DB" w:rsidRDefault="00373E5D" w:rsidP="004906EC">
            <w:pPr>
              <w:pStyle w:val="COMTabletext"/>
              <w:keepLines/>
              <w:jc w:val="center"/>
              <w:rPr>
                <w:snapToGrid w:val="0"/>
              </w:rPr>
            </w:pPr>
            <w:r w:rsidRPr="003771DB">
              <w:rPr>
                <w:snapToGrid w:val="0"/>
              </w:rPr>
              <w:t>45.8 (8.8)</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4D35D59" w14:textId="77777777" w:rsidR="00373E5D" w:rsidRPr="003771DB" w:rsidRDefault="00373E5D" w:rsidP="004906EC">
            <w:pPr>
              <w:pStyle w:val="COMTabletext"/>
              <w:keepLines/>
              <w:jc w:val="center"/>
              <w:rPr>
                <w:snapToGrid w:val="0"/>
              </w:rPr>
            </w:pPr>
            <w:r w:rsidRPr="003771DB">
              <w:rPr>
                <w:snapToGrid w:val="0"/>
              </w:rPr>
              <w:t>45.9 (10.9)</w:t>
            </w:r>
          </w:p>
        </w:tc>
        <w:tc>
          <w:tcPr>
            <w:tcW w:w="57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BB0FF04" w14:textId="77777777" w:rsidR="00373E5D" w:rsidRPr="003771DB" w:rsidRDefault="00373E5D" w:rsidP="004906EC">
            <w:pPr>
              <w:pStyle w:val="COMTabletext"/>
              <w:keepLines/>
              <w:jc w:val="center"/>
              <w:rPr>
                <w:snapToGrid w:val="0"/>
              </w:rPr>
            </w:pPr>
            <w:r w:rsidRPr="003771DB">
              <w:rPr>
                <w:snapToGrid w:val="0"/>
              </w:rPr>
              <w:t>0.7 (7.7)</w:t>
            </w:r>
          </w:p>
        </w:tc>
        <w:tc>
          <w:tcPr>
            <w:tcW w:w="91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05EFE4" w14:textId="531968A7" w:rsidR="00373E5D" w:rsidRPr="003771DB" w:rsidRDefault="00373E5D" w:rsidP="00C65354">
            <w:pPr>
              <w:pStyle w:val="COMTabletext"/>
              <w:keepLines/>
              <w:jc w:val="center"/>
              <w:rPr>
                <w:b/>
                <w:bCs w:val="0"/>
                <w:snapToGrid w:val="0"/>
              </w:rPr>
            </w:pPr>
            <w:r w:rsidRPr="003771DB">
              <w:rPr>
                <w:b/>
                <w:bCs w:val="0"/>
                <w:snapToGrid w:val="0"/>
              </w:rPr>
              <w:t>3.22 (1.25, 5.19)</w:t>
            </w:r>
          </w:p>
        </w:tc>
      </w:tr>
      <w:tr w:rsidR="00373E5D" w:rsidRPr="003771DB" w14:paraId="763E1D5B" w14:textId="77777777" w:rsidTr="00C65354">
        <w:trPr>
          <w:cantSplit/>
        </w:trPr>
        <w:tc>
          <w:tcPr>
            <w:tcW w:w="629"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920E68" w14:textId="77777777" w:rsidR="00373E5D" w:rsidRPr="003771DB" w:rsidRDefault="00373E5D" w:rsidP="00373E5D">
            <w:pPr>
              <w:pStyle w:val="COMTabletext"/>
              <w:keepNext w:val="0"/>
              <w:rPr>
                <w:snapToGrid w:val="0"/>
              </w:rPr>
            </w:pPr>
            <w:r w:rsidRPr="003771DB">
              <w:rPr>
                <w:snapToGrid w:val="0"/>
              </w:rPr>
              <w:t xml:space="preserve">SF-36 </w:t>
            </w:r>
            <w:proofErr w:type="spellStart"/>
            <w:r w:rsidRPr="003771DB">
              <w:rPr>
                <w:snapToGrid w:val="0"/>
              </w:rPr>
              <w:t>MCS</w:t>
            </w:r>
            <w:r w:rsidRPr="003771DB">
              <w:rPr>
                <w:snapToGrid w:val="0"/>
                <w:vertAlign w:val="superscript"/>
              </w:rPr>
              <w:t>b</w:t>
            </w:r>
            <w:proofErr w:type="spellEnd"/>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E3F5570" w14:textId="77777777" w:rsidR="00373E5D" w:rsidRPr="003771DB" w:rsidRDefault="00373E5D" w:rsidP="00373E5D">
            <w:pPr>
              <w:pStyle w:val="COMTabletext"/>
              <w:keepNext w:val="0"/>
              <w:jc w:val="center"/>
              <w:rPr>
                <w:snapToGrid w:val="0"/>
              </w:rPr>
            </w:pPr>
            <w:r w:rsidRPr="003771DB">
              <w:rPr>
                <w:snapToGrid w:val="0"/>
              </w:rPr>
              <w:t>56.5 (5.6)</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BDA997" w14:textId="77777777" w:rsidR="00373E5D" w:rsidRPr="003771DB" w:rsidRDefault="00373E5D" w:rsidP="00373E5D">
            <w:pPr>
              <w:pStyle w:val="COMTabletext"/>
              <w:keepNext w:val="0"/>
              <w:jc w:val="center"/>
              <w:rPr>
                <w:snapToGrid w:val="0"/>
              </w:rPr>
            </w:pPr>
            <w:r w:rsidRPr="003771DB">
              <w:rPr>
                <w:snapToGrid w:val="0"/>
              </w:rPr>
              <w:t>54.1 (8.0)</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1FEDA2" w14:textId="77777777" w:rsidR="00373E5D" w:rsidRPr="003771DB" w:rsidRDefault="00373E5D" w:rsidP="00373E5D">
            <w:pPr>
              <w:pStyle w:val="COMTabletext"/>
              <w:keepNext w:val="0"/>
              <w:jc w:val="center"/>
              <w:rPr>
                <w:snapToGrid w:val="0"/>
              </w:rPr>
            </w:pPr>
            <w:r w:rsidRPr="003771DB">
              <w:rPr>
                <w:snapToGrid w:val="0"/>
              </w:rPr>
              <w:t>-2.4 (7.4)</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EC2948" w14:textId="77777777" w:rsidR="00373E5D" w:rsidRPr="003771DB" w:rsidRDefault="00373E5D" w:rsidP="00373E5D">
            <w:pPr>
              <w:pStyle w:val="COMTabletext"/>
              <w:keepNext w:val="0"/>
              <w:jc w:val="center"/>
              <w:rPr>
                <w:snapToGrid w:val="0"/>
              </w:rPr>
            </w:pPr>
            <w:r w:rsidRPr="003771DB">
              <w:rPr>
                <w:snapToGrid w:val="0"/>
              </w:rPr>
              <w:t>57.6 (5.4)</w:t>
            </w:r>
          </w:p>
        </w:tc>
        <w:tc>
          <w:tcPr>
            <w:tcW w:w="57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F8894B" w14:textId="77777777" w:rsidR="00373E5D" w:rsidRPr="003771DB" w:rsidRDefault="00373E5D" w:rsidP="00373E5D">
            <w:pPr>
              <w:pStyle w:val="COMTabletext"/>
              <w:keepNext w:val="0"/>
              <w:jc w:val="center"/>
              <w:rPr>
                <w:snapToGrid w:val="0"/>
              </w:rPr>
            </w:pPr>
            <w:r w:rsidRPr="003771DB">
              <w:rPr>
                <w:snapToGrid w:val="0"/>
              </w:rPr>
              <w:t>54.4 (8.7)</w:t>
            </w:r>
          </w:p>
        </w:tc>
        <w:tc>
          <w:tcPr>
            <w:tcW w:w="57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BB7EFCB" w14:textId="77777777" w:rsidR="00373E5D" w:rsidRPr="003771DB" w:rsidRDefault="00373E5D" w:rsidP="00373E5D">
            <w:pPr>
              <w:pStyle w:val="COMTabletext"/>
              <w:keepNext w:val="0"/>
              <w:jc w:val="center"/>
              <w:rPr>
                <w:snapToGrid w:val="0"/>
              </w:rPr>
            </w:pPr>
            <w:r w:rsidRPr="003771DB">
              <w:rPr>
                <w:snapToGrid w:val="0"/>
              </w:rPr>
              <w:t>-2.9 (7.5)</w:t>
            </w:r>
          </w:p>
        </w:tc>
        <w:tc>
          <w:tcPr>
            <w:tcW w:w="913"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36D6164" w14:textId="4CCBB0D0" w:rsidR="00373E5D" w:rsidRPr="003771DB" w:rsidRDefault="00373E5D" w:rsidP="00C65354">
            <w:pPr>
              <w:pStyle w:val="COMTabletext"/>
              <w:keepNext w:val="0"/>
              <w:jc w:val="center"/>
              <w:rPr>
                <w:snapToGrid w:val="0"/>
              </w:rPr>
            </w:pPr>
            <w:r w:rsidRPr="003771DB">
              <w:rPr>
                <w:snapToGrid w:val="0"/>
              </w:rPr>
              <w:t>0.44 (-1.80, 2.67)</w:t>
            </w:r>
          </w:p>
        </w:tc>
      </w:tr>
    </w:tbl>
    <w:p w14:paraId="54D915D7" w14:textId="77777777" w:rsidR="00373E5D" w:rsidRPr="003771DB" w:rsidRDefault="00373E5D" w:rsidP="00373E5D">
      <w:pPr>
        <w:pStyle w:val="COMTablefooter"/>
      </w:pPr>
      <w:r w:rsidRPr="003771DB">
        <w:t>Source: Section 11.5.1, pp112-117 of the STEP-1 trial report; additional data from information request provided by the Sponsor</w:t>
      </w:r>
    </w:p>
    <w:p w14:paraId="2727AB9A" w14:textId="77777777" w:rsidR="00373E5D" w:rsidRPr="003771DB" w:rsidRDefault="00373E5D" w:rsidP="00373E5D">
      <w:pPr>
        <w:pStyle w:val="COMTablefooter"/>
      </w:pPr>
      <w:r w:rsidRPr="003771DB">
        <w:t>Abbreviations: BMI, body mass index; CI, confidence interval; KOA, knee osteoarthritis; MCS, mental component summary; OSA, obstructive sleep apnoea; PCS, physical component summary; PD, pre-diabetes; SD, standard deviation</w:t>
      </w:r>
    </w:p>
    <w:p w14:paraId="37EF0C43" w14:textId="77777777" w:rsidR="00373E5D" w:rsidRPr="003771DB" w:rsidRDefault="00373E5D" w:rsidP="00373E5D">
      <w:pPr>
        <w:pStyle w:val="COMTablefooter"/>
      </w:pPr>
      <w:r w:rsidRPr="003771DB">
        <w:rPr>
          <w:vertAlign w:val="superscript"/>
        </w:rPr>
        <w:t>a</w:t>
      </w:r>
      <w:r w:rsidRPr="003771DB">
        <w:t xml:space="preserve"> SF-36 Physical component summary scores range from 6.11 to 79.67; higher scores indicate better quality of life</w:t>
      </w:r>
    </w:p>
    <w:p w14:paraId="68B62D98" w14:textId="77777777" w:rsidR="00373E5D" w:rsidRPr="003771DB" w:rsidRDefault="00373E5D" w:rsidP="00373E5D">
      <w:pPr>
        <w:pStyle w:val="COMTablefooter"/>
      </w:pPr>
      <w:r w:rsidRPr="003771DB">
        <w:rPr>
          <w:vertAlign w:val="superscript"/>
        </w:rPr>
        <w:t>b</w:t>
      </w:r>
      <w:r w:rsidRPr="003771DB">
        <w:t xml:space="preserve"> SF-36 Mental component summary scores range from -3.83 to 78.75; higher scores indicate better quality of life</w:t>
      </w:r>
    </w:p>
    <w:p w14:paraId="06301A35" w14:textId="6BE2955C" w:rsidR="00373E5D" w:rsidRPr="003771DB" w:rsidRDefault="00373E5D" w:rsidP="00373E5D">
      <w:pPr>
        <w:pStyle w:val="COMTablefooter"/>
      </w:pPr>
      <w:r w:rsidRPr="003771DB">
        <w:t xml:space="preserve">Note: Green shading indicates the main target population in the resubmission </w:t>
      </w:r>
    </w:p>
    <w:p w14:paraId="7C1EB68E" w14:textId="3648A629" w:rsidR="00373E5D" w:rsidRPr="003771DB" w:rsidRDefault="00373E5D" w:rsidP="004E2228">
      <w:pPr>
        <w:pStyle w:val="COMexecsumnumberedpara"/>
      </w:pPr>
      <w:r w:rsidRPr="003771DB">
        <w:t>Overall, patients with higher baseline BMI and/or higher comorbidity burden appeared to have worse physical component scores</w:t>
      </w:r>
      <w:r w:rsidR="002742D2" w:rsidRPr="003771DB">
        <w:t>,</w:t>
      </w:r>
      <w:r w:rsidRPr="003771DB">
        <w:t xml:space="preserve"> but similar mental component scores compared to the </w:t>
      </w:r>
      <w:r w:rsidR="007F7E92" w:rsidRPr="003771DB">
        <w:t>ITT</w:t>
      </w:r>
      <w:r w:rsidR="004B11CA" w:rsidRPr="003771DB">
        <w:t xml:space="preserve"> population</w:t>
      </w:r>
      <w:r w:rsidRPr="003771DB">
        <w:t>. Treatment with semaglutide was associated with modest improvements in physical component scores (2-4 point increase on a 74 point scale) compared to placebo across all nominated subgroups. There were minimal differences in mental component scores between treatment arms.</w:t>
      </w:r>
    </w:p>
    <w:p w14:paraId="448D0C9B" w14:textId="49274945" w:rsidR="00052618" w:rsidRPr="003771DB" w:rsidRDefault="00052618" w:rsidP="00052618">
      <w:pPr>
        <w:pStyle w:val="COMexecsumnumberedpara"/>
      </w:pPr>
      <w:r w:rsidRPr="003771DB">
        <w:rPr>
          <w:iCs/>
        </w:rPr>
        <w:t>The ESC also discussed an analysis of the Household, Income and Labour Dynamics in Australia (HILDA) survey, which explored interactions between level of obesity, multiple comorbidities and quality of life.</w:t>
      </w:r>
      <w:r w:rsidRPr="003771DB">
        <w:rPr>
          <w:rStyle w:val="FootnoteReference"/>
          <w:iCs/>
        </w:rPr>
        <w:footnoteReference w:id="5"/>
      </w:r>
      <w:r w:rsidRPr="003771DB">
        <w:rPr>
          <w:iCs/>
        </w:rPr>
        <w:t xml:space="preserve"> It was noted that a plot (Figure 3</w:t>
      </w:r>
      <w:r w:rsidR="00A33AB6" w:rsidRPr="003771DB">
        <w:rPr>
          <w:iCs/>
        </w:rPr>
        <w:t xml:space="preserve"> of the publication</w:t>
      </w:r>
      <w:r w:rsidRPr="003771DB">
        <w:rPr>
          <w:iCs/>
        </w:rPr>
        <w:t>) of the mean values of the SF-36 composite measures and the health utility index (SF-6D) by BMI category indicated a qualitative difference (lower quality of life) for patients with morbid obesity (BMI ≥</w:t>
      </w:r>
      <w:r w:rsidR="009329B0">
        <w:rPr>
          <w:iCs/>
        </w:rPr>
        <w:t> </w:t>
      </w:r>
      <w:r w:rsidRPr="003771DB">
        <w:rPr>
          <w:iCs/>
        </w:rPr>
        <w:t>40</w:t>
      </w:r>
      <w:r w:rsidR="009329B0">
        <w:rPr>
          <w:iCs/>
        </w:rPr>
        <w:t> </w:t>
      </w:r>
      <w:r w:rsidRPr="003771DB">
        <w:rPr>
          <w:iCs/>
        </w:rPr>
        <w:t>kg/m</w:t>
      </w:r>
      <w:r w:rsidRPr="003771DB">
        <w:rPr>
          <w:iCs/>
          <w:vertAlign w:val="superscript"/>
        </w:rPr>
        <w:t>2</w:t>
      </w:r>
      <w:r w:rsidRPr="003771DB">
        <w:rPr>
          <w:iCs/>
        </w:rPr>
        <w:t>). The ESC considered that</w:t>
      </w:r>
      <w:r w:rsidR="00A40FE3" w:rsidRPr="003771DB">
        <w:rPr>
          <w:iCs/>
        </w:rPr>
        <w:t xml:space="preserve"> this analysis</w:t>
      </w:r>
      <w:r w:rsidRPr="003771DB">
        <w:rPr>
          <w:iCs/>
        </w:rPr>
        <w:t xml:space="preserve"> </w:t>
      </w:r>
      <w:r w:rsidR="002355A3" w:rsidRPr="003771DB">
        <w:rPr>
          <w:iCs/>
        </w:rPr>
        <w:t>generally</w:t>
      </w:r>
      <w:r w:rsidRPr="003771DB">
        <w:rPr>
          <w:iCs/>
        </w:rPr>
        <w:t xml:space="preserve"> </w:t>
      </w:r>
      <w:r w:rsidR="00A40FE3" w:rsidRPr="003771DB">
        <w:rPr>
          <w:iCs/>
        </w:rPr>
        <w:t xml:space="preserve">supported the relevance of improved quality of life outcomes for the proposed target PBS population. </w:t>
      </w:r>
    </w:p>
    <w:p w14:paraId="4E104D4A" w14:textId="1B9FCB21" w:rsidR="00373E5D" w:rsidRPr="003771DB" w:rsidRDefault="00373E5D" w:rsidP="004E2228">
      <w:pPr>
        <w:pStyle w:val="COMexecsumnumberedpara"/>
      </w:pPr>
      <w:r w:rsidRPr="003771DB">
        <w:t xml:space="preserve">Treatment with semaglutide was also associated with a substantial increase in the proportion of patients with normoglycaemia over time compared to placebo across all nominated subgroups. Further analyses indicated that the treatment effect of </w:t>
      </w:r>
      <w:r w:rsidRPr="003771DB">
        <w:lastRenderedPageBreak/>
        <w:t>semaglutide on glycaemic status is at least partially independent of weight changes (Table 221, pp490-507 of the STEP-1 subgroup analysis report).</w:t>
      </w:r>
    </w:p>
    <w:p w14:paraId="1452C351" w14:textId="04F85588" w:rsidR="00B60939" w:rsidRPr="003771DB" w:rsidRDefault="00B60939" w:rsidP="00D86231">
      <w:pPr>
        <w:pStyle w:val="COMH2-non-numbered"/>
      </w:pPr>
      <w:bookmarkStart w:id="30" w:name="_Toc22897642"/>
      <w:bookmarkStart w:id="31" w:name="_Toc144899325"/>
      <w:r w:rsidRPr="003771DB">
        <w:t>Comparative harms</w:t>
      </w:r>
      <w:bookmarkEnd w:id="30"/>
      <w:bookmarkEnd w:id="31"/>
    </w:p>
    <w:p w14:paraId="0434CAB4" w14:textId="41625ABD" w:rsidR="00373E5D" w:rsidRPr="003771DB" w:rsidRDefault="00373E5D" w:rsidP="004E2228">
      <w:pPr>
        <w:pStyle w:val="COMexecsumnumberedpara"/>
      </w:pPr>
      <w:r w:rsidRPr="003771DB">
        <w:t>Treatment with semaglutide was associated with an increased incidence and frequency of adverse events, treatment-related events, serious adverse events and adverse events leading to discontinuation compared to placebo in the STEP trials. Adverse events were more frequent during the initial titration phase but continued to occur throughout the treatment period.</w:t>
      </w:r>
    </w:p>
    <w:p w14:paraId="3C5C14C5" w14:textId="1299470F" w:rsidR="00373E5D" w:rsidRPr="003771DB" w:rsidRDefault="00373E5D" w:rsidP="004E2228">
      <w:pPr>
        <w:pStyle w:val="COMexecsumnumberedpara"/>
      </w:pPr>
      <w:r w:rsidRPr="003771DB">
        <w:t>Frequent adverse events (</w:t>
      </w:r>
      <w:r w:rsidR="00671712" w:rsidRPr="003771DB">
        <w:t>≥</w:t>
      </w:r>
      <w:r w:rsidR="009329B0">
        <w:t> </w:t>
      </w:r>
      <w:r w:rsidRPr="003771DB">
        <w:t>5% of subjects) that occurred more often in the semaglutide arm included nausea, diarrhoea, constipation, vomiting, abdominal pain, dyspepsia, abdominal pain upper, eructation, abdominal distension, flatulence, gastroenteritis, decreased appetite, headache, dizziness, and fatigue. Infrequent adverse events (</w:t>
      </w:r>
      <w:r w:rsidR="00671712" w:rsidRPr="003771DB">
        <w:t>≥</w:t>
      </w:r>
      <w:r w:rsidR="009329B0">
        <w:t> </w:t>
      </w:r>
      <w:r w:rsidRPr="003771DB">
        <w:t>2% but &lt;</w:t>
      </w:r>
      <w:r w:rsidR="009329B0">
        <w:t> </w:t>
      </w:r>
      <w:r w:rsidRPr="003771DB">
        <w:t>5%) that occurred more often in the semaglutide arm included gastroesophageal reflux disease, abdominal discomfort, gastritis, viral gastroenteritis, alopecia and migraine. A similar pattern of events was observed for treatment-related events, serious adverse events and adverse events leading to discontinuation.</w:t>
      </w:r>
    </w:p>
    <w:p w14:paraId="1045ABF6" w14:textId="17889980" w:rsidR="00373E5D" w:rsidRPr="003771DB" w:rsidRDefault="00373E5D" w:rsidP="004E2228">
      <w:pPr>
        <w:pStyle w:val="COMexecsumnumberedpara"/>
      </w:pPr>
      <w:r w:rsidRPr="003771DB">
        <w:t>Treatment with semaglutide was also associated with substantially higher use of concomitant medications for gastrointestinal events including drugs for acid-related disorders (e.g. proton pump inhibitors), functional gastrointestinal disorders (e.g. propulsives), diarrhoea (</w:t>
      </w:r>
      <w:r w:rsidR="009329B0" w:rsidRPr="003771DB">
        <w:t>e.g.</w:t>
      </w:r>
      <w:r w:rsidRPr="003771DB">
        <w:t xml:space="preserve"> anti-propulsives), constipation (e.g. osmotically acting laxatives), anti-emetics and anti-nauseants (e.g. serotonin antagonists).</w:t>
      </w:r>
    </w:p>
    <w:p w14:paraId="0E5187EB" w14:textId="2153F504" w:rsidR="00373E5D" w:rsidRPr="003771DB" w:rsidRDefault="00373E5D" w:rsidP="004E2228">
      <w:pPr>
        <w:pStyle w:val="COMexecsumnumberedpara"/>
      </w:pPr>
      <w:r w:rsidRPr="003771DB">
        <w:t>The higher 2.4 mg dose of semaglutide was also associated with more adverse events compared to the conventional 1.0 mg dose strength in the STEP-2 trial. However, the pattern of adverse events was similar for both dose strengths (predominantly gastrointestinal and nervous system disorders).</w:t>
      </w:r>
    </w:p>
    <w:p w14:paraId="5C837D25" w14:textId="76BD305B" w:rsidR="00354B6E" w:rsidRPr="003771DB" w:rsidRDefault="00354B6E" w:rsidP="004E2228">
      <w:pPr>
        <w:pStyle w:val="COMexecsumnumberedpara"/>
      </w:pPr>
      <w:r w:rsidRPr="003771DB">
        <w:t xml:space="preserve">Key </w:t>
      </w:r>
      <w:r w:rsidR="00F61E61" w:rsidRPr="003771DB">
        <w:rPr>
          <w:i/>
          <w:iCs/>
        </w:rPr>
        <w:t xml:space="preserve">post hoc </w:t>
      </w:r>
      <w:r w:rsidRPr="003771DB">
        <w:t xml:space="preserve">subgroup analyses of safety outcomes with semaglutide and placebo in the STEP-1 trial are summarised in </w:t>
      </w:r>
      <w:r w:rsidR="0005588E" w:rsidRPr="003771DB">
        <w:fldChar w:fldCharType="begin" w:fldLock="1"/>
      </w:r>
      <w:r w:rsidR="0005588E" w:rsidRPr="003771DB">
        <w:instrText xml:space="preserve"> REF _Ref143501671 \h </w:instrText>
      </w:r>
      <w:r w:rsidR="0005588E" w:rsidRPr="003771DB">
        <w:fldChar w:fldCharType="separate"/>
      </w:r>
      <w:r w:rsidR="00D44FF6" w:rsidRPr="003771DB">
        <w:t xml:space="preserve">Table </w:t>
      </w:r>
      <w:r w:rsidR="00D44FF6" w:rsidRPr="00F7478B">
        <w:t>8</w:t>
      </w:r>
      <w:r w:rsidR="0005588E" w:rsidRPr="003771DB">
        <w:fldChar w:fldCharType="end"/>
      </w:r>
      <w:r w:rsidRPr="003771DB">
        <w:t>.</w:t>
      </w:r>
    </w:p>
    <w:p w14:paraId="2DF2BE58" w14:textId="2F2DD67C" w:rsidR="00354B6E" w:rsidRPr="003771DB" w:rsidRDefault="00354B6E" w:rsidP="0005588E">
      <w:pPr>
        <w:pStyle w:val="Caption"/>
        <w:rPr>
          <w:color w:val="3366FF"/>
        </w:rPr>
      </w:pPr>
      <w:bookmarkStart w:id="32" w:name="_Ref143501671"/>
      <w:r w:rsidRPr="003771DB">
        <w:rPr>
          <w:snapToGrid w:val="0"/>
        </w:rPr>
        <w:lastRenderedPageBreak/>
        <w:t xml:space="preserve">Table </w:t>
      </w:r>
      <w:r w:rsidR="00AD487C" w:rsidRPr="003771DB">
        <w:rPr>
          <w:snapToGrid w:val="0"/>
        </w:rPr>
        <w:fldChar w:fldCharType="begin" w:fldLock="1"/>
      </w:r>
      <w:r w:rsidR="00AD487C" w:rsidRPr="003771DB">
        <w:rPr>
          <w:snapToGrid w:val="0"/>
        </w:rPr>
        <w:instrText xml:space="preserve"> SEQ Table \* ARABIC </w:instrText>
      </w:r>
      <w:r w:rsidR="00AD487C" w:rsidRPr="003771DB">
        <w:rPr>
          <w:snapToGrid w:val="0"/>
        </w:rPr>
        <w:fldChar w:fldCharType="separate"/>
      </w:r>
      <w:r w:rsidR="00AD487C" w:rsidRPr="00F7478B">
        <w:rPr>
          <w:snapToGrid w:val="0"/>
        </w:rPr>
        <w:t>8</w:t>
      </w:r>
      <w:r w:rsidR="00AD487C" w:rsidRPr="003771DB">
        <w:rPr>
          <w:snapToGrid w:val="0"/>
        </w:rPr>
        <w:fldChar w:fldCharType="end"/>
      </w:r>
      <w:bookmarkEnd w:id="32"/>
      <w:r w:rsidRPr="003771DB">
        <w:rPr>
          <w:snapToGrid w:val="0"/>
        </w:rPr>
        <w:t>: Key subgroup analysis of the adverse events from the STEP-1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8: Key subgroup analysis of the adverse events from the STEP-1 trial"/>
        <w:tblDescription w:val="Table 8: Key subgroup analysis of the adverse events from the STEP-1 trial"/>
      </w:tblPr>
      <w:tblGrid>
        <w:gridCol w:w="3196"/>
        <w:gridCol w:w="1455"/>
        <w:gridCol w:w="1457"/>
        <w:gridCol w:w="1455"/>
        <w:gridCol w:w="1454"/>
      </w:tblGrid>
      <w:tr w:rsidR="00354B6E" w:rsidRPr="003771DB" w14:paraId="354F5FC5" w14:textId="77777777" w:rsidTr="00076B84">
        <w:trPr>
          <w:cantSplit/>
          <w:tblHeader/>
        </w:trPr>
        <w:tc>
          <w:tcPr>
            <w:tcW w:w="1772" w:type="pct"/>
            <w:vMerge w:val="restart"/>
            <w:tcBorders>
              <w:right w:val="single" w:sz="4" w:space="0" w:color="auto"/>
            </w:tcBorders>
            <w:shd w:val="clear" w:color="auto" w:fill="auto"/>
            <w:vAlign w:val="center"/>
          </w:tcPr>
          <w:p w14:paraId="547D02EB" w14:textId="77777777" w:rsidR="00354B6E" w:rsidRPr="003771DB" w:rsidRDefault="00354B6E" w:rsidP="00901E1D">
            <w:pPr>
              <w:pStyle w:val="COMTableheadingrow"/>
              <w:keepLines/>
              <w:rPr>
                <w:snapToGrid w:val="0"/>
                <w:lang w:val="en-AU"/>
              </w:rPr>
            </w:pPr>
            <w:r w:rsidRPr="003771DB">
              <w:rPr>
                <w:snapToGrid w:val="0"/>
                <w:lang w:val="en-AU"/>
              </w:rPr>
              <w:t>Subgroup</w:t>
            </w:r>
          </w:p>
        </w:tc>
        <w:tc>
          <w:tcPr>
            <w:tcW w:w="1615" w:type="pct"/>
            <w:gridSpan w:val="2"/>
            <w:tcBorders>
              <w:left w:val="single" w:sz="4" w:space="0" w:color="auto"/>
              <w:right w:val="single" w:sz="4" w:space="0" w:color="auto"/>
            </w:tcBorders>
            <w:shd w:val="clear" w:color="auto" w:fill="auto"/>
            <w:vAlign w:val="center"/>
          </w:tcPr>
          <w:p w14:paraId="5AE5E01D" w14:textId="77777777" w:rsidR="00354B6E" w:rsidRPr="003771DB" w:rsidRDefault="00354B6E" w:rsidP="00901E1D">
            <w:pPr>
              <w:pStyle w:val="COMTableheadingrow"/>
              <w:keepLines/>
              <w:jc w:val="center"/>
              <w:rPr>
                <w:snapToGrid w:val="0"/>
                <w:lang w:val="en-AU"/>
              </w:rPr>
            </w:pPr>
            <w:r w:rsidRPr="003771DB">
              <w:rPr>
                <w:snapToGrid w:val="0"/>
                <w:lang w:val="en-AU"/>
              </w:rPr>
              <w:t>Semaglutide (%)</w:t>
            </w:r>
          </w:p>
        </w:tc>
        <w:tc>
          <w:tcPr>
            <w:tcW w:w="1613" w:type="pct"/>
            <w:gridSpan w:val="2"/>
            <w:tcBorders>
              <w:left w:val="single" w:sz="4" w:space="0" w:color="auto"/>
            </w:tcBorders>
            <w:shd w:val="clear" w:color="auto" w:fill="auto"/>
            <w:vAlign w:val="center"/>
          </w:tcPr>
          <w:p w14:paraId="3FD3A435" w14:textId="77777777" w:rsidR="00354B6E" w:rsidRPr="003771DB" w:rsidRDefault="00354B6E" w:rsidP="00901E1D">
            <w:pPr>
              <w:pStyle w:val="COMTableheadingrow"/>
              <w:keepLines/>
              <w:jc w:val="center"/>
              <w:rPr>
                <w:snapToGrid w:val="0"/>
                <w:lang w:val="en-AU"/>
              </w:rPr>
            </w:pPr>
            <w:r w:rsidRPr="003771DB">
              <w:rPr>
                <w:snapToGrid w:val="0"/>
                <w:lang w:val="en-AU"/>
              </w:rPr>
              <w:t>Placebo (%)</w:t>
            </w:r>
          </w:p>
        </w:tc>
      </w:tr>
      <w:tr w:rsidR="00354B6E" w:rsidRPr="003771DB" w14:paraId="5BE5D8EE" w14:textId="77777777" w:rsidTr="00076B84">
        <w:trPr>
          <w:cantSplit/>
          <w:tblHeader/>
        </w:trPr>
        <w:tc>
          <w:tcPr>
            <w:tcW w:w="1772" w:type="pct"/>
            <w:vMerge/>
            <w:tcBorders>
              <w:right w:val="single" w:sz="4" w:space="0" w:color="auto"/>
            </w:tcBorders>
            <w:shd w:val="clear" w:color="auto" w:fill="auto"/>
            <w:vAlign w:val="center"/>
          </w:tcPr>
          <w:p w14:paraId="4119CC3A" w14:textId="77777777" w:rsidR="00354B6E" w:rsidRPr="003771DB" w:rsidRDefault="00354B6E" w:rsidP="00901E1D">
            <w:pPr>
              <w:pStyle w:val="COMTableheadingrow"/>
              <w:keepLines/>
              <w:rPr>
                <w:snapToGrid w:val="0"/>
                <w:lang w:val="en-AU"/>
              </w:rPr>
            </w:pPr>
          </w:p>
        </w:tc>
        <w:tc>
          <w:tcPr>
            <w:tcW w:w="807" w:type="pct"/>
            <w:tcBorders>
              <w:left w:val="single" w:sz="4" w:space="0" w:color="auto"/>
              <w:right w:val="single" w:sz="4" w:space="0" w:color="auto"/>
            </w:tcBorders>
            <w:shd w:val="clear" w:color="auto" w:fill="auto"/>
            <w:vAlign w:val="center"/>
          </w:tcPr>
          <w:p w14:paraId="15BCA7BD" w14:textId="77777777" w:rsidR="00354B6E" w:rsidRPr="003771DB" w:rsidRDefault="00354B6E" w:rsidP="00901E1D">
            <w:pPr>
              <w:pStyle w:val="COMTableheadingrow"/>
              <w:keepLines/>
              <w:jc w:val="center"/>
              <w:rPr>
                <w:snapToGrid w:val="0"/>
                <w:lang w:val="en-AU"/>
              </w:rPr>
            </w:pPr>
            <w:r w:rsidRPr="003771DB">
              <w:rPr>
                <w:snapToGrid w:val="0"/>
                <w:lang w:val="en-AU"/>
              </w:rPr>
              <w:t xml:space="preserve">Incidence, </w:t>
            </w:r>
          </w:p>
          <w:p w14:paraId="017BA8E6" w14:textId="77777777" w:rsidR="00354B6E" w:rsidRPr="003771DB" w:rsidRDefault="00354B6E" w:rsidP="00901E1D">
            <w:pPr>
              <w:pStyle w:val="COMTableheadingrow"/>
              <w:keepLines/>
              <w:jc w:val="center"/>
              <w:rPr>
                <w:snapToGrid w:val="0"/>
                <w:lang w:val="en-AU"/>
              </w:rPr>
            </w:pPr>
            <w:r w:rsidRPr="003771DB">
              <w:rPr>
                <w:snapToGrid w:val="0"/>
                <w:lang w:val="en-AU"/>
              </w:rPr>
              <w:t>patients (%)</w:t>
            </w:r>
          </w:p>
        </w:tc>
        <w:tc>
          <w:tcPr>
            <w:tcW w:w="808" w:type="pct"/>
            <w:tcBorders>
              <w:left w:val="single" w:sz="4" w:space="0" w:color="auto"/>
              <w:right w:val="single" w:sz="4" w:space="0" w:color="auto"/>
            </w:tcBorders>
            <w:shd w:val="clear" w:color="auto" w:fill="auto"/>
            <w:vAlign w:val="center"/>
          </w:tcPr>
          <w:p w14:paraId="000B2B9E" w14:textId="77777777" w:rsidR="00354B6E" w:rsidRPr="003771DB" w:rsidRDefault="00354B6E" w:rsidP="00901E1D">
            <w:pPr>
              <w:pStyle w:val="COMTableheadingrow"/>
              <w:keepLines/>
              <w:jc w:val="center"/>
              <w:rPr>
                <w:snapToGrid w:val="0"/>
                <w:lang w:val="en-AU"/>
              </w:rPr>
            </w:pPr>
            <w:r w:rsidRPr="003771DB">
              <w:rPr>
                <w:snapToGrid w:val="0"/>
                <w:lang w:val="en-AU"/>
              </w:rPr>
              <w:t>Frequency, events per 100 patient years</w:t>
            </w:r>
          </w:p>
        </w:tc>
        <w:tc>
          <w:tcPr>
            <w:tcW w:w="807" w:type="pct"/>
            <w:tcBorders>
              <w:left w:val="single" w:sz="4" w:space="0" w:color="auto"/>
              <w:right w:val="single" w:sz="4" w:space="0" w:color="auto"/>
            </w:tcBorders>
            <w:shd w:val="clear" w:color="auto" w:fill="auto"/>
            <w:vAlign w:val="center"/>
          </w:tcPr>
          <w:p w14:paraId="4794F862" w14:textId="77777777" w:rsidR="00354B6E" w:rsidRPr="003771DB" w:rsidRDefault="00354B6E" w:rsidP="00901E1D">
            <w:pPr>
              <w:pStyle w:val="COMTableheadingrow"/>
              <w:keepLines/>
              <w:jc w:val="center"/>
              <w:rPr>
                <w:snapToGrid w:val="0"/>
                <w:lang w:val="en-AU"/>
              </w:rPr>
            </w:pPr>
            <w:r w:rsidRPr="003771DB">
              <w:rPr>
                <w:snapToGrid w:val="0"/>
                <w:lang w:val="en-AU"/>
              </w:rPr>
              <w:t xml:space="preserve">Incidence, </w:t>
            </w:r>
          </w:p>
          <w:p w14:paraId="39099E7B" w14:textId="77777777" w:rsidR="00354B6E" w:rsidRPr="003771DB" w:rsidRDefault="00354B6E" w:rsidP="00901E1D">
            <w:pPr>
              <w:pStyle w:val="COMTableheadingrow"/>
              <w:keepLines/>
              <w:jc w:val="center"/>
              <w:rPr>
                <w:snapToGrid w:val="0"/>
                <w:lang w:val="en-AU"/>
              </w:rPr>
            </w:pPr>
            <w:r w:rsidRPr="003771DB">
              <w:rPr>
                <w:snapToGrid w:val="0"/>
                <w:lang w:val="en-AU"/>
              </w:rPr>
              <w:t>patients (%)</w:t>
            </w:r>
          </w:p>
        </w:tc>
        <w:tc>
          <w:tcPr>
            <w:tcW w:w="806" w:type="pct"/>
            <w:tcBorders>
              <w:left w:val="single" w:sz="4" w:space="0" w:color="auto"/>
            </w:tcBorders>
            <w:shd w:val="clear" w:color="auto" w:fill="auto"/>
            <w:vAlign w:val="center"/>
          </w:tcPr>
          <w:p w14:paraId="41119DF7" w14:textId="77777777" w:rsidR="00354B6E" w:rsidRPr="003771DB" w:rsidRDefault="00354B6E" w:rsidP="00901E1D">
            <w:pPr>
              <w:pStyle w:val="COMTableheadingrow"/>
              <w:keepLines/>
              <w:jc w:val="center"/>
              <w:rPr>
                <w:snapToGrid w:val="0"/>
                <w:lang w:val="en-AU"/>
              </w:rPr>
            </w:pPr>
            <w:r w:rsidRPr="003771DB">
              <w:rPr>
                <w:snapToGrid w:val="0"/>
                <w:lang w:val="en-AU"/>
              </w:rPr>
              <w:t>Frequency, events per 100 patient years</w:t>
            </w:r>
          </w:p>
        </w:tc>
      </w:tr>
      <w:tr w:rsidR="00354B6E" w:rsidRPr="003771DB" w14:paraId="336F1768" w14:textId="77777777" w:rsidTr="00076B84">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C01840" w14:textId="6694CE59" w:rsidR="00354B6E" w:rsidRPr="003771DB" w:rsidRDefault="00354B6E" w:rsidP="00901E1D">
            <w:pPr>
              <w:pStyle w:val="COMTabletext"/>
              <w:keepLines/>
              <w:rPr>
                <w:b/>
                <w:snapToGrid w:val="0"/>
              </w:rPr>
            </w:pPr>
            <w:r w:rsidRPr="003771DB">
              <w:rPr>
                <w:b/>
                <w:snapToGrid w:val="0"/>
              </w:rPr>
              <w:t>ITT (N=1,961)</w:t>
            </w:r>
          </w:p>
        </w:tc>
      </w:tr>
      <w:tr w:rsidR="00354B6E" w:rsidRPr="003771DB" w14:paraId="38E2970A"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47E1C78C" w14:textId="77777777" w:rsidR="00354B6E" w:rsidRPr="003771DB" w:rsidRDefault="00354B6E" w:rsidP="00901E1D">
            <w:pPr>
              <w:pStyle w:val="COMTabletext"/>
              <w:keepLines/>
              <w:rPr>
                <w:snapToGrid w:val="0"/>
              </w:rPr>
            </w:pPr>
            <w:r w:rsidRPr="003771DB">
              <w:rPr>
                <w:snapToGrid w:val="0"/>
              </w:rPr>
              <w:t>Any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3BB12CBD" w14:textId="77777777" w:rsidR="00354B6E" w:rsidRPr="003771DB" w:rsidRDefault="00354B6E" w:rsidP="00901E1D">
            <w:pPr>
              <w:pStyle w:val="COMTabletext"/>
              <w:keepLines/>
              <w:jc w:val="center"/>
              <w:rPr>
                <w:snapToGrid w:val="0"/>
              </w:rPr>
            </w:pPr>
            <w:r w:rsidRPr="003771DB">
              <w:rPr>
                <w:snapToGrid w:val="0"/>
              </w:rPr>
              <w:t>1171 (89.7%)</w:t>
            </w:r>
          </w:p>
        </w:tc>
        <w:tc>
          <w:tcPr>
            <w:tcW w:w="808" w:type="pct"/>
            <w:tcBorders>
              <w:top w:val="single" w:sz="4" w:space="0" w:color="auto"/>
              <w:left w:val="single" w:sz="4" w:space="0" w:color="auto"/>
              <w:bottom w:val="single" w:sz="4" w:space="0" w:color="auto"/>
              <w:right w:val="single" w:sz="4" w:space="0" w:color="auto"/>
            </w:tcBorders>
            <w:vAlign w:val="center"/>
          </w:tcPr>
          <w:p w14:paraId="170E1133" w14:textId="77777777" w:rsidR="00354B6E" w:rsidRPr="003771DB" w:rsidRDefault="00354B6E" w:rsidP="00901E1D">
            <w:pPr>
              <w:pStyle w:val="COMTabletext"/>
              <w:keepLines/>
              <w:jc w:val="center"/>
              <w:rPr>
                <w:snapToGrid w:val="0"/>
              </w:rPr>
            </w:pPr>
            <w:r w:rsidRPr="003771DB">
              <w:rPr>
                <w:snapToGrid w:val="0"/>
              </w:rPr>
              <w:t>566</w:t>
            </w:r>
          </w:p>
        </w:tc>
        <w:tc>
          <w:tcPr>
            <w:tcW w:w="807" w:type="pct"/>
            <w:tcBorders>
              <w:top w:val="single" w:sz="4" w:space="0" w:color="auto"/>
              <w:left w:val="single" w:sz="4" w:space="0" w:color="auto"/>
              <w:bottom w:val="single" w:sz="4" w:space="0" w:color="auto"/>
              <w:right w:val="single" w:sz="4" w:space="0" w:color="auto"/>
            </w:tcBorders>
            <w:vAlign w:val="center"/>
          </w:tcPr>
          <w:p w14:paraId="11B69065" w14:textId="77777777" w:rsidR="00354B6E" w:rsidRPr="003771DB" w:rsidRDefault="00354B6E" w:rsidP="00901E1D">
            <w:pPr>
              <w:pStyle w:val="COMTabletext"/>
              <w:keepLines/>
              <w:jc w:val="center"/>
              <w:rPr>
                <w:snapToGrid w:val="0"/>
              </w:rPr>
            </w:pPr>
            <w:r w:rsidRPr="003771DB">
              <w:rPr>
                <w:snapToGrid w:val="0"/>
              </w:rPr>
              <w:t>566 (86.4%)</w:t>
            </w:r>
          </w:p>
        </w:tc>
        <w:tc>
          <w:tcPr>
            <w:tcW w:w="806" w:type="pct"/>
            <w:tcBorders>
              <w:top w:val="single" w:sz="4" w:space="0" w:color="auto"/>
              <w:left w:val="single" w:sz="4" w:space="0" w:color="auto"/>
              <w:bottom w:val="single" w:sz="4" w:space="0" w:color="auto"/>
              <w:right w:val="single" w:sz="4" w:space="0" w:color="auto"/>
            </w:tcBorders>
            <w:vAlign w:val="center"/>
          </w:tcPr>
          <w:p w14:paraId="23CE3561" w14:textId="77777777" w:rsidR="00354B6E" w:rsidRPr="003771DB" w:rsidRDefault="00354B6E" w:rsidP="00901E1D">
            <w:pPr>
              <w:pStyle w:val="COMTabletext"/>
              <w:keepLines/>
              <w:jc w:val="center"/>
              <w:rPr>
                <w:snapToGrid w:val="0"/>
              </w:rPr>
            </w:pPr>
            <w:r w:rsidRPr="003771DB">
              <w:rPr>
                <w:snapToGrid w:val="0"/>
              </w:rPr>
              <w:t>398</w:t>
            </w:r>
          </w:p>
        </w:tc>
      </w:tr>
      <w:tr w:rsidR="00354B6E" w:rsidRPr="003771DB" w14:paraId="65919331"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67C93B70" w14:textId="77777777" w:rsidR="00354B6E" w:rsidRPr="003771DB" w:rsidRDefault="00354B6E" w:rsidP="00901E1D">
            <w:pPr>
              <w:pStyle w:val="COMTabletext"/>
              <w:keepLines/>
              <w:rPr>
                <w:snapToGrid w:val="0"/>
              </w:rPr>
            </w:pPr>
            <w:r w:rsidRPr="003771DB">
              <w:rPr>
                <w:snapToGrid w:val="0"/>
              </w:rPr>
              <w:t>Probably-related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2DFA2B9A" w14:textId="77777777" w:rsidR="00354B6E" w:rsidRPr="003771DB" w:rsidRDefault="00354B6E" w:rsidP="00901E1D">
            <w:pPr>
              <w:pStyle w:val="COMTabletext"/>
              <w:keepLines/>
              <w:jc w:val="center"/>
              <w:rPr>
                <w:snapToGrid w:val="0"/>
              </w:rPr>
            </w:pPr>
            <w:r w:rsidRPr="003771DB">
              <w:rPr>
                <w:snapToGrid w:val="0"/>
              </w:rPr>
              <w:t>571 (43.7%)</w:t>
            </w:r>
          </w:p>
        </w:tc>
        <w:tc>
          <w:tcPr>
            <w:tcW w:w="808" w:type="pct"/>
            <w:tcBorders>
              <w:top w:val="single" w:sz="4" w:space="0" w:color="auto"/>
              <w:left w:val="single" w:sz="4" w:space="0" w:color="auto"/>
              <w:bottom w:val="single" w:sz="4" w:space="0" w:color="auto"/>
              <w:right w:val="single" w:sz="4" w:space="0" w:color="auto"/>
            </w:tcBorders>
            <w:vAlign w:val="center"/>
          </w:tcPr>
          <w:p w14:paraId="71678CB5" w14:textId="77777777" w:rsidR="00354B6E" w:rsidRPr="003771DB" w:rsidRDefault="00354B6E" w:rsidP="00901E1D">
            <w:pPr>
              <w:pStyle w:val="COMTabletext"/>
              <w:keepLines/>
              <w:jc w:val="center"/>
              <w:rPr>
                <w:snapToGrid w:val="0"/>
              </w:rPr>
            </w:pPr>
            <w:r w:rsidRPr="003771DB">
              <w:rPr>
                <w:snapToGrid w:val="0"/>
              </w:rPr>
              <w:t>126</w:t>
            </w:r>
          </w:p>
        </w:tc>
        <w:tc>
          <w:tcPr>
            <w:tcW w:w="807" w:type="pct"/>
            <w:tcBorders>
              <w:top w:val="single" w:sz="4" w:space="0" w:color="auto"/>
              <w:left w:val="single" w:sz="4" w:space="0" w:color="auto"/>
              <w:bottom w:val="single" w:sz="4" w:space="0" w:color="auto"/>
              <w:right w:val="single" w:sz="4" w:space="0" w:color="auto"/>
            </w:tcBorders>
            <w:vAlign w:val="center"/>
          </w:tcPr>
          <w:p w14:paraId="2C8DECD2" w14:textId="77777777" w:rsidR="00354B6E" w:rsidRPr="003771DB" w:rsidRDefault="00354B6E" w:rsidP="00901E1D">
            <w:pPr>
              <w:pStyle w:val="COMTabletext"/>
              <w:keepLines/>
              <w:jc w:val="center"/>
              <w:rPr>
                <w:snapToGrid w:val="0"/>
              </w:rPr>
            </w:pPr>
            <w:r w:rsidRPr="003771DB">
              <w:rPr>
                <w:snapToGrid w:val="0"/>
              </w:rPr>
              <w:t>147 (22.4%)</w:t>
            </w:r>
          </w:p>
        </w:tc>
        <w:tc>
          <w:tcPr>
            <w:tcW w:w="806" w:type="pct"/>
            <w:tcBorders>
              <w:top w:val="single" w:sz="4" w:space="0" w:color="auto"/>
              <w:left w:val="single" w:sz="4" w:space="0" w:color="auto"/>
              <w:bottom w:val="single" w:sz="4" w:space="0" w:color="auto"/>
              <w:right w:val="single" w:sz="4" w:space="0" w:color="auto"/>
            </w:tcBorders>
            <w:vAlign w:val="center"/>
          </w:tcPr>
          <w:p w14:paraId="5BC311E0" w14:textId="77777777" w:rsidR="00354B6E" w:rsidRPr="003771DB" w:rsidRDefault="00354B6E" w:rsidP="00901E1D">
            <w:pPr>
              <w:pStyle w:val="COMTabletext"/>
              <w:keepLines/>
              <w:jc w:val="center"/>
              <w:rPr>
                <w:snapToGrid w:val="0"/>
              </w:rPr>
            </w:pPr>
            <w:r w:rsidRPr="003771DB">
              <w:rPr>
                <w:snapToGrid w:val="0"/>
              </w:rPr>
              <w:t>40</w:t>
            </w:r>
          </w:p>
        </w:tc>
      </w:tr>
      <w:tr w:rsidR="00354B6E" w:rsidRPr="003771DB" w14:paraId="14DC4B45"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1CC8B052" w14:textId="77777777" w:rsidR="00354B6E" w:rsidRPr="003771DB" w:rsidRDefault="00354B6E" w:rsidP="00901E1D">
            <w:pPr>
              <w:pStyle w:val="COMTabletext"/>
              <w:keepLines/>
              <w:rPr>
                <w:snapToGrid w:val="0"/>
              </w:rPr>
            </w:pPr>
            <w:r w:rsidRPr="003771DB">
              <w:rPr>
                <w:snapToGrid w:val="0"/>
              </w:rPr>
              <w:t>Possibly-related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5A20F462" w14:textId="77777777" w:rsidR="00354B6E" w:rsidRPr="003771DB" w:rsidRDefault="00354B6E" w:rsidP="00901E1D">
            <w:pPr>
              <w:pStyle w:val="COMTabletext"/>
              <w:keepLines/>
              <w:jc w:val="center"/>
              <w:rPr>
                <w:snapToGrid w:val="0"/>
              </w:rPr>
            </w:pPr>
            <w:r w:rsidRPr="003771DB">
              <w:rPr>
                <w:snapToGrid w:val="0"/>
              </w:rPr>
              <w:t>726 (55.6%)</w:t>
            </w:r>
          </w:p>
        </w:tc>
        <w:tc>
          <w:tcPr>
            <w:tcW w:w="808" w:type="pct"/>
            <w:tcBorders>
              <w:top w:val="single" w:sz="4" w:space="0" w:color="auto"/>
              <w:left w:val="single" w:sz="4" w:space="0" w:color="auto"/>
              <w:bottom w:val="single" w:sz="4" w:space="0" w:color="auto"/>
              <w:right w:val="single" w:sz="4" w:space="0" w:color="auto"/>
            </w:tcBorders>
            <w:vAlign w:val="center"/>
          </w:tcPr>
          <w:p w14:paraId="3D4C2F17" w14:textId="77777777" w:rsidR="00354B6E" w:rsidRPr="003771DB" w:rsidRDefault="00354B6E" w:rsidP="00901E1D">
            <w:pPr>
              <w:pStyle w:val="COMTabletext"/>
              <w:keepLines/>
              <w:jc w:val="center"/>
              <w:rPr>
                <w:snapToGrid w:val="0"/>
              </w:rPr>
            </w:pPr>
            <w:r w:rsidRPr="003771DB">
              <w:rPr>
                <w:snapToGrid w:val="0"/>
              </w:rPr>
              <w:t>158</w:t>
            </w:r>
          </w:p>
        </w:tc>
        <w:tc>
          <w:tcPr>
            <w:tcW w:w="807" w:type="pct"/>
            <w:tcBorders>
              <w:top w:val="single" w:sz="4" w:space="0" w:color="auto"/>
              <w:left w:val="single" w:sz="4" w:space="0" w:color="auto"/>
              <w:bottom w:val="single" w:sz="4" w:space="0" w:color="auto"/>
              <w:right w:val="single" w:sz="4" w:space="0" w:color="auto"/>
            </w:tcBorders>
            <w:vAlign w:val="center"/>
          </w:tcPr>
          <w:p w14:paraId="2EB756E1" w14:textId="77777777" w:rsidR="00354B6E" w:rsidRPr="003771DB" w:rsidRDefault="00354B6E" w:rsidP="00901E1D">
            <w:pPr>
              <w:pStyle w:val="COMTabletext"/>
              <w:keepLines/>
              <w:jc w:val="center"/>
              <w:rPr>
                <w:snapToGrid w:val="0"/>
              </w:rPr>
            </w:pPr>
            <w:r w:rsidRPr="003771DB">
              <w:rPr>
                <w:snapToGrid w:val="0"/>
              </w:rPr>
              <w:t>223 (34.0%)</w:t>
            </w:r>
          </w:p>
        </w:tc>
        <w:tc>
          <w:tcPr>
            <w:tcW w:w="806" w:type="pct"/>
            <w:tcBorders>
              <w:top w:val="single" w:sz="4" w:space="0" w:color="auto"/>
              <w:left w:val="single" w:sz="4" w:space="0" w:color="auto"/>
              <w:bottom w:val="single" w:sz="4" w:space="0" w:color="auto"/>
              <w:right w:val="single" w:sz="4" w:space="0" w:color="auto"/>
            </w:tcBorders>
            <w:vAlign w:val="center"/>
          </w:tcPr>
          <w:p w14:paraId="4A8CC131" w14:textId="77777777" w:rsidR="00354B6E" w:rsidRPr="003771DB" w:rsidRDefault="00354B6E" w:rsidP="00901E1D">
            <w:pPr>
              <w:pStyle w:val="COMTabletext"/>
              <w:keepLines/>
              <w:jc w:val="center"/>
              <w:rPr>
                <w:snapToGrid w:val="0"/>
              </w:rPr>
            </w:pPr>
            <w:r w:rsidRPr="003771DB">
              <w:rPr>
                <w:snapToGrid w:val="0"/>
              </w:rPr>
              <w:t>67</w:t>
            </w:r>
          </w:p>
        </w:tc>
      </w:tr>
      <w:tr w:rsidR="00354B6E" w:rsidRPr="003771DB" w14:paraId="1DCA2F50"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62406111" w14:textId="77777777" w:rsidR="00354B6E" w:rsidRPr="003771DB" w:rsidRDefault="00354B6E" w:rsidP="00901E1D">
            <w:pPr>
              <w:pStyle w:val="COMTabletext"/>
              <w:keepLines/>
              <w:rPr>
                <w:snapToGrid w:val="0"/>
              </w:rPr>
            </w:pPr>
            <w:r w:rsidRPr="003771DB">
              <w:rPr>
                <w:snapToGrid w:val="0"/>
              </w:rPr>
              <w:t>Serious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5AD8C28F" w14:textId="77777777" w:rsidR="00354B6E" w:rsidRPr="003771DB" w:rsidRDefault="00354B6E" w:rsidP="00901E1D">
            <w:pPr>
              <w:pStyle w:val="COMTabletext"/>
              <w:keepLines/>
              <w:jc w:val="center"/>
              <w:rPr>
                <w:snapToGrid w:val="0"/>
              </w:rPr>
            </w:pPr>
            <w:r w:rsidRPr="003771DB">
              <w:rPr>
                <w:snapToGrid w:val="0"/>
              </w:rPr>
              <w:t>128 (9.8%)</w:t>
            </w:r>
          </w:p>
        </w:tc>
        <w:tc>
          <w:tcPr>
            <w:tcW w:w="808" w:type="pct"/>
            <w:tcBorders>
              <w:top w:val="single" w:sz="4" w:space="0" w:color="auto"/>
              <w:left w:val="single" w:sz="4" w:space="0" w:color="auto"/>
              <w:bottom w:val="single" w:sz="4" w:space="0" w:color="auto"/>
              <w:right w:val="single" w:sz="4" w:space="0" w:color="auto"/>
            </w:tcBorders>
            <w:vAlign w:val="center"/>
          </w:tcPr>
          <w:p w14:paraId="48ACCBAE" w14:textId="77777777" w:rsidR="00354B6E" w:rsidRPr="003771DB" w:rsidRDefault="00354B6E" w:rsidP="00901E1D">
            <w:pPr>
              <w:pStyle w:val="COMTabletext"/>
              <w:keepLines/>
              <w:jc w:val="center"/>
              <w:rPr>
                <w:snapToGrid w:val="0"/>
              </w:rPr>
            </w:pPr>
            <w:r w:rsidRPr="003771DB">
              <w:rPr>
                <w:snapToGrid w:val="0"/>
              </w:rPr>
              <w:t>10</w:t>
            </w:r>
          </w:p>
        </w:tc>
        <w:tc>
          <w:tcPr>
            <w:tcW w:w="807" w:type="pct"/>
            <w:tcBorders>
              <w:top w:val="single" w:sz="4" w:space="0" w:color="auto"/>
              <w:left w:val="single" w:sz="4" w:space="0" w:color="auto"/>
              <w:bottom w:val="single" w:sz="4" w:space="0" w:color="auto"/>
              <w:right w:val="single" w:sz="4" w:space="0" w:color="auto"/>
            </w:tcBorders>
            <w:vAlign w:val="center"/>
          </w:tcPr>
          <w:p w14:paraId="280EA2FC" w14:textId="77777777" w:rsidR="00354B6E" w:rsidRPr="003771DB" w:rsidRDefault="00354B6E" w:rsidP="00901E1D">
            <w:pPr>
              <w:pStyle w:val="COMTabletext"/>
              <w:keepLines/>
              <w:jc w:val="center"/>
              <w:rPr>
                <w:snapToGrid w:val="0"/>
              </w:rPr>
            </w:pPr>
            <w:r w:rsidRPr="003771DB">
              <w:rPr>
                <w:snapToGrid w:val="0"/>
              </w:rPr>
              <w:t>42 (6.4%)</w:t>
            </w:r>
          </w:p>
        </w:tc>
        <w:tc>
          <w:tcPr>
            <w:tcW w:w="806" w:type="pct"/>
            <w:tcBorders>
              <w:top w:val="single" w:sz="4" w:space="0" w:color="auto"/>
              <w:left w:val="single" w:sz="4" w:space="0" w:color="auto"/>
              <w:bottom w:val="single" w:sz="4" w:space="0" w:color="auto"/>
              <w:right w:val="single" w:sz="4" w:space="0" w:color="auto"/>
            </w:tcBorders>
            <w:vAlign w:val="center"/>
          </w:tcPr>
          <w:p w14:paraId="548F700B" w14:textId="77777777" w:rsidR="00354B6E" w:rsidRPr="003771DB" w:rsidRDefault="00354B6E" w:rsidP="00901E1D">
            <w:pPr>
              <w:pStyle w:val="COMTabletext"/>
              <w:keepLines/>
              <w:jc w:val="center"/>
              <w:rPr>
                <w:snapToGrid w:val="0"/>
              </w:rPr>
            </w:pPr>
            <w:r w:rsidRPr="003771DB">
              <w:rPr>
                <w:snapToGrid w:val="0"/>
              </w:rPr>
              <w:t>6</w:t>
            </w:r>
          </w:p>
        </w:tc>
      </w:tr>
      <w:tr w:rsidR="00354B6E" w:rsidRPr="003771DB" w14:paraId="66A4F377"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7085D751" w14:textId="77777777" w:rsidR="00354B6E" w:rsidRPr="003771DB" w:rsidRDefault="00354B6E" w:rsidP="00901E1D">
            <w:pPr>
              <w:pStyle w:val="COMTabletext"/>
              <w:keepLines/>
              <w:rPr>
                <w:snapToGrid w:val="0"/>
              </w:rPr>
            </w:pPr>
            <w:r w:rsidRPr="003771DB">
              <w:rPr>
                <w:snapToGrid w:val="0"/>
              </w:rPr>
              <w:t>Adverse event leading to discontinuation</w:t>
            </w:r>
          </w:p>
        </w:tc>
        <w:tc>
          <w:tcPr>
            <w:tcW w:w="807" w:type="pct"/>
            <w:tcBorders>
              <w:top w:val="single" w:sz="4" w:space="0" w:color="auto"/>
              <w:left w:val="single" w:sz="4" w:space="0" w:color="auto"/>
              <w:bottom w:val="single" w:sz="4" w:space="0" w:color="auto"/>
              <w:right w:val="single" w:sz="4" w:space="0" w:color="auto"/>
            </w:tcBorders>
            <w:vAlign w:val="center"/>
          </w:tcPr>
          <w:p w14:paraId="59A234A9" w14:textId="77777777" w:rsidR="00354B6E" w:rsidRPr="003771DB" w:rsidRDefault="00354B6E" w:rsidP="00901E1D">
            <w:pPr>
              <w:pStyle w:val="COMTabletext"/>
              <w:keepLines/>
              <w:jc w:val="center"/>
              <w:rPr>
                <w:snapToGrid w:val="0"/>
              </w:rPr>
            </w:pPr>
            <w:r w:rsidRPr="003771DB">
              <w:rPr>
                <w:snapToGrid w:val="0"/>
              </w:rPr>
              <w:t>92 (7.0%)</w:t>
            </w:r>
          </w:p>
        </w:tc>
        <w:tc>
          <w:tcPr>
            <w:tcW w:w="808" w:type="pct"/>
            <w:tcBorders>
              <w:top w:val="single" w:sz="4" w:space="0" w:color="auto"/>
              <w:left w:val="single" w:sz="4" w:space="0" w:color="auto"/>
              <w:bottom w:val="single" w:sz="4" w:space="0" w:color="auto"/>
              <w:right w:val="single" w:sz="4" w:space="0" w:color="auto"/>
            </w:tcBorders>
            <w:vAlign w:val="center"/>
          </w:tcPr>
          <w:p w14:paraId="3ECB2983" w14:textId="77777777" w:rsidR="00354B6E" w:rsidRPr="003771DB" w:rsidRDefault="00354B6E" w:rsidP="00901E1D">
            <w:pPr>
              <w:pStyle w:val="COMTabletext"/>
              <w:keepLines/>
              <w:jc w:val="center"/>
              <w:rPr>
                <w:snapToGrid w:val="0"/>
              </w:rPr>
            </w:pPr>
            <w:r w:rsidRPr="003771DB">
              <w:rPr>
                <w:snapToGrid w:val="0"/>
              </w:rPr>
              <w:t>7</w:t>
            </w:r>
          </w:p>
        </w:tc>
        <w:tc>
          <w:tcPr>
            <w:tcW w:w="807" w:type="pct"/>
            <w:tcBorders>
              <w:top w:val="single" w:sz="4" w:space="0" w:color="auto"/>
              <w:left w:val="single" w:sz="4" w:space="0" w:color="auto"/>
              <w:bottom w:val="single" w:sz="4" w:space="0" w:color="auto"/>
              <w:right w:val="single" w:sz="4" w:space="0" w:color="auto"/>
            </w:tcBorders>
            <w:vAlign w:val="center"/>
          </w:tcPr>
          <w:p w14:paraId="13045292" w14:textId="77777777" w:rsidR="00354B6E" w:rsidRPr="003771DB" w:rsidRDefault="00354B6E" w:rsidP="00901E1D">
            <w:pPr>
              <w:pStyle w:val="COMTabletext"/>
              <w:keepLines/>
              <w:jc w:val="center"/>
              <w:rPr>
                <w:snapToGrid w:val="0"/>
              </w:rPr>
            </w:pPr>
            <w:r w:rsidRPr="003771DB">
              <w:rPr>
                <w:snapToGrid w:val="0"/>
              </w:rPr>
              <w:t>20 (3.1%)</w:t>
            </w:r>
          </w:p>
        </w:tc>
        <w:tc>
          <w:tcPr>
            <w:tcW w:w="806" w:type="pct"/>
            <w:tcBorders>
              <w:top w:val="single" w:sz="4" w:space="0" w:color="auto"/>
              <w:left w:val="single" w:sz="4" w:space="0" w:color="auto"/>
              <w:bottom w:val="single" w:sz="4" w:space="0" w:color="auto"/>
              <w:right w:val="single" w:sz="4" w:space="0" w:color="auto"/>
            </w:tcBorders>
            <w:vAlign w:val="center"/>
          </w:tcPr>
          <w:p w14:paraId="27E0658F" w14:textId="77777777" w:rsidR="00354B6E" w:rsidRPr="003771DB" w:rsidRDefault="00354B6E" w:rsidP="00901E1D">
            <w:pPr>
              <w:pStyle w:val="COMTabletext"/>
              <w:keepLines/>
              <w:jc w:val="center"/>
              <w:rPr>
                <w:snapToGrid w:val="0"/>
              </w:rPr>
            </w:pPr>
            <w:r w:rsidRPr="003771DB">
              <w:rPr>
                <w:snapToGrid w:val="0"/>
              </w:rPr>
              <w:t>3</w:t>
            </w:r>
          </w:p>
        </w:tc>
      </w:tr>
      <w:tr w:rsidR="00354B6E" w:rsidRPr="003771DB" w14:paraId="76C2E634" w14:textId="77777777" w:rsidTr="00354B6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F42883" w14:textId="7BCC5308" w:rsidR="00354B6E" w:rsidRPr="003771DB" w:rsidRDefault="00354B6E" w:rsidP="00901E1D">
            <w:pPr>
              <w:pStyle w:val="COMTabletext"/>
              <w:keepLines/>
              <w:rPr>
                <w:snapToGrid w:val="0"/>
              </w:rPr>
            </w:pPr>
            <w:r w:rsidRPr="003771DB">
              <w:rPr>
                <w:b/>
                <w:bCs w:val="0"/>
                <w:snapToGrid w:val="0"/>
              </w:rPr>
              <w:t xml:space="preserve">BMI </w:t>
            </w:r>
            <w:r w:rsidR="0005588E" w:rsidRPr="003771DB">
              <w:rPr>
                <w:b/>
                <w:bCs w:val="0"/>
                <w:snapToGrid w:val="0"/>
              </w:rPr>
              <w:t>≥</w:t>
            </w:r>
            <w:r w:rsidRPr="003771DB">
              <w:rPr>
                <w:b/>
                <w:bCs w:val="0"/>
                <w:snapToGrid w:val="0"/>
              </w:rPr>
              <w:t>35 kg/m</w:t>
            </w:r>
            <w:r w:rsidRPr="003771DB">
              <w:rPr>
                <w:b/>
                <w:bCs w:val="0"/>
                <w:snapToGrid w:val="0"/>
                <w:vertAlign w:val="superscript"/>
              </w:rPr>
              <w:t>2</w:t>
            </w:r>
            <w:r w:rsidRPr="003771DB">
              <w:rPr>
                <w:b/>
                <w:bCs w:val="0"/>
                <w:snapToGrid w:val="0"/>
              </w:rPr>
              <w:t xml:space="preserve"> and </w:t>
            </w:r>
            <w:r w:rsidR="0005588E" w:rsidRPr="003771DB">
              <w:rPr>
                <w:b/>
                <w:bCs w:val="0"/>
                <w:snapToGrid w:val="0"/>
              </w:rPr>
              <w:t>≥</w:t>
            </w:r>
            <w:r w:rsidRPr="003771DB">
              <w:rPr>
                <w:b/>
                <w:bCs w:val="0"/>
                <w:snapToGrid w:val="0"/>
              </w:rPr>
              <w:t>2 weight-related comorbidities with OSA or KOA (N=273; 13.9% of trial population)</w:t>
            </w:r>
          </w:p>
        </w:tc>
      </w:tr>
      <w:tr w:rsidR="00354B6E" w:rsidRPr="003771DB" w14:paraId="2AB9FAAC"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2633E19F" w14:textId="49E849DE" w:rsidR="00354B6E" w:rsidRPr="003771DB" w:rsidRDefault="00354B6E" w:rsidP="00901E1D">
            <w:pPr>
              <w:pStyle w:val="COMTabletext"/>
              <w:keepLines/>
              <w:rPr>
                <w:snapToGrid w:val="0"/>
              </w:rPr>
            </w:pPr>
            <w:r w:rsidRPr="003771DB">
              <w:rPr>
                <w:snapToGrid w:val="0"/>
              </w:rPr>
              <w:t>Any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2F636150" w14:textId="6F66B4C1" w:rsidR="00354B6E" w:rsidRPr="003771DB" w:rsidRDefault="00354B6E" w:rsidP="00901E1D">
            <w:pPr>
              <w:pStyle w:val="COMTabletext"/>
              <w:keepLines/>
              <w:jc w:val="center"/>
              <w:rPr>
                <w:snapToGrid w:val="0"/>
              </w:rPr>
            </w:pPr>
            <w:r w:rsidRPr="003771DB">
              <w:rPr>
                <w:snapToGrid w:val="0"/>
              </w:rPr>
              <w:t>170 (93.9%)</w:t>
            </w:r>
          </w:p>
        </w:tc>
        <w:tc>
          <w:tcPr>
            <w:tcW w:w="808" w:type="pct"/>
            <w:tcBorders>
              <w:top w:val="single" w:sz="4" w:space="0" w:color="auto"/>
              <w:left w:val="single" w:sz="4" w:space="0" w:color="auto"/>
              <w:bottom w:val="single" w:sz="4" w:space="0" w:color="auto"/>
              <w:right w:val="single" w:sz="4" w:space="0" w:color="auto"/>
            </w:tcBorders>
            <w:vAlign w:val="center"/>
          </w:tcPr>
          <w:p w14:paraId="1298F7A8" w14:textId="5231563C" w:rsidR="00354B6E" w:rsidRPr="003771DB" w:rsidRDefault="00354B6E" w:rsidP="00901E1D">
            <w:pPr>
              <w:pStyle w:val="COMTabletext"/>
              <w:keepLines/>
              <w:jc w:val="center"/>
              <w:rPr>
                <w:snapToGrid w:val="0"/>
              </w:rPr>
            </w:pPr>
            <w:r w:rsidRPr="003771DB">
              <w:rPr>
                <w:snapToGrid w:val="0"/>
              </w:rPr>
              <w:t>642</w:t>
            </w:r>
          </w:p>
        </w:tc>
        <w:tc>
          <w:tcPr>
            <w:tcW w:w="807" w:type="pct"/>
            <w:tcBorders>
              <w:top w:val="single" w:sz="4" w:space="0" w:color="auto"/>
              <w:left w:val="single" w:sz="4" w:space="0" w:color="auto"/>
              <w:bottom w:val="single" w:sz="4" w:space="0" w:color="auto"/>
              <w:right w:val="single" w:sz="4" w:space="0" w:color="auto"/>
            </w:tcBorders>
            <w:vAlign w:val="center"/>
          </w:tcPr>
          <w:p w14:paraId="1161A759" w14:textId="49C61B08" w:rsidR="00354B6E" w:rsidRPr="003771DB" w:rsidRDefault="00354B6E" w:rsidP="00901E1D">
            <w:pPr>
              <w:pStyle w:val="COMTabletext"/>
              <w:keepLines/>
              <w:jc w:val="center"/>
              <w:rPr>
                <w:snapToGrid w:val="0"/>
              </w:rPr>
            </w:pPr>
            <w:r w:rsidRPr="003771DB">
              <w:rPr>
                <w:snapToGrid w:val="0"/>
              </w:rPr>
              <w:t>89 (96.7%)</w:t>
            </w:r>
          </w:p>
        </w:tc>
        <w:tc>
          <w:tcPr>
            <w:tcW w:w="806" w:type="pct"/>
            <w:tcBorders>
              <w:top w:val="single" w:sz="4" w:space="0" w:color="auto"/>
              <w:left w:val="single" w:sz="4" w:space="0" w:color="auto"/>
              <w:bottom w:val="single" w:sz="4" w:space="0" w:color="auto"/>
              <w:right w:val="single" w:sz="4" w:space="0" w:color="auto"/>
            </w:tcBorders>
            <w:vAlign w:val="center"/>
          </w:tcPr>
          <w:p w14:paraId="6A5DC776" w14:textId="5007D693" w:rsidR="00354B6E" w:rsidRPr="003771DB" w:rsidRDefault="00354B6E" w:rsidP="00901E1D">
            <w:pPr>
              <w:pStyle w:val="COMTabletext"/>
              <w:keepLines/>
              <w:jc w:val="center"/>
              <w:rPr>
                <w:snapToGrid w:val="0"/>
              </w:rPr>
            </w:pPr>
            <w:r w:rsidRPr="003771DB">
              <w:rPr>
                <w:snapToGrid w:val="0"/>
              </w:rPr>
              <w:t>592</w:t>
            </w:r>
          </w:p>
        </w:tc>
      </w:tr>
      <w:tr w:rsidR="00354B6E" w:rsidRPr="003771DB" w14:paraId="512D30C9"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0F2B153E" w14:textId="57BFA8FB" w:rsidR="00354B6E" w:rsidRPr="003771DB" w:rsidRDefault="00354B6E" w:rsidP="00901E1D">
            <w:pPr>
              <w:pStyle w:val="COMTabletext"/>
              <w:keepLines/>
              <w:rPr>
                <w:snapToGrid w:val="0"/>
              </w:rPr>
            </w:pPr>
            <w:r w:rsidRPr="003771DB">
              <w:rPr>
                <w:snapToGrid w:val="0"/>
              </w:rPr>
              <w:t>Probably-related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02DAA645" w14:textId="6EC28E61" w:rsidR="00354B6E" w:rsidRPr="003771DB" w:rsidRDefault="00354B6E" w:rsidP="00901E1D">
            <w:pPr>
              <w:pStyle w:val="COMTabletext"/>
              <w:keepLines/>
              <w:jc w:val="center"/>
              <w:rPr>
                <w:snapToGrid w:val="0"/>
              </w:rPr>
            </w:pPr>
            <w:r w:rsidRPr="003771DB">
              <w:rPr>
                <w:snapToGrid w:val="0"/>
              </w:rPr>
              <w:t>84 (46.4%)</w:t>
            </w:r>
          </w:p>
        </w:tc>
        <w:tc>
          <w:tcPr>
            <w:tcW w:w="808" w:type="pct"/>
            <w:tcBorders>
              <w:top w:val="single" w:sz="4" w:space="0" w:color="auto"/>
              <w:left w:val="single" w:sz="4" w:space="0" w:color="auto"/>
              <w:bottom w:val="single" w:sz="4" w:space="0" w:color="auto"/>
              <w:right w:val="single" w:sz="4" w:space="0" w:color="auto"/>
            </w:tcBorders>
            <w:vAlign w:val="center"/>
          </w:tcPr>
          <w:p w14:paraId="19296821" w14:textId="38DD2057" w:rsidR="00354B6E" w:rsidRPr="003771DB" w:rsidRDefault="00354B6E" w:rsidP="00901E1D">
            <w:pPr>
              <w:pStyle w:val="COMTabletext"/>
              <w:keepLines/>
              <w:jc w:val="center"/>
              <w:rPr>
                <w:snapToGrid w:val="0"/>
              </w:rPr>
            </w:pPr>
            <w:r w:rsidRPr="003771DB">
              <w:rPr>
                <w:snapToGrid w:val="0"/>
              </w:rPr>
              <w:t>131</w:t>
            </w:r>
          </w:p>
        </w:tc>
        <w:tc>
          <w:tcPr>
            <w:tcW w:w="807" w:type="pct"/>
            <w:tcBorders>
              <w:top w:val="single" w:sz="4" w:space="0" w:color="auto"/>
              <w:left w:val="single" w:sz="4" w:space="0" w:color="auto"/>
              <w:bottom w:val="single" w:sz="4" w:space="0" w:color="auto"/>
              <w:right w:val="single" w:sz="4" w:space="0" w:color="auto"/>
            </w:tcBorders>
            <w:vAlign w:val="center"/>
          </w:tcPr>
          <w:p w14:paraId="648C8345" w14:textId="162E8240" w:rsidR="00354B6E" w:rsidRPr="003771DB" w:rsidRDefault="00354B6E" w:rsidP="00901E1D">
            <w:pPr>
              <w:pStyle w:val="COMTabletext"/>
              <w:keepLines/>
              <w:jc w:val="center"/>
              <w:rPr>
                <w:snapToGrid w:val="0"/>
              </w:rPr>
            </w:pPr>
            <w:r w:rsidRPr="003771DB">
              <w:rPr>
                <w:snapToGrid w:val="0"/>
              </w:rPr>
              <w:t>27 (29.3%)</w:t>
            </w:r>
          </w:p>
        </w:tc>
        <w:tc>
          <w:tcPr>
            <w:tcW w:w="806" w:type="pct"/>
            <w:tcBorders>
              <w:top w:val="single" w:sz="4" w:space="0" w:color="auto"/>
              <w:left w:val="single" w:sz="4" w:space="0" w:color="auto"/>
              <w:bottom w:val="single" w:sz="4" w:space="0" w:color="auto"/>
              <w:right w:val="single" w:sz="4" w:space="0" w:color="auto"/>
            </w:tcBorders>
            <w:vAlign w:val="center"/>
          </w:tcPr>
          <w:p w14:paraId="7D94D145" w14:textId="11478029" w:rsidR="00354B6E" w:rsidRPr="003771DB" w:rsidRDefault="00354B6E" w:rsidP="00901E1D">
            <w:pPr>
              <w:pStyle w:val="COMTabletext"/>
              <w:keepLines/>
              <w:jc w:val="center"/>
              <w:rPr>
                <w:snapToGrid w:val="0"/>
              </w:rPr>
            </w:pPr>
            <w:r w:rsidRPr="003771DB">
              <w:rPr>
                <w:snapToGrid w:val="0"/>
              </w:rPr>
              <w:t>43</w:t>
            </w:r>
          </w:p>
        </w:tc>
      </w:tr>
      <w:tr w:rsidR="00354B6E" w:rsidRPr="003771DB" w14:paraId="13CFA5D4"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3693989B" w14:textId="7F0C4D21" w:rsidR="00354B6E" w:rsidRPr="003771DB" w:rsidRDefault="00354B6E" w:rsidP="00901E1D">
            <w:pPr>
              <w:pStyle w:val="COMTabletext"/>
              <w:keepLines/>
              <w:rPr>
                <w:snapToGrid w:val="0"/>
              </w:rPr>
            </w:pPr>
            <w:r w:rsidRPr="003771DB">
              <w:rPr>
                <w:snapToGrid w:val="0"/>
              </w:rPr>
              <w:t>Possibly-related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57523059" w14:textId="15F7D996" w:rsidR="00354B6E" w:rsidRPr="003771DB" w:rsidRDefault="00354B6E" w:rsidP="00901E1D">
            <w:pPr>
              <w:pStyle w:val="COMTabletext"/>
              <w:keepLines/>
              <w:jc w:val="center"/>
              <w:rPr>
                <w:snapToGrid w:val="0"/>
              </w:rPr>
            </w:pPr>
            <w:r w:rsidRPr="003771DB">
              <w:rPr>
                <w:snapToGrid w:val="0"/>
              </w:rPr>
              <w:t>109 (60.2%)</w:t>
            </w:r>
          </w:p>
        </w:tc>
        <w:tc>
          <w:tcPr>
            <w:tcW w:w="808" w:type="pct"/>
            <w:tcBorders>
              <w:top w:val="single" w:sz="4" w:space="0" w:color="auto"/>
              <w:left w:val="single" w:sz="4" w:space="0" w:color="auto"/>
              <w:bottom w:val="single" w:sz="4" w:space="0" w:color="auto"/>
              <w:right w:val="single" w:sz="4" w:space="0" w:color="auto"/>
            </w:tcBorders>
            <w:vAlign w:val="center"/>
          </w:tcPr>
          <w:p w14:paraId="0715AF76" w14:textId="606306DD" w:rsidR="00354B6E" w:rsidRPr="003771DB" w:rsidRDefault="00354B6E" w:rsidP="00901E1D">
            <w:pPr>
              <w:pStyle w:val="COMTabletext"/>
              <w:keepLines/>
              <w:jc w:val="center"/>
              <w:rPr>
                <w:snapToGrid w:val="0"/>
              </w:rPr>
            </w:pPr>
            <w:r w:rsidRPr="003771DB">
              <w:rPr>
                <w:snapToGrid w:val="0"/>
              </w:rPr>
              <w:t>178</w:t>
            </w:r>
          </w:p>
        </w:tc>
        <w:tc>
          <w:tcPr>
            <w:tcW w:w="807" w:type="pct"/>
            <w:tcBorders>
              <w:top w:val="single" w:sz="4" w:space="0" w:color="auto"/>
              <w:left w:val="single" w:sz="4" w:space="0" w:color="auto"/>
              <w:bottom w:val="single" w:sz="4" w:space="0" w:color="auto"/>
              <w:right w:val="single" w:sz="4" w:space="0" w:color="auto"/>
            </w:tcBorders>
            <w:vAlign w:val="center"/>
          </w:tcPr>
          <w:p w14:paraId="65F8EF46" w14:textId="520B2F0A" w:rsidR="00354B6E" w:rsidRPr="003771DB" w:rsidRDefault="00354B6E" w:rsidP="00901E1D">
            <w:pPr>
              <w:pStyle w:val="COMTabletext"/>
              <w:keepLines/>
              <w:jc w:val="center"/>
              <w:rPr>
                <w:snapToGrid w:val="0"/>
              </w:rPr>
            </w:pPr>
            <w:r w:rsidRPr="003771DB">
              <w:rPr>
                <w:snapToGrid w:val="0"/>
              </w:rPr>
              <w:t>34 (37.0%)</w:t>
            </w:r>
          </w:p>
        </w:tc>
        <w:tc>
          <w:tcPr>
            <w:tcW w:w="806" w:type="pct"/>
            <w:tcBorders>
              <w:top w:val="single" w:sz="4" w:space="0" w:color="auto"/>
              <w:left w:val="single" w:sz="4" w:space="0" w:color="auto"/>
              <w:bottom w:val="single" w:sz="4" w:space="0" w:color="auto"/>
              <w:right w:val="single" w:sz="4" w:space="0" w:color="auto"/>
            </w:tcBorders>
            <w:vAlign w:val="center"/>
          </w:tcPr>
          <w:p w14:paraId="1A002D1E" w14:textId="12187BE9" w:rsidR="00354B6E" w:rsidRPr="003771DB" w:rsidRDefault="00354B6E" w:rsidP="00901E1D">
            <w:pPr>
              <w:pStyle w:val="COMTabletext"/>
              <w:keepLines/>
              <w:jc w:val="center"/>
              <w:rPr>
                <w:snapToGrid w:val="0"/>
              </w:rPr>
            </w:pPr>
            <w:r w:rsidRPr="003771DB">
              <w:rPr>
                <w:snapToGrid w:val="0"/>
              </w:rPr>
              <w:t>80</w:t>
            </w:r>
          </w:p>
        </w:tc>
      </w:tr>
      <w:tr w:rsidR="00354B6E" w:rsidRPr="003771DB" w14:paraId="3C5A9C3C"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51D62139" w14:textId="505654FD" w:rsidR="00354B6E" w:rsidRPr="003771DB" w:rsidRDefault="00354B6E" w:rsidP="00901E1D">
            <w:pPr>
              <w:pStyle w:val="COMTabletext"/>
              <w:keepLines/>
              <w:rPr>
                <w:snapToGrid w:val="0"/>
              </w:rPr>
            </w:pPr>
            <w:r w:rsidRPr="003771DB">
              <w:rPr>
                <w:snapToGrid w:val="0"/>
              </w:rPr>
              <w:t>Serious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1EC572DB" w14:textId="1B07425B" w:rsidR="00354B6E" w:rsidRPr="003771DB" w:rsidRDefault="00354B6E" w:rsidP="00901E1D">
            <w:pPr>
              <w:pStyle w:val="COMTabletext"/>
              <w:keepLines/>
              <w:jc w:val="center"/>
              <w:rPr>
                <w:snapToGrid w:val="0"/>
              </w:rPr>
            </w:pPr>
            <w:r w:rsidRPr="003771DB">
              <w:rPr>
                <w:snapToGrid w:val="0"/>
              </w:rPr>
              <w:t>23 (12.7%)</w:t>
            </w:r>
          </w:p>
        </w:tc>
        <w:tc>
          <w:tcPr>
            <w:tcW w:w="808" w:type="pct"/>
            <w:tcBorders>
              <w:top w:val="single" w:sz="4" w:space="0" w:color="auto"/>
              <w:left w:val="single" w:sz="4" w:space="0" w:color="auto"/>
              <w:bottom w:val="single" w:sz="4" w:space="0" w:color="auto"/>
              <w:right w:val="single" w:sz="4" w:space="0" w:color="auto"/>
            </w:tcBorders>
            <w:vAlign w:val="center"/>
          </w:tcPr>
          <w:p w14:paraId="17D40BA9" w14:textId="00896BBD" w:rsidR="00354B6E" w:rsidRPr="003771DB" w:rsidRDefault="00354B6E" w:rsidP="00901E1D">
            <w:pPr>
              <w:pStyle w:val="COMTabletext"/>
              <w:keepLines/>
              <w:jc w:val="center"/>
              <w:rPr>
                <w:snapToGrid w:val="0"/>
              </w:rPr>
            </w:pPr>
            <w:r w:rsidRPr="003771DB">
              <w:rPr>
                <w:snapToGrid w:val="0"/>
              </w:rPr>
              <w:t>13</w:t>
            </w:r>
          </w:p>
        </w:tc>
        <w:tc>
          <w:tcPr>
            <w:tcW w:w="807" w:type="pct"/>
            <w:tcBorders>
              <w:top w:val="single" w:sz="4" w:space="0" w:color="auto"/>
              <w:left w:val="single" w:sz="4" w:space="0" w:color="auto"/>
              <w:bottom w:val="single" w:sz="4" w:space="0" w:color="auto"/>
              <w:right w:val="single" w:sz="4" w:space="0" w:color="auto"/>
            </w:tcBorders>
            <w:vAlign w:val="center"/>
          </w:tcPr>
          <w:p w14:paraId="3CD00C8A" w14:textId="32F6DA7F" w:rsidR="00354B6E" w:rsidRPr="003771DB" w:rsidRDefault="00354B6E" w:rsidP="00901E1D">
            <w:pPr>
              <w:pStyle w:val="COMTabletext"/>
              <w:keepLines/>
              <w:jc w:val="center"/>
              <w:rPr>
                <w:snapToGrid w:val="0"/>
              </w:rPr>
            </w:pPr>
            <w:r w:rsidRPr="003771DB">
              <w:rPr>
                <w:snapToGrid w:val="0"/>
              </w:rPr>
              <w:t>8 (8.7%)</w:t>
            </w:r>
          </w:p>
        </w:tc>
        <w:tc>
          <w:tcPr>
            <w:tcW w:w="806" w:type="pct"/>
            <w:tcBorders>
              <w:top w:val="single" w:sz="4" w:space="0" w:color="auto"/>
              <w:left w:val="single" w:sz="4" w:space="0" w:color="auto"/>
              <w:bottom w:val="single" w:sz="4" w:space="0" w:color="auto"/>
              <w:right w:val="single" w:sz="4" w:space="0" w:color="auto"/>
            </w:tcBorders>
            <w:vAlign w:val="center"/>
          </w:tcPr>
          <w:p w14:paraId="147DE22D" w14:textId="432913C1" w:rsidR="00354B6E" w:rsidRPr="003771DB" w:rsidRDefault="00354B6E" w:rsidP="00901E1D">
            <w:pPr>
              <w:pStyle w:val="COMTabletext"/>
              <w:keepLines/>
              <w:jc w:val="center"/>
              <w:rPr>
                <w:snapToGrid w:val="0"/>
              </w:rPr>
            </w:pPr>
            <w:r w:rsidRPr="003771DB">
              <w:rPr>
                <w:snapToGrid w:val="0"/>
              </w:rPr>
              <w:t>10</w:t>
            </w:r>
          </w:p>
        </w:tc>
      </w:tr>
      <w:tr w:rsidR="00354B6E" w:rsidRPr="003771DB" w14:paraId="0475D255"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35A581AE" w14:textId="19E79B62" w:rsidR="00354B6E" w:rsidRPr="003771DB" w:rsidRDefault="00354B6E" w:rsidP="00901E1D">
            <w:pPr>
              <w:pStyle w:val="COMTabletext"/>
              <w:keepLines/>
              <w:rPr>
                <w:snapToGrid w:val="0"/>
              </w:rPr>
            </w:pPr>
            <w:r w:rsidRPr="003771DB">
              <w:rPr>
                <w:snapToGrid w:val="0"/>
              </w:rPr>
              <w:t>Adverse event leading to discontinuation</w:t>
            </w:r>
          </w:p>
        </w:tc>
        <w:tc>
          <w:tcPr>
            <w:tcW w:w="807" w:type="pct"/>
            <w:tcBorders>
              <w:top w:val="single" w:sz="4" w:space="0" w:color="auto"/>
              <w:left w:val="single" w:sz="4" w:space="0" w:color="auto"/>
              <w:bottom w:val="single" w:sz="4" w:space="0" w:color="auto"/>
              <w:right w:val="single" w:sz="4" w:space="0" w:color="auto"/>
            </w:tcBorders>
            <w:vAlign w:val="center"/>
          </w:tcPr>
          <w:p w14:paraId="296CB0E0" w14:textId="6540CCAD" w:rsidR="00354B6E" w:rsidRPr="003771DB" w:rsidRDefault="00354B6E" w:rsidP="00901E1D">
            <w:pPr>
              <w:pStyle w:val="COMTabletext"/>
              <w:keepLines/>
              <w:jc w:val="center"/>
              <w:rPr>
                <w:snapToGrid w:val="0"/>
              </w:rPr>
            </w:pPr>
            <w:r w:rsidRPr="003771DB">
              <w:rPr>
                <w:snapToGrid w:val="0"/>
              </w:rPr>
              <w:t>11 (6.1%)</w:t>
            </w:r>
          </w:p>
        </w:tc>
        <w:tc>
          <w:tcPr>
            <w:tcW w:w="808" w:type="pct"/>
            <w:tcBorders>
              <w:top w:val="single" w:sz="4" w:space="0" w:color="auto"/>
              <w:left w:val="single" w:sz="4" w:space="0" w:color="auto"/>
              <w:bottom w:val="single" w:sz="4" w:space="0" w:color="auto"/>
              <w:right w:val="single" w:sz="4" w:space="0" w:color="auto"/>
            </w:tcBorders>
            <w:vAlign w:val="center"/>
          </w:tcPr>
          <w:p w14:paraId="49CA51D9" w14:textId="01F8ED08" w:rsidR="00354B6E" w:rsidRPr="003771DB" w:rsidRDefault="00354B6E" w:rsidP="00901E1D">
            <w:pPr>
              <w:pStyle w:val="COMTabletext"/>
              <w:keepLines/>
              <w:jc w:val="center"/>
              <w:rPr>
                <w:snapToGrid w:val="0"/>
              </w:rPr>
            </w:pPr>
            <w:r w:rsidRPr="003771DB">
              <w:rPr>
                <w:snapToGrid w:val="0"/>
              </w:rPr>
              <w:t>6</w:t>
            </w:r>
          </w:p>
        </w:tc>
        <w:tc>
          <w:tcPr>
            <w:tcW w:w="807" w:type="pct"/>
            <w:tcBorders>
              <w:top w:val="single" w:sz="4" w:space="0" w:color="auto"/>
              <w:left w:val="single" w:sz="4" w:space="0" w:color="auto"/>
              <w:bottom w:val="single" w:sz="4" w:space="0" w:color="auto"/>
              <w:right w:val="single" w:sz="4" w:space="0" w:color="auto"/>
            </w:tcBorders>
            <w:vAlign w:val="center"/>
          </w:tcPr>
          <w:p w14:paraId="71B2CED1" w14:textId="45A9F9C3" w:rsidR="00354B6E" w:rsidRPr="003771DB" w:rsidRDefault="00354B6E" w:rsidP="00901E1D">
            <w:pPr>
              <w:pStyle w:val="COMTabletext"/>
              <w:keepLines/>
              <w:jc w:val="center"/>
              <w:rPr>
                <w:snapToGrid w:val="0"/>
              </w:rPr>
            </w:pPr>
            <w:r w:rsidRPr="003771DB">
              <w:rPr>
                <w:snapToGrid w:val="0"/>
              </w:rPr>
              <w:t>1 (1.1%)</w:t>
            </w:r>
          </w:p>
        </w:tc>
        <w:tc>
          <w:tcPr>
            <w:tcW w:w="806" w:type="pct"/>
            <w:tcBorders>
              <w:top w:val="single" w:sz="4" w:space="0" w:color="auto"/>
              <w:left w:val="single" w:sz="4" w:space="0" w:color="auto"/>
              <w:bottom w:val="single" w:sz="4" w:space="0" w:color="auto"/>
              <w:right w:val="single" w:sz="4" w:space="0" w:color="auto"/>
            </w:tcBorders>
            <w:vAlign w:val="center"/>
          </w:tcPr>
          <w:p w14:paraId="73B511B9" w14:textId="24DF8DFA" w:rsidR="00354B6E" w:rsidRPr="003771DB" w:rsidRDefault="00354B6E" w:rsidP="00901E1D">
            <w:pPr>
              <w:pStyle w:val="COMTabletext"/>
              <w:keepLines/>
              <w:jc w:val="center"/>
              <w:rPr>
                <w:snapToGrid w:val="0"/>
              </w:rPr>
            </w:pPr>
            <w:r w:rsidRPr="003771DB">
              <w:rPr>
                <w:snapToGrid w:val="0"/>
              </w:rPr>
              <w:t>1</w:t>
            </w:r>
          </w:p>
        </w:tc>
      </w:tr>
      <w:tr w:rsidR="00354B6E" w:rsidRPr="003771DB" w14:paraId="01617960" w14:textId="77777777" w:rsidTr="00354B6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DD5061" w14:textId="36A1B366" w:rsidR="00354B6E" w:rsidRPr="003771DB" w:rsidRDefault="00354B6E" w:rsidP="00901E1D">
            <w:pPr>
              <w:pStyle w:val="COMTabletext"/>
              <w:keepLines/>
              <w:rPr>
                <w:snapToGrid w:val="0"/>
              </w:rPr>
            </w:pPr>
            <w:r w:rsidRPr="003771DB">
              <w:rPr>
                <w:b/>
                <w:bCs w:val="0"/>
                <w:snapToGrid w:val="0"/>
              </w:rPr>
              <w:t xml:space="preserve">BMI </w:t>
            </w:r>
            <w:r w:rsidR="0005588E" w:rsidRPr="003771DB">
              <w:rPr>
                <w:b/>
                <w:bCs w:val="0"/>
                <w:snapToGrid w:val="0"/>
              </w:rPr>
              <w:t>≥</w:t>
            </w:r>
            <w:r w:rsidRPr="003771DB">
              <w:rPr>
                <w:b/>
                <w:bCs w:val="0"/>
                <w:snapToGrid w:val="0"/>
              </w:rPr>
              <w:t>40 kg/m</w:t>
            </w:r>
            <w:r w:rsidRPr="003771DB">
              <w:rPr>
                <w:b/>
                <w:bCs w:val="0"/>
                <w:snapToGrid w:val="0"/>
                <w:vertAlign w:val="superscript"/>
              </w:rPr>
              <w:t>2</w:t>
            </w:r>
            <w:r w:rsidRPr="003771DB">
              <w:rPr>
                <w:b/>
                <w:bCs w:val="0"/>
                <w:snapToGrid w:val="0"/>
              </w:rPr>
              <w:t xml:space="preserve"> and </w:t>
            </w:r>
            <w:r w:rsidR="0005588E" w:rsidRPr="003771DB">
              <w:rPr>
                <w:b/>
                <w:bCs w:val="0"/>
                <w:snapToGrid w:val="0"/>
              </w:rPr>
              <w:t>≥</w:t>
            </w:r>
            <w:r w:rsidRPr="003771DB">
              <w:rPr>
                <w:b/>
                <w:bCs w:val="0"/>
                <w:snapToGrid w:val="0"/>
              </w:rPr>
              <w:t>1 weight-related comorbidity with OSA or KOA (N=167; 8.5% of trial population)</w:t>
            </w:r>
          </w:p>
        </w:tc>
      </w:tr>
      <w:tr w:rsidR="00354B6E" w:rsidRPr="003771DB" w14:paraId="0EF842D8"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1BE2DDBC" w14:textId="21EA37EF" w:rsidR="00354B6E" w:rsidRPr="003771DB" w:rsidRDefault="00354B6E" w:rsidP="00901E1D">
            <w:pPr>
              <w:pStyle w:val="COMTabletext"/>
              <w:keepLines/>
              <w:rPr>
                <w:snapToGrid w:val="0"/>
              </w:rPr>
            </w:pPr>
            <w:r w:rsidRPr="003771DB">
              <w:rPr>
                <w:snapToGrid w:val="0"/>
              </w:rPr>
              <w:t>Any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69613236" w14:textId="317091CF" w:rsidR="00354B6E" w:rsidRPr="003771DB" w:rsidRDefault="00354B6E" w:rsidP="00901E1D">
            <w:pPr>
              <w:pStyle w:val="COMTabletext"/>
              <w:keepLines/>
              <w:jc w:val="center"/>
              <w:rPr>
                <w:snapToGrid w:val="0"/>
              </w:rPr>
            </w:pPr>
            <w:r w:rsidRPr="003771DB">
              <w:rPr>
                <w:snapToGrid w:val="0"/>
              </w:rPr>
              <w:t>102 (94.4%)</w:t>
            </w:r>
          </w:p>
        </w:tc>
        <w:tc>
          <w:tcPr>
            <w:tcW w:w="808" w:type="pct"/>
            <w:tcBorders>
              <w:top w:val="single" w:sz="4" w:space="0" w:color="auto"/>
              <w:left w:val="single" w:sz="4" w:space="0" w:color="auto"/>
              <w:bottom w:val="single" w:sz="4" w:space="0" w:color="auto"/>
              <w:right w:val="single" w:sz="4" w:space="0" w:color="auto"/>
            </w:tcBorders>
            <w:vAlign w:val="center"/>
          </w:tcPr>
          <w:p w14:paraId="50D0354E" w14:textId="46967EB3" w:rsidR="00354B6E" w:rsidRPr="003771DB" w:rsidRDefault="00354B6E" w:rsidP="00901E1D">
            <w:pPr>
              <w:pStyle w:val="COMTabletext"/>
              <w:keepLines/>
              <w:jc w:val="center"/>
              <w:rPr>
                <w:snapToGrid w:val="0"/>
              </w:rPr>
            </w:pPr>
            <w:r w:rsidRPr="003771DB">
              <w:rPr>
                <w:snapToGrid w:val="0"/>
              </w:rPr>
              <w:t>724</w:t>
            </w:r>
          </w:p>
        </w:tc>
        <w:tc>
          <w:tcPr>
            <w:tcW w:w="807" w:type="pct"/>
            <w:tcBorders>
              <w:top w:val="single" w:sz="4" w:space="0" w:color="auto"/>
              <w:left w:val="single" w:sz="4" w:space="0" w:color="auto"/>
              <w:bottom w:val="single" w:sz="4" w:space="0" w:color="auto"/>
              <w:right w:val="single" w:sz="4" w:space="0" w:color="auto"/>
            </w:tcBorders>
            <w:vAlign w:val="center"/>
          </w:tcPr>
          <w:p w14:paraId="5E99DC8F" w14:textId="16878454" w:rsidR="00354B6E" w:rsidRPr="003771DB" w:rsidRDefault="00354B6E" w:rsidP="00901E1D">
            <w:pPr>
              <w:pStyle w:val="COMTabletext"/>
              <w:keepLines/>
              <w:jc w:val="center"/>
              <w:rPr>
                <w:snapToGrid w:val="0"/>
              </w:rPr>
            </w:pPr>
            <w:r w:rsidRPr="003771DB">
              <w:rPr>
                <w:snapToGrid w:val="0"/>
              </w:rPr>
              <w:t>56 (94.9%)</w:t>
            </w:r>
          </w:p>
        </w:tc>
        <w:tc>
          <w:tcPr>
            <w:tcW w:w="806" w:type="pct"/>
            <w:tcBorders>
              <w:top w:val="single" w:sz="4" w:space="0" w:color="auto"/>
              <w:left w:val="single" w:sz="4" w:space="0" w:color="auto"/>
              <w:bottom w:val="single" w:sz="4" w:space="0" w:color="auto"/>
              <w:right w:val="single" w:sz="4" w:space="0" w:color="auto"/>
            </w:tcBorders>
            <w:vAlign w:val="center"/>
          </w:tcPr>
          <w:p w14:paraId="4FAF3104" w14:textId="67EC422F" w:rsidR="00354B6E" w:rsidRPr="003771DB" w:rsidRDefault="00354B6E" w:rsidP="00901E1D">
            <w:pPr>
              <w:pStyle w:val="COMTabletext"/>
              <w:keepLines/>
              <w:jc w:val="center"/>
              <w:rPr>
                <w:snapToGrid w:val="0"/>
              </w:rPr>
            </w:pPr>
            <w:r w:rsidRPr="003771DB">
              <w:rPr>
                <w:snapToGrid w:val="0"/>
              </w:rPr>
              <w:t>546</w:t>
            </w:r>
          </w:p>
        </w:tc>
      </w:tr>
      <w:tr w:rsidR="00354B6E" w:rsidRPr="003771DB" w14:paraId="2D6DCA13"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6A57E648" w14:textId="6DB403B3" w:rsidR="00354B6E" w:rsidRPr="003771DB" w:rsidRDefault="00354B6E" w:rsidP="00901E1D">
            <w:pPr>
              <w:pStyle w:val="COMTabletext"/>
              <w:keepLines/>
              <w:rPr>
                <w:snapToGrid w:val="0"/>
              </w:rPr>
            </w:pPr>
            <w:r w:rsidRPr="003771DB">
              <w:rPr>
                <w:snapToGrid w:val="0"/>
              </w:rPr>
              <w:t>Probably-related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492A43E7" w14:textId="2DFEE92F" w:rsidR="00354B6E" w:rsidRPr="003771DB" w:rsidRDefault="00354B6E" w:rsidP="00901E1D">
            <w:pPr>
              <w:pStyle w:val="COMTabletext"/>
              <w:keepLines/>
              <w:jc w:val="center"/>
              <w:rPr>
                <w:snapToGrid w:val="0"/>
              </w:rPr>
            </w:pPr>
            <w:r w:rsidRPr="003771DB">
              <w:rPr>
                <w:snapToGrid w:val="0"/>
              </w:rPr>
              <w:t>56 (51.9%)</w:t>
            </w:r>
          </w:p>
        </w:tc>
        <w:tc>
          <w:tcPr>
            <w:tcW w:w="808" w:type="pct"/>
            <w:tcBorders>
              <w:top w:val="single" w:sz="4" w:space="0" w:color="auto"/>
              <w:left w:val="single" w:sz="4" w:space="0" w:color="auto"/>
              <w:bottom w:val="single" w:sz="4" w:space="0" w:color="auto"/>
              <w:right w:val="single" w:sz="4" w:space="0" w:color="auto"/>
            </w:tcBorders>
            <w:vAlign w:val="center"/>
          </w:tcPr>
          <w:p w14:paraId="757BD666" w14:textId="27446CFE" w:rsidR="00354B6E" w:rsidRPr="003771DB" w:rsidRDefault="00354B6E" w:rsidP="00901E1D">
            <w:pPr>
              <w:pStyle w:val="COMTabletext"/>
              <w:keepLines/>
              <w:jc w:val="center"/>
              <w:rPr>
                <w:snapToGrid w:val="0"/>
              </w:rPr>
            </w:pPr>
            <w:r w:rsidRPr="003771DB">
              <w:rPr>
                <w:snapToGrid w:val="0"/>
              </w:rPr>
              <w:t>156</w:t>
            </w:r>
          </w:p>
        </w:tc>
        <w:tc>
          <w:tcPr>
            <w:tcW w:w="807" w:type="pct"/>
            <w:tcBorders>
              <w:top w:val="single" w:sz="4" w:space="0" w:color="auto"/>
              <w:left w:val="single" w:sz="4" w:space="0" w:color="auto"/>
              <w:bottom w:val="single" w:sz="4" w:space="0" w:color="auto"/>
              <w:right w:val="single" w:sz="4" w:space="0" w:color="auto"/>
            </w:tcBorders>
            <w:vAlign w:val="center"/>
          </w:tcPr>
          <w:p w14:paraId="2ADCECF5" w14:textId="0716199A" w:rsidR="00354B6E" w:rsidRPr="003771DB" w:rsidRDefault="00354B6E" w:rsidP="00901E1D">
            <w:pPr>
              <w:pStyle w:val="COMTabletext"/>
              <w:keepLines/>
              <w:jc w:val="center"/>
              <w:rPr>
                <w:snapToGrid w:val="0"/>
              </w:rPr>
            </w:pPr>
            <w:r w:rsidRPr="003771DB">
              <w:rPr>
                <w:snapToGrid w:val="0"/>
              </w:rPr>
              <w:t>19 (32.2%)</w:t>
            </w:r>
          </w:p>
        </w:tc>
        <w:tc>
          <w:tcPr>
            <w:tcW w:w="806" w:type="pct"/>
            <w:tcBorders>
              <w:top w:val="single" w:sz="4" w:space="0" w:color="auto"/>
              <w:left w:val="single" w:sz="4" w:space="0" w:color="auto"/>
              <w:bottom w:val="single" w:sz="4" w:space="0" w:color="auto"/>
              <w:right w:val="single" w:sz="4" w:space="0" w:color="auto"/>
            </w:tcBorders>
            <w:vAlign w:val="center"/>
          </w:tcPr>
          <w:p w14:paraId="787B4E0A" w14:textId="75E0EDCD" w:rsidR="00354B6E" w:rsidRPr="003771DB" w:rsidRDefault="00354B6E" w:rsidP="00901E1D">
            <w:pPr>
              <w:pStyle w:val="COMTabletext"/>
              <w:keepLines/>
              <w:jc w:val="center"/>
              <w:rPr>
                <w:snapToGrid w:val="0"/>
              </w:rPr>
            </w:pPr>
            <w:r w:rsidRPr="003771DB">
              <w:rPr>
                <w:snapToGrid w:val="0"/>
              </w:rPr>
              <w:t>45</w:t>
            </w:r>
          </w:p>
        </w:tc>
      </w:tr>
      <w:tr w:rsidR="00354B6E" w:rsidRPr="003771DB" w14:paraId="272CD0A2"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0E8B77B6" w14:textId="510FCEE7" w:rsidR="00354B6E" w:rsidRPr="003771DB" w:rsidRDefault="00354B6E" w:rsidP="00901E1D">
            <w:pPr>
              <w:pStyle w:val="COMTabletext"/>
              <w:keepLines/>
              <w:rPr>
                <w:snapToGrid w:val="0"/>
              </w:rPr>
            </w:pPr>
            <w:r w:rsidRPr="003771DB">
              <w:rPr>
                <w:snapToGrid w:val="0"/>
              </w:rPr>
              <w:t>Possibly-related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177C3558" w14:textId="66815074" w:rsidR="00354B6E" w:rsidRPr="003771DB" w:rsidRDefault="00354B6E" w:rsidP="00901E1D">
            <w:pPr>
              <w:pStyle w:val="COMTabletext"/>
              <w:keepLines/>
              <w:jc w:val="center"/>
              <w:rPr>
                <w:snapToGrid w:val="0"/>
              </w:rPr>
            </w:pPr>
            <w:r w:rsidRPr="003771DB">
              <w:rPr>
                <w:snapToGrid w:val="0"/>
              </w:rPr>
              <w:t>72 (66.7%)</w:t>
            </w:r>
          </w:p>
        </w:tc>
        <w:tc>
          <w:tcPr>
            <w:tcW w:w="808" w:type="pct"/>
            <w:tcBorders>
              <w:top w:val="single" w:sz="4" w:space="0" w:color="auto"/>
              <w:left w:val="single" w:sz="4" w:space="0" w:color="auto"/>
              <w:bottom w:val="single" w:sz="4" w:space="0" w:color="auto"/>
              <w:right w:val="single" w:sz="4" w:space="0" w:color="auto"/>
            </w:tcBorders>
            <w:vAlign w:val="center"/>
          </w:tcPr>
          <w:p w14:paraId="13173B9A" w14:textId="09F8587F" w:rsidR="00354B6E" w:rsidRPr="003771DB" w:rsidRDefault="00354B6E" w:rsidP="00901E1D">
            <w:pPr>
              <w:pStyle w:val="COMTabletext"/>
              <w:keepLines/>
              <w:jc w:val="center"/>
              <w:rPr>
                <w:snapToGrid w:val="0"/>
              </w:rPr>
            </w:pPr>
            <w:r w:rsidRPr="003771DB">
              <w:rPr>
                <w:snapToGrid w:val="0"/>
              </w:rPr>
              <w:t>197</w:t>
            </w:r>
          </w:p>
        </w:tc>
        <w:tc>
          <w:tcPr>
            <w:tcW w:w="807" w:type="pct"/>
            <w:tcBorders>
              <w:top w:val="single" w:sz="4" w:space="0" w:color="auto"/>
              <w:left w:val="single" w:sz="4" w:space="0" w:color="auto"/>
              <w:bottom w:val="single" w:sz="4" w:space="0" w:color="auto"/>
              <w:right w:val="single" w:sz="4" w:space="0" w:color="auto"/>
            </w:tcBorders>
            <w:vAlign w:val="center"/>
          </w:tcPr>
          <w:p w14:paraId="7D56331F" w14:textId="1767B843" w:rsidR="00354B6E" w:rsidRPr="003771DB" w:rsidRDefault="00354B6E" w:rsidP="00901E1D">
            <w:pPr>
              <w:pStyle w:val="COMTabletext"/>
              <w:keepLines/>
              <w:jc w:val="center"/>
              <w:rPr>
                <w:snapToGrid w:val="0"/>
              </w:rPr>
            </w:pPr>
            <w:r w:rsidRPr="003771DB">
              <w:rPr>
                <w:snapToGrid w:val="0"/>
              </w:rPr>
              <w:t>17 (28.8%)</w:t>
            </w:r>
          </w:p>
        </w:tc>
        <w:tc>
          <w:tcPr>
            <w:tcW w:w="806" w:type="pct"/>
            <w:tcBorders>
              <w:top w:val="single" w:sz="4" w:space="0" w:color="auto"/>
              <w:left w:val="single" w:sz="4" w:space="0" w:color="auto"/>
              <w:bottom w:val="single" w:sz="4" w:space="0" w:color="auto"/>
              <w:right w:val="single" w:sz="4" w:space="0" w:color="auto"/>
            </w:tcBorders>
            <w:vAlign w:val="center"/>
          </w:tcPr>
          <w:p w14:paraId="6EF42498" w14:textId="011497B1" w:rsidR="00354B6E" w:rsidRPr="003771DB" w:rsidRDefault="00354B6E" w:rsidP="00901E1D">
            <w:pPr>
              <w:pStyle w:val="COMTabletext"/>
              <w:keepLines/>
              <w:jc w:val="center"/>
              <w:rPr>
                <w:snapToGrid w:val="0"/>
              </w:rPr>
            </w:pPr>
            <w:r w:rsidRPr="003771DB">
              <w:rPr>
                <w:snapToGrid w:val="0"/>
              </w:rPr>
              <w:t>62</w:t>
            </w:r>
          </w:p>
        </w:tc>
      </w:tr>
      <w:tr w:rsidR="00354B6E" w:rsidRPr="003771DB" w14:paraId="0A38C43A"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12D4CFBD" w14:textId="0E0C215E" w:rsidR="00354B6E" w:rsidRPr="003771DB" w:rsidRDefault="00354B6E" w:rsidP="00901E1D">
            <w:pPr>
              <w:pStyle w:val="COMTabletext"/>
              <w:keepLines/>
              <w:rPr>
                <w:snapToGrid w:val="0"/>
              </w:rPr>
            </w:pPr>
            <w:r w:rsidRPr="003771DB">
              <w:rPr>
                <w:snapToGrid w:val="0"/>
              </w:rPr>
              <w:t>Serious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093239BD" w14:textId="0268D23E" w:rsidR="00354B6E" w:rsidRPr="003771DB" w:rsidRDefault="00354B6E" w:rsidP="00901E1D">
            <w:pPr>
              <w:pStyle w:val="COMTabletext"/>
              <w:keepLines/>
              <w:jc w:val="center"/>
              <w:rPr>
                <w:snapToGrid w:val="0"/>
              </w:rPr>
            </w:pPr>
            <w:r w:rsidRPr="003771DB">
              <w:rPr>
                <w:snapToGrid w:val="0"/>
              </w:rPr>
              <w:t>14 (13.0%)</w:t>
            </w:r>
          </w:p>
        </w:tc>
        <w:tc>
          <w:tcPr>
            <w:tcW w:w="808" w:type="pct"/>
            <w:tcBorders>
              <w:top w:val="single" w:sz="4" w:space="0" w:color="auto"/>
              <w:left w:val="single" w:sz="4" w:space="0" w:color="auto"/>
              <w:bottom w:val="single" w:sz="4" w:space="0" w:color="auto"/>
              <w:right w:val="single" w:sz="4" w:space="0" w:color="auto"/>
            </w:tcBorders>
            <w:vAlign w:val="center"/>
          </w:tcPr>
          <w:p w14:paraId="66DDC45A" w14:textId="0A565142" w:rsidR="00354B6E" w:rsidRPr="003771DB" w:rsidRDefault="00354B6E" w:rsidP="00901E1D">
            <w:pPr>
              <w:pStyle w:val="COMTabletext"/>
              <w:keepLines/>
              <w:jc w:val="center"/>
              <w:rPr>
                <w:snapToGrid w:val="0"/>
              </w:rPr>
            </w:pPr>
            <w:r w:rsidRPr="003771DB">
              <w:rPr>
                <w:snapToGrid w:val="0"/>
              </w:rPr>
              <w:t>15</w:t>
            </w:r>
          </w:p>
        </w:tc>
        <w:tc>
          <w:tcPr>
            <w:tcW w:w="807" w:type="pct"/>
            <w:tcBorders>
              <w:top w:val="single" w:sz="4" w:space="0" w:color="auto"/>
              <w:left w:val="single" w:sz="4" w:space="0" w:color="auto"/>
              <w:bottom w:val="single" w:sz="4" w:space="0" w:color="auto"/>
              <w:right w:val="single" w:sz="4" w:space="0" w:color="auto"/>
            </w:tcBorders>
            <w:vAlign w:val="center"/>
          </w:tcPr>
          <w:p w14:paraId="64C28F7A" w14:textId="2C77F9B4" w:rsidR="00354B6E" w:rsidRPr="003771DB" w:rsidRDefault="00354B6E" w:rsidP="00901E1D">
            <w:pPr>
              <w:pStyle w:val="COMTabletext"/>
              <w:keepLines/>
              <w:jc w:val="center"/>
              <w:rPr>
                <w:snapToGrid w:val="0"/>
              </w:rPr>
            </w:pPr>
            <w:r w:rsidRPr="003771DB">
              <w:rPr>
                <w:snapToGrid w:val="0"/>
              </w:rPr>
              <w:t>5 (8.5%)</w:t>
            </w:r>
          </w:p>
        </w:tc>
        <w:tc>
          <w:tcPr>
            <w:tcW w:w="806" w:type="pct"/>
            <w:tcBorders>
              <w:top w:val="single" w:sz="4" w:space="0" w:color="auto"/>
              <w:left w:val="single" w:sz="4" w:space="0" w:color="auto"/>
              <w:bottom w:val="single" w:sz="4" w:space="0" w:color="auto"/>
              <w:right w:val="single" w:sz="4" w:space="0" w:color="auto"/>
            </w:tcBorders>
            <w:vAlign w:val="center"/>
          </w:tcPr>
          <w:p w14:paraId="170732E9" w14:textId="11B3415E" w:rsidR="00354B6E" w:rsidRPr="003771DB" w:rsidRDefault="00354B6E" w:rsidP="00901E1D">
            <w:pPr>
              <w:pStyle w:val="COMTabletext"/>
              <w:keepLines/>
              <w:jc w:val="center"/>
              <w:rPr>
                <w:snapToGrid w:val="0"/>
              </w:rPr>
            </w:pPr>
            <w:r w:rsidRPr="003771DB">
              <w:rPr>
                <w:snapToGrid w:val="0"/>
              </w:rPr>
              <w:t>9</w:t>
            </w:r>
          </w:p>
        </w:tc>
      </w:tr>
      <w:tr w:rsidR="00354B6E" w:rsidRPr="003771DB" w14:paraId="4C403F72"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79DBBB63" w14:textId="24DF70F7" w:rsidR="00354B6E" w:rsidRPr="003771DB" w:rsidRDefault="00354B6E" w:rsidP="00901E1D">
            <w:pPr>
              <w:pStyle w:val="COMTabletext"/>
              <w:keepLines/>
              <w:rPr>
                <w:snapToGrid w:val="0"/>
              </w:rPr>
            </w:pPr>
            <w:r w:rsidRPr="003771DB">
              <w:rPr>
                <w:snapToGrid w:val="0"/>
              </w:rPr>
              <w:t>Adverse event leading to discontinuation</w:t>
            </w:r>
          </w:p>
        </w:tc>
        <w:tc>
          <w:tcPr>
            <w:tcW w:w="807" w:type="pct"/>
            <w:tcBorders>
              <w:top w:val="single" w:sz="4" w:space="0" w:color="auto"/>
              <w:left w:val="single" w:sz="4" w:space="0" w:color="auto"/>
              <w:bottom w:val="single" w:sz="4" w:space="0" w:color="auto"/>
              <w:right w:val="single" w:sz="4" w:space="0" w:color="auto"/>
            </w:tcBorders>
            <w:vAlign w:val="center"/>
          </w:tcPr>
          <w:p w14:paraId="7DB0C8AF" w14:textId="2AFD87F4" w:rsidR="00354B6E" w:rsidRPr="003771DB" w:rsidRDefault="00354B6E" w:rsidP="00901E1D">
            <w:pPr>
              <w:pStyle w:val="COMTabletext"/>
              <w:keepLines/>
              <w:jc w:val="center"/>
              <w:rPr>
                <w:snapToGrid w:val="0"/>
              </w:rPr>
            </w:pPr>
            <w:r w:rsidRPr="003771DB">
              <w:rPr>
                <w:snapToGrid w:val="0"/>
              </w:rPr>
              <w:t>7 (6.5%)</w:t>
            </w:r>
          </w:p>
        </w:tc>
        <w:tc>
          <w:tcPr>
            <w:tcW w:w="808" w:type="pct"/>
            <w:tcBorders>
              <w:top w:val="single" w:sz="4" w:space="0" w:color="auto"/>
              <w:left w:val="single" w:sz="4" w:space="0" w:color="auto"/>
              <w:bottom w:val="single" w:sz="4" w:space="0" w:color="auto"/>
              <w:right w:val="single" w:sz="4" w:space="0" w:color="auto"/>
            </w:tcBorders>
            <w:vAlign w:val="center"/>
          </w:tcPr>
          <w:p w14:paraId="020FEE5E" w14:textId="5B555569" w:rsidR="00354B6E" w:rsidRPr="003771DB" w:rsidRDefault="00354B6E" w:rsidP="00901E1D">
            <w:pPr>
              <w:pStyle w:val="COMTabletext"/>
              <w:keepLines/>
              <w:jc w:val="center"/>
              <w:rPr>
                <w:snapToGrid w:val="0"/>
              </w:rPr>
            </w:pPr>
            <w:r w:rsidRPr="003771DB">
              <w:rPr>
                <w:snapToGrid w:val="0"/>
              </w:rPr>
              <w:t>6</w:t>
            </w:r>
          </w:p>
        </w:tc>
        <w:tc>
          <w:tcPr>
            <w:tcW w:w="807" w:type="pct"/>
            <w:tcBorders>
              <w:top w:val="single" w:sz="4" w:space="0" w:color="auto"/>
              <w:left w:val="single" w:sz="4" w:space="0" w:color="auto"/>
              <w:bottom w:val="single" w:sz="4" w:space="0" w:color="auto"/>
              <w:right w:val="single" w:sz="4" w:space="0" w:color="auto"/>
            </w:tcBorders>
            <w:vAlign w:val="center"/>
          </w:tcPr>
          <w:p w14:paraId="38384B50" w14:textId="73BA78B4" w:rsidR="00354B6E" w:rsidRPr="003771DB" w:rsidRDefault="00354B6E" w:rsidP="00901E1D">
            <w:pPr>
              <w:pStyle w:val="COMTabletext"/>
              <w:keepLines/>
              <w:jc w:val="center"/>
              <w:rPr>
                <w:snapToGrid w:val="0"/>
              </w:rPr>
            </w:pPr>
            <w:r w:rsidRPr="003771DB">
              <w:rPr>
                <w:snapToGrid w:val="0"/>
              </w:rPr>
              <w:t>1 (1.7%)</w:t>
            </w:r>
          </w:p>
        </w:tc>
        <w:tc>
          <w:tcPr>
            <w:tcW w:w="806" w:type="pct"/>
            <w:tcBorders>
              <w:top w:val="single" w:sz="4" w:space="0" w:color="auto"/>
              <w:left w:val="single" w:sz="4" w:space="0" w:color="auto"/>
              <w:bottom w:val="single" w:sz="4" w:space="0" w:color="auto"/>
              <w:right w:val="single" w:sz="4" w:space="0" w:color="auto"/>
            </w:tcBorders>
            <w:vAlign w:val="center"/>
          </w:tcPr>
          <w:p w14:paraId="62AE1A9F" w14:textId="53B5903E" w:rsidR="00354B6E" w:rsidRPr="003771DB" w:rsidRDefault="00354B6E" w:rsidP="00901E1D">
            <w:pPr>
              <w:pStyle w:val="COMTabletext"/>
              <w:keepLines/>
              <w:jc w:val="center"/>
              <w:rPr>
                <w:snapToGrid w:val="0"/>
              </w:rPr>
            </w:pPr>
            <w:r w:rsidRPr="003771DB">
              <w:rPr>
                <w:snapToGrid w:val="0"/>
              </w:rPr>
              <w:t>1</w:t>
            </w:r>
          </w:p>
        </w:tc>
      </w:tr>
      <w:tr w:rsidR="00354B6E" w:rsidRPr="003771DB" w14:paraId="3CDDCE3C" w14:textId="77777777" w:rsidTr="00076B84">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E7F639" w14:textId="0C6E058B" w:rsidR="00354B6E" w:rsidRPr="003771DB" w:rsidRDefault="00354B6E" w:rsidP="00901E1D">
            <w:pPr>
              <w:pStyle w:val="COMTabletext"/>
              <w:keepLines/>
              <w:rPr>
                <w:b/>
                <w:bCs w:val="0"/>
                <w:snapToGrid w:val="0"/>
              </w:rPr>
            </w:pPr>
            <w:r w:rsidRPr="003771DB">
              <w:rPr>
                <w:b/>
                <w:bCs w:val="0"/>
                <w:snapToGrid w:val="0"/>
              </w:rPr>
              <w:t xml:space="preserve">BMI </w:t>
            </w:r>
            <w:r w:rsidR="0005588E" w:rsidRPr="003771DB">
              <w:rPr>
                <w:b/>
                <w:bCs w:val="0"/>
                <w:snapToGrid w:val="0"/>
              </w:rPr>
              <w:t>≥</w:t>
            </w:r>
            <w:r w:rsidRPr="003771DB">
              <w:rPr>
                <w:b/>
                <w:bCs w:val="0"/>
                <w:snapToGrid w:val="0"/>
              </w:rPr>
              <w:t>40 kg/m</w:t>
            </w:r>
            <w:r w:rsidRPr="003771DB">
              <w:rPr>
                <w:b/>
                <w:bCs w:val="0"/>
                <w:snapToGrid w:val="0"/>
                <w:vertAlign w:val="superscript"/>
              </w:rPr>
              <w:t>2</w:t>
            </w:r>
            <w:r w:rsidRPr="003771DB">
              <w:rPr>
                <w:b/>
                <w:bCs w:val="0"/>
                <w:snapToGrid w:val="0"/>
              </w:rPr>
              <w:t xml:space="preserve"> and </w:t>
            </w:r>
            <w:r w:rsidR="0005588E" w:rsidRPr="003771DB">
              <w:rPr>
                <w:b/>
                <w:bCs w:val="0"/>
                <w:snapToGrid w:val="0"/>
              </w:rPr>
              <w:t>≥</w:t>
            </w:r>
            <w:r w:rsidRPr="003771DB">
              <w:rPr>
                <w:b/>
                <w:bCs w:val="0"/>
                <w:snapToGrid w:val="0"/>
              </w:rPr>
              <w:t>2 weight-related comorbidities with OSA or KOA (N=142; 7.2% of trial population)</w:t>
            </w:r>
          </w:p>
        </w:tc>
      </w:tr>
      <w:tr w:rsidR="00354B6E" w:rsidRPr="003771DB" w14:paraId="259A8CD0"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243DB26F" w14:textId="77777777" w:rsidR="00354B6E" w:rsidRPr="003771DB" w:rsidRDefault="00354B6E" w:rsidP="00901E1D">
            <w:pPr>
              <w:pStyle w:val="COMTabletext"/>
              <w:keepLines/>
              <w:rPr>
                <w:snapToGrid w:val="0"/>
              </w:rPr>
            </w:pPr>
            <w:r w:rsidRPr="003771DB">
              <w:rPr>
                <w:snapToGrid w:val="0"/>
              </w:rPr>
              <w:t>Any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6DF30F9B" w14:textId="77777777" w:rsidR="00354B6E" w:rsidRPr="003771DB" w:rsidRDefault="00354B6E" w:rsidP="00901E1D">
            <w:pPr>
              <w:pStyle w:val="COMTabletext"/>
              <w:keepLines/>
              <w:jc w:val="center"/>
              <w:rPr>
                <w:snapToGrid w:val="0"/>
              </w:rPr>
            </w:pPr>
            <w:r w:rsidRPr="003771DB">
              <w:rPr>
                <w:snapToGrid w:val="0"/>
              </w:rPr>
              <w:t>87 (94.6%)</w:t>
            </w:r>
          </w:p>
        </w:tc>
        <w:tc>
          <w:tcPr>
            <w:tcW w:w="808" w:type="pct"/>
            <w:tcBorders>
              <w:top w:val="single" w:sz="4" w:space="0" w:color="auto"/>
              <w:left w:val="single" w:sz="4" w:space="0" w:color="auto"/>
              <w:bottom w:val="single" w:sz="4" w:space="0" w:color="auto"/>
              <w:right w:val="single" w:sz="4" w:space="0" w:color="auto"/>
            </w:tcBorders>
            <w:vAlign w:val="center"/>
          </w:tcPr>
          <w:p w14:paraId="20AAB1DC" w14:textId="77777777" w:rsidR="00354B6E" w:rsidRPr="003771DB" w:rsidRDefault="00354B6E" w:rsidP="00901E1D">
            <w:pPr>
              <w:pStyle w:val="COMTabletext"/>
              <w:keepLines/>
              <w:jc w:val="center"/>
              <w:rPr>
                <w:snapToGrid w:val="0"/>
              </w:rPr>
            </w:pPr>
            <w:r w:rsidRPr="003771DB">
              <w:rPr>
                <w:snapToGrid w:val="0"/>
              </w:rPr>
              <w:t>722</w:t>
            </w:r>
          </w:p>
        </w:tc>
        <w:tc>
          <w:tcPr>
            <w:tcW w:w="807" w:type="pct"/>
            <w:tcBorders>
              <w:top w:val="single" w:sz="4" w:space="0" w:color="auto"/>
              <w:left w:val="single" w:sz="4" w:space="0" w:color="auto"/>
              <w:bottom w:val="single" w:sz="4" w:space="0" w:color="auto"/>
              <w:right w:val="single" w:sz="4" w:space="0" w:color="auto"/>
            </w:tcBorders>
            <w:vAlign w:val="center"/>
          </w:tcPr>
          <w:p w14:paraId="4F7604D6" w14:textId="77777777" w:rsidR="00354B6E" w:rsidRPr="003771DB" w:rsidRDefault="00354B6E" w:rsidP="00901E1D">
            <w:pPr>
              <w:pStyle w:val="COMTabletext"/>
              <w:keepLines/>
              <w:jc w:val="center"/>
              <w:rPr>
                <w:snapToGrid w:val="0"/>
              </w:rPr>
            </w:pPr>
            <w:r w:rsidRPr="003771DB">
              <w:rPr>
                <w:snapToGrid w:val="0"/>
              </w:rPr>
              <w:t>47 (94.0%)</w:t>
            </w:r>
          </w:p>
        </w:tc>
        <w:tc>
          <w:tcPr>
            <w:tcW w:w="806" w:type="pct"/>
            <w:tcBorders>
              <w:top w:val="single" w:sz="4" w:space="0" w:color="auto"/>
              <w:left w:val="single" w:sz="4" w:space="0" w:color="auto"/>
              <w:bottom w:val="single" w:sz="4" w:space="0" w:color="auto"/>
              <w:right w:val="single" w:sz="4" w:space="0" w:color="auto"/>
            </w:tcBorders>
            <w:vAlign w:val="center"/>
          </w:tcPr>
          <w:p w14:paraId="7DA45D41" w14:textId="77777777" w:rsidR="00354B6E" w:rsidRPr="003771DB" w:rsidRDefault="00354B6E" w:rsidP="00901E1D">
            <w:pPr>
              <w:pStyle w:val="COMTabletext"/>
              <w:keepLines/>
              <w:jc w:val="center"/>
              <w:rPr>
                <w:snapToGrid w:val="0"/>
              </w:rPr>
            </w:pPr>
            <w:r w:rsidRPr="003771DB">
              <w:rPr>
                <w:snapToGrid w:val="0"/>
              </w:rPr>
              <w:t>598</w:t>
            </w:r>
          </w:p>
        </w:tc>
      </w:tr>
      <w:tr w:rsidR="00354B6E" w:rsidRPr="003771DB" w14:paraId="3AEB51FF"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3518C754" w14:textId="77777777" w:rsidR="00354B6E" w:rsidRPr="003771DB" w:rsidRDefault="00354B6E" w:rsidP="00901E1D">
            <w:pPr>
              <w:pStyle w:val="COMTabletext"/>
              <w:keepLines/>
              <w:rPr>
                <w:snapToGrid w:val="0"/>
              </w:rPr>
            </w:pPr>
            <w:r w:rsidRPr="003771DB">
              <w:rPr>
                <w:snapToGrid w:val="0"/>
              </w:rPr>
              <w:t>Probably-related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12A3AB19" w14:textId="77777777" w:rsidR="00354B6E" w:rsidRPr="003771DB" w:rsidRDefault="00354B6E" w:rsidP="00901E1D">
            <w:pPr>
              <w:pStyle w:val="COMTabletext"/>
              <w:keepLines/>
              <w:jc w:val="center"/>
              <w:rPr>
                <w:snapToGrid w:val="0"/>
              </w:rPr>
            </w:pPr>
            <w:r w:rsidRPr="003771DB">
              <w:rPr>
                <w:snapToGrid w:val="0"/>
              </w:rPr>
              <w:t>47 (51.1%)</w:t>
            </w:r>
          </w:p>
        </w:tc>
        <w:tc>
          <w:tcPr>
            <w:tcW w:w="808" w:type="pct"/>
            <w:tcBorders>
              <w:top w:val="single" w:sz="4" w:space="0" w:color="auto"/>
              <w:left w:val="single" w:sz="4" w:space="0" w:color="auto"/>
              <w:bottom w:val="single" w:sz="4" w:space="0" w:color="auto"/>
              <w:right w:val="single" w:sz="4" w:space="0" w:color="auto"/>
            </w:tcBorders>
            <w:vAlign w:val="center"/>
          </w:tcPr>
          <w:p w14:paraId="2BE79FCC" w14:textId="77777777" w:rsidR="00354B6E" w:rsidRPr="003771DB" w:rsidRDefault="00354B6E" w:rsidP="00901E1D">
            <w:pPr>
              <w:pStyle w:val="COMTabletext"/>
              <w:keepLines/>
              <w:jc w:val="center"/>
              <w:rPr>
                <w:snapToGrid w:val="0"/>
              </w:rPr>
            </w:pPr>
            <w:r w:rsidRPr="003771DB">
              <w:rPr>
                <w:snapToGrid w:val="0"/>
              </w:rPr>
              <w:t>154</w:t>
            </w:r>
          </w:p>
        </w:tc>
        <w:tc>
          <w:tcPr>
            <w:tcW w:w="807" w:type="pct"/>
            <w:tcBorders>
              <w:top w:val="single" w:sz="4" w:space="0" w:color="auto"/>
              <w:left w:val="single" w:sz="4" w:space="0" w:color="auto"/>
              <w:bottom w:val="single" w:sz="4" w:space="0" w:color="auto"/>
              <w:right w:val="single" w:sz="4" w:space="0" w:color="auto"/>
            </w:tcBorders>
            <w:vAlign w:val="center"/>
          </w:tcPr>
          <w:p w14:paraId="6FEA140C" w14:textId="77777777" w:rsidR="00354B6E" w:rsidRPr="003771DB" w:rsidRDefault="00354B6E" w:rsidP="00901E1D">
            <w:pPr>
              <w:pStyle w:val="COMTabletext"/>
              <w:keepLines/>
              <w:jc w:val="center"/>
              <w:rPr>
                <w:snapToGrid w:val="0"/>
              </w:rPr>
            </w:pPr>
            <w:r w:rsidRPr="003771DB">
              <w:rPr>
                <w:snapToGrid w:val="0"/>
              </w:rPr>
              <w:t>18 (36.0%)</w:t>
            </w:r>
          </w:p>
        </w:tc>
        <w:tc>
          <w:tcPr>
            <w:tcW w:w="806" w:type="pct"/>
            <w:tcBorders>
              <w:top w:val="single" w:sz="4" w:space="0" w:color="auto"/>
              <w:left w:val="single" w:sz="4" w:space="0" w:color="auto"/>
              <w:bottom w:val="single" w:sz="4" w:space="0" w:color="auto"/>
              <w:right w:val="single" w:sz="4" w:space="0" w:color="auto"/>
            </w:tcBorders>
            <w:vAlign w:val="center"/>
          </w:tcPr>
          <w:p w14:paraId="02100062" w14:textId="77777777" w:rsidR="00354B6E" w:rsidRPr="003771DB" w:rsidRDefault="00354B6E" w:rsidP="00901E1D">
            <w:pPr>
              <w:pStyle w:val="COMTabletext"/>
              <w:keepLines/>
              <w:jc w:val="center"/>
              <w:rPr>
                <w:snapToGrid w:val="0"/>
              </w:rPr>
            </w:pPr>
            <w:r w:rsidRPr="003771DB">
              <w:rPr>
                <w:snapToGrid w:val="0"/>
              </w:rPr>
              <w:t>52</w:t>
            </w:r>
          </w:p>
        </w:tc>
      </w:tr>
      <w:tr w:rsidR="00354B6E" w:rsidRPr="003771DB" w14:paraId="59618227"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70B5656C" w14:textId="77777777" w:rsidR="00354B6E" w:rsidRPr="003771DB" w:rsidRDefault="00354B6E" w:rsidP="00901E1D">
            <w:pPr>
              <w:pStyle w:val="COMTabletext"/>
              <w:keepLines/>
              <w:rPr>
                <w:snapToGrid w:val="0"/>
              </w:rPr>
            </w:pPr>
            <w:r w:rsidRPr="003771DB">
              <w:rPr>
                <w:snapToGrid w:val="0"/>
              </w:rPr>
              <w:t>Possibly-related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7A00E381" w14:textId="77777777" w:rsidR="00354B6E" w:rsidRPr="003771DB" w:rsidRDefault="00354B6E" w:rsidP="00901E1D">
            <w:pPr>
              <w:pStyle w:val="COMTabletext"/>
              <w:keepLines/>
              <w:jc w:val="center"/>
              <w:rPr>
                <w:snapToGrid w:val="0"/>
              </w:rPr>
            </w:pPr>
            <w:r w:rsidRPr="003771DB">
              <w:rPr>
                <w:snapToGrid w:val="0"/>
              </w:rPr>
              <w:t>62 (67.4%)</w:t>
            </w:r>
          </w:p>
        </w:tc>
        <w:tc>
          <w:tcPr>
            <w:tcW w:w="808" w:type="pct"/>
            <w:tcBorders>
              <w:top w:val="single" w:sz="4" w:space="0" w:color="auto"/>
              <w:left w:val="single" w:sz="4" w:space="0" w:color="auto"/>
              <w:bottom w:val="single" w:sz="4" w:space="0" w:color="auto"/>
              <w:right w:val="single" w:sz="4" w:space="0" w:color="auto"/>
            </w:tcBorders>
            <w:vAlign w:val="center"/>
          </w:tcPr>
          <w:p w14:paraId="0F24D50F" w14:textId="77777777" w:rsidR="00354B6E" w:rsidRPr="003771DB" w:rsidRDefault="00354B6E" w:rsidP="00901E1D">
            <w:pPr>
              <w:pStyle w:val="COMTabletext"/>
              <w:keepLines/>
              <w:jc w:val="center"/>
              <w:rPr>
                <w:snapToGrid w:val="0"/>
              </w:rPr>
            </w:pPr>
            <w:r w:rsidRPr="003771DB">
              <w:rPr>
                <w:snapToGrid w:val="0"/>
              </w:rPr>
              <w:t>207</w:t>
            </w:r>
          </w:p>
        </w:tc>
        <w:tc>
          <w:tcPr>
            <w:tcW w:w="807" w:type="pct"/>
            <w:tcBorders>
              <w:top w:val="single" w:sz="4" w:space="0" w:color="auto"/>
              <w:left w:val="single" w:sz="4" w:space="0" w:color="auto"/>
              <w:bottom w:val="single" w:sz="4" w:space="0" w:color="auto"/>
              <w:right w:val="single" w:sz="4" w:space="0" w:color="auto"/>
            </w:tcBorders>
            <w:vAlign w:val="center"/>
          </w:tcPr>
          <w:p w14:paraId="130E6A68" w14:textId="77777777" w:rsidR="00354B6E" w:rsidRPr="003771DB" w:rsidRDefault="00354B6E" w:rsidP="00901E1D">
            <w:pPr>
              <w:pStyle w:val="COMTabletext"/>
              <w:keepLines/>
              <w:jc w:val="center"/>
              <w:rPr>
                <w:snapToGrid w:val="0"/>
              </w:rPr>
            </w:pPr>
            <w:r w:rsidRPr="003771DB">
              <w:rPr>
                <w:snapToGrid w:val="0"/>
              </w:rPr>
              <w:t>17 (34.0%)</w:t>
            </w:r>
          </w:p>
        </w:tc>
        <w:tc>
          <w:tcPr>
            <w:tcW w:w="806" w:type="pct"/>
            <w:tcBorders>
              <w:top w:val="single" w:sz="4" w:space="0" w:color="auto"/>
              <w:left w:val="single" w:sz="4" w:space="0" w:color="auto"/>
              <w:bottom w:val="single" w:sz="4" w:space="0" w:color="auto"/>
              <w:right w:val="single" w:sz="4" w:space="0" w:color="auto"/>
            </w:tcBorders>
            <w:vAlign w:val="center"/>
          </w:tcPr>
          <w:p w14:paraId="2B14D5F9" w14:textId="77777777" w:rsidR="00354B6E" w:rsidRPr="003771DB" w:rsidRDefault="00354B6E" w:rsidP="00901E1D">
            <w:pPr>
              <w:pStyle w:val="COMTabletext"/>
              <w:keepLines/>
              <w:jc w:val="center"/>
              <w:rPr>
                <w:snapToGrid w:val="0"/>
              </w:rPr>
            </w:pPr>
            <w:r w:rsidRPr="003771DB">
              <w:rPr>
                <w:snapToGrid w:val="0"/>
              </w:rPr>
              <w:t>73</w:t>
            </w:r>
          </w:p>
        </w:tc>
      </w:tr>
      <w:tr w:rsidR="00354B6E" w:rsidRPr="003771DB" w14:paraId="6E1FCFD2"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0CCB0410" w14:textId="77777777" w:rsidR="00354B6E" w:rsidRPr="003771DB" w:rsidRDefault="00354B6E" w:rsidP="00901E1D">
            <w:pPr>
              <w:pStyle w:val="COMTabletext"/>
              <w:keepLines/>
              <w:rPr>
                <w:snapToGrid w:val="0"/>
              </w:rPr>
            </w:pPr>
            <w:r w:rsidRPr="003771DB">
              <w:rPr>
                <w:snapToGrid w:val="0"/>
              </w:rPr>
              <w:t>Serious adverse event</w:t>
            </w:r>
          </w:p>
        </w:tc>
        <w:tc>
          <w:tcPr>
            <w:tcW w:w="807" w:type="pct"/>
            <w:tcBorders>
              <w:top w:val="single" w:sz="4" w:space="0" w:color="auto"/>
              <w:left w:val="single" w:sz="4" w:space="0" w:color="auto"/>
              <w:bottom w:val="single" w:sz="4" w:space="0" w:color="auto"/>
              <w:right w:val="single" w:sz="4" w:space="0" w:color="auto"/>
            </w:tcBorders>
            <w:vAlign w:val="center"/>
          </w:tcPr>
          <w:p w14:paraId="636790E2" w14:textId="77777777" w:rsidR="00354B6E" w:rsidRPr="003771DB" w:rsidRDefault="00354B6E" w:rsidP="00901E1D">
            <w:pPr>
              <w:pStyle w:val="COMTabletext"/>
              <w:keepLines/>
              <w:jc w:val="center"/>
              <w:rPr>
                <w:snapToGrid w:val="0"/>
              </w:rPr>
            </w:pPr>
            <w:r w:rsidRPr="003771DB">
              <w:rPr>
                <w:snapToGrid w:val="0"/>
              </w:rPr>
              <w:t>13 (14.1%)</w:t>
            </w:r>
          </w:p>
        </w:tc>
        <w:tc>
          <w:tcPr>
            <w:tcW w:w="808" w:type="pct"/>
            <w:tcBorders>
              <w:top w:val="single" w:sz="4" w:space="0" w:color="auto"/>
              <w:left w:val="single" w:sz="4" w:space="0" w:color="auto"/>
              <w:bottom w:val="single" w:sz="4" w:space="0" w:color="auto"/>
              <w:right w:val="single" w:sz="4" w:space="0" w:color="auto"/>
            </w:tcBorders>
            <w:vAlign w:val="center"/>
          </w:tcPr>
          <w:p w14:paraId="172E1B5A" w14:textId="77777777" w:rsidR="00354B6E" w:rsidRPr="003771DB" w:rsidRDefault="00354B6E" w:rsidP="00901E1D">
            <w:pPr>
              <w:pStyle w:val="COMTabletext"/>
              <w:keepLines/>
              <w:jc w:val="center"/>
              <w:rPr>
                <w:snapToGrid w:val="0"/>
              </w:rPr>
            </w:pPr>
            <w:r w:rsidRPr="003771DB">
              <w:rPr>
                <w:snapToGrid w:val="0"/>
              </w:rPr>
              <w:t>16</w:t>
            </w:r>
          </w:p>
        </w:tc>
        <w:tc>
          <w:tcPr>
            <w:tcW w:w="807" w:type="pct"/>
            <w:tcBorders>
              <w:top w:val="single" w:sz="4" w:space="0" w:color="auto"/>
              <w:left w:val="single" w:sz="4" w:space="0" w:color="auto"/>
              <w:bottom w:val="single" w:sz="4" w:space="0" w:color="auto"/>
              <w:right w:val="single" w:sz="4" w:space="0" w:color="auto"/>
            </w:tcBorders>
            <w:vAlign w:val="center"/>
          </w:tcPr>
          <w:p w14:paraId="5EDBF8BA" w14:textId="77777777" w:rsidR="00354B6E" w:rsidRPr="003771DB" w:rsidRDefault="00354B6E" w:rsidP="00901E1D">
            <w:pPr>
              <w:pStyle w:val="COMTabletext"/>
              <w:keepLines/>
              <w:jc w:val="center"/>
              <w:rPr>
                <w:snapToGrid w:val="0"/>
              </w:rPr>
            </w:pPr>
            <w:r w:rsidRPr="003771DB">
              <w:rPr>
                <w:snapToGrid w:val="0"/>
              </w:rPr>
              <w:t>5 (10.0%)</w:t>
            </w:r>
          </w:p>
        </w:tc>
        <w:tc>
          <w:tcPr>
            <w:tcW w:w="806" w:type="pct"/>
            <w:tcBorders>
              <w:top w:val="single" w:sz="4" w:space="0" w:color="auto"/>
              <w:left w:val="single" w:sz="4" w:space="0" w:color="auto"/>
              <w:bottom w:val="single" w:sz="4" w:space="0" w:color="auto"/>
              <w:right w:val="single" w:sz="4" w:space="0" w:color="auto"/>
            </w:tcBorders>
            <w:vAlign w:val="center"/>
          </w:tcPr>
          <w:p w14:paraId="37E1D7C7" w14:textId="77777777" w:rsidR="00354B6E" w:rsidRPr="003771DB" w:rsidRDefault="00354B6E" w:rsidP="00901E1D">
            <w:pPr>
              <w:pStyle w:val="COMTabletext"/>
              <w:keepLines/>
              <w:jc w:val="center"/>
              <w:rPr>
                <w:snapToGrid w:val="0"/>
              </w:rPr>
            </w:pPr>
            <w:r w:rsidRPr="003771DB">
              <w:rPr>
                <w:snapToGrid w:val="0"/>
              </w:rPr>
              <w:t>11</w:t>
            </w:r>
          </w:p>
        </w:tc>
      </w:tr>
      <w:tr w:rsidR="00354B6E" w:rsidRPr="003771DB" w14:paraId="7A98AF00"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5574A605" w14:textId="77777777" w:rsidR="00354B6E" w:rsidRPr="003771DB" w:rsidRDefault="00354B6E" w:rsidP="00901E1D">
            <w:pPr>
              <w:pStyle w:val="COMTabletext"/>
              <w:keepLines/>
              <w:rPr>
                <w:snapToGrid w:val="0"/>
              </w:rPr>
            </w:pPr>
            <w:r w:rsidRPr="003771DB">
              <w:rPr>
                <w:snapToGrid w:val="0"/>
              </w:rPr>
              <w:t>Adverse event leading to discontinuation</w:t>
            </w:r>
          </w:p>
        </w:tc>
        <w:tc>
          <w:tcPr>
            <w:tcW w:w="807" w:type="pct"/>
            <w:tcBorders>
              <w:top w:val="single" w:sz="4" w:space="0" w:color="auto"/>
              <w:left w:val="single" w:sz="4" w:space="0" w:color="auto"/>
              <w:bottom w:val="single" w:sz="4" w:space="0" w:color="auto"/>
              <w:right w:val="single" w:sz="4" w:space="0" w:color="auto"/>
            </w:tcBorders>
            <w:vAlign w:val="center"/>
          </w:tcPr>
          <w:p w14:paraId="7711FC08" w14:textId="77777777" w:rsidR="00354B6E" w:rsidRPr="003771DB" w:rsidRDefault="00354B6E" w:rsidP="00901E1D">
            <w:pPr>
              <w:pStyle w:val="COMTabletext"/>
              <w:keepLines/>
              <w:jc w:val="center"/>
              <w:rPr>
                <w:snapToGrid w:val="0"/>
              </w:rPr>
            </w:pPr>
            <w:r w:rsidRPr="003771DB">
              <w:rPr>
                <w:snapToGrid w:val="0"/>
              </w:rPr>
              <w:t>6 (6.5%)</w:t>
            </w:r>
          </w:p>
        </w:tc>
        <w:tc>
          <w:tcPr>
            <w:tcW w:w="808" w:type="pct"/>
            <w:tcBorders>
              <w:top w:val="single" w:sz="4" w:space="0" w:color="auto"/>
              <w:left w:val="single" w:sz="4" w:space="0" w:color="auto"/>
              <w:bottom w:val="single" w:sz="4" w:space="0" w:color="auto"/>
              <w:right w:val="single" w:sz="4" w:space="0" w:color="auto"/>
            </w:tcBorders>
            <w:vAlign w:val="center"/>
          </w:tcPr>
          <w:p w14:paraId="07FEC688" w14:textId="77777777" w:rsidR="00354B6E" w:rsidRPr="003771DB" w:rsidRDefault="00354B6E" w:rsidP="00901E1D">
            <w:pPr>
              <w:pStyle w:val="COMTabletext"/>
              <w:keepLines/>
              <w:jc w:val="center"/>
              <w:rPr>
                <w:snapToGrid w:val="0"/>
              </w:rPr>
            </w:pPr>
            <w:r w:rsidRPr="003771DB">
              <w:rPr>
                <w:snapToGrid w:val="0"/>
              </w:rPr>
              <w:t>6</w:t>
            </w:r>
          </w:p>
        </w:tc>
        <w:tc>
          <w:tcPr>
            <w:tcW w:w="807" w:type="pct"/>
            <w:tcBorders>
              <w:top w:val="single" w:sz="4" w:space="0" w:color="auto"/>
              <w:left w:val="single" w:sz="4" w:space="0" w:color="auto"/>
              <w:bottom w:val="single" w:sz="4" w:space="0" w:color="auto"/>
              <w:right w:val="single" w:sz="4" w:space="0" w:color="auto"/>
            </w:tcBorders>
            <w:vAlign w:val="center"/>
          </w:tcPr>
          <w:p w14:paraId="5412FA30" w14:textId="77777777" w:rsidR="00354B6E" w:rsidRPr="003771DB" w:rsidRDefault="00354B6E" w:rsidP="00901E1D">
            <w:pPr>
              <w:pStyle w:val="COMTabletext"/>
              <w:keepLines/>
              <w:jc w:val="center"/>
              <w:rPr>
                <w:snapToGrid w:val="0"/>
              </w:rPr>
            </w:pPr>
            <w:r w:rsidRPr="003771DB">
              <w:rPr>
                <w:snapToGrid w:val="0"/>
              </w:rPr>
              <w:t>1 (2.0%)</w:t>
            </w:r>
          </w:p>
        </w:tc>
        <w:tc>
          <w:tcPr>
            <w:tcW w:w="806" w:type="pct"/>
            <w:tcBorders>
              <w:top w:val="single" w:sz="4" w:space="0" w:color="auto"/>
              <w:left w:val="single" w:sz="4" w:space="0" w:color="auto"/>
              <w:bottom w:val="single" w:sz="4" w:space="0" w:color="auto"/>
              <w:right w:val="single" w:sz="4" w:space="0" w:color="auto"/>
            </w:tcBorders>
            <w:vAlign w:val="center"/>
          </w:tcPr>
          <w:p w14:paraId="7714F8C6" w14:textId="77777777" w:rsidR="00354B6E" w:rsidRPr="003771DB" w:rsidRDefault="00354B6E" w:rsidP="00901E1D">
            <w:pPr>
              <w:pStyle w:val="COMTabletext"/>
              <w:keepLines/>
              <w:jc w:val="center"/>
              <w:rPr>
                <w:snapToGrid w:val="0"/>
              </w:rPr>
            </w:pPr>
            <w:r w:rsidRPr="003771DB">
              <w:rPr>
                <w:snapToGrid w:val="0"/>
              </w:rPr>
              <w:t>2</w:t>
            </w:r>
          </w:p>
        </w:tc>
      </w:tr>
      <w:tr w:rsidR="00354B6E" w:rsidRPr="003771DB" w14:paraId="6663E059" w14:textId="77777777" w:rsidTr="00076B84">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E7E8291" w14:textId="1B8870AC" w:rsidR="00354B6E" w:rsidRPr="003771DB" w:rsidRDefault="00354B6E" w:rsidP="00901E1D">
            <w:pPr>
              <w:pStyle w:val="COMTabletext"/>
              <w:keepLines/>
              <w:rPr>
                <w:b/>
                <w:bCs w:val="0"/>
                <w:snapToGrid w:val="0"/>
              </w:rPr>
            </w:pPr>
            <w:r w:rsidRPr="003771DB">
              <w:rPr>
                <w:b/>
                <w:bCs w:val="0"/>
                <w:snapToGrid w:val="0"/>
              </w:rPr>
              <w:t xml:space="preserve">BMI </w:t>
            </w:r>
            <w:r w:rsidR="0005588E" w:rsidRPr="003771DB">
              <w:rPr>
                <w:b/>
                <w:bCs w:val="0"/>
                <w:snapToGrid w:val="0"/>
              </w:rPr>
              <w:t>≥</w:t>
            </w:r>
            <w:r w:rsidRPr="003771DB">
              <w:rPr>
                <w:b/>
                <w:bCs w:val="0"/>
                <w:snapToGrid w:val="0"/>
              </w:rPr>
              <w:t>40 kg/m</w:t>
            </w:r>
            <w:r w:rsidRPr="003771DB">
              <w:rPr>
                <w:b/>
                <w:bCs w:val="0"/>
                <w:snapToGrid w:val="0"/>
                <w:vertAlign w:val="superscript"/>
              </w:rPr>
              <w:t>2</w:t>
            </w:r>
            <w:r w:rsidRPr="003771DB">
              <w:rPr>
                <w:b/>
                <w:bCs w:val="0"/>
                <w:snapToGrid w:val="0"/>
              </w:rPr>
              <w:t xml:space="preserve"> and </w:t>
            </w:r>
            <w:r w:rsidR="0005588E" w:rsidRPr="003771DB">
              <w:rPr>
                <w:b/>
                <w:bCs w:val="0"/>
                <w:snapToGrid w:val="0"/>
              </w:rPr>
              <w:t>≥</w:t>
            </w:r>
            <w:r w:rsidRPr="003771DB">
              <w:rPr>
                <w:b/>
                <w:bCs w:val="0"/>
                <w:snapToGrid w:val="0"/>
              </w:rPr>
              <w:t>2 weight-related comorbidities with OSA, KOA or PD (N=257; 13.1% of trial population)</w:t>
            </w:r>
          </w:p>
        </w:tc>
      </w:tr>
      <w:tr w:rsidR="00354B6E" w:rsidRPr="003771DB" w14:paraId="2B3C17E6"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0A290D9" w14:textId="77777777" w:rsidR="00354B6E" w:rsidRPr="003771DB" w:rsidRDefault="00354B6E" w:rsidP="00901E1D">
            <w:pPr>
              <w:pStyle w:val="COMTabletext"/>
              <w:keepLines/>
              <w:rPr>
                <w:snapToGrid w:val="0"/>
              </w:rPr>
            </w:pPr>
            <w:r w:rsidRPr="003771DB">
              <w:rPr>
                <w:snapToGrid w:val="0"/>
              </w:rPr>
              <w:t>Any adverse event</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9B987F" w14:textId="77777777" w:rsidR="00354B6E" w:rsidRPr="003771DB" w:rsidRDefault="00354B6E" w:rsidP="00901E1D">
            <w:pPr>
              <w:pStyle w:val="COMTabletext"/>
              <w:keepLines/>
              <w:jc w:val="center"/>
              <w:rPr>
                <w:snapToGrid w:val="0"/>
              </w:rPr>
            </w:pPr>
            <w:r w:rsidRPr="003771DB">
              <w:rPr>
                <w:snapToGrid w:val="0"/>
              </w:rPr>
              <w:t>149 (89.2%)</w:t>
            </w:r>
          </w:p>
        </w:tc>
        <w:tc>
          <w:tcPr>
            <w:tcW w:w="8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35F470" w14:textId="77777777" w:rsidR="00354B6E" w:rsidRPr="003771DB" w:rsidRDefault="00354B6E" w:rsidP="00901E1D">
            <w:pPr>
              <w:pStyle w:val="COMTabletext"/>
              <w:keepLines/>
              <w:jc w:val="center"/>
              <w:rPr>
                <w:snapToGrid w:val="0"/>
              </w:rPr>
            </w:pPr>
            <w:r w:rsidRPr="003771DB">
              <w:rPr>
                <w:snapToGrid w:val="0"/>
              </w:rPr>
              <w:t>645</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BEF3E48" w14:textId="77777777" w:rsidR="00354B6E" w:rsidRPr="003771DB" w:rsidRDefault="00354B6E" w:rsidP="00901E1D">
            <w:pPr>
              <w:pStyle w:val="COMTabletext"/>
              <w:keepLines/>
              <w:jc w:val="center"/>
              <w:rPr>
                <w:snapToGrid w:val="0"/>
              </w:rPr>
            </w:pPr>
            <w:r w:rsidRPr="003771DB">
              <w:rPr>
                <w:snapToGrid w:val="0"/>
              </w:rPr>
              <w:t>84 (93.3%)</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43548F1" w14:textId="77777777" w:rsidR="00354B6E" w:rsidRPr="003771DB" w:rsidRDefault="00354B6E" w:rsidP="00901E1D">
            <w:pPr>
              <w:pStyle w:val="COMTabletext"/>
              <w:keepLines/>
              <w:jc w:val="center"/>
              <w:rPr>
                <w:snapToGrid w:val="0"/>
              </w:rPr>
            </w:pPr>
            <w:r w:rsidRPr="003771DB">
              <w:rPr>
                <w:snapToGrid w:val="0"/>
              </w:rPr>
              <w:t>531</w:t>
            </w:r>
          </w:p>
        </w:tc>
      </w:tr>
      <w:tr w:rsidR="00354B6E" w:rsidRPr="003771DB" w14:paraId="290F2970"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B6D9DEF" w14:textId="77777777" w:rsidR="00354B6E" w:rsidRPr="003771DB" w:rsidRDefault="00354B6E" w:rsidP="00901E1D">
            <w:pPr>
              <w:pStyle w:val="COMTabletext"/>
              <w:keepLines/>
              <w:rPr>
                <w:snapToGrid w:val="0"/>
              </w:rPr>
            </w:pPr>
            <w:r w:rsidRPr="003771DB">
              <w:rPr>
                <w:snapToGrid w:val="0"/>
              </w:rPr>
              <w:t>Probably-related adverse event</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50A952" w14:textId="77777777" w:rsidR="00354B6E" w:rsidRPr="003771DB" w:rsidRDefault="00354B6E" w:rsidP="00901E1D">
            <w:pPr>
              <w:pStyle w:val="COMTabletext"/>
              <w:keepLines/>
              <w:jc w:val="center"/>
              <w:rPr>
                <w:snapToGrid w:val="0"/>
              </w:rPr>
            </w:pPr>
            <w:r w:rsidRPr="003771DB">
              <w:rPr>
                <w:snapToGrid w:val="0"/>
              </w:rPr>
              <w:t>76 (45.5%)</w:t>
            </w:r>
          </w:p>
        </w:tc>
        <w:tc>
          <w:tcPr>
            <w:tcW w:w="8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C7CA446" w14:textId="77777777" w:rsidR="00354B6E" w:rsidRPr="003771DB" w:rsidRDefault="00354B6E" w:rsidP="00901E1D">
            <w:pPr>
              <w:pStyle w:val="COMTabletext"/>
              <w:keepLines/>
              <w:jc w:val="center"/>
              <w:rPr>
                <w:snapToGrid w:val="0"/>
              </w:rPr>
            </w:pPr>
            <w:r w:rsidRPr="003771DB">
              <w:rPr>
                <w:snapToGrid w:val="0"/>
              </w:rPr>
              <w:t>140</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4B70A71" w14:textId="77777777" w:rsidR="00354B6E" w:rsidRPr="003771DB" w:rsidRDefault="00354B6E" w:rsidP="00901E1D">
            <w:pPr>
              <w:pStyle w:val="COMTabletext"/>
              <w:keepLines/>
              <w:jc w:val="center"/>
              <w:rPr>
                <w:snapToGrid w:val="0"/>
              </w:rPr>
            </w:pPr>
            <w:r w:rsidRPr="003771DB">
              <w:rPr>
                <w:snapToGrid w:val="0"/>
              </w:rPr>
              <w:t>27 (30.0%)</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185203" w14:textId="77777777" w:rsidR="00354B6E" w:rsidRPr="003771DB" w:rsidRDefault="00354B6E" w:rsidP="00901E1D">
            <w:pPr>
              <w:pStyle w:val="COMTabletext"/>
              <w:keepLines/>
              <w:jc w:val="center"/>
              <w:rPr>
                <w:snapToGrid w:val="0"/>
              </w:rPr>
            </w:pPr>
            <w:r w:rsidRPr="003771DB">
              <w:rPr>
                <w:snapToGrid w:val="0"/>
              </w:rPr>
              <w:t>44</w:t>
            </w:r>
          </w:p>
        </w:tc>
      </w:tr>
      <w:tr w:rsidR="00354B6E" w:rsidRPr="003771DB" w14:paraId="54659173" w14:textId="77777777" w:rsidTr="00076B84">
        <w:trPr>
          <w:cantSplit/>
        </w:trPr>
        <w:tc>
          <w:tcPr>
            <w:tcW w:w="17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5B57A57" w14:textId="77777777" w:rsidR="00354B6E" w:rsidRPr="003771DB" w:rsidRDefault="00354B6E" w:rsidP="00901E1D">
            <w:pPr>
              <w:pStyle w:val="COMTabletext"/>
              <w:keepLines/>
              <w:rPr>
                <w:snapToGrid w:val="0"/>
              </w:rPr>
            </w:pPr>
            <w:r w:rsidRPr="003771DB">
              <w:rPr>
                <w:snapToGrid w:val="0"/>
              </w:rPr>
              <w:t>Possibly-related adverse event</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232E7A" w14:textId="77777777" w:rsidR="00354B6E" w:rsidRPr="003771DB" w:rsidRDefault="00354B6E" w:rsidP="00901E1D">
            <w:pPr>
              <w:pStyle w:val="COMTabletext"/>
              <w:keepLines/>
              <w:jc w:val="center"/>
              <w:rPr>
                <w:snapToGrid w:val="0"/>
              </w:rPr>
            </w:pPr>
            <w:r w:rsidRPr="003771DB">
              <w:rPr>
                <w:snapToGrid w:val="0"/>
              </w:rPr>
              <w:t>94 (56.3%)</w:t>
            </w:r>
          </w:p>
        </w:tc>
        <w:tc>
          <w:tcPr>
            <w:tcW w:w="8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6BAD41E" w14:textId="77777777" w:rsidR="00354B6E" w:rsidRPr="003771DB" w:rsidRDefault="00354B6E" w:rsidP="00901E1D">
            <w:pPr>
              <w:pStyle w:val="COMTabletext"/>
              <w:keepLines/>
              <w:jc w:val="center"/>
              <w:rPr>
                <w:snapToGrid w:val="0"/>
              </w:rPr>
            </w:pPr>
            <w:r w:rsidRPr="003771DB">
              <w:rPr>
                <w:snapToGrid w:val="0"/>
              </w:rPr>
              <w:t>173</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68358D" w14:textId="77777777" w:rsidR="00354B6E" w:rsidRPr="003771DB" w:rsidRDefault="00354B6E" w:rsidP="00901E1D">
            <w:pPr>
              <w:pStyle w:val="COMTabletext"/>
              <w:keepLines/>
              <w:jc w:val="center"/>
              <w:rPr>
                <w:snapToGrid w:val="0"/>
              </w:rPr>
            </w:pPr>
            <w:r w:rsidRPr="003771DB">
              <w:rPr>
                <w:snapToGrid w:val="0"/>
              </w:rPr>
              <w:t>35 (38.9%)</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0DB33F8" w14:textId="77777777" w:rsidR="00354B6E" w:rsidRPr="003771DB" w:rsidRDefault="00354B6E" w:rsidP="00901E1D">
            <w:pPr>
              <w:pStyle w:val="COMTabletext"/>
              <w:keepLines/>
              <w:jc w:val="center"/>
              <w:rPr>
                <w:snapToGrid w:val="0"/>
              </w:rPr>
            </w:pPr>
            <w:r w:rsidRPr="003771DB">
              <w:rPr>
                <w:snapToGrid w:val="0"/>
              </w:rPr>
              <w:t>79</w:t>
            </w:r>
          </w:p>
        </w:tc>
      </w:tr>
      <w:tr w:rsidR="00354B6E" w:rsidRPr="003771DB" w14:paraId="60D81706" w14:textId="77777777" w:rsidTr="00354B6E">
        <w:trPr>
          <w:cantSplit/>
        </w:trPr>
        <w:tc>
          <w:tcPr>
            <w:tcW w:w="17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789D93E" w14:textId="77777777" w:rsidR="00354B6E" w:rsidRPr="003771DB" w:rsidRDefault="00354B6E" w:rsidP="00901E1D">
            <w:pPr>
              <w:pStyle w:val="COMTabletext"/>
              <w:keepLines/>
              <w:rPr>
                <w:snapToGrid w:val="0"/>
              </w:rPr>
            </w:pPr>
            <w:r w:rsidRPr="003771DB">
              <w:rPr>
                <w:snapToGrid w:val="0"/>
              </w:rPr>
              <w:t>Serious adverse event</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E601203" w14:textId="77777777" w:rsidR="00354B6E" w:rsidRPr="003771DB" w:rsidRDefault="00354B6E" w:rsidP="00901E1D">
            <w:pPr>
              <w:pStyle w:val="COMTabletext"/>
              <w:keepLines/>
              <w:jc w:val="center"/>
              <w:rPr>
                <w:snapToGrid w:val="0"/>
              </w:rPr>
            </w:pPr>
            <w:r w:rsidRPr="003771DB">
              <w:rPr>
                <w:snapToGrid w:val="0"/>
              </w:rPr>
              <w:t>24 (14.4%)</w:t>
            </w:r>
          </w:p>
        </w:tc>
        <w:tc>
          <w:tcPr>
            <w:tcW w:w="8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9FEBE9" w14:textId="77777777" w:rsidR="00354B6E" w:rsidRPr="003771DB" w:rsidRDefault="00354B6E" w:rsidP="00901E1D">
            <w:pPr>
              <w:pStyle w:val="COMTabletext"/>
              <w:keepLines/>
              <w:jc w:val="center"/>
              <w:rPr>
                <w:snapToGrid w:val="0"/>
              </w:rPr>
            </w:pPr>
            <w:r w:rsidRPr="003771DB">
              <w:rPr>
                <w:snapToGrid w:val="0"/>
              </w:rPr>
              <w:t>14</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02A15EB" w14:textId="77777777" w:rsidR="00354B6E" w:rsidRPr="003771DB" w:rsidRDefault="00354B6E" w:rsidP="00901E1D">
            <w:pPr>
              <w:pStyle w:val="COMTabletext"/>
              <w:keepLines/>
              <w:jc w:val="center"/>
              <w:rPr>
                <w:snapToGrid w:val="0"/>
              </w:rPr>
            </w:pPr>
            <w:r w:rsidRPr="003771DB">
              <w:rPr>
                <w:snapToGrid w:val="0"/>
              </w:rPr>
              <w:t>9 (10.0%)</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97D520" w14:textId="77777777" w:rsidR="00354B6E" w:rsidRPr="003771DB" w:rsidRDefault="00354B6E" w:rsidP="00901E1D">
            <w:pPr>
              <w:pStyle w:val="COMTabletext"/>
              <w:keepLines/>
              <w:jc w:val="center"/>
              <w:rPr>
                <w:snapToGrid w:val="0"/>
              </w:rPr>
            </w:pPr>
            <w:r w:rsidRPr="003771DB">
              <w:rPr>
                <w:snapToGrid w:val="0"/>
              </w:rPr>
              <w:t>13</w:t>
            </w:r>
          </w:p>
        </w:tc>
      </w:tr>
      <w:tr w:rsidR="00354B6E" w:rsidRPr="003771DB" w14:paraId="16E93C01" w14:textId="77777777" w:rsidTr="00354B6E">
        <w:trPr>
          <w:cantSplit/>
        </w:trPr>
        <w:tc>
          <w:tcPr>
            <w:tcW w:w="177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CF81852" w14:textId="77777777" w:rsidR="00354B6E" w:rsidRPr="003771DB" w:rsidRDefault="00354B6E" w:rsidP="00901E1D">
            <w:pPr>
              <w:pStyle w:val="COMTabletext"/>
              <w:keepLines/>
              <w:rPr>
                <w:snapToGrid w:val="0"/>
              </w:rPr>
            </w:pPr>
            <w:r w:rsidRPr="003771DB">
              <w:rPr>
                <w:snapToGrid w:val="0"/>
              </w:rPr>
              <w:t>Adverse event leading to discontinuation</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4C9E525" w14:textId="77777777" w:rsidR="00354B6E" w:rsidRPr="003771DB" w:rsidRDefault="00354B6E" w:rsidP="00901E1D">
            <w:pPr>
              <w:pStyle w:val="COMTabletext"/>
              <w:keepLines/>
              <w:jc w:val="center"/>
              <w:rPr>
                <w:snapToGrid w:val="0"/>
              </w:rPr>
            </w:pPr>
            <w:r w:rsidRPr="003771DB">
              <w:rPr>
                <w:snapToGrid w:val="0"/>
              </w:rPr>
              <w:t>9 (5.4%)</w:t>
            </w:r>
          </w:p>
        </w:tc>
        <w:tc>
          <w:tcPr>
            <w:tcW w:w="8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6890BC" w14:textId="77777777" w:rsidR="00354B6E" w:rsidRPr="003771DB" w:rsidRDefault="00354B6E" w:rsidP="00901E1D">
            <w:pPr>
              <w:pStyle w:val="COMTabletext"/>
              <w:keepLines/>
              <w:jc w:val="center"/>
              <w:rPr>
                <w:snapToGrid w:val="0"/>
              </w:rPr>
            </w:pPr>
            <w:r w:rsidRPr="003771DB">
              <w:rPr>
                <w:snapToGrid w:val="0"/>
              </w:rPr>
              <w:t>5</w:t>
            </w:r>
          </w:p>
        </w:tc>
        <w:tc>
          <w:tcPr>
            <w:tcW w:w="80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6856367" w14:textId="77777777" w:rsidR="00354B6E" w:rsidRPr="003771DB" w:rsidRDefault="00354B6E" w:rsidP="00901E1D">
            <w:pPr>
              <w:pStyle w:val="COMTabletext"/>
              <w:keepLines/>
              <w:jc w:val="center"/>
              <w:rPr>
                <w:snapToGrid w:val="0"/>
              </w:rPr>
            </w:pPr>
            <w:r w:rsidRPr="003771DB">
              <w:rPr>
                <w:snapToGrid w:val="0"/>
              </w:rPr>
              <w:t>3 (3.3%)</w:t>
            </w:r>
          </w:p>
        </w:tc>
        <w:tc>
          <w:tcPr>
            <w:tcW w:w="806"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643177F" w14:textId="77777777" w:rsidR="00354B6E" w:rsidRPr="003771DB" w:rsidRDefault="00354B6E" w:rsidP="00901E1D">
            <w:pPr>
              <w:pStyle w:val="COMTabletext"/>
              <w:keepLines/>
              <w:jc w:val="center"/>
              <w:rPr>
                <w:snapToGrid w:val="0"/>
              </w:rPr>
            </w:pPr>
            <w:r w:rsidRPr="003771DB">
              <w:rPr>
                <w:snapToGrid w:val="0"/>
              </w:rPr>
              <w:t>3</w:t>
            </w:r>
          </w:p>
        </w:tc>
      </w:tr>
    </w:tbl>
    <w:p w14:paraId="562EE3A4" w14:textId="4C935F6A" w:rsidR="00354B6E" w:rsidRPr="003771DB" w:rsidRDefault="00354B6E" w:rsidP="00354B6E">
      <w:pPr>
        <w:pStyle w:val="COMTablefooter"/>
      </w:pPr>
      <w:r w:rsidRPr="003771DB">
        <w:t>Source: Table 2-75, p149 of the resubmission; Table 225, p509; Table 226, p510; Table 231, p513; Table 232, p514; Table 233, p515 of the STEP-1 subgroup analysis report</w:t>
      </w:r>
    </w:p>
    <w:p w14:paraId="5FDFF98C" w14:textId="5F5B5506" w:rsidR="00354B6E" w:rsidRPr="003771DB" w:rsidRDefault="00354B6E" w:rsidP="00354B6E">
      <w:pPr>
        <w:pStyle w:val="COMTablefooter"/>
      </w:pPr>
      <w:r w:rsidRPr="003771DB">
        <w:t xml:space="preserve">Abbreviations: BMI, body mass index; </w:t>
      </w:r>
      <w:r w:rsidR="00176DB2" w:rsidRPr="003771DB">
        <w:t xml:space="preserve">ITT, intention to treat; </w:t>
      </w:r>
      <w:r w:rsidRPr="003771DB">
        <w:t>KOA, knee osteoarthritis; OSA, obstructive sleep apnoea; PD, pre-diabetes</w:t>
      </w:r>
    </w:p>
    <w:p w14:paraId="25AF1317" w14:textId="36AEB823" w:rsidR="00354B6E" w:rsidRPr="003771DB" w:rsidRDefault="00354B6E" w:rsidP="00354B6E">
      <w:pPr>
        <w:pStyle w:val="COMTablefooter"/>
      </w:pPr>
      <w:r w:rsidRPr="003771DB">
        <w:t>Note: Green shading indicates the main target population in the resubmission</w:t>
      </w:r>
    </w:p>
    <w:p w14:paraId="1AFF4CDA" w14:textId="256D685B" w:rsidR="00354B6E" w:rsidRPr="003771DB" w:rsidRDefault="00354B6E" w:rsidP="004E2228">
      <w:pPr>
        <w:pStyle w:val="COMexecsumnumberedpara"/>
      </w:pPr>
      <w:r w:rsidRPr="003771DB">
        <w:t xml:space="preserve">Overall, the risk of adverse events in both treatment arms appeared to increase in subgroups with higher baseline BMI and comorbidities compared to the </w:t>
      </w:r>
      <w:r w:rsidR="007F7E92" w:rsidRPr="003771DB">
        <w:t>ITT</w:t>
      </w:r>
      <w:r w:rsidR="00FC4CDF" w:rsidRPr="003771DB">
        <w:t xml:space="preserve"> population</w:t>
      </w:r>
      <w:r w:rsidRPr="003771DB">
        <w:t>. Treatment with semaglutide was associated with an increased incidence and frequency of adverse events, treatment-related events, serious adverse events and adverse events leading to discontinuation compared to placebo across all nominated subgroups.</w:t>
      </w:r>
    </w:p>
    <w:p w14:paraId="4B262F26" w14:textId="1619D1A7" w:rsidR="00354B6E" w:rsidRPr="003771DB" w:rsidRDefault="00354B6E" w:rsidP="004E2228">
      <w:pPr>
        <w:pStyle w:val="COMexecsumnumberedpara"/>
      </w:pPr>
      <w:r w:rsidRPr="003771DB">
        <w:t xml:space="preserve">During the evaluation, the sponsor provided updated data on potential safety concerns with semaglutide based on a </w:t>
      </w:r>
      <w:r w:rsidR="00901E1D" w:rsidRPr="003771DB">
        <w:t>Periodic Safety Update Report/</w:t>
      </w:r>
      <w:r w:rsidRPr="003771DB">
        <w:t>Periodic Benefit Risk Evaluation Report (June 2021 to May 2022). The report include</w:t>
      </w:r>
      <w:r w:rsidR="00901E1D" w:rsidRPr="003771DB">
        <w:t>d</w:t>
      </w:r>
      <w:r w:rsidRPr="003771DB">
        <w:t xml:space="preserve"> use of injectable (single dose and multi dose pens) and oral semaglutide</w:t>
      </w:r>
      <w:r w:rsidR="00D27371" w:rsidRPr="003771DB">
        <w:t>,</w:t>
      </w:r>
      <w:r w:rsidRPr="003771DB">
        <w:t xml:space="preserve"> predominantly for type 2 diabetes and weight management.</w:t>
      </w:r>
    </w:p>
    <w:p w14:paraId="74996CF4" w14:textId="347D879E" w:rsidR="00354B6E" w:rsidRPr="003771DB" w:rsidRDefault="00354B6E" w:rsidP="004E2228">
      <w:pPr>
        <w:pStyle w:val="COMexecsumnumberedpara"/>
      </w:pPr>
      <w:r w:rsidRPr="003771DB">
        <w:lastRenderedPageBreak/>
        <w:t xml:space="preserve">No new safety concerns were identified. Important identified risks include gastrointestinal adverse events (specifically nausea, vomiting and diarrhoea), acute gallstone disease (cholelithiasis), severe hypoglycaemia in combination with oral anti-diabetic treatments and/or insulin, diabetic retinopathy complications and acute pancreatitis. Important potential risks include serious allergic reactions, neoplasms (malignant and non-malignant), medullary thyroid cancer and pancreatic cancer. The Periodic Benefit Risk Evaluation Report identified missing information </w:t>
      </w:r>
      <w:r w:rsidR="006A6BDD" w:rsidRPr="003771DB">
        <w:t>in regard to</w:t>
      </w:r>
      <w:r w:rsidRPr="003771DB">
        <w:t xml:space="preserve"> pregnancy and lactation as well as patients with severe hepatic impairment. </w:t>
      </w:r>
    </w:p>
    <w:p w14:paraId="3D728433" w14:textId="7F34B271" w:rsidR="00354B6E" w:rsidRPr="003771DB" w:rsidRDefault="00354B6E" w:rsidP="004E2228">
      <w:pPr>
        <w:pStyle w:val="COMexecsumnumberedpara"/>
      </w:pPr>
      <w:r w:rsidRPr="003771DB">
        <w:t>The report acknowledged a high reporting rate of medication errors with semaglutide single-dose pens used for weight management. The report stated that these errors were predominantly related to administration errors (insufficient pressure applied and premature retraction of the device from the skin by the patient) and prescribing/dispensing errors (starting dose too high). The report noted that higher starting doses may increase the risk of gastrointestinal events with semaglutide but otherwise concluded that the safety implications of these medication errors were limited.</w:t>
      </w:r>
    </w:p>
    <w:p w14:paraId="3FCCD248" w14:textId="51849F67" w:rsidR="00354B6E" w:rsidRPr="003771DB" w:rsidRDefault="00901E1D" w:rsidP="004E2228">
      <w:pPr>
        <w:pStyle w:val="COMexecsumnumberedpara"/>
      </w:pPr>
      <w:r w:rsidRPr="003771DB">
        <w:rPr>
          <w:iCs/>
        </w:rPr>
        <w:t>At the time of evaluation</w:t>
      </w:r>
      <w:r w:rsidR="00E976AD" w:rsidRPr="003771DB">
        <w:rPr>
          <w:iCs/>
        </w:rPr>
        <w:t xml:space="preserve"> and ESC consideration</w:t>
      </w:r>
      <w:r w:rsidRPr="003771DB">
        <w:rPr>
          <w:iCs/>
        </w:rPr>
        <w:t>,</w:t>
      </w:r>
      <w:r w:rsidRPr="003771DB">
        <w:t xml:space="preserve"> t</w:t>
      </w:r>
      <w:r w:rsidR="00354B6E" w:rsidRPr="003771DB">
        <w:t>he E</w:t>
      </w:r>
      <w:r w:rsidR="003578F0" w:rsidRPr="003771DB">
        <w:t>uropean Medicines Agency</w:t>
      </w:r>
      <w:r w:rsidR="00354B6E" w:rsidRPr="003771DB">
        <w:t xml:space="preserve"> </w:t>
      </w:r>
      <w:r w:rsidRPr="003771DB">
        <w:t>was</w:t>
      </w:r>
      <w:r w:rsidR="00354B6E" w:rsidRPr="003771DB">
        <w:t xml:space="preserve"> investigating safety signals regarding suicidal ideation and self-injurious ideation</w:t>
      </w:r>
      <w:r w:rsidR="00E05F61" w:rsidRPr="003771DB">
        <w:t>,</w:t>
      </w:r>
      <w:r w:rsidR="00354B6E" w:rsidRPr="003771DB">
        <w:t xml:space="preserve"> as well as thyroid cancer with GLP-1 analogues including semaglutide (EMA Pharmacovigilance Risk Assessment Committee</w:t>
      </w:r>
      <w:r w:rsidR="00A84458" w:rsidRPr="003771DB">
        <w:t xml:space="preserve"> [PRAC]</w:t>
      </w:r>
      <w:r w:rsidR="00354B6E" w:rsidRPr="003771DB">
        <w:t>, 8 May 2023; 31 July 2023).</w:t>
      </w:r>
      <w:r w:rsidR="00E976AD" w:rsidRPr="003771DB">
        <w:t xml:space="preserve"> </w:t>
      </w:r>
      <w:r w:rsidR="001415C3" w:rsidRPr="003771DB">
        <w:t xml:space="preserve">At the time of the PBAC meeting, the EMA had concluded that the available evidence does not support a causal association between GLP-1 </w:t>
      </w:r>
      <w:r w:rsidR="00A84458" w:rsidRPr="003771DB">
        <w:t>analogues and thyroid cancer (EMA PRAC Meeting highlights, 27 October 2023).</w:t>
      </w:r>
    </w:p>
    <w:p w14:paraId="38DA6275" w14:textId="34738344" w:rsidR="00354B6E" w:rsidRPr="003771DB" w:rsidRDefault="00354B6E" w:rsidP="004E2228">
      <w:pPr>
        <w:pStyle w:val="COMexecsumnumberedpara"/>
      </w:pPr>
      <w:r w:rsidRPr="003771DB">
        <w:t>Overall, there remain limited long-term data to support the safety of the new higher dose of semaglutide for obesity.</w:t>
      </w:r>
    </w:p>
    <w:p w14:paraId="04908C7F" w14:textId="381F8EE6" w:rsidR="007F1017" w:rsidRPr="003771DB" w:rsidRDefault="007F1017" w:rsidP="00D86231">
      <w:pPr>
        <w:pStyle w:val="COMH2-non-numbered"/>
      </w:pPr>
      <w:bookmarkStart w:id="33" w:name="_Toc22897643"/>
      <w:bookmarkStart w:id="34" w:name="_Toc144899326"/>
      <w:r w:rsidRPr="003771DB">
        <w:t>Benefits/harms</w:t>
      </w:r>
      <w:bookmarkEnd w:id="33"/>
      <w:bookmarkEnd w:id="34"/>
    </w:p>
    <w:p w14:paraId="118F01BE" w14:textId="01C04D5E" w:rsidR="00764EA9" w:rsidRPr="003771DB" w:rsidRDefault="00764EA9" w:rsidP="00764EA9">
      <w:pPr>
        <w:pStyle w:val="COMexecsumnumberedpara"/>
      </w:pPr>
      <w:r w:rsidRPr="003771DB">
        <w:t xml:space="preserve">A summary of the comparative benefits and harms for semaglutide versus placebo </w:t>
      </w:r>
      <w:r w:rsidR="007633CC" w:rsidRPr="003771DB">
        <w:t xml:space="preserve">for the requested population </w:t>
      </w:r>
      <w:r w:rsidRPr="003771DB">
        <w:t xml:space="preserve">is presented in </w:t>
      </w:r>
      <w:r w:rsidR="00B4298C" w:rsidRPr="003771DB">
        <w:fldChar w:fldCharType="begin" w:fldLock="1"/>
      </w:r>
      <w:r w:rsidR="00B4298C" w:rsidRPr="003771DB">
        <w:instrText xml:space="preserve"> REF _Ref144895699 \h </w:instrText>
      </w:r>
      <w:r w:rsidR="00B4298C" w:rsidRPr="003771DB">
        <w:fldChar w:fldCharType="separate"/>
      </w:r>
      <w:r w:rsidR="00D44FF6" w:rsidRPr="003771DB">
        <w:t xml:space="preserve">Table </w:t>
      </w:r>
      <w:r w:rsidR="00D44FF6" w:rsidRPr="00F7478B">
        <w:t>9</w:t>
      </w:r>
      <w:r w:rsidR="00B4298C" w:rsidRPr="003771DB">
        <w:fldChar w:fldCharType="end"/>
      </w:r>
      <w:r w:rsidRPr="003771DB">
        <w:t>.</w:t>
      </w:r>
      <w:r w:rsidR="0032226A" w:rsidRPr="003771DB">
        <w:t xml:space="preserve"> </w:t>
      </w:r>
    </w:p>
    <w:p w14:paraId="3DD3AA3E" w14:textId="2DC9BC66" w:rsidR="00764EA9" w:rsidRPr="003771DB" w:rsidRDefault="00B4298C" w:rsidP="009329B0">
      <w:pPr>
        <w:pStyle w:val="Caption"/>
        <w:keepLines/>
        <w:rPr>
          <w:color w:val="3366FF"/>
        </w:rPr>
      </w:pPr>
      <w:bookmarkStart w:id="35" w:name="_Ref144895699"/>
      <w:r w:rsidRPr="003771DB">
        <w:t xml:space="preserve">Table </w:t>
      </w:r>
      <w:fldSimple w:instr=" SEQ Table \* ARABIC " w:fldLock="1">
        <w:r w:rsidR="00AD487C" w:rsidRPr="00F7478B">
          <w:t>9</w:t>
        </w:r>
      </w:fldSimple>
      <w:bookmarkEnd w:id="35"/>
      <w:r w:rsidR="00764EA9" w:rsidRPr="003771DB">
        <w:rPr>
          <w:snapToGrid w:val="0"/>
        </w:rPr>
        <w:t>: Summary of comparative benefits and harms for semaglutide and placebo in patients with BMI ≥</w:t>
      </w:r>
      <w:r w:rsidR="009329B0">
        <w:rPr>
          <w:snapToGrid w:val="0"/>
        </w:rPr>
        <w:t> </w:t>
      </w:r>
      <w:r w:rsidR="00764EA9" w:rsidRPr="003771DB">
        <w:rPr>
          <w:snapToGrid w:val="0"/>
        </w:rPr>
        <w:t>40</w:t>
      </w:r>
      <w:r w:rsidR="009329B0">
        <w:rPr>
          <w:snapToGrid w:val="0"/>
        </w:rPr>
        <w:t> </w:t>
      </w:r>
      <w:r w:rsidR="00764EA9" w:rsidRPr="003771DB">
        <w:rPr>
          <w:snapToGrid w:val="0"/>
        </w:rPr>
        <w:t>kg/m</w:t>
      </w:r>
      <w:r w:rsidR="00764EA9" w:rsidRPr="003771DB">
        <w:rPr>
          <w:snapToGrid w:val="0"/>
          <w:vertAlign w:val="superscript"/>
        </w:rPr>
        <w:t>2</w:t>
      </w:r>
      <w:r w:rsidR="00764EA9" w:rsidRPr="003771DB">
        <w:rPr>
          <w:snapToGrid w:val="0"/>
        </w:rPr>
        <w:t xml:space="preserve"> and ≥</w:t>
      </w:r>
      <w:r w:rsidR="009329B0">
        <w:rPr>
          <w:snapToGrid w:val="0"/>
        </w:rPr>
        <w:t> </w:t>
      </w:r>
      <w:r w:rsidR="00764EA9" w:rsidRPr="003771DB">
        <w:rPr>
          <w:snapToGrid w:val="0"/>
        </w:rPr>
        <w:t>2 weight-related comorbidities with a confirmed diagnosis of obstructive sleep apnoea, knee osteoarthritis or pre-diabetes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comparative benefits and harms for semaglutide and placebo in patients with BMI ≥ 40 kg/m2 and ≥ 2 weight-related comorbidities with a confirmed diagnosis of obstructive sleep apnoea, knee osteoarthritis or pre-diabetes"/>
        <w:tblDescription w:val="Table 9: Summary of comparative benefits and harms for semaglutide and placebo in patients with BMI ≥ 40 kg/m2 and ≥ 2 weight-related comorbidities with a confirmed diagnosis of obstructive sleep apnoea, knee osteoarthritis or pre-diabetes"/>
      </w:tblPr>
      <w:tblGrid>
        <w:gridCol w:w="4496"/>
        <w:gridCol w:w="1405"/>
        <w:gridCol w:w="1405"/>
        <w:gridCol w:w="1711"/>
      </w:tblGrid>
      <w:tr w:rsidR="0065234A" w:rsidRPr="003771DB" w14:paraId="65332E59" w14:textId="77777777" w:rsidTr="0065234A">
        <w:trPr>
          <w:cantSplit/>
          <w:tblHeader/>
        </w:trPr>
        <w:tc>
          <w:tcPr>
            <w:tcW w:w="2493" w:type="pct"/>
            <w:tcBorders>
              <w:right w:val="single" w:sz="4" w:space="0" w:color="auto"/>
            </w:tcBorders>
            <w:shd w:val="clear" w:color="auto" w:fill="auto"/>
            <w:vAlign w:val="center"/>
          </w:tcPr>
          <w:p w14:paraId="7C36D0DB" w14:textId="77777777" w:rsidR="00764EA9" w:rsidRPr="00F7478B" w:rsidRDefault="00764EA9" w:rsidP="009329B0">
            <w:pPr>
              <w:pStyle w:val="COMTableheadingrow"/>
              <w:keepLines/>
              <w:rPr>
                <w:snapToGrid w:val="0"/>
                <w:lang w:val="en-AU"/>
              </w:rPr>
            </w:pPr>
            <w:r w:rsidRPr="00F7478B">
              <w:rPr>
                <w:snapToGrid w:val="0"/>
                <w:lang w:val="en-AU"/>
              </w:rPr>
              <w:t>Subgroup</w:t>
            </w:r>
          </w:p>
        </w:tc>
        <w:tc>
          <w:tcPr>
            <w:tcW w:w="779" w:type="pct"/>
            <w:tcBorders>
              <w:left w:val="single" w:sz="4" w:space="0" w:color="auto"/>
              <w:right w:val="single" w:sz="4" w:space="0" w:color="auto"/>
            </w:tcBorders>
            <w:shd w:val="clear" w:color="auto" w:fill="auto"/>
            <w:vAlign w:val="center"/>
          </w:tcPr>
          <w:p w14:paraId="5DF75492" w14:textId="77777777" w:rsidR="00764EA9" w:rsidRPr="00F7478B" w:rsidRDefault="00764EA9" w:rsidP="009329B0">
            <w:pPr>
              <w:pStyle w:val="COMTableheadingrow"/>
              <w:keepLines/>
              <w:jc w:val="center"/>
              <w:rPr>
                <w:snapToGrid w:val="0"/>
                <w:lang w:val="en-AU"/>
              </w:rPr>
            </w:pPr>
            <w:r w:rsidRPr="00F7478B">
              <w:rPr>
                <w:snapToGrid w:val="0"/>
                <w:lang w:val="en-AU"/>
              </w:rPr>
              <w:t>Semaglutide</w:t>
            </w:r>
          </w:p>
        </w:tc>
        <w:tc>
          <w:tcPr>
            <w:tcW w:w="779" w:type="pct"/>
            <w:tcBorders>
              <w:left w:val="single" w:sz="4" w:space="0" w:color="auto"/>
              <w:right w:val="single" w:sz="4" w:space="0" w:color="auto"/>
            </w:tcBorders>
            <w:shd w:val="clear" w:color="auto" w:fill="auto"/>
            <w:vAlign w:val="center"/>
          </w:tcPr>
          <w:p w14:paraId="74745E58" w14:textId="77777777" w:rsidR="00764EA9" w:rsidRPr="00F7478B" w:rsidRDefault="00764EA9" w:rsidP="009329B0">
            <w:pPr>
              <w:pStyle w:val="COMTableheadingrow"/>
              <w:keepLines/>
              <w:jc w:val="center"/>
              <w:rPr>
                <w:snapToGrid w:val="0"/>
                <w:lang w:val="en-AU"/>
              </w:rPr>
            </w:pPr>
            <w:r w:rsidRPr="00F7478B">
              <w:rPr>
                <w:snapToGrid w:val="0"/>
                <w:lang w:val="en-AU"/>
              </w:rPr>
              <w:t>Placebo</w:t>
            </w:r>
          </w:p>
        </w:tc>
        <w:tc>
          <w:tcPr>
            <w:tcW w:w="949" w:type="pct"/>
            <w:tcBorders>
              <w:left w:val="single" w:sz="4" w:space="0" w:color="auto"/>
            </w:tcBorders>
            <w:shd w:val="clear" w:color="auto" w:fill="auto"/>
            <w:vAlign w:val="center"/>
          </w:tcPr>
          <w:p w14:paraId="2F545918" w14:textId="77777777" w:rsidR="00764EA9" w:rsidRPr="00F7478B" w:rsidRDefault="00764EA9" w:rsidP="009329B0">
            <w:pPr>
              <w:pStyle w:val="COMTableheadingrow"/>
              <w:keepLines/>
              <w:jc w:val="center"/>
              <w:rPr>
                <w:snapToGrid w:val="0"/>
                <w:lang w:val="en-AU"/>
              </w:rPr>
            </w:pPr>
            <w:r w:rsidRPr="00F7478B">
              <w:rPr>
                <w:snapToGrid w:val="0"/>
                <w:lang w:val="en-AU"/>
              </w:rPr>
              <w:t>Treatment difference</w:t>
            </w:r>
          </w:p>
        </w:tc>
      </w:tr>
      <w:tr w:rsidR="0065234A" w:rsidRPr="003771DB" w14:paraId="0169BCB5" w14:textId="77777777" w:rsidTr="0065234A">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363E92E6" w14:textId="4AE57E67" w:rsidR="00764EA9" w:rsidRPr="003771DB" w:rsidRDefault="00764EA9" w:rsidP="009329B0">
            <w:pPr>
              <w:pStyle w:val="COMTabletext"/>
              <w:keepLines/>
              <w:rPr>
                <w:snapToGrid w:val="0"/>
              </w:rPr>
            </w:pPr>
            <w:r w:rsidRPr="003771DB">
              <w:rPr>
                <w:snapToGrid w:val="0"/>
              </w:rPr>
              <w:t xml:space="preserve">Proportion of patients with </w:t>
            </w:r>
            <w:r w:rsidR="0065234A" w:rsidRPr="003771DB">
              <w:rPr>
                <w:snapToGrid w:val="0"/>
              </w:rPr>
              <w:t>≥</w:t>
            </w:r>
            <w:r w:rsidRPr="003771DB">
              <w:rPr>
                <w:snapToGrid w:val="0"/>
              </w:rPr>
              <w:t>10% reduction in body weight from baseline to Week 68</w:t>
            </w:r>
          </w:p>
        </w:tc>
        <w:tc>
          <w:tcPr>
            <w:tcW w:w="779" w:type="pct"/>
            <w:tcBorders>
              <w:top w:val="single" w:sz="4" w:space="0" w:color="auto"/>
              <w:left w:val="single" w:sz="4" w:space="0" w:color="auto"/>
              <w:bottom w:val="single" w:sz="4" w:space="0" w:color="auto"/>
              <w:right w:val="single" w:sz="4" w:space="0" w:color="auto"/>
            </w:tcBorders>
            <w:vAlign w:val="center"/>
          </w:tcPr>
          <w:p w14:paraId="19965627" w14:textId="081718BA" w:rsidR="00764EA9" w:rsidRPr="003771DB" w:rsidRDefault="00C405D5" w:rsidP="009329B0">
            <w:pPr>
              <w:pStyle w:val="COMTabletext"/>
              <w:keepLines/>
              <w:jc w:val="center"/>
              <w:rPr>
                <w:snapToGrid w:val="0"/>
              </w:rPr>
            </w:pPr>
            <w:r w:rsidRPr="003771DB">
              <w:rPr>
                <w:snapToGrid w:val="0"/>
              </w:rPr>
              <w:t>57.98%</w:t>
            </w:r>
          </w:p>
        </w:tc>
        <w:tc>
          <w:tcPr>
            <w:tcW w:w="779" w:type="pct"/>
            <w:tcBorders>
              <w:top w:val="single" w:sz="4" w:space="0" w:color="auto"/>
              <w:left w:val="single" w:sz="4" w:space="0" w:color="auto"/>
              <w:bottom w:val="single" w:sz="4" w:space="0" w:color="auto"/>
              <w:right w:val="single" w:sz="4" w:space="0" w:color="auto"/>
            </w:tcBorders>
            <w:vAlign w:val="center"/>
          </w:tcPr>
          <w:p w14:paraId="3773CC6B" w14:textId="791C4F9D" w:rsidR="00764EA9" w:rsidRPr="003771DB" w:rsidRDefault="00C405D5" w:rsidP="009329B0">
            <w:pPr>
              <w:pStyle w:val="COMTabletext"/>
              <w:keepLines/>
              <w:jc w:val="center"/>
              <w:rPr>
                <w:snapToGrid w:val="0"/>
              </w:rPr>
            </w:pPr>
            <w:r w:rsidRPr="003771DB">
              <w:rPr>
                <w:snapToGrid w:val="0"/>
              </w:rPr>
              <w:t>12.28%</w:t>
            </w:r>
          </w:p>
        </w:tc>
        <w:tc>
          <w:tcPr>
            <w:tcW w:w="949" w:type="pct"/>
            <w:tcBorders>
              <w:top w:val="single" w:sz="4" w:space="0" w:color="auto"/>
              <w:left w:val="single" w:sz="4" w:space="0" w:color="auto"/>
              <w:bottom w:val="single" w:sz="4" w:space="0" w:color="auto"/>
              <w:right w:val="single" w:sz="4" w:space="0" w:color="auto"/>
            </w:tcBorders>
            <w:vAlign w:val="center"/>
          </w:tcPr>
          <w:p w14:paraId="7075EBD3" w14:textId="4E273524" w:rsidR="00764EA9" w:rsidRPr="003771DB" w:rsidRDefault="00C405D5" w:rsidP="009329B0">
            <w:pPr>
              <w:pStyle w:val="COMTabletext"/>
              <w:keepLines/>
              <w:jc w:val="center"/>
              <w:rPr>
                <w:snapToGrid w:val="0"/>
              </w:rPr>
            </w:pPr>
            <w:r w:rsidRPr="003771DB">
              <w:rPr>
                <w:snapToGrid w:val="0"/>
              </w:rPr>
              <w:t>45.7%</w:t>
            </w:r>
          </w:p>
        </w:tc>
      </w:tr>
      <w:tr w:rsidR="0065234A" w:rsidRPr="003771DB" w14:paraId="45479C0B" w14:textId="77777777" w:rsidTr="0065234A">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49FFAB7A" w14:textId="77777777" w:rsidR="00764EA9" w:rsidRPr="003771DB" w:rsidRDefault="00764EA9" w:rsidP="009329B0">
            <w:pPr>
              <w:pStyle w:val="COMTabletext"/>
              <w:keepLines/>
              <w:rPr>
                <w:snapToGrid w:val="0"/>
              </w:rPr>
            </w:pPr>
            <w:r w:rsidRPr="003771DB">
              <w:rPr>
                <w:snapToGrid w:val="0"/>
              </w:rPr>
              <w:t>Proportion of patients with normoglycaemia at Week 68</w:t>
            </w:r>
          </w:p>
        </w:tc>
        <w:tc>
          <w:tcPr>
            <w:tcW w:w="779" w:type="pct"/>
            <w:tcBorders>
              <w:top w:val="single" w:sz="4" w:space="0" w:color="auto"/>
              <w:left w:val="single" w:sz="4" w:space="0" w:color="auto"/>
              <w:bottom w:val="single" w:sz="4" w:space="0" w:color="auto"/>
              <w:right w:val="single" w:sz="4" w:space="0" w:color="auto"/>
            </w:tcBorders>
            <w:vAlign w:val="center"/>
          </w:tcPr>
          <w:p w14:paraId="706231DF" w14:textId="77777777" w:rsidR="00764EA9" w:rsidRPr="003771DB" w:rsidRDefault="00764EA9" w:rsidP="009329B0">
            <w:pPr>
              <w:pStyle w:val="COMTabletext"/>
              <w:keepLines/>
              <w:jc w:val="center"/>
              <w:rPr>
                <w:snapToGrid w:val="0"/>
              </w:rPr>
            </w:pPr>
            <w:r w:rsidRPr="003771DB">
              <w:rPr>
                <w:snapToGrid w:val="0"/>
              </w:rPr>
              <w:t>74.9%</w:t>
            </w:r>
          </w:p>
        </w:tc>
        <w:tc>
          <w:tcPr>
            <w:tcW w:w="779" w:type="pct"/>
            <w:tcBorders>
              <w:top w:val="single" w:sz="4" w:space="0" w:color="auto"/>
              <w:left w:val="single" w:sz="4" w:space="0" w:color="auto"/>
              <w:bottom w:val="single" w:sz="4" w:space="0" w:color="auto"/>
              <w:right w:val="single" w:sz="4" w:space="0" w:color="auto"/>
            </w:tcBorders>
            <w:vAlign w:val="center"/>
          </w:tcPr>
          <w:p w14:paraId="02202DF4" w14:textId="77777777" w:rsidR="00764EA9" w:rsidRPr="003771DB" w:rsidRDefault="00764EA9" w:rsidP="009329B0">
            <w:pPr>
              <w:pStyle w:val="COMTabletext"/>
              <w:keepLines/>
              <w:jc w:val="center"/>
              <w:rPr>
                <w:snapToGrid w:val="0"/>
              </w:rPr>
            </w:pPr>
            <w:r w:rsidRPr="003771DB">
              <w:rPr>
                <w:snapToGrid w:val="0"/>
              </w:rPr>
              <w:t>43.3%</w:t>
            </w:r>
          </w:p>
        </w:tc>
        <w:tc>
          <w:tcPr>
            <w:tcW w:w="949" w:type="pct"/>
            <w:tcBorders>
              <w:top w:val="single" w:sz="4" w:space="0" w:color="auto"/>
              <w:left w:val="single" w:sz="4" w:space="0" w:color="auto"/>
              <w:bottom w:val="single" w:sz="4" w:space="0" w:color="auto"/>
              <w:right w:val="single" w:sz="4" w:space="0" w:color="auto"/>
            </w:tcBorders>
            <w:vAlign w:val="center"/>
          </w:tcPr>
          <w:p w14:paraId="278F9986" w14:textId="77777777" w:rsidR="00764EA9" w:rsidRPr="003771DB" w:rsidRDefault="00764EA9" w:rsidP="009329B0">
            <w:pPr>
              <w:pStyle w:val="COMTabletext"/>
              <w:keepLines/>
              <w:jc w:val="center"/>
              <w:rPr>
                <w:snapToGrid w:val="0"/>
              </w:rPr>
            </w:pPr>
            <w:r w:rsidRPr="003771DB">
              <w:rPr>
                <w:snapToGrid w:val="0"/>
              </w:rPr>
              <w:t>31.6%</w:t>
            </w:r>
          </w:p>
        </w:tc>
      </w:tr>
      <w:tr w:rsidR="0065234A" w:rsidRPr="003771DB" w14:paraId="16401A3B" w14:textId="77777777" w:rsidTr="0065234A">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0EC44BAF" w14:textId="77777777" w:rsidR="00764EA9" w:rsidRPr="003771DB" w:rsidRDefault="00764EA9" w:rsidP="009329B0">
            <w:pPr>
              <w:pStyle w:val="COMTabletext"/>
              <w:keepLines/>
              <w:rPr>
                <w:snapToGrid w:val="0"/>
              </w:rPr>
            </w:pPr>
            <w:r w:rsidRPr="003771DB">
              <w:rPr>
                <w:snapToGrid w:val="0"/>
              </w:rPr>
              <w:t>Mean change in SF-36 PCS score from baseline to Week 68</w:t>
            </w:r>
          </w:p>
        </w:tc>
        <w:tc>
          <w:tcPr>
            <w:tcW w:w="779" w:type="pct"/>
            <w:tcBorders>
              <w:top w:val="single" w:sz="4" w:space="0" w:color="auto"/>
              <w:left w:val="single" w:sz="4" w:space="0" w:color="auto"/>
              <w:bottom w:val="single" w:sz="4" w:space="0" w:color="auto"/>
              <w:right w:val="single" w:sz="4" w:space="0" w:color="auto"/>
            </w:tcBorders>
            <w:vAlign w:val="center"/>
          </w:tcPr>
          <w:p w14:paraId="1B982BC1" w14:textId="77777777" w:rsidR="00764EA9" w:rsidRPr="003771DB" w:rsidRDefault="00764EA9" w:rsidP="009329B0">
            <w:pPr>
              <w:pStyle w:val="COMTabletext"/>
              <w:keepLines/>
              <w:jc w:val="center"/>
              <w:rPr>
                <w:snapToGrid w:val="0"/>
              </w:rPr>
            </w:pPr>
            <w:r w:rsidRPr="003771DB">
              <w:rPr>
                <w:snapToGrid w:val="0"/>
              </w:rPr>
              <w:t>4.3</w:t>
            </w:r>
          </w:p>
        </w:tc>
        <w:tc>
          <w:tcPr>
            <w:tcW w:w="779" w:type="pct"/>
            <w:tcBorders>
              <w:top w:val="single" w:sz="4" w:space="0" w:color="auto"/>
              <w:left w:val="single" w:sz="4" w:space="0" w:color="auto"/>
              <w:bottom w:val="single" w:sz="4" w:space="0" w:color="auto"/>
              <w:right w:val="single" w:sz="4" w:space="0" w:color="auto"/>
            </w:tcBorders>
            <w:vAlign w:val="center"/>
          </w:tcPr>
          <w:p w14:paraId="37D340EA" w14:textId="77777777" w:rsidR="00764EA9" w:rsidRPr="003771DB" w:rsidRDefault="00764EA9" w:rsidP="009329B0">
            <w:pPr>
              <w:pStyle w:val="COMTabletext"/>
              <w:keepLines/>
              <w:jc w:val="center"/>
              <w:rPr>
                <w:snapToGrid w:val="0"/>
              </w:rPr>
            </w:pPr>
            <w:r w:rsidRPr="003771DB">
              <w:rPr>
                <w:snapToGrid w:val="0"/>
              </w:rPr>
              <w:t>0.7</w:t>
            </w:r>
          </w:p>
        </w:tc>
        <w:tc>
          <w:tcPr>
            <w:tcW w:w="949" w:type="pct"/>
            <w:tcBorders>
              <w:top w:val="single" w:sz="4" w:space="0" w:color="auto"/>
              <w:left w:val="single" w:sz="4" w:space="0" w:color="auto"/>
              <w:bottom w:val="single" w:sz="4" w:space="0" w:color="auto"/>
              <w:right w:val="single" w:sz="4" w:space="0" w:color="auto"/>
            </w:tcBorders>
            <w:vAlign w:val="center"/>
          </w:tcPr>
          <w:p w14:paraId="3E6E1485" w14:textId="77777777" w:rsidR="00764EA9" w:rsidRPr="003771DB" w:rsidRDefault="00764EA9" w:rsidP="009329B0">
            <w:pPr>
              <w:pStyle w:val="COMTabletext"/>
              <w:keepLines/>
              <w:jc w:val="center"/>
              <w:rPr>
                <w:snapToGrid w:val="0"/>
              </w:rPr>
            </w:pPr>
            <w:r w:rsidRPr="003771DB">
              <w:rPr>
                <w:snapToGrid w:val="0"/>
              </w:rPr>
              <w:t xml:space="preserve">3.22 </w:t>
            </w:r>
          </w:p>
        </w:tc>
      </w:tr>
      <w:tr w:rsidR="0065234A" w:rsidRPr="003771DB" w14:paraId="4FA8A5DE" w14:textId="77777777" w:rsidTr="0065234A">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45735D20" w14:textId="512E90B3" w:rsidR="00764EA9" w:rsidRPr="003771DB" w:rsidRDefault="00764EA9" w:rsidP="009329B0">
            <w:pPr>
              <w:pStyle w:val="COMTabletext"/>
              <w:keepLines/>
              <w:rPr>
                <w:snapToGrid w:val="0"/>
              </w:rPr>
            </w:pPr>
            <w:r w:rsidRPr="003771DB">
              <w:rPr>
                <w:snapToGrid w:val="0"/>
              </w:rPr>
              <w:t xml:space="preserve">Serious adverse event rate </w:t>
            </w:r>
            <w:r w:rsidR="00D44FF6" w:rsidRPr="003771DB">
              <w:rPr>
                <w:snapToGrid w:val="0"/>
              </w:rPr>
              <w:t>requiring hospitalisation</w:t>
            </w:r>
            <w:r w:rsidR="008E35B4" w:rsidRPr="003771DB">
              <w:rPr>
                <w:snapToGrid w:val="0"/>
              </w:rPr>
              <w:t xml:space="preserve"> over 68 Weeks</w:t>
            </w:r>
          </w:p>
        </w:tc>
        <w:tc>
          <w:tcPr>
            <w:tcW w:w="779" w:type="pct"/>
            <w:tcBorders>
              <w:top w:val="single" w:sz="4" w:space="0" w:color="auto"/>
              <w:left w:val="single" w:sz="4" w:space="0" w:color="auto"/>
              <w:bottom w:val="single" w:sz="4" w:space="0" w:color="auto"/>
              <w:right w:val="single" w:sz="4" w:space="0" w:color="auto"/>
            </w:tcBorders>
            <w:vAlign w:val="center"/>
          </w:tcPr>
          <w:p w14:paraId="75C86625" w14:textId="3EA410E7" w:rsidR="00764EA9" w:rsidRPr="003771DB" w:rsidRDefault="00764EA9" w:rsidP="009329B0">
            <w:pPr>
              <w:pStyle w:val="COMTabletext"/>
              <w:keepLines/>
              <w:jc w:val="center"/>
              <w:rPr>
                <w:snapToGrid w:val="0"/>
              </w:rPr>
            </w:pPr>
            <w:r w:rsidRPr="003771DB">
              <w:rPr>
                <w:snapToGrid w:val="0"/>
              </w:rPr>
              <w:t>14</w:t>
            </w:r>
            <w:r w:rsidR="00D44FF6" w:rsidRPr="003771DB">
              <w:rPr>
                <w:snapToGrid w:val="0"/>
              </w:rPr>
              <w:t>.4</w:t>
            </w:r>
            <w:r w:rsidR="007633CC" w:rsidRPr="003771DB">
              <w:rPr>
                <w:snapToGrid w:val="0"/>
              </w:rPr>
              <w:t>%</w:t>
            </w:r>
          </w:p>
        </w:tc>
        <w:tc>
          <w:tcPr>
            <w:tcW w:w="779" w:type="pct"/>
            <w:tcBorders>
              <w:top w:val="single" w:sz="4" w:space="0" w:color="auto"/>
              <w:left w:val="single" w:sz="4" w:space="0" w:color="auto"/>
              <w:bottom w:val="single" w:sz="4" w:space="0" w:color="auto"/>
              <w:right w:val="single" w:sz="4" w:space="0" w:color="auto"/>
            </w:tcBorders>
            <w:vAlign w:val="center"/>
          </w:tcPr>
          <w:p w14:paraId="24038B42" w14:textId="02720F14" w:rsidR="00764EA9" w:rsidRPr="003771DB" w:rsidRDefault="00764EA9" w:rsidP="009329B0">
            <w:pPr>
              <w:pStyle w:val="COMTabletext"/>
              <w:keepLines/>
              <w:jc w:val="center"/>
              <w:rPr>
                <w:snapToGrid w:val="0"/>
              </w:rPr>
            </w:pPr>
            <w:r w:rsidRPr="003771DB">
              <w:rPr>
                <w:snapToGrid w:val="0"/>
              </w:rPr>
              <w:t>1</w:t>
            </w:r>
            <w:r w:rsidR="00D44FF6" w:rsidRPr="003771DB">
              <w:rPr>
                <w:snapToGrid w:val="0"/>
              </w:rPr>
              <w:t>0</w:t>
            </w:r>
            <w:r w:rsidR="007633CC" w:rsidRPr="003771DB">
              <w:rPr>
                <w:snapToGrid w:val="0"/>
              </w:rPr>
              <w:t>.0%</w:t>
            </w:r>
          </w:p>
        </w:tc>
        <w:tc>
          <w:tcPr>
            <w:tcW w:w="949" w:type="pct"/>
            <w:tcBorders>
              <w:top w:val="single" w:sz="4" w:space="0" w:color="auto"/>
              <w:left w:val="single" w:sz="4" w:space="0" w:color="auto"/>
              <w:bottom w:val="single" w:sz="4" w:space="0" w:color="auto"/>
              <w:right w:val="single" w:sz="4" w:space="0" w:color="auto"/>
            </w:tcBorders>
            <w:vAlign w:val="center"/>
          </w:tcPr>
          <w:p w14:paraId="37023985" w14:textId="742C23C0" w:rsidR="00764EA9" w:rsidRPr="003771DB" w:rsidRDefault="002B737F" w:rsidP="009329B0">
            <w:pPr>
              <w:pStyle w:val="COMTabletext"/>
              <w:keepLines/>
              <w:jc w:val="center"/>
              <w:rPr>
                <w:snapToGrid w:val="0"/>
              </w:rPr>
            </w:pPr>
            <w:r>
              <w:rPr>
                <w:snapToGrid w:val="0"/>
              </w:rPr>
              <w:t>4.4%</w:t>
            </w:r>
          </w:p>
        </w:tc>
      </w:tr>
    </w:tbl>
    <w:p w14:paraId="2E5166C9" w14:textId="77777777" w:rsidR="00764EA9" w:rsidRPr="003771DB" w:rsidRDefault="00764EA9" w:rsidP="009329B0">
      <w:pPr>
        <w:pStyle w:val="TableFooter"/>
        <w:keepNext/>
        <w:keepLines/>
        <w:widowControl/>
      </w:pPr>
      <w:r w:rsidRPr="003771DB">
        <w:t>Source: Table 2-71, p145; Table 2-74, p148; Table 2-75, p149 of the resubmission; additional data from information request provided by the Sponsor</w:t>
      </w:r>
    </w:p>
    <w:p w14:paraId="03E0EAD7" w14:textId="77777777" w:rsidR="00764EA9" w:rsidRPr="003771DB" w:rsidRDefault="00764EA9" w:rsidP="009329B0">
      <w:pPr>
        <w:pStyle w:val="TableFooter"/>
        <w:keepNext/>
        <w:keepLines/>
        <w:widowControl/>
      </w:pPr>
      <w:r w:rsidRPr="003771DB">
        <w:t>Abbreviations: PCS, physical component summary</w:t>
      </w:r>
    </w:p>
    <w:p w14:paraId="669DE7F6" w14:textId="77777777" w:rsidR="00764EA9" w:rsidRPr="003771DB" w:rsidRDefault="00764EA9" w:rsidP="009329B0">
      <w:pPr>
        <w:pStyle w:val="TableFooter"/>
        <w:spacing w:after="120"/>
      </w:pPr>
      <w:r w:rsidRPr="003771DB">
        <w:t>Note: SF-36 Physical component summary scores range from 6.11 to 79.67; higher scores indicate better quality of life</w:t>
      </w:r>
    </w:p>
    <w:p w14:paraId="23F854EA" w14:textId="0E5F4C94" w:rsidR="008C4568" w:rsidRPr="003771DB" w:rsidRDefault="00906984" w:rsidP="009329B0">
      <w:pPr>
        <w:pStyle w:val="COMexecsumnumberedpara"/>
      </w:pPr>
      <w:r w:rsidRPr="003771DB">
        <w:rPr>
          <w:snapToGrid/>
        </w:rPr>
        <w:lastRenderedPageBreak/>
        <w:t xml:space="preserve">Based on the target subgroup in the STEP-1 trial (BMI </w:t>
      </w:r>
      <w:r w:rsidR="00CD379F" w:rsidRPr="003771DB">
        <w:rPr>
          <w:snapToGrid/>
        </w:rPr>
        <w:t>≥</w:t>
      </w:r>
      <w:r w:rsidR="009329B0">
        <w:rPr>
          <w:snapToGrid/>
        </w:rPr>
        <w:t> </w:t>
      </w:r>
      <w:r w:rsidRPr="003771DB">
        <w:rPr>
          <w:snapToGrid/>
        </w:rPr>
        <w:t>40</w:t>
      </w:r>
      <w:r w:rsidR="009329B0">
        <w:rPr>
          <w:snapToGrid/>
        </w:rPr>
        <w:t> </w:t>
      </w:r>
      <w:r w:rsidRPr="003771DB">
        <w:rPr>
          <w:snapToGrid/>
        </w:rPr>
        <w:t>kg/m</w:t>
      </w:r>
      <w:r w:rsidRPr="003771DB">
        <w:rPr>
          <w:snapToGrid/>
          <w:vertAlign w:val="superscript"/>
        </w:rPr>
        <w:t>2</w:t>
      </w:r>
      <w:r w:rsidRPr="003771DB">
        <w:rPr>
          <w:snapToGrid/>
        </w:rPr>
        <w:t xml:space="preserve"> and </w:t>
      </w:r>
      <w:r w:rsidR="00CD379F" w:rsidRPr="003771DB">
        <w:rPr>
          <w:snapToGrid/>
        </w:rPr>
        <w:t>≥</w:t>
      </w:r>
      <w:r w:rsidR="009329B0">
        <w:rPr>
          <w:snapToGrid/>
        </w:rPr>
        <w:t> </w:t>
      </w:r>
      <w:r w:rsidRPr="003771DB">
        <w:rPr>
          <w:snapToGrid/>
        </w:rPr>
        <w:t xml:space="preserve">2 weight-related comorbidities with </w:t>
      </w:r>
      <w:r w:rsidR="00F87D5E" w:rsidRPr="003771DB">
        <w:rPr>
          <w:snapToGrid/>
        </w:rPr>
        <w:t xml:space="preserve">a confirmed diagnosis of </w:t>
      </w:r>
      <w:r w:rsidRPr="003771DB">
        <w:rPr>
          <w:snapToGrid/>
        </w:rPr>
        <w:t>obstructive sleep apnoea, knee osteoarthritis or pre-diabetes), for every 100 patients treat</w:t>
      </w:r>
      <w:r w:rsidR="008C4568" w:rsidRPr="003771DB">
        <w:rPr>
          <w:snapToGrid/>
        </w:rPr>
        <w:t>ed</w:t>
      </w:r>
      <w:r w:rsidRPr="003771DB">
        <w:rPr>
          <w:snapToGrid/>
        </w:rPr>
        <w:t xml:space="preserve"> with semaglutide in comparison with placebo over 68 weeks</w:t>
      </w:r>
      <w:r w:rsidR="00584ADD" w:rsidRPr="003771DB">
        <w:rPr>
          <w:snapToGrid/>
        </w:rPr>
        <w:t>,</w:t>
      </w:r>
      <w:r w:rsidR="00340E28" w:rsidRPr="003771DB">
        <w:rPr>
          <w:snapToGrid/>
        </w:rPr>
        <w:t xml:space="preserve"> there would be</w:t>
      </w:r>
      <w:r w:rsidRPr="003771DB">
        <w:rPr>
          <w:snapToGrid/>
        </w:rPr>
        <w:t xml:space="preserve">: </w:t>
      </w:r>
    </w:p>
    <w:p w14:paraId="52A3ADD0" w14:textId="5610AB08" w:rsidR="008C4568" w:rsidRPr="003771DB" w:rsidRDefault="00C405D5" w:rsidP="0042771B">
      <w:pPr>
        <w:pStyle w:val="COMexecsumnumberedpara"/>
        <w:numPr>
          <w:ilvl w:val="3"/>
          <w:numId w:val="7"/>
        </w:numPr>
        <w:ind w:left="1134" w:hanging="425"/>
      </w:pPr>
      <w:r w:rsidRPr="003771DB">
        <w:t>4</w:t>
      </w:r>
      <w:r w:rsidR="008C4568" w:rsidRPr="003771DB">
        <w:t xml:space="preserve">6 additional patients who would achieve </w:t>
      </w:r>
      <w:r w:rsidR="00CD379F" w:rsidRPr="003771DB">
        <w:t>≥</w:t>
      </w:r>
      <w:r w:rsidR="008C4568" w:rsidRPr="003771DB">
        <w:t>10% weight loss.</w:t>
      </w:r>
    </w:p>
    <w:p w14:paraId="7EE1E594" w14:textId="5FAFE30D" w:rsidR="008C4568" w:rsidRPr="003771DB" w:rsidRDefault="00340E28" w:rsidP="0042771B">
      <w:pPr>
        <w:pStyle w:val="COMexecsumnumberedpara"/>
        <w:numPr>
          <w:ilvl w:val="0"/>
          <w:numId w:val="7"/>
        </w:numPr>
        <w:ind w:left="1134" w:hanging="425"/>
      </w:pPr>
      <w:r w:rsidRPr="003771DB">
        <w:t>A</w:t>
      </w:r>
      <w:r w:rsidR="008C4568" w:rsidRPr="003771DB">
        <w:t xml:space="preserve"> modest improvement in the physical components of quality of life (average improvement of 3 points on a 74-point scale)</w:t>
      </w:r>
      <w:r w:rsidR="00CD379F" w:rsidRPr="003771DB">
        <w:t>.</w:t>
      </w:r>
    </w:p>
    <w:p w14:paraId="215F7F2B" w14:textId="79A64EDF" w:rsidR="008C4568" w:rsidRPr="003771DB" w:rsidRDefault="008C4568" w:rsidP="0042771B">
      <w:pPr>
        <w:pStyle w:val="COMexecsumnumberedpara"/>
        <w:numPr>
          <w:ilvl w:val="0"/>
          <w:numId w:val="7"/>
        </w:numPr>
        <w:ind w:left="1134" w:hanging="425"/>
      </w:pPr>
      <w:r w:rsidRPr="003771DB">
        <w:t>32 additional patients with normoglycaemia.</w:t>
      </w:r>
    </w:p>
    <w:p w14:paraId="36E8BAAB" w14:textId="44025775" w:rsidR="008C4568" w:rsidRPr="003771DB" w:rsidRDefault="00D44FF6" w:rsidP="0042771B">
      <w:pPr>
        <w:pStyle w:val="COMexecsumnumberedpara"/>
        <w:numPr>
          <w:ilvl w:val="0"/>
          <w:numId w:val="7"/>
        </w:numPr>
        <w:ind w:left="1134" w:hanging="425"/>
      </w:pPr>
      <w:r w:rsidRPr="003771DB">
        <w:t>5</w:t>
      </w:r>
      <w:r w:rsidR="008C4568" w:rsidRPr="003771DB">
        <w:t xml:space="preserve"> additional serious adverse event requiring hospitalisation</w:t>
      </w:r>
      <w:r w:rsidR="00717000" w:rsidRPr="003771DB">
        <w:t>.</w:t>
      </w:r>
    </w:p>
    <w:p w14:paraId="0604AA66" w14:textId="5F6AB30F" w:rsidR="00D44FF6" w:rsidRPr="003771DB" w:rsidRDefault="00D44FF6" w:rsidP="00D44FF6">
      <w:pPr>
        <w:pStyle w:val="COMexecsumnumberedpara"/>
      </w:pPr>
      <w:r w:rsidRPr="003771DB">
        <w:t xml:space="preserve">A summary of the comparative benefits and harms for semaglutide versus placebo </w:t>
      </w:r>
      <w:r w:rsidR="008E35B4" w:rsidRPr="003771DB">
        <w:t>f</w:t>
      </w:r>
      <w:r w:rsidR="009E7049" w:rsidRPr="003771DB">
        <w:t>or</w:t>
      </w:r>
      <w:r w:rsidR="008E35B4" w:rsidRPr="003771DB">
        <w:t xml:space="preserve"> the overall trial population </w:t>
      </w:r>
      <w:r w:rsidRPr="003771DB">
        <w:t xml:space="preserve">is presented in </w:t>
      </w:r>
      <w:r w:rsidRPr="003771DB">
        <w:fldChar w:fldCharType="begin" w:fldLock="1"/>
      </w:r>
      <w:r w:rsidRPr="003771DB">
        <w:instrText xml:space="preserve"> REF _Ref144895699 \h </w:instrText>
      </w:r>
      <w:r w:rsidRPr="003771DB">
        <w:fldChar w:fldCharType="separate"/>
      </w:r>
      <w:r w:rsidR="007633CC" w:rsidRPr="003771DB">
        <w:fldChar w:fldCharType="begin" w:fldLock="1"/>
      </w:r>
      <w:r w:rsidR="007633CC" w:rsidRPr="003771DB">
        <w:instrText xml:space="preserve"> REF _Ref152248805 \h </w:instrText>
      </w:r>
      <w:r w:rsidR="007633CC" w:rsidRPr="003771DB">
        <w:fldChar w:fldCharType="separate"/>
      </w:r>
      <w:r w:rsidR="007633CC" w:rsidRPr="003771DB">
        <w:t xml:space="preserve">Table </w:t>
      </w:r>
      <w:r w:rsidR="007633CC" w:rsidRPr="00F7478B">
        <w:t>10</w:t>
      </w:r>
      <w:r w:rsidR="007633CC" w:rsidRPr="003771DB">
        <w:fldChar w:fldCharType="end"/>
      </w:r>
      <w:r w:rsidRPr="003771DB">
        <w:fldChar w:fldCharType="end"/>
      </w:r>
      <w:r w:rsidRPr="003771DB">
        <w:t xml:space="preserve">. </w:t>
      </w:r>
    </w:p>
    <w:p w14:paraId="7C09BBC1" w14:textId="7AED40B8" w:rsidR="00D44FF6" w:rsidRPr="003771DB" w:rsidRDefault="00D44FF6" w:rsidP="00D44FF6">
      <w:pPr>
        <w:pStyle w:val="Caption"/>
        <w:rPr>
          <w:color w:val="3366FF"/>
        </w:rPr>
      </w:pPr>
      <w:bookmarkStart w:id="36" w:name="_Ref152248805"/>
      <w:r w:rsidRPr="003771DB">
        <w:t xml:space="preserve">Table </w:t>
      </w:r>
      <w:fldSimple w:instr=" SEQ Table \* ARABIC " w:fldLock="1">
        <w:r w:rsidR="00AD487C" w:rsidRPr="00F7478B">
          <w:t>10</w:t>
        </w:r>
      </w:fldSimple>
      <w:bookmarkEnd w:id="36"/>
      <w:r w:rsidRPr="003771DB">
        <w:rPr>
          <w:snapToGrid w:val="0"/>
        </w:rPr>
        <w:t>: Summary of comparative benefits and harms for semaglutide and placebo in the ITT population of the STEP-1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Summary of comparative benefits and harms for semaglutide and placebo in the ITT population of the STEP-1 trial"/>
        <w:tblDescription w:val="Table 10: Summary of comparative benefits and harms for semaglutide and placebo in the ITT population of the STEP-1 trial"/>
      </w:tblPr>
      <w:tblGrid>
        <w:gridCol w:w="4496"/>
        <w:gridCol w:w="1405"/>
        <w:gridCol w:w="1405"/>
        <w:gridCol w:w="1711"/>
      </w:tblGrid>
      <w:tr w:rsidR="00D44FF6" w:rsidRPr="003771DB" w14:paraId="6F41DD93" w14:textId="77777777" w:rsidTr="00A028CC">
        <w:trPr>
          <w:cantSplit/>
          <w:tblHeader/>
        </w:trPr>
        <w:tc>
          <w:tcPr>
            <w:tcW w:w="2493" w:type="pct"/>
            <w:tcBorders>
              <w:right w:val="single" w:sz="4" w:space="0" w:color="auto"/>
            </w:tcBorders>
            <w:shd w:val="clear" w:color="auto" w:fill="auto"/>
            <w:vAlign w:val="center"/>
          </w:tcPr>
          <w:p w14:paraId="1C74DDDE" w14:textId="635D2E7E" w:rsidR="00D44FF6" w:rsidRPr="00F7478B" w:rsidRDefault="007633CC" w:rsidP="00A028CC">
            <w:pPr>
              <w:pStyle w:val="COMTableheadingrow"/>
              <w:keepNext w:val="0"/>
              <w:rPr>
                <w:snapToGrid w:val="0"/>
                <w:lang w:val="en-AU"/>
              </w:rPr>
            </w:pPr>
            <w:r w:rsidRPr="00F7478B">
              <w:rPr>
                <w:snapToGrid w:val="0"/>
                <w:lang w:val="en-AU"/>
              </w:rPr>
              <w:t>ITT</w:t>
            </w:r>
          </w:p>
        </w:tc>
        <w:tc>
          <w:tcPr>
            <w:tcW w:w="779" w:type="pct"/>
            <w:tcBorders>
              <w:left w:val="single" w:sz="4" w:space="0" w:color="auto"/>
              <w:right w:val="single" w:sz="4" w:space="0" w:color="auto"/>
            </w:tcBorders>
            <w:shd w:val="clear" w:color="auto" w:fill="auto"/>
            <w:vAlign w:val="center"/>
          </w:tcPr>
          <w:p w14:paraId="4A703FC6" w14:textId="77777777" w:rsidR="00D44FF6" w:rsidRPr="00F7478B" w:rsidRDefault="00D44FF6" w:rsidP="00A028CC">
            <w:pPr>
              <w:pStyle w:val="COMTableheadingrow"/>
              <w:keepNext w:val="0"/>
              <w:jc w:val="center"/>
              <w:rPr>
                <w:snapToGrid w:val="0"/>
                <w:lang w:val="en-AU"/>
              </w:rPr>
            </w:pPr>
            <w:r w:rsidRPr="00F7478B">
              <w:rPr>
                <w:snapToGrid w:val="0"/>
                <w:lang w:val="en-AU"/>
              </w:rPr>
              <w:t>Semaglutide</w:t>
            </w:r>
          </w:p>
        </w:tc>
        <w:tc>
          <w:tcPr>
            <w:tcW w:w="779" w:type="pct"/>
            <w:tcBorders>
              <w:left w:val="single" w:sz="4" w:space="0" w:color="auto"/>
              <w:right w:val="single" w:sz="4" w:space="0" w:color="auto"/>
            </w:tcBorders>
            <w:shd w:val="clear" w:color="auto" w:fill="auto"/>
            <w:vAlign w:val="center"/>
          </w:tcPr>
          <w:p w14:paraId="4F4B7CA0" w14:textId="77777777" w:rsidR="00D44FF6" w:rsidRPr="00F7478B" w:rsidRDefault="00D44FF6" w:rsidP="00A028CC">
            <w:pPr>
              <w:pStyle w:val="COMTableheadingrow"/>
              <w:keepNext w:val="0"/>
              <w:jc w:val="center"/>
              <w:rPr>
                <w:snapToGrid w:val="0"/>
                <w:lang w:val="en-AU"/>
              </w:rPr>
            </w:pPr>
            <w:r w:rsidRPr="00F7478B">
              <w:rPr>
                <w:snapToGrid w:val="0"/>
                <w:lang w:val="en-AU"/>
              </w:rPr>
              <w:t>Placebo</w:t>
            </w:r>
          </w:p>
        </w:tc>
        <w:tc>
          <w:tcPr>
            <w:tcW w:w="949" w:type="pct"/>
            <w:tcBorders>
              <w:left w:val="single" w:sz="4" w:space="0" w:color="auto"/>
            </w:tcBorders>
            <w:shd w:val="clear" w:color="auto" w:fill="auto"/>
            <w:vAlign w:val="center"/>
          </w:tcPr>
          <w:p w14:paraId="1DF8DCF8" w14:textId="77777777" w:rsidR="00D44FF6" w:rsidRPr="00F7478B" w:rsidRDefault="00D44FF6" w:rsidP="00A028CC">
            <w:pPr>
              <w:pStyle w:val="COMTableheadingrow"/>
              <w:keepNext w:val="0"/>
              <w:jc w:val="center"/>
              <w:rPr>
                <w:snapToGrid w:val="0"/>
                <w:lang w:val="en-AU"/>
              </w:rPr>
            </w:pPr>
            <w:r w:rsidRPr="00F7478B">
              <w:rPr>
                <w:snapToGrid w:val="0"/>
                <w:lang w:val="en-AU"/>
              </w:rPr>
              <w:t>Treatment difference</w:t>
            </w:r>
          </w:p>
        </w:tc>
      </w:tr>
      <w:tr w:rsidR="00D44FF6" w:rsidRPr="003771DB" w14:paraId="467AE164" w14:textId="77777777" w:rsidTr="00A028CC">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4CDE352E" w14:textId="77777777" w:rsidR="00D44FF6" w:rsidRPr="003771DB" w:rsidRDefault="00D44FF6" w:rsidP="00A028CC">
            <w:pPr>
              <w:pStyle w:val="COMTabletext"/>
              <w:keepNext w:val="0"/>
              <w:rPr>
                <w:snapToGrid w:val="0"/>
              </w:rPr>
            </w:pPr>
            <w:r w:rsidRPr="003771DB">
              <w:rPr>
                <w:snapToGrid w:val="0"/>
              </w:rPr>
              <w:t>Proportion of patients with ≥10% reduction in body weight from baseline to Week 68</w:t>
            </w:r>
          </w:p>
        </w:tc>
        <w:tc>
          <w:tcPr>
            <w:tcW w:w="779" w:type="pct"/>
            <w:tcBorders>
              <w:top w:val="single" w:sz="4" w:space="0" w:color="auto"/>
              <w:left w:val="single" w:sz="4" w:space="0" w:color="auto"/>
              <w:bottom w:val="single" w:sz="4" w:space="0" w:color="auto"/>
              <w:right w:val="single" w:sz="4" w:space="0" w:color="auto"/>
            </w:tcBorders>
            <w:vAlign w:val="center"/>
          </w:tcPr>
          <w:p w14:paraId="03AB0B65" w14:textId="3CE2F28A" w:rsidR="00D44FF6" w:rsidRPr="003771DB" w:rsidRDefault="00B30947" w:rsidP="00A028CC">
            <w:pPr>
              <w:pStyle w:val="COMTabletext"/>
              <w:keepNext w:val="0"/>
              <w:jc w:val="center"/>
              <w:rPr>
                <w:snapToGrid w:val="0"/>
              </w:rPr>
            </w:pPr>
            <w:r w:rsidRPr="003771DB">
              <w:rPr>
                <w:snapToGrid w:val="0"/>
              </w:rPr>
              <w:t>66.1%</w:t>
            </w:r>
          </w:p>
        </w:tc>
        <w:tc>
          <w:tcPr>
            <w:tcW w:w="779" w:type="pct"/>
            <w:tcBorders>
              <w:top w:val="single" w:sz="4" w:space="0" w:color="auto"/>
              <w:left w:val="single" w:sz="4" w:space="0" w:color="auto"/>
              <w:bottom w:val="single" w:sz="4" w:space="0" w:color="auto"/>
              <w:right w:val="single" w:sz="4" w:space="0" w:color="auto"/>
            </w:tcBorders>
            <w:vAlign w:val="center"/>
          </w:tcPr>
          <w:p w14:paraId="53E0C176" w14:textId="04EAA63D" w:rsidR="00D44FF6" w:rsidRPr="003771DB" w:rsidRDefault="00B30947" w:rsidP="00A028CC">
            <w:pPr>
              <w:pStyle w:val="COMTabletext"/>
              <w:keepNext w:val="0"/>
              <w:jc w:val="center"/>
              <w:rPr>
                <w:snapToGrid w:val="0"/>
              </w:rPr>
            </w:pPr>
            <w:r w:rsidRPr="003771DB">
              <w:rPr>
                <w:snapToGrid w:val="0"/>
              </w:rPr>
              <w:t>11.5%</w:t>
            </w:r>
          </w:p>
        </w:tc>
        <w:tc>
          <w:tcPr>
            <w:tcW w:w="949" w:type="pct"/>
            <w:tcBorders>
              <w:top w:val="single" w:sz="4" w:space="0" w:color="auto"/>
              <w:left w:val="single" w:sz="4" w:space="0" w:color="auto"/>
              <w:bottom w:val="single" w:sz="4" w:space="0" w:color="auto"/>
              <w:right w:val="single" w:sz="4" w:space="0" w:color="auto"/>
            </w:tcBorders>
            <w:vAlign w:val="center"/>
          </w:tcPr>
          <w:p w14:paraId="706AA64E" w14:textId="44D410CF" w:rsidR="00D44FF6" w:rsidRPr="003771DB" w:rsidRDefault="00B30947" w:rsidP="00A028CC">
            <w:pPr>
              <w:pStyle w:val="COMTabletext"/>
              <w:keepNext w:val="0"/>
              <w:jc w:val="center"/>
              <w:rPr>
                <w:snapToGrid w:val="0"/>
              </w:rPr>
            </w:pPr>
            <w:r w:rsidRPr="003771DB">
              <w:rPr>
                <w:snapToGrid w:val="0"/>
              </w:rPr>
              <w:t>54.6%</w:t>
            </w:r>
          </w:p>
        </w:tc>
      </w:tr>
      <w:tr w:rsidR="00D44FF6" w:rsidRPr="003771DB" w14:paraId="625DCAD3" w14:textId="77777777" w:rsidTr="00A028CC">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73259842" w14:textId="77777777" w:rsidR="00D44FF6" w:rsidRPr="003771DB" w:rsidRDefault="00D44FF6" w:rsidP="00A028CC">
            <w:pPr>
              <w:pStyle w:val="COMTabletext"/>
              <w:keepNext w:val="0"/>
              <w:rPr>
                <w:snapToGrid w:val="0"/>
              </w:rPr>
            </w:pPr>
            <w:r w:rsidRPr="003771DB">
              <w:rPr>
                <w:snapToGrid w:val="0"/>
              </w:rPr>
              <w:t>Proportion of patients with normoglycaemia at Week 68</w:t>
            </w:r>
          </w:p>
        </w:tc>
        <w:tc>
          <w:tcPr>
            <w:tcW w:w="779" w:type="pct"/>
            <w:tcBorders>
              <w:top w:val="single" w:sz="4" w:space="0" w:color="auto"/>
              <w:left w:val="single" w:sz="4" w:space="0" w:color="auto"/>
              <w:bottom w:val="single" w:sz="4" w:space="0" w:color="auto"/>
              <w:right w:val="single" w:sz="4" w:space="0" w:color="auto"/>
            </w:tcBorders>
            <w:vAlign w:val="center"/>
          </w:tcPr>
          <w:p w14:paraId="044F2181" w14:textId="5A2C1A4E" w:rsidR="00D44FF6" w:rsidRPr="003771DB" w:rsidRDefault="00C405D5" w:rsidP="00A028CC">
            <w:pPr>
              <w:pStyle w:val="COMTabletext"/>
              <w:keepNext w:val="0"/>
              <w:jc w:val="center"/>
              <w:rPr>
                <w:snapToGrid w:val="0"/>
              </w:rPr>
            </w:pPr>
            <w:r w:rsidRPr="003771DB">
              <w:rPr>
                <w:snapToGrid w:val="0"/>
              </w:rPr>
              <w:t>84.6%</w:t>
            </w:r>
          </w:p>
        </w:tc>
        <w:tc>
          <w:tcPr>
            <w:tcW w:w="779" w:type="pct"/>
            <w:tcBorders>
              <w:top w:val="single" w:sz="4" w:space="0" w:color="auto"/>
              <w:left w:val="single" w:sz="4" w:space="0" w:color="auto"/>
              <w:bottom w:val="single" w:sz="4" w:space="0" w:color="auto"/>
              <w:right w:val="single" w:sz="4" w:space="0" w:color="auto"/>
            </w:tcBorders>
            <w:vAlign w:val="center"/>
          </w:tcPr>
          <w:p w14:paraId="6AC4F959" w14:textId="40DA796A" w:rsidR="00D44FF6" w:rsidRPr="003771DB" w:rsidRDefault="00C405D5" w:rsidP="00A028CC">
            <w:pPr>
              <w:pStyle w:val="COMTabletext"/>
              <w:keepNext w:val="0"/>
              <w:jc w:val="center"/>
              <w:rPr>
                <w:snapToGrid w:val="0"/>
              </w:rPr>
            </w:pPr>
            <w:r w:rsidRPr="003771DB">
              <w:rPr>
                <w:snapToGrid w:val="0"/>
              </w:rPr>
              <w:t>63.1%</w:t>
            </w:r>
          </w:p>
        </w:tc>
        <w:tc>
          <w:tcPr>
            <w:tcW w:w="949" w:type="pct"/>
            <w:tcBorders>
              <w:top w:val="single" w:sz="4" w:space="0" w:color="auto"/>
              <w:left w:val="single" w:sz="4" w:space="0" w:color="auto"/>
              <w:bottom w:val="single" w:sz="4" w:space="0" w:color="auto"/>
              <w:right w:val="single" w:sz="4" w:space="0" w:color="auto"/>
            </w:tcBorders>
            <w:vAlign w:val="center"/>
          </w:tcPr>
          <w:p w14:paraId="219EC0F9" w14:textId="2601A8D9" w:rsidR="00D44FF6" w:rsidRPr="003771DB" w:rsidRDefault="00C405D5" w:rsidP="00A028CC">
            <w:pPr>
              <w:pStyle w:val="COMTabletext"/>
              <w:keepNext w:val="0"/>
              <w:jc w:val="center"/>
              <w:rPr>
                <w:snapToGrid w:val="0"/>
              </w:rPr>
            </w:pPr>
            <w:r w:rsidRPr="003771DB">
              <w:rPr>
                <w:snapToGrid w:val="0"/>
              </w:rPr>
              <w:t>21.5%</w:t>
            </w:r>
          </w:p>
        </w:tc>
      </w:tr>
      <w:tr w:rsidR="00D44FF6" w:rsidRPr="003771DB" w14:paraId="2A3FE8A9" w14:textId="77777777" w:rsidTr="00A028CC">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433AED99" w14:textId="77777777" w:rsidR="00D44FF6" w:rsidRPr="003771DB" w:rsidRDefault="00D44FF6" w:rsidP="00A028CC">
            <w:pPr>
              <w:pStyle w:val="COMTabletext"/>
              <w:keepNext w:val="0"/>
              <w:rPr>
                <w:snapToGrid w:val="0"/>
              </w:rPr>
            </w:pPr>
            <w:r w:rsidRPr="003771DB">
              <w:rPr>
                <w:snapToGrid w:val="0"/>
              </w:rPr>
              <w:t>Mean change in SF-36 PCS score from baseline to Week 68</w:t>
            </w:r>
          </w:p>
        </w:tc>
        <w:tc>
          <w:tcPr>
            <w:tcW w:w="779" w:type="pct"/>
            <w:tcBorders>
              <w:top w:val="single" w:sz="4" w:space="0" w:color="auto"/>
              <w:left w:val="single" w:sz="4" w:space="0" w:color="auto"/>
              <w:bottom w:val="single" w:sz="4" w:space="0" w:color="auto"/>
              <w:right w:val="single" w:sz="4" w:space="0" w:color="auto"/>
            </w:tcBorders>
            <w:vAlign w:val="center"/>
          </w:tcPr>
          <w:p w14:paraId="46B9E478" w14:textId="591AD672" w:rsidR="00D44FF6" w:rsidRPr="003771DB" w:rsidRDefault="00B30947" w:rsidP="00A028CC">
            <w:pPr>
              <w:pStyle w:val="COMTabletext"/>
              <w:keepNext w:val="0"/>
              <w:jc w:val="center"/>
              <w:rPr>
                <w:snapToGrid w:val="0"/>
              </w:rPr>
            </w:pPr>
            <w:r w:rsidRPr="003771DB">
              <w:rPr>
                <w:snapToGrid w:val="0"/>
              </w:rPr>
              <w:t>2.4</w:t>
            </w:r>
          </w:p>
        </w:tc>
        <w:tc>
          <w:tcPr>
            <w:tcW w:w="779" w:type="pct"/>
            <w:tcBorders>
              <w:top w:val="single" w:sz="4" w:space="0" w:color="auto"/>
              <w:left w:val="single" w:sz="4" w:space="0" w:color="auto"/>
              <w:bottom w:val="single" w:sz="4" w:space="0" w:color="auto"/>
              <w:right w:val="single" w:sz="4" w:space="0" w:color="auto"/>
            </w:tcBorders>
            <w:vAlign w:val="center"/>
          </w:tcPr>
          <w:p w14:paraId="647E99EC" w14:textId="3399C3DE" w:rsidR="00D44FF6" w:rsidRPr="003771DB" w:rsidRDefault="00B30947" w:rsidP="00A028CC">
            <w:pPr>
              <w:pStyle w:val="COMTabletext"/>
              <w:keepNext w:val="0"/>
              <w:jc w:val="center"/>
              <w:rPr>
                <w:snapToGrid w:val="0"/>
              </w:rPr>
            </w:pPr>
            <w:r w:rsidRPr="003771DB">
              <w:rPr>
                <w:snapToGrid w:val="0"/>
              </w:rPr>
              <w:t>0.2</w:t>
            </w:r>
          </w:p>
        </w:tc>
        <w:tc>
          <w:tcPr>
            <w:tcW w:w="949" w:type="pct"/>
            <w:tcBorders>
              <w:top w:val="single" w:sz="4" w:space="0" w:color="auto"/>
              <w:left w:val="single" w:sz="4" w:space="0" w:color="auto"/>
              <w:bottom w:val="single" w:sz="4" w:space="0" w:color="auto"/>
              <w:right w:val="single" w:sz="4" w:space="0" w:color="auto"/>
            </w:tcBorders>
            <w:vAlign w:val="center"/>
          </w:tcPr>
          <w:p w14:paraId="67E3D3C4" w14:textId="27E80217" w:rsidR="00D44FF6" w:rsidRPr="003771DB" w:rsidRDefault="00B30947" w:rsidP="00A028CC">
            <w:pPr>
              <w:pStyle w:val="COMTabletext"/>
              <w:jc w:val="center"/>
              <w:rPr>
                <w:snapToGrid w:val="0"/>
              </w:rPr>
            </w:pPr>
            <w:r w:rsidRPr="003771DB">
              <w:rPr>
                <w:snapToGrid w:val="0"/>
              </w:rPr>
              <w:t>2.2</w:t>
            </w:r>
          </w:p>
        </w:tc>
      </w:tr>
      <w:tr w:rsidR="00D44FF6" w:rsidRPr="003771DB" w14:paraId="7B70816D" w14:textId="77777777" w:rsidTr="00A028CC">
        <w:trPr>
          <w:cantSplit/>
        </w:trPr>
        <w:tc>
          <w:tcPr>
            <w:tcW w:w="2493" w:type="pct"/>
            <w:tcBorders>
              <w:top w:val="single" w:sz="4" w:space="0" w:color="auto"/>
              <w:left w:val="single" w:sz="4" w:space="0" w:color="auto"/>
              <w:bottom w:val="single" w:sz="4" w:space="0" w:color="auto"/>
              <w:right w:val="single" w:sz="4" w:space="0" w:color="auto"/>
            </w:tcBorders>
            <w:shd w:val="clear" w:color="auto" w:fill="auto"/>
            <w:vAlign w:val="center"/>
          </w:tcPr>
          <w:p w14:paraId="70CD68CB" w14:textId="491DEA93" w:rsidR="00D44FF6" w:rsidRPr="003771DB" w:rsidRDefault="00D44FF6" w:rsidP="00A028CC">
            <w:pPr>
              <w:pStyle w:val="COMTabletext"/>
              <w:keepNext w:val="0"/>
              <w:rPr>
                <w:snapToGrid w:val="0"/>
              </w:rPr>
            </w:pPr>
            <w:r w:rsidRPr="003771DB">
              <w:rPr>
                <w:snapToGrid w:val="0"/>
              </w:rPr>
              <w:t>Serious adverse event rate requiring hospitalisation</w:t>
            </w:r>
            <w:r w:rsidR="008E35B4" w:rsidRPr="003771DB">
              <w:rPr>
                <w:snapToGrid w:val="0"/>
              </w:rPr>
              <w:t xml:space="preserve"> over 68 Weeks</w:t>
            </w:r>
          </w:p>
        </w:tc>
        <w:tc>
          <w:tcPr>
            <w:tcW w:w="779" w:type="pct"/>
            <w:tcBorders>
              <w:top w:val="single" w:sz="4" w:space="0" w:color="auto"/>
              <w:left w:val="single" w:sz="4" w:space="0" w:color="auto"/>
              <w:bottom w:val="single" w:sz="4" w:space="0" w:color="auto"/>
              <w:right w:val="single" w:sz="4" w:space="0" w:color="auto"/>
            </w:tcBorders>
            <w:vAlign w:val="center"/>
          </w:tcPr>
          <w:p w14:paraId="133A25F1" w14:textId="70C0DF06" w:rsidR="00D44FF6" w:rsidRPr="003771DB" w:rsidRDefault="007633CC" w:rsidP="00A028CC">
            <w:pPr>
              <w:pStyle w:val="COMTabletext"/>
              <w:keepNext w:val="0"/>
              <w:jc w:val="center"/>
              <w:rPr>
                <w:snapToGrid w:val="0"/>
              </w:rPr>
            </w:pPr>
            <w:r w:rsidRPr="003771DB">
              <w:rPr>
                <w:snapToGrid w:val="0"/>
              </w:rPr>
              <w:t>9.8%</w:t>
            </w:r>
          </w:p>
        </w:tc>
        <w:tc>
          <w:tcPr>
            <w:tcW w:w="779" w:type="pct"/>
            <w:tcBorders>
              <w:top w:val="single" w:sz="4" w:space="0" w:color="auto"/>
              <w:left w:val="single" w:sz="4" w:space="0" w:color="auto"/>
              <w:bottom w:val="single" w:sz="4" w:space="0" w:color="auto"/>
              <w:right w:val="single" w:sz="4" w:space="0" w:color="auto"/>
            </w:tcBorders>
            <w:vAlign w:val="center"/>
          </w:tcPr>
          <w:p w14:paraId="38CE3B22" w14:textId="135D2283" w:rsidR="00D44FF6" w:rsidRPr="003771DB" w:rsidRDefault="007633CC" w:rsidP="00A028CC">
            <w:pPr>
              <w:pStyle w:val="COMTabletext"/>
              <w:keepNext w:val="0"/>
              <w:jc w:val="center"/>
              <w:rPr>
                <w:snapToGrid w:val="0"/>
              </w:rPr>
            </w:pPr>
            <w:r w:rsidRPr="003771DB">
              <w:rPr>
                <w:snapToGrid w:val="0"/>
              </w:rPr>
              <w:t>6.4%</w:t>
            </w:r>
          </w:p>
        </w:tc>
        <w:tc>
          <w:tcPr>
            <w:tcW w:w="949" w:type="pct"/>
            <w:tcBorders>
              <w:top w:val="single" w:sz="4" w:space="0" w:color="auto"/>
              <w:left w:val="single" w:sz="4" w:space="0" w:color="auto"/>
              <w:bottom w:val="single" w:sz="4" w:space="0" w:color="auto"/>
              <w:right w:val="single" w:sz="4" w:space="0" w:color="auto"/>
            </w:tcBorders>
            <w:vAlign w:val="center"/>
          </w:tcPr>
          <w:p w14:paraId="5ABF641D" w14:textId="68B2FC4B" w:rsidR="00D44FF6" w:rsidRPr="003771DB" w:rsidRDefault="007633CC" w:rsidP="00A028CC">
            <w:pPr>
              <w:pStyle w:val="COMTabletext"/>
              <w:keepNext w:val="0"/>
              <w:jc w:val="center"/>
              <w:rPr>
                <w:snapToGrid w:val="0"/>
              </w:rPr>
            </w:pPr>
            <w:r w:rsidRPr="003771DB">
              <w:rPr>
                <w:snapToGrid w:val="0"/>
              </w:rPr>
              <w:t>3.4%</w:t>
            </w:r>
          </w:p>
        </w:tc>
      </w:tr>
    </w:tbl>
    <w:p w14:paraId="26222B16" w14:textId="77777777" w:rsidR="00D44FF6" w:rsidRPr="003771DB" w:rsidRDefault="00D44FF6" w:rsidP="00D44FF6">
      <w:pPr>
        <w:pStyle w:val="TableFooter"/>
      </w:pPr>
      <w:r w:rsidRPr="003771DB">
        <w:t>Source: Table 2-71, p145; Table 2-74, p148; Table 2-75, p149 of the resubmission; additional data from information request provided by the Sponsor</w:t>
      </w:r>
    </w:p>
    <w:p w14:paraId="07DBA178" w14:textId="0E5CE4C8" w:rsidR="00D44FF6" w:rsidRPr="003771DB" w:rsidRDefault="00D44FF6" w:rsidP="00D44FF6">
      <w:pPr>
        <w:pStyle w:val="TableFooter"/>
      </w:pPr>
      <w:r w:rsidRPr="003771DB">
        <w:t xml:space="preserve">Abbreviations: </w:t>
      </w:r>
      <w:r w:rsidR="008E35B4" w:rsidRPr="003771DB">
        <w:t xml:space="preserve">ITT, intention to treat; </w:t>
      </w:r>
      <w:r w:rsidRPr="003771DB">
        <w:t>PCS, physical component summary</w:t>
      </w:r>
    </w:p>
    <w:p w14:paraId="0FCE2E19" w14:textId="77777777" w:rsidR="00D44FF6" w:rsidRPr="003771DB" w:rsidRDefault="00D44FF6" w:rsidP="009329B0">
      <w:pPr>
        <w:pStyle w:val="TableFooter"/>
        <w:spacing w:after="120"/>
      </w:pPr>
      <w:r w:rsidRPr="003771DB">
        <w:t>Note: SF-36 Physical component summary scores range from 6.11 to 79.67; higher scores indicate better quality of life</w:t>
      </w:r>
    </w:p>
    <w:p w14:paraId="73CB1CB7" w14:textId="77777777" w:rsidR="00D44FF6" w:rsidRPr="003771DB" w:rsidRDefault="00D44FF6" w:rsidP="009329B0">
      <w:pPr>
        <w:pStyle w:val="COMexecsumnumberedpara"/>
      </w:pPr>
      <w:r w:rsidRPr="003771DB">
        <w:rPr>
          <w:snapToGrid/>
        </w:rPr>
        <w:t>Based on the target subgroup in the STEP-1 trial (BMI ≥40 kg/m</w:t>
      </w:r>
      <w:r w:rsidRPr="003771DB">
        <w:rPr>
          <w:snapToGrid/>
          <w:vertAlign w:val="superscript"/>
        </w:rPr>
        <w:t>2</w:t>
      </w:r>
      <w:r w:rsidRPr="003771DB">
        <w:rPr>
          <w:snapToGrid/>
        </w:rPr>
        <w:t xml:space="preserve"> and ≥2 weight-related comorbidities with a confirmed diagnosis of obstructive sleep apnoea, knee osteoarthritis or pre-diabetes), for every 100 patients treated with semaglutide in comparison with placebo over 68 weeks, there would be: </w:t>
      </w:r>
    </w:p>
    <w:p w14:paraId="52199C0E" w14:textId="59D61E01" w:rsidR="00D44FF6" w:rsidRPr="003771DB" w:rsidRDefault="00D44FF6" w:rsidP="0042771B">
      <w:pPr>
        <w:pStyle w:val="COMexecsumnumberedpara"/>
        <w:numPr>
          <w:ilvl w:val="0"/>
          <w:numId w:val="7"/>
        </w:numPr>
        <w:ind w:left="1077" w:hanging="357"/>
      </w:pPr>
      <w:r w:rsidRPr="003771DB">
        <w:t>5</w:t>
      </w:r>
      <w:r w:rsidR="00B30947" w:rsidRPr="003771DB">
        <w:t>5</w:t>
      </w:r>
      <w:r w:rsidRPr="003771DB">
        <w:t xml:space="preserve"> additional patients who would achieve ≥10% weight loss.</w:t>
      </w:r>
    </w:p>
    <w:p w14:paraId="3B849D6D" w14:textId="5DD4DD4E" w:rsidR="00D44FF6" w:rsidRPr="003771DB" w:rsidRDefault="00D44FF6" w:rsidP="0042771B">
      <w:pPr>
        <w:pStyle w:val="COMexecsumnumberedpara"/>
        <w:numPr>
          <w:ilvl w:val="0"/>
          <w:numId w:val="7"/>
        </w:numPr>
        <w:ind w:left="1077" w:hanging="357"/>
      </w:pPr>
      <w:r w:rsidRPr="003771DB">
        <w:t xml:space="preserve">A modest improvement in the physical components of quality of life (average improvement of </w:t>
      </w:r>
      <w:r w:rsidR="00B30947" w:rsidRPr="003771DB">
        <w:t>2</w:t>
      </w:r>
      <w:r w:rsidR="00B30947" w:rsidRPr="003771DB">
        <w:softHyphen/>
      </w:r>
      <w:r w:rsidRPr="003771DB">
        <w:t xml:space="preserve"> points on a 74-point scale).</w:t>
      </w:r>
    </w:p>
    <w:p w14:paraId="69983E5B" w14:textId="77777777" w:rsidR="00D44FF6" w:rsidRPr="003771DB" w:rsidRDefault="00B30947" w:rsidP="0042771B">
      <w:pPr>
        <w:pStyle w:val="COMexecsumnumberedpara"/>
        <w:numPr>
          <w:ilvl w:val="0"/>
          <w:numId w:val="7"/>
        </w:numPr>
        <w:ind w:left="1077" w:hanging="357"/>
      </w:pPr>
      <w:r w:rsidRPr="003771DB">
        <w:t>22</w:t>
      </w:r>
      <w:r w:rsidR="00D44FF6" w:rsidRPr="003771DB">
        <w:t xml:space="preserve"> additional patients with normoglycaemia.</w:t>
      </w:r>
    </w:p>
    <w:p w14:paraId="109D0825" w14:textId="4145F58E" w:rsidR="00D44FF6" w:rsidRPr="003771DB" w:rsidRDefault="00B30947" w:rsidP="0042771B">
      <w:pPr>
        <w:pStyle w:val="COMexecsumnumberedpara"/>
        <w:numPr>
          <w:ilvl w:val="0"/>
          <w:numId w:val="7"/>
        </w:numPr>
        <w:ind w:left="1077" w:hanging="357"/>
      </w:pPr>
      <w:r w:rsidRPr="003771DB">
        <w:t>4</w:t>
      </w:r>
      <w:r w:rsidR="00D44FF6" w:rsidRPr="003771DB">
        <w:t xml:space="preserve"> additional serious adverse event requiring hospitalisation.</w:t>
      </w:r>
    </w:p>
    <w:p w14:paraId="7A1772B6" w14:textId="21023AE6" w:rsidR="00B60939" w:rsidRPr="003771DB" w:rsidRDefault="00B60939" w:rsidP="00E9094A">
      <w:pPr>
        <w:pStyle w:val="COMH2-non-numbered"/>
      </w:pPr>
      <w:bookmarkStart w:id="37" w:name="_Toc22897644"/>
      <w:bookmarkStart w:id="38" w:name="_Toc144899327"/>
      <w:r w:rsidRPr="003771DB">
        <w:t>Clinical claim</w:t>
      </w:r>
      <w:bookmarkEnd w:id="37"/>
      <w:bookmarkEnd w:id="38"/>
    </w:p>
    <w:p w14:paraId="4CEFC173" w14:textId="66A4026A" w:rsidR="00717000" w:rsidRPr="003771DB" w:rsidRDefault="00717000" w:rsidP="00876C1C">
      <w:pPr>
        <w:pStyle w:val="COMexecsumnumberedpara"/>
      </w:pPr>
      <w:r w:rsidRPr="003771DB">
        <w:t xml:space="preserve">The resubmission described semaglutide as superior in terms of </w:t>
      </w:r>
      <w:r w:rsidR="00037ACD" w:rsidRPr="003771DB">
        <w:t xml:space="preserve">effectiveness </w:t>
      </w:r>
      <w:r w:rsidRPr="003771DB">
        <w:t xml:space="preserve">(quality of life, weight loss and related parameters, glucose metabolism) and inferior in terms of safety compared to placebo. </w:t>
      </w:r>
      <w:r w:rsidR="006D0702" w:rsidRPr="003771DB">
        <w:rPr>
          <w:iCs/>
        </w:rPr>
        <w:t>The ESC considered that this claim was reasonable</w:t>
      </w:r>
      <w:r w:rsidR="009D6B36" w:rsidRPr="003771DB">
        <w:rPr>
          <w:iCs/>
        </w:rPr>
        <w:t>, but that the magnitude of benefit in practice remained uncertain</w:t>
      </w:r>
      <w:r w:rsidR="006D0702" w:rsidRPr="003771DB">
        <w:rPr>
          <w:iCs/>
        </w:rPr>
        <w:t>.</w:t>
      </w:r>
      <w:r w:rsidR="002A7361" w:rsidRPr="003771DB">
        <w:rPr>
          <w:iCs/>
        </w:rPr>
        <w:t xml:space="preserve"> </w:t>
      </w:r>
    </w:p>
    <w:p w14:paraId="0439BD8C" w14:textId="604A5053" w:rsidR="00717000" w:rsidRPr="003771DB" w:rsidRDefault="006722DE" w:rsidP="00876C1C">
      <w:pPr>
        <w:pStyle w:val="COMexecsumnumberedpara"/>
      </w:pPr>
      <w:bookmarkStart w:id="39" w:name="_Ref152252784"/>
      <w:r w:rsidRPr="003771DB">
        <w:t xml:space="preserve">The ESC also noted that </w:t>
      </w:r>
      <w:r w:rsidR="00F87D5E" w:rsidRPr="003771DB">
        <w:t>t</w:t>
      </w:r>
      <w:r w:rsidR="00717000" w:rsidRPr="003771DB">
        <w:t>he following issues should be considered:</w:t>
      </w:r>
      <w:bookmarkEnd w:id="39"/>
    </w:p>
    <w:p w14:paraId="36295E9B" w14:textId="4508915D" w:rsidR="00717000" w:rsidRPr="003771DB" w:rsidRDefault="00717000" w:rsidP="0042771B">
      <w:pPr>
        <w:pStyle w:val="COMexecsumnumberedpara"/>
        <w:numPr>
          <w:ilvl w:val="0"/>
          <w:numId w:val="8"/>
        </w:numPr>
        <w:ind w:left="1077" w:hanging="357"/>
      </w:pPr>
      <w:r w:rsidRPr="003771DB">
        <w:lastRenderedPageBreak/>
        <w:t>The real-world effectiveness of semaglutide in clinical practice compared to the reported efficacy in clinical trial settings given the potential for differences in circumstances of use (e.g. suboptimal compliance to semaglutide and/or adjunctive weight management).</w:t>
      </w:r>
      <w:r w:rsidR="00D80873" w:rsidRPr="003771DB">
        <w:t xml:space="preserve"> </w:t>
      </w:r>
      <w:r w:rsidR="00D80873" w:rsidRPr="003771DB">
        <w:rPr>
          <w:iCs/>
        </w:rPr>
        <w:t>The PSCR considered that as adjunctive weight management was also used in the placebo arms in the core STEP program, ‘it is only the synergistic effects of the composite intervention which might be overestimated in the trials compared to the real world.’</w:t>
      </w:r>
    </w:p>
    <w:p w14:paraId="57F08959" w14:textId="74BD8934" w:rsidR="00717000" w:rsidRPr="003771DB" w:rsidRDefault="00717000" w:rsidP="0042771B">
      <w:pPr>
        <w:pStyle w:val="COMexecsumnumberedpara"/>
        <w:numPr>
          <w:ilvl w:val="0"/>
          <w:numId w:val="8"/>
        </w:numPr>
        <w:ind w:left="1077" w:hanging="357"/>
      </w:pPr>
      <w:r w:rsidRPr="003771DB">
        <w:t xml:space="preserve">The robustness of the subgroup analyses, as </w:t>
      </w:r>
      <w:r w:rsidR="00AD6B9D" w:rsidRPr="003771DB">
        <w:t>the subgroup population</w:t>
      </w:r>
      <w:r w:rsidR="00372228" w:rsidRPr="003771DB">
        <w:t>s</w:t>
      </w:r>
      <w:r w:rsidR="00AD6B9D" w:rsidRPr="003771DB">
        <w:t xml:space="preserve"> were identified </w:t>
      </w:r>
      <w:r w:rsidR="00AD6B9D" w:rsidRPr="003771DB">
        <w:rPr>
          <w:i/>
          <w:iCs/>
        </w:rPr>
        <w:t>post</w:t>
      </w:r>
      <w:r w:rsidR="009C2604" w:rsidRPr="003771DB">
        <w:rPr>
          <w:i/>
          <w:iCs/>
        </w:rPr>
        <w:t xml:space="preserve"> </w:t>
      </w:r>
      <w:r w:rsidR="00AD6B9D" w:rsidRPr="003771DB">
        <w:rPr>
          <w:i/>
          <w:iCs/>
        </w:rPr>
        <w:t>hoc</w:t>
      </w:r>
      <w:r w:rsidRPr="003771DB">
        <w:t xml:space="preserve">, </w:t>
      </w:r>
      <w:r w:rsidR="00AD6B9D" w:rsidRPr="003771DB">
        <w:t>patient allocation to treatment arms was not stratified based on the nominated variables</w:t>
      </w:r>
      <w:r w:rsidRPr="003771DB">
        <w:t xml:space="preserve">, and many of </w:t>
      </w:r>
      <w:r w:rsidR="00372228" w:rsidRPr="003771DB">
        <w:t xml:space="preserve">the </w:t>
      </w:r>
      <w:r w:rsidRPr="003771DB">
        <w:t xml:space="preserve">analyses were based on small patient numbers with notable </w:t>
      </w:r>
      <w:r w:rsidR="00E80949" w:rsidRPr="003771DB">
        <w:rPr>
          <w:iCs/>
        </w:rPr>
        <w:t>and potentially important</w:t>
      </w:r>
      <w:r w:rsidR="00E80949" w:rsidRPr="003771DB">
        <w:t xml:space="preserve"> </w:t>
      </w:r>
      <w:r w:rsidRPr="003771DB">
        <w:t>imbalances in patient characteristics between treatment arms at baseline.</w:t>
      </w:r>
      <w:r w:rsidR="00D80873" w:rsidRPr="003771DB">
        <w:t xml:space="preserve"> </w:t>
      </w:r>
      <w:r w:rsidR="00D80873" w:rsidRPr="003771DB">
        <w:rPr>
          <w:iCs/>
        </w:rPr>
        <w:t xml:space="preserve">The PSCR) commented that the main imbalance was a slightly higher proportion of females in the placebo arm than treatment arm (86.7% vs 72.5%), which was unlikely to favour the treatment arm since female sex was generally associated a slightly greater response to semaglutide (para </w:t>
      </w:r>
      <w:r w:rsidR="00D80873" w:rsidRPr="003771DB">
        <w:rPr>
          <w:iCs/>
        </w:rPr>
        <w:fldChar w:fldCharType="begin" w:fldLock="1"/>
      </w:r>
      <w:r w:rsidR="00D80873" w:rsidRPr="003771DB">
        <w:rPr>
          <w:iCs/>
        </w:rPr>
        <w:instrText xml:space="preserve"> REF _Ref147762162 \r \h </w:instrText>
      </w:r>
      <w:r w:rsidR="00D80873" w:rsidRPr="003771DB">
        <w:rPr>
          <w:iCs/>
        </w:rPr>
      </w:r>
      <w:r w:rsidR="00D80873" w:rsidRPr="003771DB">
        <w:rPr>
          <w:iCs/>
        </w:rPr>
        <w:fldChar w:fldCharType="separate"/>
      </w:r>
      <w:r w:rsidR="00D44FF6" w:rsidRPr="003771DB">
        <w:rPr>
          <w:iCs/>
        </w:rPr>
        <w:t>6.22</w:t>
      </w:r>
      <w:r w:rsidR="00D80873" w:rsidRPr="003771DB">
        <w:rPr>
          <w:iCs/>
        </w:rPr>
        <w:fldChar w:fldCharType="end"/>
      </w:r>
      <w:r w:rsidR="00D80873" w:rsidRPr="003771DB">
        <w:rPr>
          <w:iCs/>
        </w:rPr>
        <w:t>).</w:t>
      </w:r>
    </w:p>
    <w:p w14:paraId="17DA95EC" w14:textId="264589BA" w:rsidR="006D0702" w:rsidRPr="003771DB" w:rsidRDefault="00717000" w:rsidP="0042771B">
      <w:pPr>
        <w:pStyle w:val="COMexecsumnumberedpara"/>
        <w:numPr>
          <w:ilvl w:val="0"/>
          <w:numId w:val="8"/>
        </w:numPr>
        <w:ind w:left="1077" w:hanging="357"/>
      </w:pPr>
      <w:r w:rsidRPr="003771DB">
        <w:t>Limited long-term data to support the safety of higher maintenance doses of semaglutide (1.7 mg, 2.4 mg) used for obesity.</w:t>
      </w:r>
      <w:r w:rsidR="00D80873" w:rsidRPr="003771DB">
        <w:t xml:space="preserve"> </w:t>
      </w:r>
      <w:r w:rsidR="00D80873" w:rsidRPr="003771DB">
        <w:rPr>
          <w:iCs/>
        </w:rPr>
        <w:t>The PSCR considered this issue was mitigated by over six years of use in a relatively large diabetes population.</w:t>
      </w:r>
    </w:p>
    <w:p w14:paraId="5C2B7A8E" w14:textId="3C367E90" w:rsidR="006722DE" w:rsidRPr="003771DB" w:rsidRDefault="006722DE" w:rsidP="00876C1C">
      <w:pPr>
        <w:widowControl w:val="0"/>
        <w:numPr>
          <w:ilvl w:val="1"/>
          <w:numId w:val="1"/>
        </w:numPr>
        <w:spacing w:after="120"/>
        <w:ind w:left="720"/>
        <w:rPr>
          <w:rFonts w:asciiTheme="minorHAnsi" w:hAnsiTheme="minorHAnsi"/>
          <w:snapToGrid w:val="0"/>
          <w:szCs w:val="20"/>
        </w:rPr>
      </w:pPr>
      <w:bookmarkStart w:id="40" w:name="_Hlk76376200"/>
      <w:r w:rsidRPr="003771DB">
        <w:rPr>
          <w:rFonts w:asciiTheme="minorHAnsi" w:hAnsiTheme="minorHAnsi"/>
          <w:snapToGrid w:val="0"/>
          <w:szCs w:val="20"/>
        </w:rPr>
        <w:t>The PBAC reaffirmed its previously held view that ‘the claim of superior comparative effectiveness was reasonable for weight loss, HbA1c and other biomarkers, and quality of life over the trial duration and whilst on treatment, although it was unlikely that these benefits would be fully realised in Australian practice without the intensive diet and exercise counselling co-administered in the trial program. These benefits would also likely be diminished if semaglutide were used intermittently.’ The PBAC also reaffirmed its view that ‘the inferior comparative safety claim was reasonable.</w:t>
      </w:r>
      <w:r w:rsidR="00254B2C" w:rsidRPr="003771DB">
        <w:rPr>
          <w:rFonts w:asciiTheme="minorHAnsi" w:hAnsiTheme="minorHAnsi"/>
          <w:snapToGrid w:val="0"/>
          <w:szCs w:val="20"/>
        </w:rPr>
        <w:t xml:space="preserve">’ (Paragraphs 6.41 and 6.42, semaglutide PSD, March 2022 PBAC meeting). </w:t>
      </w:r>
    </w:p>
    <w:p w14:paraId="7730214D" w14:textId="15BCEDC9" w:rsidR="006722DE" w:rsidRPr="003771DB" w:rsidRDefault="00254B2C" w:rsidP="00876C1C">
      <w:pPr>
        <w:widowControl w:val="0"/>
        <w:numPr>
          <w:ilvl w:val="1"/>
          <w:numId w:val="1"/>
        </w:numPr>
        <w:spacing w:after="120"/>
        <w:ind w:left="720"/>
        <w:rPr>
          <w:rFonts w:asciiTheme="minorHAnsi" w:hAnsiTheme="minorHAnsi"/>
          <w:snapToGrid w:val="0"/>
          <w:szCs w:val="20"/>
        </w:rPr>
      </w:pPr>
      <w:r w:rsidRPr="003771DB">
        <w:rPr>
          <w:rFonts w:asciiTheme="minorHAnsi" w:hAnsiTheme="minorHAnsi"/>
          <w:snapToGrid w:val="0"/>
          <w:szCs w:val="20"/>
        </w:rPr>
        <w:t>The PBAC also recalled its previous comment that, ‘</w:t>
      </w:r>
      <w:r w:rsidR="006722DE" w:rsidRPr="003771DB">
        <w:rPr>
          <w:rFonts w:asciiTheme="minorHAnsi" w:hAnsiTheme="minorHAnsi"/>
          <w:snapToGrid w:val="0"/>
          <w:szCs w:val="20"/>
        </w:rPr>
        <w:t>despite the favourable effects on the short-term and surrogate outcomes the clinical effectiveness on clinical endpoints remained uncertain</w:t>
      </w:r>
      <w:r w:rsidRPr="003771DB">
        <w:rPr>
          <w:rFonts w:asciiTheme="minorHAnsi" w:hAnsiTheme="minorHAnsi"/>
          <w:snapToGrid w:val="0"/>
          <w:szCs w:val="20"/>
        </w:rPr>
        <w:t xml:space="preserve">’. </w:t>
      </w:r>
      <w:r w:rsidR="002167FD" w:rsidRPr="003771DB">
        <w:rPr>
          <w:rFonts w:asciiTheme="minorHAnsi" w:hAnsiTheme="minorHAnsi"/>
          <w:snapToGrid w:val="0"/>
          <w:szCs w:val="20"/>
        </w:rPr>
        <w:t>With regards to this issue</w:t>
      </w:r>
      <w:r w:rsidRPr="003771DB">
        <w:rPr>
          <w:rFonts w:asciiTheme="minorHAnsi" w:hAnsiTheme="minorHAnsi"/>
          <w:snapToGrid w:val="0"/>
          <w:szCs w:val="20"/>
        </w:rPr>
        <w:t xml:space="preserve">, the PBAC noted that presentation of the SELECT trial results would have been informative. </w:t>
      </w:r>
    </w:p>
    <w:p w14:paraId="74A1172E" w14:textId="1F2EDB1F" w:rsidR="00B60939" w:rsidRPr="003771DB" w:rsidRDefault="00B60939" w:rsidP="00E9094A">
      <w:pPr>
        <w:pStyle w:val="COMH2-non-numbered"/>
      </w:pPr>
      <w:bookmarkStart w:id="41" w:name="_Toc22897645"/>
      <w:bookmarkStart w:id="42" w:name="_Toc144899328"/>
      <w:bookmarkEnd w:id="40"/>
      <w:r w:rsidRPr="003771DB">
        <w:t>Economic analysis</w:t>
      </w:r>
      <w:bookmarkEnd w:id="41"/>
      <w:bookmarkEnd w:id="42"/>
      <w:r w:rsidR="00491B3A" w:rsidRPr="003771DB">
        <w:t xml:space="preserve"> </w:t>
      </w:r>
    </w:p>
    <w:p w14:paraId="3AAFF67B" w14:textId="7CCFC8E7" w:rsidR="008720A8" w:rsidRPr="003771DB" w:rsidRDefault="008720A8" w:rsidP="004E2228">
      <w:pPr>
        <w:pStyle w:val="COMexecsumnumberedpara"/>
      </w:pPr>
      <w:r w:rsidRPr="003771DB">
        <w:t>The sponsor developed a new economic analysis for the current resubmission instead of revising the economic analysis presented in the March 2022 submission</w:t>
      </w:r>
      <w:r w:rsidR="00037ACD" w:rsidRPr="003771DB">
        <w:t>,</w:t>
      </w:r>
      <w:r w:rsidRPr="003771DB">
        <w:t xml:space="preserve"> given the substantial issues raised regarding the previous economic model.</w:t>
      </w:r>
    </w:p>
    <w:p w14:paraId="73360D49" w14:textId="2F2D92DA" w:rsidR="008720A8" w:rsidRPr="003771DB" w:rsidRDefault="008720A8" w:rsidP="004E2228">
      <w:pPr>
        <w:pStyle w:val="COMexecsumnumberedpara"/>
      </w:pPr>
      <w:r w:rsidRPr="003771DB">
        <w:t xml:space="preserve">The </w:t>
      </w:r>
      <w:r w:rsidR="00847682" w:rsidRPr="003771DB">
        <w:t>re</w:t>
      </w:r>
      <w:r w:rsidRPr="003771DB">
        <w:t xml:space="preserve">submission presented a modelled economic evaluation of semaglutide compared to placebo for the treatment of severe obesity. The economic evaluation was based on a subgroup analysis of the STEP-1 trial with additional modelled data. The economic evaluation was presented as a cost-utility analysis. </w:t>
      </w:r>
    </w:p>
    <w:p w14:paraId="1421970C" w14:textId="71FA7089" w:rsidR="008720A8" w:rsidRPr="003771DB" w:rsidRDefault="008720A8" w:rsidP="004E2228">
      <w:pPr>
        <w:pStyle w:val="COMexecsumnumberedpara"/>
        <w:rPr>
          <w:iCs/>
        </w:rPr>
      </w:pPr>
      <w:r w:rsidRPr="003771DB">
        <w:lastRenderedPageBreak/>
        <w:t xml:space="preserve">The economic analysis was based on the initial episode of care only and did not account for subsequent episodes of treatment with semaglutide. The resubmission claimed that this approach was reasonable as there </w:t>
      </w:r>
      <w:r w:rsidR="001C2A55" w:rsidRPr="003771DB">
        <w:t>are</w:t>
      </w:r>
      <w:r w:rsidRPr="003771DB">
        <w:t xml:space="preserve"> insufficient clinical data available for semaglutide re</w:t>
      </w:r>
      <w:r w:rsidR="00037ACD" w:rsidRPr="003771DB">
        <w:t>-</w:t>
      </w:r>
      <w:r w:rsidRPr="003771DB">
        <w:t>treatment. This approach was not adequately justified given that the proposed PBS restriction allows semaglutide re</w:t>
      </w:r>
      <w:r w:rsidR="00037ACD" w:rsidRPr="003771DB">
        <w:t>-</w:t>
      </w:r>
      <w:r w:rsidRPr="003771DB">
        <w:t>treatment (after a treatment gap of at least 2 years). Additionally, the budget impact estimates include semaglutide re-treatment based on the assumption of no difference in treatment effects between the initial and re-treatment episodes of care.</w:t>
      </w:r>
    </w:p>
    <w:p w14:paraId="5AF3109F" w14:textId="6044C7BF" w:rsidR="008720A8" w:rsidRPr="003771DB" w:rsidRDefault="008720A8" w:rsidP="004E2228">
      <w:pPr>
        <w:pStyle w:val="COMexecsumnumberedpara"/>
      </w:pPr>
      <w:r w:rsidRPr="003771DB">
        <w:t xml:space="preserve">Key components of the economic evaluation are summarised in </w:t>
      </w:r>
      <w:r w:rsidR="003A77CD" w:rsidRPr="003771DB">
        <w:fldChar w:fldCharType="begin" w:fldLock="1"/>
      </w:r>
      <w:r w:rsidR="003A77CD" w:rsidRPr="003771DB">
        <w:instrText xml:space="preserve"> REF _Ref143501773 \h </w:instrText>
      </w:r>
      <w:r w:rsidR="003A77CD" w:rsidRPr="003771DB">
        <w:fldChar w:fldCharType="separate"/>
      </w:r>
      <w:r w:rsidR="00D44FF6" w:rsidRPr="003771DB">
        <w:t xml:space="preserve">Table </w:t>
      </w:r>
      <w:r w:rsidR="00D44FF6" w:rsidRPr="00F7478B">
        <w:t>11</w:t>
      </w:r>
      <w:r w:rsidR="003A77CD" w:rsidRPr="003771DB">
        <w:fldChar w:fldCharType="end"/>
      </w:r>
      <w:r w:rsidRPr="003771DB">
        <w:t>.</w:t>
      </w:r>
    </w:p>
    <w:p w14:paraId="43ADDFC8" w14:textId="3E3AE154" w:rsidR="00F46866" w:rsidRPr="003771DB" w:rsidRDefault="00F46866" w:rsidP="003A77CD">
      <w:pPr>
        <w:pStyle w:val="Caption"/>
      </w:pPr>
      <w:bookmarkStart w:id="43" w:name="_Ref143501773"/>
      <w:r w:rsidRPr="003771DB">
        <w:t xml:space="preserve">Table </w:t>
      </w:r>
      <w:fldSimple w:instr=" SEQ Table \* ARABIC " w:fldLock="1">
        <w:r w:rsidR="00AD487C" w:rsidRPr="00F7478B">
          <w:t>11</w:t>
        </w:r>
      </w:fldSimple>
      <w:bookmarkEnd w:id="43"/>
      <w:r w:rsidRPr="003771DB">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Key components of the economic evaluation"/>
        <w:tblDescription w:val="Table 11: Key components of the economic evaluation"/>
      </w:tblPr>
      <w:tblGrid>
        <w:gridCol w:w="1688"/>
        <w:gridCol w:w="7327"/>
      </w:tblGrid>
      <w:tr w:rsidR="00F46866" w:rsidRPr="003771DB" w14:paraId="63178DB9" w14:textId="77777777" w:rsidTr="008E07B1">
        <w:trPr>
          <w:cantSplit/>
          <w:tblHeader/>
        </w:trPr>
        <w:tc>
          <w:tcPr>
            <w:tcW w:w="936" w:type="pct"/>
            <w:shd w:val="clear" w:color="auto" w:fill="auto"/>
          </w:tcPr>
          <w:p w14:paraId="006EC863" w14:textId="77777777" w:rsidR="00F46866" w:rsidRPr="003771DB" w:rsidRDefault="00F46866" w:rsidP="00076B84">
            <w:pPr>
              <w:pStyle w:val="TableText"/>
              <w:rPr>
                <w:b/>
              </w:rPr>
            </w:pPr>
            <w:r w:rsidRPr="003771DB">
              <w:rPr>
                <w:b/>
              </w:rPr>
              <w:t xml:space="preserve">Component </w:t>
            </w:r>
          </w:p>
        </w:tc>
        <w:tc>
          <w:tcPr>
            <w:tcW w:w="4064" w:type="pct"/>
            <w:shd w:val="clear" w:color="auto" w:fill="auto"/>
          </w:tcPr>
          <w:p w14:paraId="350A3171" w14:textId="77777777" w:rsidR="00F46866" w:rsidRPr="003771DB" w:rsidRDefault="00F46866" w:rsidP="00076B84">
            <w:pPr>
              <w:pStyle w:val="TableText"/>
              <w:rPr>
                <w:b/>
              </w:rPr>
            </w:pPr>
            <w:r w:rsidRPr="003771DB">
              <w:rPr>
                <w:b/>
              </w:rPr>
              <w:t>Description</w:t>
            </w:r>
          </w:p>
        </w:tc>
      </w:tr>
      <w:tr w:rsidR="00F46866" w:rsidRPr="003771DB" w14:paraId="2565111B" w14:textId="77777777" w:rsidTr="008E07B1">
        <w:trPr>
          <w:cantSplit/>
        </w:trPr>
        <w:tc>
          <w:tcPr>
            <w:tcW w:w="936" w:type="pct"/>
            <w:shd w:val="clear" w:color="auto" w:fill="auto"/>
            <w:vAlign w:val="center"/>
          </w:tcPr>
          <w:p w14:paraId="19A4D71A" w14:textId="77777777" w:rsidR="00F46866" w:rsidRPr="003771DB" w:rsidRDefault="00F46866" w:rsidP="00076B84">
            <w:pPr>
              <w:pStyle w:val="TableText"/>
            </w:pPr>
            <w:r w:rsidRPr="003771DB">
              <w:t xml:space="preserve">Type of analysis </w:t>
            </w:r>
          </w:p>
        </w:tc>
        <w:tc>
          <w:tcPr>
            <w:tcW w:w="4064" w:type="pct"/>
            <w:shd w:val="clear" w:color="auto" w:fill="auto"/>
            <w:vAlign w:val="center"/>
          </w:tcPr>
          <w:p w14:paraId="63DCB6FE" w14:textId="77777777" w:rsidR="00F46866" w:rsidRPr="003771DB" w:rsidRDefault="00F46866" w:rsidP="00076B84">
            <w:pPr>
              <w:pStyle w:val="TableText"/>
              <w:rPr>
                <w:rFonts w:ascii="Times" w:eastAsia="Times New Roman" w:hAnsi="Times" w:cs="Times New Roman"/>
                <w:szCs w:val="20"/>
              </w:rPr>
            </w:pPr>
            <w:r w:rsidRPr="003771DB">
              <w:t>Cost-utility analysis</w:t>
            </w:r>
          </w:p>
        </w:tc>
      </w:tr>
      <w:tr w:rsidR="00F46866" w:rsidRPr="003771DB" w14:paraId="1729A480" w14:textId="77777777" w:rsidTr="008E07B1">
        <w:trPr>
          <w:cantSplit/>
        </w:trPr>
        <w:tc>
          <w:tcPr>
            <w:tcW w:w="936" w:type="pct"/>
            <w:shd w:val="clear" w:color="auto" w:fill="auto"/>
            <w:vAlign w:val="center"/>
          </w:tcPr>
          <w:p w14:paraId="314E02B0" w14:textId="77777777" w:rsidR="00F46866" w:rsidRPr="003771DB" w:rsidRDefault="00F46866" w:rsidP="00076B84">
            <w:pPr>
              <w:pStyle w:val="TableText"/>
              <w:rPr>
                <w:rFonts w:ascii="Times" w:eastAsia="Times New Roman" w:hAnsi="Times" w:cs="Times New Roman"/>
                <w:szCs w:val="20"/>
              </w:rPr>
            </w:pPr>
            <w:r w:rsidRPr="003771DB">
              <w:t>Outcomes</w:t>
            </w:r>
          </w:p>
        </w:tc>
        <w:tc>
          <w:tcPr>
            <w:tcW w:w="4064" w:type="pct"/>
            <w:shd w:val="clear" w:color="auto" w:fill="auto"/>
            <w:vAlign w:val="center"/>
          </w:tcPr>
          <w:p w14:paraId="18C9F787" w14:textId="77777777" w:rsidR="00F46866" w:rsidRPr="003771DB" w:rsidRDefault="00F46866" w:rsidP="00076B84">
            <w:pPr>
              <w:pStyle w:val="TableText"/>
            </w:pPr>
            <w:r w:rsidRPr="003771DB">
              <w:t xml:space="preserve">Quality adjusted life years </w:t>
            </w:r>
          </w:p>
        </w:tc>
      </w:tr>
      <w:tr w:rsidR="00F46866" w:rsidRPr="003771DB" w14:paraId="6E13759C" w14:textId="77777777" w:rsidTr="008E07B1">
        <w:trPr>
          <w:cantSplit/>
        </w:trPr>
        <w:tc>
          <w:tcPr>
            <w:tcW w:w="936" w:type="pct"/>
            <w:shd w:val="clear" w:color="auto" w:fill="auto"/>
            <w:vAlign w:val="center"/>
          </w:tcPr>
          <w:p w14:paraId="33988DA7" w14:textId="77777777" w:rsidR="00F46866" w:rsidRPr="003771DB" w:rsidRDefault="00F46866" w:rsidP="00076B84">
            <w:pPr>
              <w:pStyle w:val="TableText"/>
              <w:rPr>
                <w:rFonts w:ascii="Times" w:eastAsia="Times New Roman" w:hAnsi="Times" w:cs="Times New Roman"/>
                <w:szCs w:val="20"/>
              </w:rPr>
            </w:pPr>
            <w:r w:rsidRPr="003771DB">
              <w:t>Time horizon</w:t>
            </w:r>
          </w:p>
        </w:tc>
        <w:tc>
          <w:tcPr>
            <w:tcW w:w="4064" w:type="pct"/>
            <w:shd w:val="clear" w:color="auto" w:fill="auto"/>
            <w:vAlign w:val="center"/>
          </w:tcPr>
          <w:p w14:paraId="7E7F209F" w14:textId="77777777" w:rsidR="00F46866" w:rsidRPr="003771DB" w:rsidRDefault="00F46866" w:rsidP="00076B84">
            <w:pPr>
              <w:pStyle w:val="TableText"/>
              <w:rPr>
                <w:rFonts w:ascii="Times" w:eastAsia="Times New Roman" w:hAnsi="Times" w:cs="Times New Roman"/>
                <w:szCs w:val="20"/>
              </w:rPr>
            </w:pPr>
            <w:r w:rsidRPr="003771DB">
              <w:t>5 years</w:t>
            </w:r>
          </w:p>
        </w:tc>
      </w:tr>
      <w:tr w:rsidR="00F46866" w:rsidRPr="003771DB" w14:paraId="0E94A5BA" w14:textId="77777777" w:rsidTr="008E07B1">
        <w:trPr>
          <w:cantSplit/>
        </w:trPr>
        <w:tc>
          <w:tcPr>
            <w:tcW w:w="936" w:type="pct"/>
            <w:shd w:val="clear" w:color="auto" w:fill="auto"/>
            <w:vAlign w:val="center"/>
          </w:tcPr>
          <w:p w14:paraId="7B93D9A1" w14:textId="77777777" w:rsidR="00F46866" w:rsidRPr="003771DB" w:rsidRDefault="00F46866" w:rsidP="00076B84">
            <w:pPr>
              <w:pStyle w:val="TableText"/>
              <w:rPr>
                <w:rFonts w:ascii="Times" w:eastAsia="Times New Roman" w:hAnsi="Times" w:cs="Times New Roman"/>
                <w:szCs w:val="20"/>
              </w:rPr>
            </w:pPr>
            <w:r w:rsidRPr="003771DB">
              <w:t>Methods used to generate results</w:t>
            </w:r>
          </w:p>
        </w:tc>
        <w:tc>
          <w:tcPr>
            <w:tcW w:w="4064" w:type="pct"/>
            <w:shd w:val="clear" w:color="auto" w:fill="auto"/>
            <w:vAlign w:val="center"/>
          </w:tcPr>
          <w:p w14:paraId="7210EE58" w14:textId="77777777" w:rsidR="00F46866" w:rsidRPr="003771DB" w:rsidRDefault="00F46866" w:rsidP="00076B84">
            <w:pPr>
              <w:pStyle w:val="TableText"/>
            </w:pPr>
            <w:r w:rsidRPr="003771DB">
              <w:t>Markov cohort analysis</w:t>
            </w:r>
          </w:p>
        </w:tc>
      </w:tr>
      <w:tr w:rsidR="00F46866" w:rsidRPr="003771DB" w14:paraId="21A76323" w14:textId="77777777" w:rsidTr="008E07B1">
        <w:trPr>
          <w:cantSplit/>
        </w:trPr>
        <w:tc>
          <w:tcPr>
            <w:tcW w:w="936" w:type="pct"/>
            <w:shd w:val="clear" w:color="auto" w:fill="auto"/>
            <w:vAlign w:val="center"/>
          </w:tcPr>
          <w:p w14:paraId="77A67881" w14:textId="77777777" w:rsidR="00F46866" w:rsidRPr="003771DB" w:rsidRDefault="00F46866" w:rsidP="00076B84">
            <w:pPr>
              <w:pStyle w:val="TableText"/>
              <w:keepNext w:val="0"/>
            </w:pPr>
            <w:r w:rsidRPr="003771DB">
              <w:t>Treatments</w:t>
            </w:r>
          </w:p>
        </w:tc>
        <w:tc>
          <w:tcPr>
            <w:tcW w:w="4064" w:type="pct"/>
            <w:shd w:val="clear" w:color="auto" w:fill="auto"/>
            <w:vAlign w:val="center"/>
          </w:tcPr>
          <w:p w14:paraId="4869E5F2" w14:textId="7586C92E" w:rsidR="00F46866" w:rsidRPr="003771DB" w:rsidRDefault="00F46866" w:rsidP="00076B84">
            <w:pPr>
              <w:pStyle w:val="TableText"/>
              <w:keepNext w:val="0"/>
            </w:pPr>
            <w:r w:rsidRPr="003771DB">
              <w:t>Semaglutide (titrated to a dose of 2.4 mg weekly) or placebo in combination with a weight management program</w:t>
            </w:r>
            <w:r w:rsidR="003771DB">
              <w:t xml:space="preserve">. </w:t>
            </w:r>
          </w:p>
        </w:tc>
      </w:tr>
      <w:tr w:rsidR="00F46866" w:rsidRPr="003771DB" w14:paraId="57EAB03B" w14:textId="77777777" w:rsidTr="008E07B1">
        <w:trPr>
          <w:cantSplit/>
        </w:trPr>
        <w:tc>
          <w:tcPr>
            <w:tcW w:w="936" w:type="pct"/>
            <w:shd w:val="clear" w:color="auto" w:fill="auto"/>
            <w:vAlign w:val="center"/>
          </w:tcPr>
          <w:p w14:paraId="2D92F09C" w14:textId="77777777" w:rsidR="00F46866" w:rsidRPr="003771DB" w:rsidRDefault="00F46866" w:rsidP="00076B84">
            <w:pPr>
              <w:pStyle w:val="TableText"/>
              <w:keepNext w:val="0"/>
              <w:rPr>
                <w:rFonts w:ascii="Times" w:eastAsia="Times New Roman" w:hAnsi="Times" w:cs="Times New Roman"/>
                <w:szCs w:val="20"/>
              </w:rPr>
            </w:pPr>
            <w:r w:rsidRPr="003771DB">
              <w:t>Model structure</w:t>
            </w:r>
          </w:p>
        </w:tc>
        <w:tc>
          <w:tcPr>
            <w:tcW w:w="4064" w:type="pct"/>
            <w:shd w:val="clear" w:color="auto" w:fill="auto"/>
            <w:vAlign w:val="center"/>
          </w:tcPr>
          <w:p w14:paraId="2A20C486" w14:textId="7EB8A69F" w:rsidR="00F46866" w:rsidRPr="003771DB" w:rsidRDefault="00F46866" w:rsidP="00CD379F">
            <w:pPr>
              <w:pStyle w:val="TableText"/>
              <w:keepNext w:val="0"/>
              <w:spacing w:after="60"/>
            </w:pPr>
            <w:r w:rsidRPr="003771DB">
              <w:t>Two health states during the first 68 weeks of the model (alive, dead) and three health states for the remainder of the model (alive with weight loss response, alive without weight loss response</w:t>
            </w:r>
            <w:r w:rsidR="00721EF0" w:rsidRPr="003771DB">
              <w:t>,</w:t>
            </w:r>
            <w:r w:rsidRPr="003771DB">
              <w:t xml:space="preserve"> dead)</w:t>
            </w:r>
            <w:r w:rsidR="00CD379F" w:rsidRPr="003771DB">
              <w:t>.</w:t>
            </w:r>
          </w:p>
          <w:p w14:paraId="462015A2" w14:textId="277D618A" w:rsidR="00F46866" w:rsidRPr="003771DB" w:rsidRDefault="00F46866" w:rsidP="00076B84">
            <w:pPr>
              <w:pStyle w:val="TableText"/>
              <w:keepNext w:val="0"/>
            </w:pPr>
            <w:r w:rsidRPr="003771DB">
              <w:t>The model also track</w:t>
            </w:r>
            <w:r w:rsidR="00037ACD" w:rsidRPr="003771DB">
              <w:t>ed</w:t>
            </w:r>
            <w:r w:rsidRPr="003771DB">
              <w:t xml:space="preserve"> treatment status (on-treatment, off-treatment), glycaemic status (normoglycaemia, pre-diabetes) and serious adverse events </w:t>
            </w:r>
            <w:r w:rsidR="00721EF0" w:rsidRPr="003771DB">
              <w:t>to estimate</w:t>
            </w:r>
            <w:r w:rsidRPr="003771DB">
              <w:t xml:space="preserve"> costs over time.</w:t>
            </w:r>
          </w:p>
        </w:tc>
      </w:tr>
      <w:tr w:rsidR="00F46866" w:rsidRPr="003771DB" w14:paraId="65834CD0" w14:textId="77777777" w:rsidTr="008E07B1">
        <w:trPr>
          <w:cantSplit/>
        </w:trPr>
        <w:tc>
          <w:tcPr>
            <w:tcW w:w="936" w:type="pct"/>
            <w:shd w:val="clear" w:color="auto" w:fill="auto"/>
            <w:vAlign w:val="center"/>
          </w:tcPr>
          <w:p w14:paraId="6177B31B" w14:textId="77777777" w:rsidR="00F46866" w:rsidRPr="003771DB" w:rsidRDefault="00F46866" w:rsidP="00076B84">
            <w:pPr>
              <w:pStyle w:val="TableText"/>
              <w:keepNext w:val="0"/>
              <w:rPr>
                <w:rFonts w:ascii="Times" w:eastAsia="Times New Roman" w:hAnsi="Times" w:cs="Times New Roman"/>
                <w:szCs w:val="20"/>
              </w:rPr>
            </w:pPr>
            <w:r w:rsidRPr="003771DB">
              <w:t>Cycle length</w:t>
            </w:r>
          </w:p>
        </w:tc>
        <w:tc>
          <w:tcPr>
            <w:tcW w:w="4064" w:type="pct"/>
            <w:shd w:val="clear" w:color="auto" w:fill="auto"/>
            <w:vAlign w:val="center"/>
          </w:tcPr>
          <w:p w14:paraId="481EED52" w14:textId="1013BB16" w:rsidR="00F46866" w:rsidRPr="003771DB" w:rsidRDefault="00F46866" w:rsidP="00076B84">
            <w:pPr>
              <w:pStyle w:val="TableText"/>
              <w:keepNext w:val="0"/>
            </w:pPr>
            <w:r w:rsidRPr="003771DB">
              <w:t>28 days (no half</w:t>
            </w:r>
            <w:r w:rsidR="006304C6" w:rsidRPr="003771DB">
              <w:t>-</w:t>
            </w:r>
            <w:r w:rsidRPr="003771DB">
              <w:t>cycle correction)</w:t>
            </w:r>
          </w:p>
        </w:tc>
      </w:tr>
      <w:tr w:rsidR="00F46866" w:rsidRPr="003771DB" w14:paraId="685BD985" w14:textId="77777777" w:rsidTr="008E07B1">
        <w:trPr>
          <w:cantSplit/>
        </w:trPr>
        <w:tc>
          <w:tcPr>
            <w:tcW w:w="936" w:type="pct"/>
            <w:shd w:val="clear" w:color="auto" w:fill="auto"/>
            <w:vAlign w:val="center"/>
          </w:tcPr>
          <w:p w14:paraId="7D8EBD2A" w14:textId="77777777" w:rsidR="00F46866" w:rsidRPr="003771DB" w:rsidRDefault="00F46866" w:rsidP="00F46866">
            <w:pPr>
              <w:pStyle w:val="COMTabletext"/>
              <w:keepNext w:val="0"/>
            </w:pPr>
            <w:r w:rsidRPr="003771DB">
              <w:t>Patient characteristics</w:t>
            </w:r>
          </w:p>
          <w:p w14:paraId="5915AB5B" w14:textId="67FBE0FA" w:rsidR="00F46866" w:rsidRPr="003771DB" w:rsidRDefault="00F46866" w:rsidP="00F46866">
            <w:pPr>
              <w:pStyle w:val="TableText"/>
              <w:keepNext w:val="0"/>
            </w:pPr>
            <w:r w:rsidRPr="003771DB">
              <w:t>and circumstances of use</w:t>
            </w:r>
          </w:p>
        </w:tc>
        <w:tc>
          <w:tcPr>
            <w:tcW w:w="4064" w:type="pct"/>
            <w:shd w:val="clear" w:color="auto" w:fill="auto"/>
            <w:vAlign w:val="center"/>
          </w:tcPr>
          <w:p w14:paraId="44F2C63D" w14:textId="4EE0E977" w:rsidR="00F46866" w:rsidRPr="003771DB" w:rsidRDefault="00F46866" w:rsidP="00CD379F">
            <w:pPr>
              <w:pStyle w:val="COMTabletext"/>
              <w:keepNext w:val="0"/>
              <w:spacing w:after="60"/>
            </w:pPr>
            <w:r w:rsidRPr="003771DB">
              <w:t xml:space="preserve">The resubmission modelled age, gender and glycaemic category based on reported baseline values from the combined treatment arms of the STEP-1 subgroup population with baseline BMI </w:t>
            </w:r>
            <w:r w:rsidR="00CD379F" w:rsidRPr="003771DB">
              <w:t>≥</w:t>
            </w:r>
            <w:r w:rsidRPr="003771DB">
              <w:t>40 kg/m</w:t>
            </w:r>
            <w:r w:rsidRPr="003771DB">
              <w:rPr>
                <w:vertAlign w:val="superscript"/>
              </w:rPr>
              <w:t>2</w:t>
            </w:r>
            <w:r w:rsidRPr="003771DB">
              <w:t xml:space="preserve"> and </w:t>
            </w:r>
            <w:r w:rsidR="00CD379F" w:rsidRPr="003771DB">
              <w:t>≥</w:t>
            </w:r>
            <w:r w:rsidRPr="003771DB">
              <w:t xml:space="preserve">2 weight-related comorbidities with </w:t>
            </w:r>
            <w:r w:rsidR="00F87D5E" w:rsidRPr="003771DB">
              <w:t>a confirmed diagnosis of</w:t>
            </w:r>
            <w:r w:rsidR="007F7E92" w:rsidRPr="003771DB">
              <w:t xml:space="preserve"> at least one of</w:t>
            </w:r>
            <w:r w:rsidR="00F87D5E" w:rsidRPr="003771DB">
              <w:t xml:space="preserve"> </w:t>
            </w:r>
            <w:r w:rsidRPr="003771DB">
              <w:t>obstructive sleep apnoea, knee osteoarthritis or pre-diabetes</w:t>
            </w:r>
            <w:r w:rsidR="003771DB">
              <w:t xml:space="preserve">. </w:t>
            </w:r>
          </w:p>
          <w:p w14:paraId="4F1C2713" w14:textId="191595C5" w:rsidR="00F46866" w:rsidRPr="003771DB" w:rsidRDefault="00F46866" w:rsidP="00CD379F">
            <w:pPr>
              <w:pStyle w:val="COMTabletext"/>
              <w:keepNext w:val="0"/>
              <w:spacing w:after="60"/>
            </w:pPr>
            <w:r w:rsidRPr="003771DB">
              <w:t>The modelled circumstances of use included variable treatment persistence over time (see below) but assumed that all patients would titrate to the maximum dose and would be fully adherent with therapy. The model assumed that patients would only receive one episode of care with semaglutide</w:t>
            </w:r>
            <w:r w:rsidR="0089592B" w:rsidRPr="003771DB">
              <w:t>,</w:t>
            </w:r>
            <w:r w:rsidRPr="003771DB">
              <w:t xml:space="preserve"> with no re-treatment.</w:t>
            </w:r>
          </w:p>
          <w:p w14:paraId="2F5B9B26" w14:textId="2EC62911" w:rsidR="00F46866" w:rsidRPr="003771DB" w:rsidRDefault="00F87D5E" w:rsidP="00F46866">
            <w:pPr>
              <w:pStyle w:val="TableText"/>
              <w:keepNext w:val="0"/>
              <w:widowControl w:val="0"/>
            </w:pPr>
            <w:r w:rsidRPr="003771DB">
              <w:t>In regard to</w:t>
            </w:r>
            <w:r w:rsidR="00F46866" w:rsidRPr="003771DB">
              <w:t xml:space="preserve"> adjunctive weight management, it was assumed that all modelled patients would be managed through a team care arrangement which would be reviewed at regular intervals. Patients were assumed to receive dietician or exercise physiologist visits every 4 weeks for the first 68 weeks (consistent with the STEP-1 trial protocol) before switching to less intensive counselling for the remainder of model. The model assumed treatment persistence to pharmacological therapy and adjunctive weight management would be the same.</w:t>
            </w:r>
          </w:p>
        </w:tc>
      </w:tr>
      <w:tr w:rsidR="00F46866" w:rsidRPr="003771DB" w14:paraId="7669FBF2" w14:textId="77777777" w:rsidTr="00886A85">
        <w:tc>
          <w:tcPr>
            <w:tcW w:w="936" w:type="pct"/>
            <w:shd w:val="clear" w:color="auto" w:fill="auto"/>
            <w:vAlign w:val="center"/>
          </w:tcPr>
          <w:p w14:paraId="7926A239" w14:textId="77777777" w:rsidR="00F46866" w:rsidRPr="003771DB" w:rsidRDefault="00F46866" w:rsidP="00886A85">
            <w:pPr>
              <w:pStyle w:val="TableText"/>
              <w:keepNext w:val="0"/>
            </w:pPr>
            <w:r w:rsidRPr="003771DB">
              <w:t xml:space="preserve">Transition probabilities </w:t>
            </w:r>
          </w:p>
        </w:tc>
        <w:tc>
          <w:tcPr>
            <w:tcW w:w="4064" w:type="pct"/>
            <w:shd w:val="clear" w:color="auto" w:fill="auto"/>
            <w:vAlign w:val="center"/>
          </w:tcPr>
          <w:p w14:paraId="2631DE9E" w14:textId="1B0572C3" w:rsidR="00F46866" w:rsidRPr="003771DB" w:rsidRDefault="00F46866" w:rsidP="00886A85">
            <w:pPr>
              <w:pStyle w:val="TableText"/>
              <w:keepNext w:val="0"/>
              <w:spacing w:after="60"/>
            </w:pPr>
            <w:r w:rsidRPr="003771DB">
              <w:t>Patient survival was estimated based on general population mortality rates derived from Australian life tables in 2018-2022.</w:t>
            </w:r>
          </w:p>
          <w:p w14:paraId="62362CB6" w14:textId="7FE64A33" w:rsidR="00F46866" w:rsidRPr="003771DB" w:rsidRDefault="00F46866" w:rsidP="00886A85">
            <w:pPr>
              <w:pStyle w:val="TableText"/>
              <w:keepNext w:val="0"/>
              <w:spacing w:after="60"/>
            </w:pPr>
            <w:r w:rsidRPr="003771DB">
              <w:t xml:space="preserve">Treatment response was estimated based on a </w:t>
            </w:r>
            <w:r w:rsidRPr="003771DB">
              <w:rPr>
                <w:i/>
              </w:rPr>
              <w:t>post hoc</w:t>
            </w:r>
            <w:r w:rsidRPr="003771DB">
              <w:t xml:space="preserve"> analysis o</w:t>
            </w:r>
            <w:r w:rsidR="00E3661A" w:rsidRPr="003771DB">
              <w:t>f</w:t>
            </w:r>
            <w:r w:rsidRPr="003771DB">
              <w:t xml:space="preserve"> the proportion of patients achieving a 10% reduction in bodyweight from baseline to Week 68 in the STEP-1 subgroup population with baseline BMI </w:t>
            </w:r>
            <w:r w:rsidR="00CD379F" w:rsidRPr="003771DB">
              <w:t>≥</w:t>
            </w:r>
            <w:r w:rsidRPr="003771DB">
              <w:t>40 kg/m</w:t>
            </w:r>
            <w:r w:rsidRPr="003771DB">
              <w:rPr>
                <w:vertAlign w:val="superscript"/>
              </w:rPr>
              <w:t>2</w:t>
            </w:r>
            <w:r w:rsidRPr="003771DB">
              <w:t xml:space="preserve"> and </w:t>
            </w:r>
            <w:r w:rsidR="00CD379F" w:rsidRPr="003771DB">
              <w:t>≥</w:t>
            </w:r>
            <w:r w:rsidRPr="003771DB">
              <w:t xml:space="preserve">2 weight-related comorbidities with </w:t>
            </w:r>
            <w:r w:rsidR="00F87D5E" w:rsidRPr="003771DB">
              <w:t xml:space="preserve">confirmed </w:t>
            </w:r>
            <w:r w:rsidRPr="003771DB">
              <w:t>obstructive sleep apnoea, knee osteoarthritis or pre-diabetes (target population)</w:t>
            </w:r>
            <w:r w:rsidR="001C7CB8" w:rsidRPr="003771DB">
              <w:t>.</w:t>
            </w:r>
          </w:p>
          <w:p w14:paraId="5F5A3588" w14:textId="4CE3A30C" w:rsidR="00F46866" w:rsidRPr="003771DB" w:rsidRDefault="00F46866" w:rsidP="00886A85">
            <w:pPr>
              <w:pStyle w:val="TableText"/>
              <w:keepNext w:val="0"/>
              <w:spacing w:after="60"/>
            </w:pPr>
            <w:r w:rsidRPr="003771DB">
              <w:t xml:space="preserve">Treatment status during the first 68 weeks of the model was based on a </w:t>
            </w:r>
            <w:r w:rsidRPr="003771DB">
              <w:rPr>
                <w:i/>
              </w:rPr>
              <w:t>post hoc</w:t>
            </w:r>
            <w:r w:rsidRPr="003771DB">
              <w:t xml:space="preserve"> analysis of the proportion of patients prematurely stopping therapy in the STEP-1 target population</w:t>
            </w:r>
            <w:r w:rsidR="00F87D5E" w:rsidRPr="003771DB">
              <w:t xml:space="preserve"> (18.0% in the semaglutide arm and 24.4% in the placebo arm)</w:t>
            </w:r>
            <w:r w:rsidRPr="003771DB">
              <w:t xml:space="preserve">. At Week 68, modelled patients were assessed for response status; responders </w:t>
            </w:r>
            <w:r w:rsidR="004D470E" w:rsidRPr="003771DB">
              <w:t xml:space="preserve">were </w:t>
            </w:r>
            <w:r w:rsidRPr="003771DB">
              <w:t xml:space="preserve">assumed to remain on therapy, while non-responders discontinued therapy. A low risk of discontinuation beyond 68 weeks in treatment responders </w:t>
            </w:r>
            <w:r w:rsidR="00F87D5E" w:rsidRPr="003771DB">
              <w:t xml:space="preserve">of 5% per year </w:t>
            </w:r>
            <w:r w:rsidRPr="003771DB">
              <w:t xml:space="preserve">was assumed </w:t>
            </w:r>
            <w:r w:rsidR="00B12E57" w:rsidRPr="003771DB">
              <w:t>given</w:t>
            </w:r>
            <w:r w:rsidRPr="003771DB">
              <w:t xml:space="preserve"> these patients had already persisted with treatment for 68 weeks and achieved clinically relevant weight loss.</w:t>
            </w:r>
          </w:p>
          <w:p w14:paraId="6A7CE4EA" w14:textId="5E5111CA" w:rsidR="00F46866" w:rsidRPr="003771DB" w:rsidRDefault="00F46866" w:rsidP="00886A85">
            <w:pPr>
              <w:pStyle w:val="TableText"/>
              <w:keepNext w:val="0"/>
              <w:spacing w:after="60"/>
            </w:pPr>
            <w:r w:rsidRPr="003771DB">
              <w:t xml:space="preserve">Glycaemic status during the first 68 weeks of the model was based on a </w:t>
            </w:r>
            <w:r w:rsidRPr="003771DB">
              <w:rPr>
                <w:i/>
              </w:rPr>
              <w:t>post hoc</w:t>
            </w:r>
            <w:r w:rsidRPr="003771DB">
              <w:t xml:space="preserve"> analysis of the proportion of patients in each glycaemic category (normoglycaemia, pre-diabetes) in the STEP-1 target population. Glycaemic status between </w:t>
            </w:r>
            <w:r w:rsidR="00066558" w:rsidRPr="003771DB">
              <w:t>W</w:t>
            </w:r>
            <w:r w:rsidRPr="003771DB">
              <w:t xml:space="preserve">eek 68 and </w:t>
            </w:r>
            <w:r w:rsidR="00066558" w:rsidRPr="003771DB">
              <w:t>W</w:t>
            </w:r>
            <w:r w:rsidRPr="003771DB">
              <w:t xml:space="preserve">eek 104 was extrapolated based on the assumption that the distribution across glycaemic categories at Week 68 would be maintained over this period regardless of whether patients were persistent or non-persistent to therapy. Glycaemic status beyond </w:t>
            </w:r>
            <w:r w:rsidR="00EB27FE" w:rsidRPr="003771DB">
              <w:t>W</w:t>
            </w:r>
            <w:r w:rsidRPr="003771DB">
              <w:t xml:space="preserve">eek 104 </w:t>
            </w:r>
            <w:r w:rsidR="009404B9" w:rsidRPr="003771DB">
              <w:t xml:space="preserve">was </w:t>
            </w:r>
            <w:r w:rsidRPr="003771DB">
              <w:t xml:space="preserve">extrapolated based on a </w:t>
            </w:r>
            <w:r w:rsidRPr="003771DB">
              <w:rPr>
                <w:i/>
                <w:iCs/>
              </w:rPr>
              <w:t>post hoc</w:t>
            </w:r>
            <w:r w:rsidRPr="003771DB">
              <w:t xml:space="preserve"> analysis of glycaemic status in weight loss responders and non-responders using combined data from both treatment arms.</w:t>
            </w:r>
          </w:p>
          <w:p w14:paraId="06FEC220" w14:textId="1D0AC292" w:rsidR="00F46866" w:rsidRPr="003771DB" w:rsidRDefault="00F46866" w:rsidP="00886A85">
            <w:pPr>
              <w:pStyle w:val="TableText"/>
              <w:keepNext w:val="0"/>
            </w:pPr>
            <w:r w:rsidRPr="003771DB">
              <w:t xml:space="preserve">Serious adverse events during the first 68 weeks were estimated based on a </w:t>
            </w:r>
            <w:r w:rsidRPr="003771DB">
              <w:rPr>
                <w:i/>
              </w:rPr>
              <w:t>post hoc</w:t>
            </w:r>
            <w:r w:rsidRPr="003771DB">
              <w:t xml:space="preserve"> analysis of event rates in the STEP-1 target population</w:t>
            </w:r>
            <w:r w:rsidR="00F87D5E" w:rsidRPr="003771DB">
              <w:t xml:space="preserve"> (1.1% per cycle in the semaglutide arm and 1.0% per cycle in the placebo arm)</w:t>
            </w:r>
            <w:r w:rsidRPr="003771DB">
              <w:t>. It was assumed that no further serious adverse events occurred beyond 68 weeks.</w:t>
            </w:r>
          </w:p>
        </w:tc>
      </w:tr>
      <w:tr w:rsidR="00F46866" w:rsidRPr="003771DB" w14:paraId="676CCC45" w14:textId="77777777" w:rsidTr="008E07B1">
        <w:trPr>
          <w:cantSplit/>
        </w:trPr>
        <w:tc>
          <w:tcPr>
            <w:tcW w:w="936" w:type="pct"/>
            <w:shd w:val="clear" w:color="auto" w:fill="auto"/>
            <w:vAlign w:val="center"/>
          </w:tcPr>
          <w:p w14:paraId="4C8B6C41" w14:textId="160EBB9D" w:rsidR="00F46866" w:rsidRPr="003771DB" w:rsidRDefault="00F46866" w:rsidP="00F46866">
            <w:pPr>
              <w:pStyle w:val="TableText"/>
              <w:keepNext w:val="0"/>
            </w:pPr>
            <w:r w:rsidRPr="003771DB">
              <w:t>Utility values</w:t>
            </w:r>
          </w:p>
        </w:tc>
        <w:tc>
          <w:tcPr>
            <w:tcW w:w="4064" w:type="pct"/>
            <w:shd w:val="clear" w:color="auto" w:fill="auto"/>
            <w:vAlign w:val="center"/>
          </w:tcPr>
          <w:p w14:paraId="4E4027DD" w14:textId="319437BA" w:rsidR="00F46866" w:rsidRPr="003771DB" w:rsidRDefault="00F46866" w:rsidP="009C2604">
            <w:pPr>
              <w:pStyle w:val="COMTabletext"/>
              <w:keepNext w:val="0"/>
              <w:spacing w:after="60"/>
              <w:rPr>
                <w:rFonts w:eastAsia="Calibri"/>
              </w:rPr>
            </w:pPr>
            <w:r w:rsidRPr="003771DB">
              <w:rPr>
                <w:rFonts w:eastAsia="Calibri"/>
              </w:rPr>
              <w:t xml:space="preserve">Utility values were estimated based on SF-36v2 data from a </w:t>
            </w:r>
            <w:r w:rsidRPr="003771DB">
              <w:rPr>
                <w:rFonts w:eastAsia="Calibri"/>
                <w:i/>
              </w:rPr>
              <w:t>post hoc</w:t>
            </w:r>
            <w:r w:rsidRPr="003771DB">
              <w:rPr>
                <w:rFonts w:eastAsia="Calibri"/>
              </w:rPr>
              <w:t xml:space="preserve"> analysis of the STEP-1 subgroup population with baseline BMI </w:t>
            </w:r>
            <w:r w:rsidR="00CD379F" w:rsidRPr="003771DB">
              <w:rPr>
                <w:rFonts w:eastAsia="Calibri"/>
              </w:rPr>
              <w:t>≥</w:t>
            </w:r>
            <w:r w:rsidRPr="003771DB">
              <w:rPr>
                <w:rFonts w:eastAsia="Calibri"/>
              </w:rPr>
              <w:t>40 kg/m</w:t>
            </w:r>
            <w:r w:rsidRPr="003771DB">
              <w:rPr>
                <w:rFonts w:eastAsia="Calibri"/>
                <w:vertAlign w:val="superscript"/>
              </w:rPr>
              <w:t>2</w:t>
            </w:r>
            <w:r w:rsidRPr="003771DB">
              <w:rPr>
                <w:rFonts w:eastAsia="Calibri"/>
              </w:rPr>
              <w:t xml:space="preserve"> and </w:t>
            </w:r>
            <w:r w:rsidR="00352496" w:rsidRPr="003771DB">
              <w:rPr>
                <w:rFonts w:eastAsia="Calibri"/>
              </w:rPr>
              <w:t>≥</w:t>
            </w:r>
            <w:r w:rsidRPr="003771DB">
              <w:rPr>
                <w:rFonts w:eastAsia="Calibri"/>
              </w:rPr>
              <w:t xml:space="preserve">2 weight-related comorbidities with </w:t>
            </w:r>
            <w:r w:rsidR="00F87D5E" w:rsidRPr="003771DB">
              <w:rPr>
                <w:rFonts w:eastAsia="Calibri"/>
              </w:rPr>
              <w:t xml:space="preserve">confirmed </w:t>
            </w:r>
            <w:r w:rsidRPr="003771DB">
              <w:rPr>
                <w:rFonts w:eastAsia="Calibri"/>
              </w:rPr>
              <w:t>obstructive sleep apnoea, knee osteoarthritis or pre-diabetes. SF36v2 scores were transformed to SF-6Dv1 health states using a mapping tool developed by the University of Sheffield (no relevant reference provided) and using Australian utility weights (Norman 2014).</w:t>
            </w:r>
          </w:p>
          <w:p w14:paraId="328AC223" w14:textId="79D2C274" w:rsidR="00F46866" w:rsidRPr="003771DB" w:rsidRDefault="00F46866" w:rsidP="009C2604">
            <w:pPr>
              <w:pStyle w:val="COMTabletext"/>
              <w:keepNext w:val="0"/>
              <w:spacing w:after="60"/>
            </w:pPr>
            <w:r w:rsidRPr="003771DB">
              <w:t>Values between Week 68 and Week 104 were extrapolated based on the assumption that utility values at Week 68 would be maintained over this period regardless of whether patients were persistent or non-persistent to therapy.</w:t>
            </w:r>
          </w:p>
          <w:p w14:paraId="1BC4C957" w14:textId="7B776587" w:rsidR="00F46866" w:rsidRPr="003771DB" w:rsidRDefault="00F46866" w:rsidP="00F46866">
            <w:pPr>
              <w:pStyle w:val="TableText"/>
              <w:keepNext w:val="0"/>
            </w:pPr>
            <w:r w:rsidRPr="003771DB">
              <w:t xml:space="preserve">Utility values beyond Week 104 were extrapolated based on a </w:t>
            </w:r>
            <w:r w:rsidRPr="003771DB">
              <w:rPr>
                <w:i/>
                <w:iCs/>
              </w:rPr>
              <w:t>post hoc</w:t>
            </w:r>
            <w:r w:rsidRPr="003771DB">
              <w:t xml:space="preserve"> analysis of Week 68 utility values in weight loss responders and non-responders using combined data from both treatment arms of the STEP-1 target subgroup.</w:t>
            </w:r>
          </w:p>
        </w:tc>
      </w:tr>
      <w:tr w:rsidR="00F46866" w:rsidRPr="003771DB" w14:paraId="312C99B9" w14:textId="77777777" w:rsidTr="008E07B1">
        <w:trPr>
          <w:cantSplit/>
        </w:trPr>
        <w:tc>
          <w:tcPr>
            <w:tcW w:w="936" w:type="pct"/>
            <w:shd w:val="clear" w:color="auto" w:fill="auto"/>
            <w:vAlign w:val="center"/>
          </w:tcPr>
          <w:p w14:paraId="06C70997" w14:textId="2E7ED757" w:rsidR="00F46866" w:rsidRPr="003771DB" w:rsidRDefault="00F46866" w:rsidP="00F46866">
            <w:pPr>
              <w:pStyle w:val="TableText"/>
              <w:keepNext w:val="0"/>
            </w:pPr>
            <w:r w:rsidRPr="003771DB">
              <w:t>Costs</w:t>
            </w:r>
          </w:p>
        </w:tc>
        <w:tc>
          <w:tcPr>
            <w:tcW w:w="4064" w:type="pct"/>
            <w:shd w:val="clear" w:color="auto" w:fill="auto"/>
            <w:vAlign w:val="center"/>
          </w:tcPr>
          <w:p w14:paraId="531802A4" w14:textId="176F669B" w:rsidR="00F46866" w:rsidRPr="003771DB" w:rsidRDefault="00F46866" w:rsidP="009C2604">
            <w:pPr>
              <w:pStyle w:val="COMTabletext"/>
              <w:keepNext w:val="0"/>
              <w:spacing w:after="60"/>
            </w:pPr>
            <w:r w:rsidRPr="003771DB">
              <w:t xml:space="preserve">Drug costs were estimated based on the proposed effective price of semaglutide. It was assumed that administration of semaglutide would also require additional GP visits for dose titration with costs based on </w:t>
            </w:r>
            <w:r w:rsidR="00AB6781" w:rsidRPr="003771DB">
              <w:t xml:space="preserve">the </w:t>
            </w:r>
            <w:r w:rsidR="00424DDD" w:rsidRPr="003771DB">
              <w:t>MBS</w:t>
            </w:r>
            <w:r w:rsidRPr="003771DB">
              <w:t xml:space="preserve"> fee.</w:t>
            </w:r>
          </w:p>
          <w:p w14:paraId="7AFAA841" w14:textId="22C3280A" w:rsidR="00F46866" w:rsidRPr="003771DB" w:rsidRDefault="00F46866" w:rsidP="009C2604">
            <w:pPr>
              <w:pStyle w:val="COMTabletext"/>
              <w:keepNext w:val="0"/>
              <w:spacing w:after="60"/>
            </w:pPr>
            <w:r w:rsidRPr="003771DB">
              <w:t>The costs associated with adjunctive weight management (i.e. team care arrangements, GP visits and allied health visits) were based o</w:t>
            </w:r>
            <w:r w:rsidR="00215072" w:rsidRPr="003771DB">
              <w:t>n</w:t>
            </w:r>
            <w:r w:rsidRPr="003771DB">
              <w:t xml:space="preserve"> </w:t>
            </w:r>
            <w:r w:rsidR="00424DDD" w:rsidRPr="003771DB">
              <w:t>MBS</w:t>
            </w:r>
            <w:r w:rsidR="00215072" w:rsidRPr="003771DB">
              <w:t xml:space="preserve"> </w:t>
            </w:r>
            <w:r w:rsidRPr="003771DB">
              <w:t xml:space="preserve">fees. </w:t>
            </w:r>
          </w:p>
          <w:p w14:paraId="48BA046F" w14:textId="72A60AAF" w:rsidR="00F46866" w:rsidRPr="003771DB" w:rsidRDefault="00F46866" w:rsidP="009C2604">
            <w:pPr>
              <w:pStyle w:val="COMTabletext"/>
              <w:keepNext w:val="0"/>
              <w:spacing w:after="60"/>
            </w:pPr>
            <w:r w:rsidRPr="003771DB">
              <w:t xml:space="preserve">The cost of serious adverse events </w:t>
            </w:r>
            <w:r w:rsidR="00F87D5E" w:rsidRPr="003771DB">
              <w:t xml:space="preserve">($2,226 per event) </w:t>
            </w:r>
            <w:r w:rsidRPr="003771DB">
              <w:t xml:space="preserve">was based on AR-DRG cost weights. </w:t>
            </w:r>
          </w:p>
          <w:p w14:paraId="1CC79F07" w14:textId="5277D9C5" w:rsidR="00F46866" w:rsidRPr="003771DB" w:rsidRDefault="00F46866" w:rsidP="00F46866">
            <w:pPr>
              <w:pStyle w:val="TableText"/>
              <w:keepNext w:val="0"/>
            </w:pPr>
            <w:r w:rsidRPr="003771DB">
              <w:t xml:space="preserve">The cost of pre-diabetes </w:t>
            </w:r>
            <w:r w:rsidR="00F87D5E" w:rsidRPr="003771DB">
              <w:t xml:space="preserve">($41.78 per cycle) </w:t>
            </w:r>
            <w:r w:rsidRPr="003771DB">
              <w:t>was based on a costing study using data from the 2004-2005 Australian Diabetes, Obesity and Lifestyle study (Lee 2013).</w:t>
            </w:r>
          </w:p>
        </w:tc>
      </w:tr>
      <w:tr w:rsidR="00F46866" w:rsidRPr="003771DB" w14:paraId="769D50CF" w14:textId="77777777" w:rsidTr="008E07B1">
        <w:trPr>
          <w:cantSplit/>
        </w:trPr>
        <w:tc>
          <w:tcPr>
            <w:tcW w:w="936" w:type="pct"/>
            <w:shd w:val="clear" w:color="auto" w:fill="auto"/>
            <w:vAlign w:val="center"/>
          </w:tcPr>
          <w:p w14:paraId="5AF36734" w14:textId="77777777" w:rsidR="00F46866" w:rsidRPr="003771DB" w:rsidRDefault="00F46866" w:rsidP="00F46866">
            <w:pPr>
              <w:pStyle w:val="TableText"/>
              <w:keepNext w:val="0"/>
            </w:pPr>
            <w:r w:rsidRPr="003771DB">
              <w:t>Discount rate</w:t>
            </w:r>
          </w:p>
        </w:tc>
        <w:tc>
          <w:tcPr>
            <w:tcW w:w="4064" w:type="pct"/>
            <w:shd w:val="clear" w:color="auto" w:fill="auto"/>
            <w:vAlign w:val="center"/>
          </w:tcPr>
          <w:p w14:paraId="46CB0C22" w14:textId="77777777" w:rsidR="00F46866" w:rsidRPr="003771DB" w:rsidRDefault="00F46866" w:rsidP="00F46866">
            <w:pPr>
              <w:pStyle w:val="TableText"/>
              <w:keepNext w:val="0"/>
            </w:pPr>
            <w:r w:rsidRPr="003771DB">
              <w:t>5% for costs and outcomes</w:t>
            </w:r>
          </w:p>
        </w:tc>
      </w:tr>
      <w:tr w:rsidR="00F46866" w:rsidRPr="003771DB" w14:paraId="3E2AE186" w14:textId="77777777" w:rsidTr="008E07B1">
        <w:trPr>
          <w:cantSplit/>
        </w:trPr>
        <w:tc>
          <w:tcPr>
            <w:tcW w:w="936" w:type="pct"/>
            <w:shd w:val="clear" w:color="auto" w:fill="auto"/>
            <w:vAlign w:val="center"/>
          </w:tcPr>
          <w:p w14:paraId="0C321AF3" w14:textId="77777777" w:rsidR="00F46866" w:rsidRPr="003771DB" w:rsidRDefault="00F46866" w:rsidP="00F46866">
            <w:pPr>
              <w:pStyle w:val="TableText"/>
              <w:keepNext w:val="0"/>
              <w:rPr>
                <w:rFonts w:ascii="Times" w:eastAsia="Times New Roman" w:hAnsi="Times" w:cs="Times New Roman"/>
                <w:szCs w:val="20"/>
              </w:rPr>
            </w:pPr>
            <w:r w:rsidRPr="003771DB">
              <w:t>Software package</w:t>
            </w:r>
          </w:p>
        </w:tc>
        <w:tc>
          <w:tcPr>
            <w:tcW w:w="4064" w:type="pct"/>
            <w:shd w:val="clear" w:color="auto" w:fill="auto"/>
            <w:vAlign w:val="center"/>
          </w:tcPr>
          <w:p w14:paraId="79409897" w14:textId="77777777" w:rsidR="00F46866" w:rsidRPr="003771DB" w:rsidRDefault="00F46866" w:rsidP="00F46866">
            <w:pPr>
              <w:pStyle w:val="TableText"/>
              <w:keepNext w:val="0"/>
            </w:pPr>
            <w:r w:rsidRPr="003771DB">
              <w:t>Microsoft Excel</w:t>
            </w:r>
          </w:p>
        </w:tc>
      </w:tr>
    </w:tbl>
    <w:p w14:paraId="0E1AB783" w14:textId="568E847B" w:rsidR="00F46866" w:rsidRPr="003771DB" w:rsidRDefault="00F46866" w:rsidP="00F46866">
      <w:pPr>
        <w:pStyle w:val="COMTablefooter"/>
      </w:pPr>
      <w:r w:rsidRPr="003771DB">
        <w:t xml:space="preserve">Source: Table 3.1-1, pp225-226 of the </w:t>
      </w:r>
      <w:r w:rsidR="00847682" w:rsidRPr="003771DB">
        <w:t>re</w:t>
      </w:r>
      <w:r w:rsidRPr="003771DB">
        <w:t>submission</w:t>
      </w:r>
    </w:p>
    <w:p w14:paraId="2F3C9F09" w14:textId="40D4CD6B" w:rsidR="00F46866" w:rsidRPr="003771DB" w:rsidRDefault="00F46866" w:rsidP="00F46866">
      <w:pPr>
        <w:pStyle w:val="COMTablefooter"/>
      </w:pPr>
      <w:r w:rsidRPr="003771DB">
        <w:t xml:space="preserve">Abbreviations: </w:t>
      </w:r>
      <w:r w:rsidR="00B64B80" w:rsidRPr="003771DB">
        <w:t xml:space="preserve">AR-DRG, Australian Refined Diagnosis Related Groups; </w:t>
      </w:r>
      <w:r w:rsidRPr="003771DB">
        <w:t>BMI, body mass index</w:t>
      </w:r>
      <w:r w:rsidR="008B4321" w:rsidRPr="003771DB">
        <w:t xml:space="preserve">; </w:t>
      </w:r>
      <w:r w:rsidR="009A0FA0" w:rsidRPr="003771DB">
        <w:t xml:space="preserve">GP, general practitioner; </w:t>
      </w:r>
      <w:r w:rsidR="008B4321" w:rsidRPr="003771DB">
        <w:t>MBS, Medicare Benefits Schedule.</w:t>
      </w:r>
    </w:p>
    <w:p w14:paraId="35EA20BE" w14:textId="25A5EA2C" w:rsidR="00765851" w:rsidRPr="003771DB" w:rsidRDefault="00765851" w:rsidP="004E2228">
      <w:pPr>
        <w:pStyle w:val="COMexecsumnumberedpara"/>
      </w:pPr>
      <w:r w:rsidRPr="003771DB">
        <w:t xml:space="preserve">The economic model was based on </w:t>
      </w:r>
      <w:r w:rsidR="00FE30A0" w:rsidRPr="003771DB">
        <w:t>3</w:t>
      </w:r>
      <w:r w:rsidRPr="003771DB">
        <w:t xml:space="preserve"> distinct phases (trial period, first extrapolation period, second extrapolation period).</w:t>
      </w:r>
    </w:p>
    <w:p w14:paraId="294B9FE8" w14:textId="0FE3D48B" w:rsidR="00765851" w:rsidRPr="003771DB" w:rsidRDefault="00765851" w:rsidP="004E2228">
      <w:pPr>
        <w:pStyle w:val="COMexecsumnumberedpara"/>
      </w:pPr>
      <w:r w:rsidRPr="003771DB">
        <w:lastRenderedPageBreak/>
        <w:t xml:space="preserve">Patients begin the model in the trial period (first 16 cycles, up to Week 68) with baseline characteristics (age, gender, glycaemic status) based on the STEP-1 subgroup population with baseline BMI </w:t>
      </w:r>
      <w:r w:rsidR="007E12BB" w:rsidRPr="003771DB">
        <w:t>≥</w:t>
      </w:r>
      <w:r w:rsidR="00876C1C">
        <w:t> </w:t>
      </w:r>
      <w:r w:rsidRPr="003771DB">
        <w:t>40</w:t>
      </w:r>
      <w:r w:rsidR="00876C1C">
        <w:t> </w:t>
      </w:r>
      <w:r w:rsidRPr="003771DB">
        <w:t>kg/m</w:t>
      </w:r>
      <w:r w:rsidRPr="003771DB">
        <w:rPr>
          <w:vertAlign w:val="superscript"/>
        </w:rPr>
        <w:t>2</w:t>
      </w:r>
      <w:r w:rsidRPr="003771DB">
        <w:t xml:space="preserve"> and </w:t>
      </w:r>
      <w:r w:rsidR="007E12BB" w:rsidRPr="003771DB">
        <w:t>≥</w:t>
      </w:r>
      <w:r w:rsidR="00876C1C">
        <w:t> </w:t>
      </w:r>
      <w:r w:rsidRPr="003771DB">
        <w:t xml:space="preserve">2 weight-related comorbidities with </w:t>
      </w:r>
      <w:r w:rsidR="00F87D5E" w:rsidRPr="003771DB">
        <w:t xml:space="preserve">a confirmed diagnosis of </w:t>
      </w:r>
      <w:r w:rsidRPr="003771DB">
        <w:t xml:space="preserve">obstructive sleep apnoea, knee osteoarthritis or pre-diabetes. During this period patients could remain alive or die due to general mortality. </w:t>
      </w:r>
      <w:r w:rsidR="005A4A5E" w:rsidRPr="003771DB">
        <w:t>D</w:t>
      </w:r>
      <w:r w:rsidRPr="003771DB">
        <w:t>uring this period</w:t>
      </w:r>
      <w:r w:rsidR="004D470E" w:rsidRPr="003771DB">
        <w:t>,</w:t>
      </w:r>
      <w:r w:rsidRPr="003771DB">
        <w:t xml:space="preserve"> the model </w:t>
      </w:r>
      <w:r w:rsidR="005A4A5E" w:rsidRPr="003771DB">
        <w:t xml:space="preserve">also </w:t>
      </w:r>
      <w:r w:rsidRPr="003771DB">
        <w:t xml:space="preserve">captures changes in treatment status and glycaemic status, the incidence of serious adverse events and treatment arm utility values based on </w:t>
      </w:r>
      <w:r w:rsidRPr="003771DB">
        <w:rPr>
          <w:i/>
          <w:iCs/>
        </w:rPr>
        <w:t>post hoc</w:t>
      </w:r>
      <w:r w:rsidRPr="003771DB">
        <w:t xml:space="preserve"> analyses of the target subgroup population.</w:t>
      </w:r>
    </w:p>
    <w:p w14:paraId="6E2D3896" w14:textId="2B34293A" w:rsidR="00765851" w:rsidRPr="003771DB" w:rsidRDefault="00765851" w:rsidP="004E2228">
      <w:pPr>
        <w:pStyle w:val="COMexecsumnumberedpara"/>
      </w:pPr>
      <w:r w:rsidRPr="003771DB">
        <w:t>Patients begin the first extrapolation period (cycles 17-26, up to the end of Year 2) based on their classification as a weight loss responder (</w:t>
      </w:r>
      <w:r w:rsidR="007F7B51" w:rsidRPr="003771DB">
        <w:t>≥</w:t>
      </w:r>
      <w:r w:rsidR="00876C1C">
        <w:t> </w:t>
      </w:r>
      <w:r w:rsidRPr="003771DB">
        <w:t>10</w:t>
      </w:r>
      <w:r w:rsidR="007F7B51" w:rsidRPr="003771DB">
        <w:t>%</w:t>
      </w:r>
      <w:r w:rsidRPr="003771DB">
        <w:t xml:space="preserve"> weight loss) or non</w:t>
      </w:r>
      <w:r w:rsidR="00E82E02" w:rsidRPr="003771DB">
        <w:noBreakHyphen/>
      </w:r>
      <w:r w:rsidR="00E82E02" w:rsidRPr="003771DB">
        <w:noBreakHyphen/>
      </w:r>
      <w:r w:rsidRPr="003771DB">
        <w:t>responder (&lt;</w:t>
      </w:r>
      <w:r w:rsidR="00876C1C">
        <w:t> </w:t>
      </w:r>
      <w:r w:rsidRPr="003771DB">
        <w:t>10% weight loss) at Week 68. During this period, treatment responders could remain on therapy, discontinue therapy (and become non-responders)</w:t>
      </w:r>
      <w:r w:rsidR="009B5189" w:rsidRPr="003771DB">
        <w:t>,</w:t>
      </w:r>
      <w:r w:rsidRPr="003771DB">
        <w:t xml:space="preserve"> or die due to general mortality. All non-responders were assumed to discontinue therapy and could remain alive or die due to general mortality. During this period, the model assumed that glycaemic status and treatment utility values observed at Week 68 would be maintained to Week 104 regardless of treatment status.</w:t>
      </w:r>
      <w:r w:rsidR="00CD260F" w:rsidRPr="003771DB">
        <w:t xml:space="preserve"> </w:t>
      </w:r>
      <w:r w:rsidR="00CD260F" w:rsidRPr="003771DB">
        <w:rPr>
          <w:iCs/>
        </w:rPr>
        <w:t xml:space="preserve">The ESC considered this approach </w:t>
      </w:r>
      <w:r w:rsidR="00BE62A8" w:rsidRPr="003771DB">
        <w:rPr>
          <w:iCs/>
        </w:rPr>
        <w:t xml:space="preserve">was </w:t>
      </w:r>
      <w:r w:rsidR="00CD260F" w:rsidRPr="003771DB">
        <w:rPr>
          <w:iCs/>
        </w:rPr>
        <w:t>poorly justifie</w:t>
      </w:r>
      <w:r w:rsidR="00763ABF" w:rsidRPr="003771DB">
        <w:rPr>
          <w:iCs/>
        </w:rPr>
        <w:t>d</w:t>
      </w:r>
      <w:r w:rsidR="00CD260F" w:rsidRPr="003771DB">
        <w:rPr>
          <w:iCs/>
        </w:rPr>
        <w:t xml:space="preserve"> and </w:t>
      </w:r>
      <w:r w:rsidR="00BE62A8" w:rsidRPr="003771DB">
        <w:rPr>
          <w:iCs/>
        </w:rPr>
        <w:t>highly</w:t>
      </w:r>
      <w:r w:rsidR="00763ABF" w:rsidRPr="003771DB">
        <w:rPr>
          <w:iCs/>
        </w:rPr>
        <w:t xml:space="preserve"> uncertain, unreasonably favouring se</w:t>
      </w:r>
      <w:r w:rsidR="00BE62A8" w:rsidRPr="003771DB">
        <w:rPr>
          <w:iCs/>
        </w:rPr>
        <w:t>m</w:t>
      </w:r>
      <w:r w:rsidR="00763ABF" w:rsidRPr="003771DB">
        <w:rPr>
          <w:iCs/>
        </w:rPr>
        <w:t>aglutide.</w:t>
      </w:r>
      <w:r w:rsidRPr="003771DB">
        <w:t xml:space="preserve"> The model </w:t>
      </w:r>
      <w:r w:rsidR="00BE62A8" w:rsidRPr="003771DB">
        <w:t xml:space="preserve">also </w:t>
      </w:r>
      <w:r w:rsidRPr="003771DB">
        <w:t>assumed that patients no longer experience serious adverse events during this period.</w:t>
      </w:r>
    </w:p>
    <w:p w14:paraId="662B11FB" w14:textId="732BB8BE" w:rsidR="00765851" w:rsidRPr="003771DB" w:rsidRDefault="00765851" w:rsidP="004E2228">
      <w:pPr>
        <w:pStyle w:val="COMexecsumnumberedpara"/>
      </w:pPr>
      <w:r w:rsidRPr="003771DB">
        <w:t>During the second extrapolation phase (cycles 27-65, Years 3-5), treatment responders could remain on therapy, discontinue therapy</w:t>
      </w:r>
      <w:r w:rsidR="00F87D5E" w:rsidRPr="003771DB">
        <w:t xml:space="preserve"> at a rate of 5% per year</w:t>
      </w:r>
      <w:r w:rsidRPr="003771DB">
        <w:t xml:space="preserve"> (and become non-responders)</w:t>
      </w:r>
      <w:r w:rsidR="00FE0802" w:rsidRPr="003771DB">
        <w:t>,</w:t>
      </w:r>
      <w:r w:rsidRPr="003771DB">
        <w:t xml:space="preserve"> or die due to general mortality. Non-responders could remain alive or die due to general mortality. During this period, changes in glycaemic status and utility values were based on responder status rather than treatment arm estimates (which were used to inform the first </w:t>
      </w:r>
      <w:r w:rsidR="00E51B11" w:rsidRPr="003771DB">
        <w:t>2</w:t>
      </w:r>
      <w:r w:rsidRPr="003771DB">
        <w:t xml:space="preserve"> phases). The model assumed that patients no longer experience serious adverse events during this period.</w:t>
      </w:r>
    </w:p>
    <w:p w14:paraId="0B31C46B" w14:textId="385F7D4E" w:rsidR="00765851" w:rsidRPr="003771DB" w:rsidRDefault="00765851" w:rsidP="004E2228">
      <w:pPr>
        <w:pStyle w:val="COMexecsumnumberedpara"/>
      </w:pPr>
      <w:r w:rsidRPr="003771DB">
        <w:t>Patients who discontinue therapy in the economic model were not allowed to re</w:t>
      </w:r>
      <w:r w:rsidR="00E82E02" w:rsidRPr="003771DB">
        <w:noBreakHyphen/>
      </w:r>
      <w:r w:rsidRPr="003771DB">
        <w:t xml:space="preserve">initiate therapy. Therefore, the model does not provide </w:t>
      </w:r>
      <w:r w:rsidR="00D5187C" w:rsidRPr="003771DB">
        <w:t>an</w:t>
      </w:r>
      <w:r w:rsidRPr="003771DB">
        <w:t xml:space="preserve"> estimate of the cost-effectiveness associated with multiple cycles of treatment.</w:t>
      </w:r>
      <w:r w:rsidR="00763ABF" w:rsidRPr="003771DB">
        <w:t xml:space="preserve"> </w:t>
      </w:r>
      <w:r w:rsidR="00763ABF" w:rsidRPr="003771DB">
        <w:rPr>
          <w:iCs/>
        </w:rPr>
        <w:t>The ESC considered this not reflective of likely clinical practice.</w:t>
      </w:r>
    </w:p>
    <w:p w14:paraId="37956C05" w14:textId="49F7A7B2" w:rsidR="00A00EF0" w:rsidRPr="003771DB" w:rsidRDefault="00A00EF0" w:rsidP="000D5641">
      <w:pPr>
        <w:pStyle w:val="COMexecsumnumberedpara"/>
      </w:pPr>
      <w:r w:rsidRPr="003771DB">
        <w:t xml:space="preserve">The estimated treatment and responder </w:t>
      </w:r>
      <w:r w:rsidR="00F1048E" w:rsidRPr="003771DB">
        <w:t>utility</w:t>
      </w:r>
      <w:r w:rsidRPr="003771DB">
        <w:t xml:space="preserve"> values are summarised in </w:t>
      </w:r>
      <w:r w:rsidR="00B4298C" w:rsidRPr="003771DB">
        <w:fldChar w:fldCharType="begin" w:fldLock="1"/>
      </w:r>
      <w:r w:rsidR="00B4298C" w:rsidRPr="003771DB">
        <w:instrText xml:space="preserve"> REF _Ref144895743 \h </w:instrText>
      </w:r>
      <w:r w:rsidR="00B4298C" w:rsidRPr="003771DB">
        <w:fldChar w:fldCharType="separate"/>
      </w:r>
      <w:r w:rsidR="00D44FF6" w:rsidRPr="003771DB">
        <w:t xml:space="preserve">Table </w:t>
      </w:r>
      <w:r w:rsidR="00D44FF6" w:rsidRPr="00F7478B">
        <w:t>12</w:t>
      </w:r>
      <w:r w:rsidR="00B4298C" w:rsidRPr="003771DB">
        <w:fldChar w:fldCharType="end"/>
      </w:r>
      <w:r w:rsidR="00B4298C" w:rsidRPr="003771DB">
        <w:t>.</w:t>
      </w:r>
    </w:p>
    <w:p w14:paraId="782D05F1" w14:textId="5F9DBDEE" w:rsidR="00A00EF0" w:rsidRPr="003771DB" w:rsidRDefault="00B4298C" w:rsidP="00886A85">
      <w:pPr>
        <w:pStyle w:val="Caption"/>
        <w:keepLines/>
      </w:pPr>
      <w:bookmarkStart w:id="44" w:name="_Ref144895743"/>
      <w:r w:rsidRPr="003771DB">
        <w:lastRenderedPageBreak/>
        <w:t xml:space="preserve">Table </w:t>
      </w:r>
      <w:fldSimple w:instr=" SEQ Table \* ARABIC " w:fldLock="1">
        <w:r w:rsidR="00AD487C" w:rsidRPr="00F7478B">
          <w:t>12</w:t>
        </w:r>
      </w:fldSimple>
      <w:bookmarkEnd w:id="44"/>
      <w:r w:rsidR="00A00EF0" w:rsidRPr="003771DB">
        <w:t xml:space="preserve">: </w:t>
      </w:r>
      <w:r w:rsidR="0083543E" w:rsidRPr="003771DB">
        <w:t>U</w:t>
      </w:r>
      <w:r w:rsidR="00A00EF0" w:rsidRPr="003771DB">
        <w:t>tility values used in the economic model</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Utility values used in the economic model"/>
        <w:tblDescription w:val="Table 12: Utility values used in the economic model"/>
      </w:tblPr>
      <w:tblGrid>
        <w:gridCol w:w="2661"/>
        <w:gridCol w:w="1257"/>
        <w:gridCol w:w="1259"/>
        <w:gridCol w:w="3829"/>
      </w:tblGrid>
      <w:tr w:rsidR="00470819" w:rsidRPr="003771DB" w14:paraId="44BD49EC" w14:textId="77777777" w:rsidTr="00470819">
        <w:trPr>
          <w:trHeight w:val="40"/>
        </w:trPr>
        <w:tc>
          <w:tcPr>
            <w:tcW w:w="1477" w:type="pct"/>
            <w:vAlign w:val="center"/>
          </w:tcPr>
          <w:p w14:paraId="7249D726" w14:textId="77777777" w:rsidR="00A00EF0" w:rsidRPr="003771DB" w:rsidRDefault="00A00EF0" w:rsidP="00886A85">
            <w:pPr>
              <w:pStyle w:val="TableText"/>
              <w:keepLines/>
              <w:rPr>
                <w:b/>
              </w:rPr>
            </w:pPr>
            <w:r w:rsidRPr="003771DB">
              <w:rPr>
                <w:b/>
              </w:rPr>
              <w:t>Variable</w:t>
            </w:r>
          </w:p>
        </w:tc>
        <w:tc>
          <w:tcPr>
            <w:tcW w:w="698" w:type="pct"/>
            <w:vAlign w:val="center"/>
          </w:tcPr>
          <w:p w14:paraId="15CFBC87" w14:textId="77777777" w:rsidR="00A00EF0" w:rsidRPr="003771DB" w:rsidRDefault="00A00EF0" w:rsidP="00886A85">
            <w:pPr>
              <w:pStyle w:val="TableText"/>
              <w:keepLines/>
              <w:jc w:val="center"/>
              <w:rPr>
                <w:b/>
              </w:rPr>
            </w:pPr>
            <w:r w:rsidRPr="003771DB">
              <w:rPr>
                <w:b/>
              </w:rPr>
              <w:t>Semaglutide</w:t>
            </w:r>
          </w:p>
        </w:tc>
        <w:tc>
          <w:tcPr>
            <w:tcW w:w="699" w:type="pct"/>
            <w:vAlign w:val="center"/>
          </w:tcPr>
          <w:p w14:paraId="5D8033EC" w14:textId="77777777" w:rsidR="00A00EF0" w:rsidRPr="003771DB" w:rsidRDefault="00A00EF0" w:rsidP="00886A85">
            <w:pPr>
              <w:pStyle w:val="TableText"/>
              <w:keepLines/>
              <w:jc w:val="center"/>
              <w:rPr>
                <w:b/>
              </w:rPr>
            </w:pPr>
            <w:r w:rsidRPr="003771DB">
              <w:rPr>
                <w:b/>
              </w:rPr>
              <w:t>Placebo</w:t>
            </w:r>
          </w:p>
        </w:tc>
        <w:tc>
          <w:tcPr>
            <w:tcW w:w="2126" w:type="pct"/>
            <w:vAlign w:val="center"/>
          </w:tcPr>
          <w:p w14:paraId="1A54DD5F" w14:textId="77777777" w:rsidR="00A00EF0" w:rsidRPr="003771DB" w:rsidRDefault="00A00EF0" w:rsidP="00886A85">
            <w:pPr>
              <w:pStyle w:val="TableText"/>
              <w:keepLines/>
              <w:jc w:val="center"/>
              <w:rPr>
                <w:b/>
              </w:rPr>
            </w:pPr>
            <w:r w:rsidRPr="003771DB">
              <w:rPr>
                <w:b/>
              </w:rPr>
              <w:t>Source</w:t>
            </w:r>
          </w:p>
        </w:tc>
      </w:tr>
      <w:tr w:rsidR="0083543E" w:rsidRPr="003771DB" w14:paraId="59A09415" w14:textId="77777777" w:rsidTr="00470819">
        <w:trPr>
          <w:trHeight w:val="253"/>
        </w:trPr>
        <w:tc>
          <w:tcPr>
            <w:tcW w:w="1477" w:type="pct"/>
            <w:vAlign w:val="center"/>
          </w:tcPr>
          <w:p w14:paraId="2CC9B65B" w14:textId="77777777" w:rsidR="0083543E" w:rsidRPr="003771DB" w:rsidRDefault="0083543E" w:rsidP="00886A85">
            <w:pPr>
              <w:pStyle w:val="TableText"/>
              <w:keepLines/>
            </w:pPr>
            <w:r w:rsidRPr="003771DB">
              <w:t>Baseline</w:t>
            </w:r>
          </w:p>
        </w:tc>
        <w:tc>
          <w:tcPr>
            <w:tcW w:w="1397" w:type="pct"/>
            <w:gridSpan w:val="2"/>
            <w:vAlign w:val="center"/>
          </w:tcPr>
          <w:p w14:paraId="404ACE5E" w14:textId="707F3AC0" w:rsidR="0083543E" w:rsidRPr="003771DB" w:rsidRDefault="0083543E" w:rsidP="00886A85">
            <w:pPr>
              <w:pStyle w:val="TableText"/>
              <w:keepLines/>
              <w:jc w:val="center"/>
              <w:rPr>
                <w:iCs/>
              </w:rPr>
            </w:pPr>
            <w:r w:rsidRPr="003771DB">
              <w:rPr>
                <w:iCs/>
              </w:rPr>
              <w:t>0.6506</w:t>
            </w:r>
          </w:p>
        </w:tc>
        <w:tc>
          <w:tcPr>
            <w:tcW w:w="2126" w:type="pct"/>
            <w:vAlign w:val="center"/>
          </w:tcPr>
          <w:p w14:paraId="10DBC1A5" w14:textId="3ACAFA87" w:rsidR="0083543E" w:rsidRPr="003771DB" w:rsidRDefault="0083543E" w:rsidP="00886A85">
            <w:pPr>
              <w:pStyle w:val="TableText"/>
              <w:keepLines/>
              <w:rPr>
                <w:i/>
                <w:iCs/>
              </w:rPr>
            </w:pPr>
            <w:r w:rsidRPr="003771DB">
              <w:rPr>
                <w:iCs/>
              </w:rPr>
              <w:t>STEP-1 trial. Based on SF</w:t>
            </w:r>
            <w:r w:rsidR="00E82E02" w:rsidRPr="003771DB">
              <w:rPr>
                <w:iCs/>
              </w:rPr>
              <w:t>-</w:t>
            </w:r>
            <w:r w:rsidRPr="003771DB">
              <w:rPr>
                <w:iCs/>
              </w:rPr>
              <w:t xml:space="preserve">6Dv1 baseline values from the combined treatment arms for the subgroup population with baseline BMI </w:t>
            </w:r>
            <w:r w:rsidR="00470819" w:rsidRPr="003771DB">
              <w:rPr>
                <w:iCs/>
              </w:rPr>
              <w:t>≥</w:t>
            </w:r>
            <w:r w:rsidRPr="003771DB">
              <w:rPr>
                <w:iCs/>
              </w:rPr>
              <w:t>40 kg/m</w:t>
            </w:r>
            <w:r w:rsidRPr="003771DB">
              <w:rPr>
                <w:iCs/>
                <w:vertAlign w:val="superscript"/>
              </w:rPr>
              <w:t>2</w:t>
            </w:r>
            <w:r w:rsidRPr="003771DB">
              <w:rPr>
                <w:iCs/>
              </w:rPr>
              <w:t xml:space="preserve"> and </w:t>
            </w:r>
            <w:r w:rsidR="00470819" w:rsidRPr="003771DB">
              <w:rPr>
                <w:iCs/>
              </w:rPr>
              <w:t>≥</w:t>
            </w:r>
            <w:r w:rsidRPr="003771DB">
              <w:rPr>
                <w:iCs/>
              </w:rPr>
              <w:t>2 weight-related comorbidities with obstructive sleep apnoea, knee osteoarthritis or pre-diabetes</w:t>
            </w:r>
          </w:p>
        </w:tc>
      </w:tr>
      <w:tr w:rsidR="00470819" w:rsidRPr="003771DB" w14:paraId="7A0C4C29" w14:textId="77777777" w:rsidTr="00470819">
        <w:trPr>
          <w:trHeight w:val="254"/>
        </w:trPr>
        <w:tc>
          <w:tcPr>
            <w:tcW w:w="1477" w:type="pct"/>
            <w:vAlign w:val="center"/>
          </w:tcPr>
          <w:p w14:paraId="005DCBDD" w14:textId="77777777" w:rsidR="00A00EF0" w:rsidRPr="003771DB" w:rsidRDefault="00A00EF0" w:rsidP="00886A85">
            <w:pPr>
              <w:pStyle w:val="TableText"/>
              <w:keepLines/>
            </w:pPr>
            <w:r w:rsidRPr="003771DB">
              <w:t>Change from baseline to Week 8</w:t>
            </w:r>
          </w:p>
        </w:tc>
        <w:tc>
          <w:tcPr>
            <w:tcW w:w="698" w:type="pct"/>
            <w:vAlign w:val="center"/>
          </w:tcPr>
          <w:p w14:paraId="296295C8" w14:textId="77777777" w:rsidR="00A00EF0" w:rsidRPr="003771DB" w:rsidRDefault="00A00EF0" w:rsidP="00886A85">
            <w:pPr>
              <w:pStyle w:val="TableText"/>
              <w:keepLines/>
              <w:jc w:val="center"/>
              <w:rPr>
                <w:iCs/>
              </w:rPr>
            </w:pPr>
            <w:r w:rsidRPr="003771DB">
              <w:rPr>
                <w:iCs/>
              </w:rPr>
              <w:t>-0.0055</w:t>
            </w:r>
          </w:p>
        </w:tc>
        <w:tc>
          <w:tcPr>
            <w:tcW w:w="699" w:type="pct"/>
            <w:vAlign w:val="center"/>
          </w:tcPr>
          <w:p w14:paraId="4618F1D9" w14:textId="77777777" w:rsidR="00A00EF0" w:rsidRPr="003771DB" w:rsidRDefault="00A00EF0" w:rsidP="00886A85">
            <w:pPr>
              <w:pStyle w:val="TableText"/>
              <w:keepLines/>
              <w:jc w:val="center"/>
              <w:rPr>
                <w:iCs/>
              </w:rPr>
            </w:pPr>
            <w:r w:rsidRPr="003771DB">
              <w:rPr>
                <w:iCs/>
              </w:rPr>
              <w:t>-0.0741</w:t>
            </w:r>
          </w:p>
        </w:tc>
        <w:tc>
          <w:tcPr>
            <w:tcW w:w="2126" w:type="pct"/>
            <w:vMerge w:val="restart"/>
            <w:vAlign w:val="center"/>
          </w:tcPr>
          <w:p w14:paraId="4602F20A" w14:textId="3ED1A4EF" w:rsidR="00A00EF0" w:rsidRPr="003771DB" w:rsidRDefault="00A00EF0" w:rsidP="00886A85">
            <w:pPr>
              <w:pStyle w:val="TableText"/>
              <w:keepLines/>
            </w:pPr>
            <w:r w:rsidRPr="003771DB">
              <w:t>STEP-1 trial. Based on SF</w:t>
            </w:r>
            <w:r w:rsidR="00E82E02" w:rsidRPr="003771DB">
              <w:t>-</w:t>
            </w:r>
            <w:r w:rsidRPr="003771DB">
              <w:t xml:space="preserve">6Dv1 scores for each individual treatment arm from the subgroup population with baseline BMI </w:t>
            </w:r>
            <w:r w:rsidR="00470819" w:rsidRPr="003771DB">
              <w:t>≥</w:t>
            </w:r>
            <w:r w:rsidRPr="003771DB">
              <w:t>40 kg/m</w:t>
            </w:r>
            <w:r w:rsidRPr="003771DB">
              <w:rPr>
                <w:vertAlign w:val="superscript"/>
              </w:rPr>
              <w:t>2</w:t>
            </w:r>
            <w:r w:rsidRPr="003771DB">
              <w:t xml:space="preserve"> and </w:t>
            </w:r>
            <w:r w:rsidR="00470819" w:rsidRPr="003771DB">
              <w:t>≥</w:t>
            </w:r>
            <w:r w:rsidRPr="003771DB">
              <w:t>2 weight-related comorbidities with obstructive sleep apnoea, knee osteoarthritis or pre-diabetes.</w:t>
            </w:r>
          </w:p>
        </w:tc>
      </w:tr>
      <w:tr w:rsidR="00470819" w:rsidRPr="003771DB" w14:paraId="46703994" w14:textId="77777777" w:rsidTr="00470819">
        <w:trPr>
          <w:trHeight w:val="254"/>
        </w:trPr>
        <w:tc>
          <w:tcPr>
            <w:tcW w:w="1477" w:type="pct"/>
            <w:vAlign w:val="center"/>
          </w:tcPr>
          <w:p w14:paraId="44D2BBA1" w14:textId="77777777" w:rsidR="00A00EF0" w:rsidRPr="003771DB" w:rsidRDefault="00A00EF0" w:rsidP="00886A85">
            <w:pPr>
              <w:pStyle w:val="TableText"/>
              <w:keepLines/>
            </w:pPr>
            <w:r w:rsidRPr="003771DB">
              <w:t>Change from baseline to Week 16</w:t>
            </w:r>
          </w:p>
        </w:tc>
        <w:tc>
          <w:tcPr>
            <w:tcW w:w="698" w:type="pct"/>
            <w:vAlign w:val="center"/>
          </w:tcPr>
          <w:p w14:paraId="6374D758" w14:textId="77777777" w:rsidR="00A00EF0" w:rsidRPr="003771DB" w:rsidRDefault="00A00EF0" w:rsidP="00886A85">
            <w:pPr>
              <w:pStyle w:val="TableText"/>
              <w:keepLines/>
              <w:jc w:val="center"/>
              <w:rPr>
                <w:iCs/>
              </w:rPr>
            </w:pPr>
            <w:r w:rsidRPr="003771DB">
              <w:rPr>
                <w:iCs/>
              </w:rPr>
              <w:t>+0.0124</w:t>
            </w:r>
          </w:p>
        </w:tc>
        <w:tc>
          <w:tcPr>
            <w:tcW w:w="699" w:type="pct"/>
            <w:vAlign w:val="center"/>
          </w:tcPr>
          <w:p w14:paraId="14762C3B" w14:textId="77777777" w:rsidR="00A00EF0" w:rsidRPr="003771DB" w:rsidRDefault="00A00EF0" w:rsidP="00886A85">
            <w:pPr>
              <w:pStyle w:val="TableText"/>
              <w:keepLines/>
              <w:jc w:val="center"/>
              <w:rPr>
                <w:iCs/>
              </w:rPr>
            </w:pPr>
            <w:r w:rsidRPr="003771DB">
              <w:rPr>
                <w:iCs/>
              </w:rPr>
              <w:t>-0.0229</w:t>
            </w:r>
          </w:p>
        </w:tc>
        <w:tc>
          <w:tcPr>
            <w:tcW w:w="2126" w:type="pct"/>
            <w:vMerge/>
            <w:vAlign w:val="center"/>
          </w:tcPr>
          <w:p w14:paraId="148B7E12" w14:textId="77777777" w:rsidR="00A00EF0" w:rsidRPr="003771DB" w:rsidRDefault="00A00EF0" w:rsidP="00886A85">
            <w:pPr>
              <w:pStyle w:val="TableText"/>
              <w:keepLines/>
            </w:pPr>
          </w:p>
        </w:tc>
      </w:tr>
      <w:tr w:rsidR="00470819" w:rsidRPr="003771DB" w14:paraId="128CF2C7" w14:textId="77777777" w:rsidTr="00470819">
        <w:trPr>
          <w:trHeight w:val="253"/>
        </w:trPr>
        <w:tc>
          <w:tcPr>
            <w:tcW w:w="1477" w:type="pct"/>
            <w:vAlign w:val="center"/>
          </w:tcPr>
          <w:p w14:paraId="5A5DAFB7" w14:textId="77777777" w:rsidR="00A00EF0" w:rsidRPr="003771DB" w:rsidRDefault="00A00EF0" w:rsidP="00886A85">
            <w:pPr>
              <w:pStyle w:val="TableText"/>
              <w:keepLines/>
            </w:pPr>
            <w:r w:rsidRPr="003771DB">
              <w:t>Change from baseline to Week 20</w:t>
            </w:r>
          </w:p>
        </w:tc>
        <w:tc>
          <w:tcPr>
            <w:tcW w:w="698" w:type="pct"/>
            <w:vAlign w:val="center"/>
          </w:tcPr>
          <w:p w14:paraId="572AEE39" w14:textId="77777777" w:rsidR="00A00EF0" w:rsidRPr="003771DB" w:rsidRDefault="00A00EF0" w:rsidP="00886A85">
            <w:pPr>
              <w:pStyle w:val="TableText"/>
              <w:keepLines/>
              <w:jc w:val="center"/>
              <w:rPr>
                <w:iCs/>
              </w:rPr>
            </w:pPr>
            <w:r w:rsidRPr="003771DB">
              <w:rPr>
                <w:iCs/>
              </w:rPr>
              <w:t>+0.0231</w:t>
            </w:r>
          </w:p>
        </w:tc>
        <w:tc>
          <w:tcPr>
            <w:tcW w:w="699" w:type="pct"/>
            <w:vAlign w:val="center"/>
          </w:tcPr>
          <w:p w14:paraId="2501EC62" w14:textId="77777777" w:rsidR="00A00EF0" w:rsidRPr="003771DB" w:rsidRDefault="00A00EF0" w:rsidP="00886A85">
            <w:pPr>
              <w:pStyle w:val="TableText"/>
              <w:keepLines/>
              <w:jc w:val="center"/>
              <w:rPr>
                <w:iCs/>
              </w:rPr>
            </w:pPr>
            <w:r w:rsidRPr="003771DB">
              <w:rPr>
                <w:iCs/>
              </w:rPr>
              <w:t>-0.0436</w:t>
            </w:r>
          </w:p>
        </w:tc>
        <w:tc>
          <w:tcPr>
            <w:tcW w:w="2126" w:type="pct"/>
            <w:vMerge/>
            <w:vAlign w:val="center"/>
          </w:tcPr>
          <w:p w14:paraId="55D61FC0" w14:textId="77777777" w:rsidR="00A00EF0" w:rsidRPr="003771DB" w:rsidRDefault="00A00EF0" w:rsidP="00886A85">
            <w:pPr>
              <w:pStyle w:val="TableText"/>
              <w:keepLines/>
            </w:pPr>
          </w:p>
        </w:tc>
      </w:tr>
      <w:tr w:rsidR="00470819" w:rsidRPr="003771DB" w14:paraId="701B1296" w14:textId="77777777" w:rsidTr="00470819">
        <w:trPr>
          <w:trHeight w:val="254"/>
        </w:trPr>
        <w:tc>
          <w:tcPr>
            <w:tcW w:w="1477" w:type="pct"/>
            <w:vAlign w:val="center"/>
          </w:tcPr>
          <w:p w14:paraId="444A7098" w14:textId="77777777" w:rsidR="00A00EF0" w:rsidRPr="003771DB" w:rsidRDefault="00A00EF0" w:rsidP="00886A85">
            <w:pPr>
              <w:pStyle w:val="TableText"/>
              <w:keepLines/>
            </w:pPr>
            <w:r w:rsidRPr="003771DB">
              <w:t>Change from baseline to Week 36</w:t>
            </w:r>
          </w:p>
        </w:tc>
        <w:tc>
          <w:tcPr>
            <w:tcW w:w="698" w:type="pct"/>
            <w:vAlign w:val="center"/>
          </w:tcPr>
          <w:p w14:paraId="76CE48D0" w14:textId="77777777" w:rsidR="00A00EF0" w:rsidRPr="003771DB" w:rsidRDefault="00A00EF0" w:rsidP="00886A85">
            <w:pPr>
              <w:pStyle w:val="TableText"/>
              <w:keepLines/>
              <w:jc w:val="center"/>
              <w:rPr>
                <w:iCs/>
              </w:rPr>
            </w:pPr>
            <w:r w:rsidRPr="003771DB">
              <w:rPr>
                <w:iCs/>
              </w:rPr>
              <w:t>+0.0253</w:t>
            </w:r>
          </w:p>
        </w:tc>
        <w:tc>
          <w:tcPr>
            <w:tcW w:w="699" w:type="pct"/>
            <w:vAlign w:val="center"/>
          </w:tcPr>
          <w:p w14:paraId="62CC4C58" w14:textId="77777777" w:rsidR="00A00EF0" w:rsidRPr="003771DB" w:rsidRDefault="00A00EF0" w:rsidP="00886A85">
            <w:pPr>
              <w:pStyle w:val="TableText"/>
              <w:keepLines/>
              <w:jc w:val="center"/>
              <w:rPr>
                <w:iCs/>
              </w:rPr>
            </w:pPr>
            <w:r w:rsidRPr="003771DB">
              <w:rPr>
                <w:iCs/>
              </w:rPr>
              <w:t>-0.0501</w:t>
            </w:r>
          </w:p>
        </w:tc>
        <w:tc>
          <w:tcPr>
            <w:tcW w:w="2126" w:type="pct"/>
            <w:vMerge/>
            <w:vAlign w:val="center"/>
          </w:tcPr>
          <w:p w14:paraId="5299C4AD" w14:textId="77777777" w:rsidR="00A00EF0" w:rsidRPr="003771DB" w:rsidRDefault="00A00EF0" w:rsidP="00886A85">
            <w:pPr>
              <w:pStyle w:val="TableText"/>
              <w:keepLines/>
            </w:pPr>
          </w:p>
        </w:tc>
      </w:tr>
      <w:tr w:rsidR="00470819" w:rsidRPr="003771DB" w14:paraId="44C8F94D" w14:textId="77777777" w:rsidTr="00470819">
        <w:trPr>
          <w:trHeight w:val="254"/>
        </w:trPr>
        <w:tc>
          <w:tcPr>
            <w:tcW w:w="1477" w:type="pct"/>
            <w:vAlign w:val="center"/>
          </w:tcPr>
          <w:p w14:paraId="59A4FA5A" w14:textId="77777777" w:rsidR="00A00EF0" w:rsidRPr="003771DB" w:rsidRDefault="00A00EF0" w:rsidP="00886A85">
            <w:pPr>
              <w:pStyle w:val="TableText"/>
              <w:keepLines/>
            </w:pPr>
            <w:r w:rsidRPr="003771DB">
              <w:t>Change from baseline to Week 52</w:t>
            </w:r>
          </w:p>
        </w:tc>
        <w:tc>
          <w:tcPr>
            <w:tcW w:w="698" w:type="pct"/>
            <w:vAlign w:val="center"/>
          </w:tcPr>
          <w:p w14:paraId="29254442" w14:textId="77777777" w:rsidR="00A00EF0" w:rsidRPr="003771DB" w:rsidRDefault="00A00EF0" w:rsidP="00886A85">
            <w:pPr>
              <w:pStyle w:val="TableText"/>
              <w:keepLines/>
              <w:jc w:val="center"/>
              <w:rPr>
                <w:iCs/>
              </w:rPr>
            </w:pPr>
            <w:r w:rsidRPr="003771DB">
              <w:rPr>
                <w:iCs/>
              </w:rPr>
              <w:t>+0.0550</w:t>
            </w:r>
          </w:p>
        </w:tc>
        <w:tc>
          <w:tcPr>
            <w:tcW w:w="699" w:type="pct"/>
            <w:vAlign w:val="center"/>
          </w:tcPr>
          <w:p w14:paraId="15B87198" w14:textId="77777777" w:rsidR="00A00EF0" w:rsidRPr="003771DB" w:rsidRDefault="00A00EF0" w:rsidP="00886A85">
            <w:pPr>
              <w:pStyle w:val="TableText"/>
              <w:keepLines/>
              <w:jc w:val="center"/>
              <w:rPr>
                <w:iCs/>
              </w:rPr>
            </w:pPr>
            <w:r w:rsidRPr="003771DB">
              <w:rPr>
                <w:iCs/>
              </w:rPr>
              <w:t>-0.0379</w:t>
            </w:r>
          </w:p>
        </w:tc>
        <w:tc>
          <w:tcPr>
            <w:tcW w:w="2126" w:type="pct"/>
            <w:vMerge/>
            <w:vAlign w:val="center"/>
          </w:tcPr>
          <w:p w14:paraId="5FEA90FC" w14:textId="77777777" w:rsidR="00A00EF0" w:rsidRPr="003771DB" w:rsidRDefault="00A00EF0" w:rsidP="00886A85">
            <w:pPr>
              <w:pStyle w:val="TableText"/>
              <w:keepLines/>
            </w:pPr>
          </w:p>
        </w:tc>
      </w:tr>
      <w:tr w:rsidR="00470819" w:rsidRPr="003771DB" w14:paraId="0D81FBC9" w14:textId="77777777" w:rsidTr="00470819">
        <w:trPr>
          <w:trHeight w:val="254"/>
        </w:trPr>
        <w:tc>
          <w:tcPr>
            <w:tcW w:w="1477" w:type="pct"/>
            <w:vAlign w:val="center"/>
          </w:tcPr>
          <w:p w14:paraId="6D10CC12" w14:textId="77777777" w:rsidR="00A00EF0" w:rsidRPr="003771DB" w:rsidRDefault="00A00EF0" w:rsidP="00886A85">
            <w:pPr>
              <w:pStyle w:val="TableText"/>
              <w:keepLines/>
            </w:pPr>
            <w:r w:rsidRPr="003771DB">
              <w:t>Change from baseline to Week 68</w:t>
            </w:r>
          </w:p>
        </w:tc>
        <w:tc>
          <w:tcPr>
            <w:tcW w:w="698" w:type="pct"/>
            <w:vAlign w:val="center"/>
          </w:tcPr>
          <w:p w14:paraId="3871CB38" w14:textId="77777777" w:rsidR="00A00EF0" w:rsidRPr="003771DB" w:rsidRDefault="00A00EF0" w:rsidP="00886A85">
            <w:pPr>
              <w:pStyle w:val="TableText"/>
              <w:keepLines/>
              <w:jc w:val="center"/>
              <w:rPr>
                <w:iCs/>
              </w:rPr>
            </w:pPr>
            <w:r w:rsidRPr="003771DB">
              <w:rPr>
                <w:iCs/>
              </w:rPr>
              <w:t>+0.0447</w:t>
            </w:r>
          </w:p>
        </w:tc>
        <w:tc>
          <w:tcPr>
            <w:tcW w:w="699" w:type="pct"/>
            <w:vAlign w:val="center"/>
          </w:tcPr>
          <w:p w14:paraId="008E06C7" w14:textId="77777777" w:rsidR="00A00EF0" w:rsidRPr="003771DB" w:rsidRDefault="00A00EF0" w:rsidP="00886A85">
            <w:pPr>
              <w:pStyle w:val="TableText"/>
              <w:keepLines/>
              <w:jc w:val="center"/>
              <w:rPr>
                <w:iCs/>
              </w:rPr>
            </w:pPr>
            <w:r w:rsidRPr="003771DB">
              <w:rPr>
                <w:iCs/>
              </w:rPr>
              <w:t>-0.0412</w:t>
            </w:r>
          </w:p>
        </w:tc>
        <w:tc>
          <w:tcPr>
            <w:tcW w:w="2126" w:type="pct"/>
            <w:vMerge/>
            <w:vAlign w:val="center"/>
          </w:tcPr>
          <w:p w14:paraId="63A6B531" w14:textId="77777777" w:rsidR="00A00EF0" w:rsidRPr="003771DB" w:rsidRDefault="00A00EF0" w:rsidP="00886A85">
            <w:pPr>
              <w:pStyle w:val="TableText"/>
              <w:keepLines/>
            </w:pPr>
          </w:p>
        </w:tc>
      </w:tr>
      <w:tr w:rsidR="0083543E" w:rsidRPr="003771DB" w14:paraId="15C48BB9" w14:textId="77777777" w:rsidTr="00470819">
        <w:trPr>
          <w:trHeight w:val="508"/>
        </w:trPr>
        <w:tc>
          <w:tcPr>
            <w:tcW w:w="1477" w:type="pct"/>
            <w:vAlign w:val="center"/>
          </w:tcPr>
          <w:p w14:paraId="63E07DCB" w14:textId="5201D909" w:rsidR="0083543E" w:rsidRPr="003771DB" w:rsidRDefault="0083543E" w:rsidP="00886A85">
            <w:pPr>
              <w:pStyle w:val="TableText"/>
              <w:keepLines/>
            </w:pPr>
            <w:r w:rsidRPr="003771DB">
              <w:t>Responder endpoint value at Week 68</w:t>
            </w:r>
          </w:p>
        </w:tc>
        <w:tc>
          <w:tcPr>
            <w:tcW w:w="1397" w:type="pct"/>
            <w:gridSpan w:val="2"/>
            <w:vAlign w:val="center"/>
          </w:tcPr>
          <w:p w14:paraId="55788A8E" w14:textId="5BFDB93B" w:rsidR="0083543E" w:rsidRPr="003771DB" w:rsidRDefault="0083543E" w:rsidP="00886A85">
            <w:pPr>
              <w:pStyle w:val="TableText"/>
              <w:keepLines/>
              <w:jc w:val="center"/>
              <w:rPr>
                <w:iCs/>
              </w:rPr>
            </w:pPr>
            <w:r w:rsidRPr="003771DB">
              <w:rPr>
                <w:iCs/>
              </w:rPr>
              <w:t>0.7575</w:t>
            </w:r>
          </w:p>
        </w:tc>
        <w:tc>
          <w:tcPr>
            <w:tcW w:w="2126" w:type="pct"/>
            <w:vMerge w:val="restart"/>
            <w:vAlign w:val="center"/>
          </w:tcPr>
          <w:p w14:paraId="0C683BA3" w14:textId="3CE8DC31" w:rsidR="0083543E" w:rsidRPr="003771DB" w:rsidRDefault="0083543E" w:rsidP="00886A85">
            <w:pPr>
              <w:pStyle w:val="TableText"/>
              <w:keepLines/>
            </w:pPr>
            <w:r w:rsidRPr="003771DB">
              <w:t>STEP-1 trial. Based on SF</w:t>
            </w:r>
            <w:r w:rsidR="00E82E02" w:rsidRPr="003771DB">
              <w:t>-</w:t>
            </w:r>
            <w:r w:rsidRPr="003771DB">
              <w:t xml:space="preserve">6Dv1 values from the combined treatment arms for the subgroup population with baseline BMI </w:t>
            </w:r>
            <w:r w:rsidR="00F1048E" w:rsidRPr="003771DB">
              <w:t>≥</w:t>
            </w:r>
            <w:r w:rsidRPr="003771DB">
              <w:t>40 kg/m</w:t>
            </w:r>
            <w:r w:rsidRPr="003771DB">
              <w:rPr>
                <w:vertAlign w:val="superscript"/>
              </w:rPr>
              <w:t>2</w:t>
            </w:r>
            <w:r w:rsidRPr="003771DB">
              <w:t xml:space="preserve"> and </w:t>
            </w:r>
            <w:r w:rsidR="00F1048E" w:rsidRPr="003771DB">
              <w:t>≥</w:t>
            </w:r>
            <w:r w:rsidRPr="003771DB">
              <w:t>2 weight-related comorbidities with obstructive sleep apnoea, knee osteoarthritis or pre-diabetes. Only the endpoint values were used in the model</w:t>
            </w:r>
            <w:r w:rsidR="00470819" w:rsidRPr="003771DB">
              <w:t>, which resulted in a change from modelled baseline of +0.1069 for responders and -0.0634 for non-responders.</w:t>
            </w:r>
          </w:p>
        </w:tc>
      </w:tr>
      <w:tr w:rsidR="00470819" w:rsidRPr="003771DB" w14:paraId="02BD8CE1" w14:textId="77777777" w:rsidTr="00470819">
        <w:trPr>
          <w:trHeight w:val="509"/>
        </w:trPr>
        <w:tc>
          <w:tcPr>
            <w:tcW w:w="1477" w:type="pct"/>
            <w:vAlign w:val="center"/>
          </w:tcPr>
          <w:p w14:paraId="4525EC55" w14:textId="26A1135F" w:rsidR="00470819" w:rsidRPr="003771DB" w:rsidRDefault="00470819" w:rsidP="00886A85">
            <w:pPr>
              <w:pStyle w:val="TableText"/>
              <w:keepLines/>
            </w:pPr>
            <w:r w:rsidRPr="003771DB">
              <w:t>Non-responder endpoint value at Week 68</w:t>
            </w:r>
          </w:p>
        </w:tc>
        <w:tc>
          <w:tcPr>
            <w:tcW w:w="1397" w:type="pct"/>
            <w:gridSpan w:val="2"/>
            <w:vAlign w:val="center"/>
          </w:tcPr>
          <w:p w14:paraId="5AE851AB" w14:textId="0C70F988" w:rsidR="00470819" w:rsidRPr="003771DB" w:rsidRDefault="00470819" w:rsidP="00886A85">
            <w:pPr>
              <w:pStyle w:val="TableText"/>
              <w:keepLines/>
              <w:jc w:val="center"/>
              <w:rPr>
                <w:iCs/>
              </w:rPr>
            </w:pPr>
            <w:r w:rsidRPr="003771DB">
              <w:rPr>
                <w:iCs/>
              </w:rPr>
              <w:t>0.5872</w:t>
            </w:r>
          </w:p>
        </w:tc>
        <w:tc>
          <w:tcPr>
            <w:tcW w:w="2126" w:type="pct"/>
            <w:vMerge/>
            <w:vAlign w:val="center"/>
          </w:tcPr>
          <w:p w14:paraId="1D91F054" w14:textId="77777777" w:rsidR="00470819" w:rsidRPr="003771DB" w:rsidRDefault="00470819" w:rsidP="00886A85">
            <w:pPr>
              <w:pStyle w:val="TableText"/>
              <w:keepLines/>
            </w:pPr>
          </w:p>
        </w:tc>
      </w:tr>
      <w:tr w:rsidR="00470819" w:rsidRPr="003771DB" w14:paraId="111D10C2" w14:textId="77777777" w:rsidTr="00470819">
        <w:trPr>
          <w:trHeight w:val="509"/>
        </w:trPr>
        <w:tc>
          <w:tcPr>
            <w:tcW w:w="1477" w:type="pct"/>
            <w:vAlign w:val="center"/>
          </w:tcPr>
          <w:p w14:paraId="690AE9E2" w14:textId="4A96A0EB" w:rsidR="00470819" w:rsidRPr="003771DB" w:rsidRDefault="00470819" w:rsidP="00886A85">
            <w:pPr>
              <w:pStyle w:val="TableText"/>
              <w:keepLines/>
            </w:pPr>
            <w:r w:rsidRPr="003771DB">
              <w:t>Responder change from baseline to Week 68</w:t>
            </w:r>
          </w:p>
        </w:tc>
        <w:tc>
          <w:tcPr>
            <w:tcW w:w="1397" w:type="pct"/>
            <w:gridSpan w:val="2"/>
            <w:vAlign w:val="center"/>
          </w:tcPr>
          <w:p w14:paraId="4D7586D8" w14:textId="2FB7F26A" w:rsidR="00470819" w:rsidRPr="003771DB" w:rsidRDefault="00470819" w:rsidP="00886A85">
            <w:pPr>
              <w:pStyle w:val="TableText"/>
              <w:keepLines/>
              <w:jc w:val="center"/>
              <w:rPr>
                <w:iCs/>
              </w:rPr>
            </w:pPr>
            <w:r w:rsidRPr="003771DB">
              <w:rPr>
                <w:iCs/>
              </w:rPr>
              <w:t>+0.0784</w:t>
            </w:r>
          </w:p>
        </w:tc>
        <w:tc>
          <w:tcPr>
            <w:tcW w:w="2126" w:type="pct"/>
            <w:vMerge/>
            <w:vAlign w:val="center"/>
          </w:tcPr>
          <w:p w14:paraId="30C2F8D1" w14:textId="77777777" w:rsidR="00470819" w:rsidRPr="003771DB" w:rsidRDefault="00470819" w:rsidP="00886A85">
            <w:pPr>
              <w:pStyle w:val="TableText"/>
              <w:keepLines/>
            </w:pPr>
          </w:p>
        </w:tc>
      </w:tr>
      <w:tr w:rsidR="00470819" w:rsidRPr="003771DB" w14:paraId="596E4A11" w14:textId="77777777" w:rsidTr="00470819">
        <w:trPr>
          <w:trHeight w:val="509"/>
        </w:trPr>
        <w:tc>
          <w:tcPr>
            <w:tcW w:w="1477" w:type="pct"/>
            <w:vAlign w:val="center"/>
          </w:tcPr>
          <w:p w14:paraId="7AD931D1" w14:textId="711B6F02" w:rsidR="00470819" w:rsidRPr="003771DB" w:rsidRDefault="00470819" w:rsidP="00886A85">
            <w:pPr>
              <w:pStyle w:val="TableText"/>
              <w:keepLines/>
            </w:pPr>
            <w:r w:rsidRPr="003771DB">
              <w:t>Non-responder change from baseline to Week 68</w:t>
            </w:r>
          </w:p>
        </w:tc>
        <w:tc>
          <w:tcPr>
            <w:tcW w:w="1397" w:type="pct"/>
            <w:gridSpan w:val="2"/>
            <w:vAlign w:val="center"/>
          </w:tcPr>
          <w:p w14:paraId="6B70A248" w14:textId="4A4B1005" w:rsidR="00470819" w:rsidRPr="003771DB" w:rsidRDefault="00470819" w:rsidP="00886A85">
            <w:pPr>
              <w:pStyle w:val="TableText"/>
              <w:keepLines/>
              <w:jc w:val="center"/>
              <w:rPr>
                <w:iCs/>
              </w:rPr>
            </w:pPr>
            <w:r w:rsidRPr="003771DB">
              <w:rPr>
                <w:iCs/>
              </w:rPr>
              <w:t>-0.0229</w:t>
            </w:r>
          </w:p>
        </w:tc>
        <w:tc>
          <w:tcPr>
            <w:tcW w:w="2126" w:type="pct"/>
            <w:vMerge/>
            <w:vAlign w:val="center"/>
          </w:tcPr>
          <w:p w14:paraId="5B0E94C6" w14:textId="77777777" w:rsidR="00470819" w:rsidRPr="003771DB" w:rsidRDefault="00470819" w:rsidP="00886A85">
            <w:pPr>
              <w:pStyle w:val="TableText"/>
              <w:keepLines/>
            </w:pPr>
          </w:p>
        </w:tc>
      </w:tr>
    </w:tbl>
    <w:p w14:paraId="4EA50AF0" w14:textId="0739DCD0" w:rsidR="00A00EF0" w:rsidRPr="003771DB" w:rsidRDefault="00A00EF0" w:rsidP="00886A85">
      <w:pPr>
        <w:pStyle w:val="TableFigureFooter"/>
        <w:keepNext/>
        <w:keepLines/>
      </w:pPr>
      <w:r w:rsidRPr="003771DB">
        <w:t xml:space="preserve">Source: </w:t>
      </w:r>
      <w:r w:rsidR="00DC52CB" w:rsidRPr="003771DB">
        <w:t xml:space="preserve">Table 2-78, p155; </w:t>
      </w:r>
      <w:r w:rsidRPr="003771DB">
        <w:t>Table 3-2, p176 of the resubmission</w:t>
      </w:r>
    </w:p>
    <w:p w14:paraId="245809E2" w14:textId="0483F9B3" w:rsidR="00A00EF0" w:rsidRPr="003771DB" w:rsidRDefault="00A00EF0" w:rsidP="00F1048E">
      <w:pPr>
        <w:pStyle w:val="TableFigureFooter"/>
      </w:pPr>
      <w:r w:rsidRPr="003771DB">
        <w:t xml:space="preserve">Abbreviations: BMI, body mass index </w:t>
      </w:r>
    </w:p>
    <w:p w14:paraId="2476DD7C" w14:textId="5FBE6309" w:rsidR="004834CF" w:rsidRPr="003771DB" w:rsidRDefault="004834CF" w:rsidP="004E2228">
      <w:pPr>
        <w:pStyle w:val="COMexecsumnumberedpara"/>
      </w:pPr>
      <w:r w:rsidRPr="003771DB">
        <w:rPr>
          <w:iCs/>
        </w:rPr>
        <w:t>The ESC noted a decline in quality of life was observed over one year for the placebo arm</w:t>
      </w:r>
      <w:r w:rsidR="00B71094" w:rsidRPr="003771DB">
        <w:rPr>
          <w:iCs/>
        </w:rPr>
        <w:t>.</w:t>
      </w:r>
      <w:r w:rsidR="00327699" w:rsidRPr="003771DB">
        <w:rPr>
          <w:iCs/>
        </w:rPr>
        <w:t xml:space="preserve"> It was considered this may </w:t>
      </w:r>
      <w:r w:rsidR="00F72C43" w:rsidRPr="003771DB">
        <w:rPr>
          <w:iCs/>
        </w:rPr>
        <w:t>reflect</w:t>
      </w:r>
      <w:r w:rsidR="00327699" w:rsidRPr="003771DB">
        <w:rPr>
          <w:iCs/>
        </w:rPr>
        <w:t xml:space="preserve"> patients potentially </w:t>
      </w:r>
      <w:r w:rsidR="00F72C43" w:rsidRPr="003771DB">
        <w:rPr>
          <w:iCs/>
        </w:rPr>
        <w:t xml:space="preserve">being </w:t>
      </w:r>
      <w:r w:rsidR="00327699" w:rsidRPr="003771DB">
        <w:rPr>
          <w:iCs/>
        </w:rPr>
        <w:t xml:space="preserve">disheartened by not losing weight in the clinical trial. The ESC considered it was unlikely patients would have that much decline in quality of life </w:t>
      </w:r>
      <w:r w:rsidR="00F72C43" w:rsidRPr="003771DB">
        <w:rPr>
          <w:iCs/>
        </w:rPr>
        <w:t xml:space="preserve">outside a clinical trial setting </w:t>
      </w:r>
      <w:r w:rsidR="00327699" w:rsidRPr="003771DB">
        <w:rPr>
          <w:iCs/>
        </w:rPr>
        <w:t xml:space="preserve">if they are staying in the same health state/status quo. </w:t>
      </w:r>
      <w:r w:rsidR="00D64AA3" w:rsidRPr="003771DB">
        <w:rPr>
          <w:iCs/>
        </w:rPr>
        <w:t>The pre-PBAC response disagreed with the ESC arguing that if an obese person was to participate in a lifestyle intervention of the intensity and duration required by the STEP trials and not achieve significant weight loss, it is entirely credible that they would experience an important decline in HRQoL/utility</w:t>
      </w:r>
      <w:r w:rsidR="003771DB">
        <w:rPr>
          <w:iCs/>
        </w:rPr>
        <w:t xml:space="preserve">. </w:t>
      </w:r>
      <w:r w:rsidR="008E0E05" w:rsidRPr="003771DB">
        <w:rPr>
          <w:iCs/>
        </w:rPr>
        <w:t xml:space="preserve">The ESC also </w:t>
      </w:r>
      <w:r w:rsidR="00574BF4" w:rsidRPr="003771DB">
        <w:rPr>
          <w:iCs/>
        </w:rPr>
        <w:t xml:space="preserve">considered </w:t>
      </w:r>
      <w:r w:rsidR="008E0E05" w:rsidRPr="003771DB">
        <w:rPr>
          <w:iCs/>
        </w:rPr>
        <w:t xml:space="preserve">the fluctuation in utility values over the first year was </w:t>
      </w:r>
      <w:r w:rsidR="00574BF4" w:rsidRPr="003771DB">
        <w:rPr>
          <w:iCs/>
        </w:rPr>
        <w:t>un</w:t>
      </w:r>
      <w:r w:rsidR="008E0E05" w:rsidRPr="003771DB">
        <w:rPr>
          <w:iCs/>
        </w:rPr>
        <w:t>explained</w:t>
      </w:r>
      <w:r w:rsidR="00610A8A" w:rsidRPr="003771DB">
        <w:rPr>
          <w:iCs/>
        </w:rPr>
        <w:t>, and noted that they were drawn from small sample</w:t>
      </w:r>
      <w:r w:rsidR="008E0E05" w:rsidRPr="003771DB">
        <w:rPr>
          <w:iCs/>
        </w:rPr>
        <w:t>.</w:t>
      </w:r>
      <w:r w:rsidR="005C68B9" w:rsidRPr="003771DB">
        <w:rPr>
          <w:iCs/>
        </w:rPr>
        <w:t xml:space="preserve"> </w:t>
      </w:r>
      <w:r w:rsidR="00610A8A" w:rsidRPr="003771DB">
        <w:rPr>
          <w:iCs/>
        </w:rPr>
        <w:t>In all, the ESC considered the utility values utilised in the model to be highly uncertain.</w:t>
      </w:r>
      <w:r w:rsidR="008E0E05" w:rsidRPr="003771DB">
        <w:rPr>
          <w:iCs/>
        </w:rPr>
        <w:t xml:space="preserve"> </w:t>
      </w:r>
    </w:p>
    <w:p w14:paraId="27158AB1" w14:textId="02B1B04D" w:rsidR="00FC2849" w:rsidRPr="003771DB" w:rsidRDefault="00D5187C" w:rsidP="004E2228">
      <w:pPr>
        <w:pStyle w:val="COMexecsumnumberedpara"/>
      </w:pPr>
      <w:r w:rsidRPr="003771DB">
        <w:t>In regard to</w:t>
      </w:r>
      <w:r w:rsidR="00FC2849" w:rsidRPr="003771DB">
        <w:t xml:space="preserve"> adjunctive weight management, the resubmission assumed that all modelled patients would be managed through a team care arrangement</w:t>
      </w:r>
      <w:r w:rsidR="00F30957" w:rsidRPr="003771DB">
        <w:t>,</w:t>
      </w:r>
      <w:r w:rsidR="00FC2849" w:rsidRPr="003771DB">
        <w:t xml:space="preserve"> which would be reviewed at regular intervals (3 visits in the first 68 weeks then 1 visit every </w:t>
      </w:r>
      <w:r w:rsidR="000E3843" w:rsidRPr="003771DB">
        <w:t>24</w:t>
      </w:r>
      <w:r w:rsidR="00E82E02" w:rsidRPr="003771DB">
        <w:t> </w:t>
      </w:r>
      <w:r w:rsidR="000E3843" w:rsidRPr="003771DB">
        <w:t>weeks</w:t>
      </w:r>
      <w:r w:rsidR="00FC2849" w:rsidRPr="003771DB">
        <w:t>). The resubmission assumed patients would receive dietician or exercise physiologist visits every 4 weeks for the first 68 weeks (consistent with the STEP-1 trial) before switching to less intensive counselling</w:t>
      </w:r>
      <w:r w:rsidR="00E54DD6" w:rsidRPr="003771DB">
        <w:t>,</w:t>
      </w:r>
      <w:r w:rsidR="00FC2849" w:rsidRPr="003771DB">
        <w:t xml:space="preserve"> with 2 dietician or exercise physiologist visits every </w:t>
      </w:r>
      <w:r w:rsidR="00B2537C" w:rsidRPr="003771DB">
        <w:t>24 weeks</w:t>
      </w:r>
      <w:r w:rsidR="00FC2849" w:rsidRPr="003771DB">
        <w:t xml:space="preserve"> for the remainder of model. The model assumed treatment persistence to pharmacological therapy and adjunctive weight management would be the same.</w:t>
      </w:r>
      <w:r w:rsidR="00E93E37" w:rsidRPr="003771DB">
        <w:t xml:space="preserve"> </w:t>
      </w:r>
      <w:r w:rsidR="00E93E37" w:rsidRPr="003771DB">
        <w:rPr>
          <w:iCs/>
        </w:rPr>
        <w:t xml:space="preserve">The ESC noted that this would </w:t>
      </w:r>
      <w:r w:rsidR="00BE62A8" w:rsidRPr="003771DB">
        <w:rPr>
          <w:iCs/>
        </w:rPr>
        <w:t>unlikely</w:t>
      </w:r>
      <w:r w:rsidR="00E93E37" w:rsidRPr="003771DB">
        <w:rPr>
          <w:iCs/>
        </w:rPr>
        <w:t xml:space="preserve"> be achieved in clinical practice due to shortages and wait lists already for these therapies.</w:t>
      </w:r>
    </w:p>
    <w:p w14:paraId="50E06255" w14:textId="609D1862" w:rsidR="00565B58" w:rsidRPr="003771DB" w:rsidRDefault="00FC2849" w:rsidP="004E2228">
      <w:pPr>
        <w:pStyle w:val="COMexecsumnumberedpara"/>
        <w:rPr>
          <w:iCs/>
        </w:rPr>
      </w:pPr>
      <w:r w:rsidRPr="003771DB">
        <w:lastRenderedPageBreak/>
        <w:t>The intensity and frequency of adjunctive weight management in the STEP-1 trial is unlikely to be representative of clinical practice. Reduced compliance to adjunctive weight management in clinical practice would generally be expected to lead to worse outcomes compared to the clinical trial setting. It is also unclear whether the treatment effects observed in STEP-1 trial can be maintained with less intensive counselling over the longer</w:t>
      </w:r>
      <w:r w:rsidR="00E82E02" w:rsidRPr="003771DB">
        <w:t xml:space="preserve"> </w:t>
      </w:r>
      <w:r w:rsidRPr="003771DB">
        <w:t>term.</w:t>
      </w:r>
      <w:r w:rsidR="00E93E37" w:rsidRPr="003771DB">
        <w:t xml:space="preserve"> </w:t>
      </w:r>
      <w:r w:rsidR="00E93E37" w:rsidRPr="003771DB">
        <w:rPr>
          <w:iCs/>
        </w:rPr>
        <w:t>The ESC noted that these were not tested in the model, and thus the benefit modelled remains highly uncertain.</w:t>
      </w:r>
    </w:p>
    <w:p w14:paraId="5C6A7A98" w14:textId="1A60FEC1" w:rsidR="00765851" w:rsidRPr="003771DB" w:rsidRDefault="00765851" w:rsidP="004E2228">
      <w:pPr>
        <w:pStyle w:val="COMexecsumnumberedpara"/>
      </w:pPr>
      <w:r w:rsidRPr="003771DB">
        <w:t xml:space="preserve">During the evaluation, a major calculation </w:t>
      </w:r>
      <w:r w:rsidR="002C6743" w:rsidRPr="003771DB">
        <w:t xml:space="preserve">error </w:t>
      </w:r>
      <w:r w:rsidRPr="003771DB">
        <w:t>was identified in which the utility value of responders was applied to non-responders in the semaglutide arm</w:t>
      </w:r>
      <w:r w:rsidR="004D470E" w:rsidRPr="003771DB">
        <w:t xml:space="preserve"> (</w:t>
      </w:r>
      <w:r w:rsidR="00442A8E" w:rsidRPr="003771DB">
        <w:t>correcting this error</w:t>
      </w:r>
      <w:r w:rsidR="004D470E" w:rsidRPr="003771DB">
        <w:t xml:space="preserve"> increased the incremental cost-effectiveness ratio from </w:t>
      </w:r>
      <w:r w:rsidR="00B7126D" w:rsidRPr="003771DB">
        <w:t>$</w:t>
      </w:r>
      <w:r w:rsidR="00DC5B9E" w:rsidRPr="00DC5B9E">
        <w:t>15,000 to &lt; $25,000</w:t>
      </w:r>
      <w:r w:rsidR="00B7126D" w:rsidRPr="003771DB">
        <w:t xml:space="preserve"> </w:t>
      </w:r>
      <w:r w:rsidR="004D470E" w:rsidRPr="003771DB">
        <w:t xml:space="preserve">in the base case to </w:t>
      </w:r>
      <w:r w:rsidR="00B7126D" w:rsidRPr="003771DB">
        <w:t>$</w:t>
      </w:r>
      <w:r w:rsidR="00DC5B9E" w:rsidRPr="00DC5B9E">
        <w:t>25,000 to &lt; $35,000</w:t>
      </w:r>
      <w:r w:rsidR="004D470E" w:rsidRPr="003771DB">
        <w:t xml:space="preserve"> per QALY gained)</w:t>
      </w:r>
      <w:r w:rsidRPr="003771DB">
        <w:t xml:space="preserve">. </w:t>
      </w:r>
    </w:p>
    <w:p w14:paraId="066EB2F3" w14:textId="28441DAF" w:rsidR="00765851" w:rsidRPr="003771DB" w:rsidRDefault="00765851" w:rsidP="004E2228">
      <w:pPr>
        <w:pStyle w:val="COMexecsumnumberedpara"/>
      </w:pPr>
      <w:r w:rsidRPr="003771DB">
        <w:t xml:space="preserve">Key drivers of the economic model are summarised in </w:t>
      </w:r>
      <w:r w:rsidR="005B7FAD" w:rsidRPr="003771DB">
        <w:fldChar w:fldCharType="begin" w:fldLock="1"/>
      </w:r>
      <w:r w:rsidR="005B7FAD" w:rsidRPr="003771DB">
        <w:instrText xml:space="preserve"> REF _Ref143501848 \h </w:instrText>
      </w:r>
      <w:r w:rsidR="005B7FAD" w:rsidRPr="003771DB">
        <w:fldChar w:fldCharType="separate"/>
      </w:r>
      <w:r w:rsidR="00D44FF6" w:rsidRPr="003771DB">
        <w:t xml:space="preserve">Table </w:t>
      </w:r>
      <w:r w:rsidR="00D44FF6" w:rsidRPr="00F7478B">
        <w:t>13</w:t>
      </w:r>
      <w:r w:rsidR="005B7FAD" w:rsidRPr="003771DB">
        <w:fldChar w:fldCharType="end"/>
      </w:r>
      <w:r w:rsidRPr="003771DB">
        <w:t>.</w:t>
      </w:r>
    </w:p>
    <w:p w14:paraId="774D46B7" w14:textId="10F1640D" w:rsidR="00D110BD" w:rsidRPr="003771DB" w:rsidRDefault="00E16AD8" w:rsidP="00886A85">
      <w:pPr>
        <w:pStyle w:val="Caption"/>
        <w:keepLines/>
      </w:pPr>
      <w:bookmarkStart w:id="45" w:name="_Ref104805122"/>
      <w:bookmarkStart w:id="46" w:name="_Ref143501848"/>
      <w:r w:rsidRPr="003771DB">
        <w:t xml:space="preserve">Table </w:t>
      </w:r>
      <w:bookmarkEnd w:id="45"/>
      <w:r w:rsidR="00AD487C" w:rsidRPr="003771DB">
        <w:fldChar w:fldCharType="begin" w:fldLock="1"/>
      </w:r>
      <w:r w:rsidR="00AD487C" w:rsidRPr="003771DB">
        <w:instrText xml:space="preserve"> SEQ Table \* ARABIC </w:instrText>
      </w:r>
      <w:r w:rsidR="00AD487C" w:rsidRPr="003771DB">
        <w:fldChar w:fldCharType="separate"/>
      </w:r>
      <w:r w:rsidR="00AD487C" w:rsidRPr="00F7478B">
        <w:t>13</w:t>
      </w:r>
      <w:r w:rsidR="00AD487C" w:rsidRPr="003771DB">
        <w:fldChar w:fldCharType="end"/>
      </w:r>
      <w:bookmarkEnd w:id="46"/>
      <w:r w:rsidRPr="003771DB">
        <w:t>:</w:t>
      </w:r>
      <w:r w:rsidR="00D110BD" w:rsidRPr="003771DB">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Description w:val="Table 13: Key drivers of the model"/>
      </w:tblPr>
      <w:tblGrid>
        <w:gridCol w:w="988"/>
        <w:gridCol w:w="6945"/>
        <w:gridCol w:w="1084"/>
      </w:tblGrid>
      <w:tr w:rsidR="00CB5360" w:rsidRPr="003771DB" w14:paraId="66FB44DE" w14:textId="77777777" w:rsidTr="00CB5360">
        <w:trPr>
          <w:tblHeader/>
        </w:trPr>
        <w:tc>
          <w:tcPr>
            <w:tcW w:w="548" w:type="pct"/>
            <w:shd w:val="clear" w:color="auto" w:fill="auto"/>
            <w:vAlign w:val="center"/>
          </w:tcPr>
          <w:p w14:paraId="779573DE" w14:textId="77777777" w:rsidR="007733D4" w:rsidRPr="003771DB" w:rsidRDefault="007733D4" w:rsidP="00886A85">
            <w:pPr>
              <w:pStyle w:val="COMTableheadingrow"/>
              <w:keepLines/>
              <w:jc w:val="center"/>
              <w:rPr>
                <w:lang w:val="en-AU"/>
              </w:rPr>
            </w:pPr>
            <w:r w:rsidRPr="003771DB">
              <w:rPr>
                <w:lang w:val="en-AU"/>
              </w:rPr>
              <w:t>Description</w:t>
            </w:r>
          </w:p>
        </w:tc>
        <w:tc>
          <w:tcPr>
            <w:tcW w:w="3851" w:type="pct"/>
            <w:shd w:val="clear" w:color="auto" w:fill="auto"/>
            <w:vAlign w:val="center"/>
          </w:tcPr>
          <w:p w14:paraId="3B8B12D2" w14:textId="77777777" w:rsidR="007733D4" w:rsidRPr="003771DB" w:rsidRDefault="007733D4" w:rsidP="00886A85">
            <w:pPr>
              <w:pStyle w:val="COMTableheadingrow"/>
              <w:keepLines/>
              <w:jc w:val="center"/>
              <w:rPr>
                <w:lang w:val="en-AU"/>
              </w:rPr>
            </w:pPr>
            <w:r w:rsidRPr="003771DB">
              <w:rPr>
                <w:lang w:val="en-AU"/>
              </w:rPr>
              <w:t>Method/Value</w:t>
            </w:r>
          </w:p>
        </w:tc>
        <w:tc>
          <w:tcPr>
            <w:tcW w:w="601" w:type="pct"/>
            <w:shd w:val="clear" w:color="auto" w:fill="auto"/>
            <w:vAlign w:val="center"/>
          </w:tcPr>
          <w:p w14:paraId="615DCFD7" w14:textId="77777777" w:rsidR="007733D4" w:rsidRPr="003771DB" w:rsidRDefault="007733D4" w:rsidP="00886A85">
            <w:pPr>
              <w:pStyle w:val="COMTableheadingrow"/>
              <w:keepLines/>
              <w:jc w:val="center"/>
              <w:rPr>
                <w:lang w:val="en-AU"/>
              </w:rPr>
            </w:pPr>
            <w:r w:rsidRPr="003771DB">
              <w:rPr>
                <w:lang w:val="en-AU"/>
              </w:rPr>
              <w:t>Impact</w:t>
            </w:r>
          </w:p>
        </w:tc>
      </w:tr>
      <w:tr w:rsidR="00CB5360" w:rsidRPr="003771DB" w14:paraId="7B846BB0" w14:textId="77777777" w:rsidTr="00CB5360">
        <w:tc>
          <w:tcPr>
            <w:tcW w:w="548" w:type="pct"/>
            <w:shd w:val="clear" w:color="auto" w:fill="auto"/>
            <w:vAlign w:val="center"/>
          </w:tcPr>
          <w:p w14:paraId="508DE9B7" w14:textId="77777777" w:rsidR="007733D4" w:rsidRPr="003771DB" w:rsidRDefault="007733D4" w:rsidP="00886A85">
            <w:pPr>
              <w:pStyle w:val="COMTabletext"/>
              <w:keepLines/>
            </w:pPr>
            <w:r w:rsidRPr="003771DB">
              <w:t>Treatment arm utility values</w:t>
            </w:r>
          </w:p>
        </w:tc>
        <w:tc>
          <w:tcPr>
            <w:tcW w:w="3851" w:type="pct"/>
            <w:shd w:val="clear" w:color="auto" w:fill="auto"/>
            <w:vAlign w:val="center"/>
          </w:tcPr>
          <w:p w14:paraId="4F1C5420" w14:textId="6F582779" w:rsidR="007733D4" w:rsidRPr="003771DB" w:rsidRDefault="007733D4" w:rsidP="00886A85">
            <w:pPr>
              <w:pStyle w:val="COMTabletext"/>
              <w:keepLines/>
              <w:spacing w:after="60"/>
              <w:rPr>
                <w:rFonts w:eastAsia="Calibri"/>
              </w:rPr>
            </w:pPr>
            <w:r w:rsidRPr="003771DB">
              <w:rPr>
                <w:rFonts w:eastAsia="Calibri"/>
              </w:rPr>
              <w:t xml:space="preserve">Utility values were estimated based on SF-36v2 data from a </w:t>
            </w:r>
            <w:r w:rsidRPr="003771DB">
              <w:rPr>
                <w:rFonts w:eastAsia="Calibri"/>
                <w:i/>
              </w:rPr>
              <w:t>post hoc</w:t>
            </w:r>
            <w:r w:rsidRPr="003771DB">
              <w:rPr>
                <w:rFonts w:eastAsia="Calibri"/>
              </w:rPr>
              <w:t xml:space="preserve"> analysis of the STEP-1 subgroup population with baseline BMI </w:t>
            </w:r>
            <w:r w:rsidR="00D60720" w:rsidRPr="003771DB">
              <w:rPr>
                <w:rFonts w:eastAsia="Calibri"/>
              </w:rPr>
              <w:t>≥</w:t>
            </w:r>
            <w:r w:rsidRPr="003771DB">
              <w:rPr>
                <w:rFonts w:eastAsia="Calibri"/>
              </w:rPr>
              <w:t>40 kg/m</w:t>
            </w:r>
            <w:r w:rsidRPr="003771DB">
              <w:rPr>
                <w:rFonts w:eastAsia="Calibri"/>
                <w:vertAlign w:val="superscript"/>
              </w:rPr>
              <w:t>2</w:t>
            </w:r>
            <w:r w:rsidRPr="003771DB">
              <w:rPr>
                <w:rFonts w:eastAsia="Calibri"/>
              </w:rPr>
              <w:t xml:space="preserve"> and </w:t>
            </w:r>
            <w:r w:rsidR="00D60720" w:rsidRPr="003771DB">
              <w:rPr>
                <w:rFonts w:eastAsia="Calibri"/>
              </w:rPr>
              <w:t>≥</w:t>
            </w:r>
            <w:r w:rsidRPr="003771DB">
              <w:rPr>
                <w:rFonts w:eastAsia="Calibri"/>
              </w:rPr>
              <w:t xml:space="preserve">2 weight-related comorbidities with </w:t>
            </w:r>
            <w:r w:rsidR="00F87D5E" w:rsidRPr="003771DB">
              <w:rPr>
                <w:rFonts w:eastAsia="Calibri"/>
              </w:rPr>
              <w:t xml:space="preserve">confirmed </w:t>
            </w:r>
            <w:r w:rsidRPr="003771DB">
              <w:rPr>
                <w:rFonts w:eastAsia="Calibri"/>
              </w:rPr>
              <w:t>obstructive sleep apnoea, knee osteoarthritis or pre-diabetes. SF</w:t>
            </w:r>
            <w:r w:rsidR="00E82E02" w:rsidRPr="003771DB">
              <w:rPr>
                <w:rFonts w:eastAsia="Calibri"/>
              </w:rPr>
              <w:t>-</w:t>
            </w:r>
            <w:r w:rsidRPr="003771DB">
              <w:rPr>
                <w:rFonts w:eastAsia="Calibri"/>
              </w:rPr>
              <w:t xml:space="preserve">36v2 scores were transformed to SF-6Dv1 health states using a mapping tool developed by the University of Sheffield (no relevant reference provided) and using Australian utility weights (Norman 2014). </w:t>
            </w:r>
          </w:p>
          <w:p w14:paraId="40B51E02" w14:textId="26055A9B" w:rsidR="007733D4" w:rsidRPr="003771DB" w:rsidRDefault="007733D4" w:rsidP="00886A85">
            <w:pPr>
              <w:pStyle w:val="COMTabletext"/>
              <w:keepLines/>
              <w:spacing w:after="60"/>
              <w:rPr>
                <w:rFonts w:eastAsia="Calibri"/>
                <w:iCs/>
              </w:rPr>
            </w:pPr>
            <w:r w:rsidRPr="003771DB">
              <w:rPr>
                <w:rFonts w:eastAsia="Calibri"/>
                <w:iCs/>
              </w:rPr>
              <w:t>The</w:t>
            </w:r>
            <w:r w:rsidRPr="003771DB">
              <w:rPr>
                <w:rFonts w:eastAsia="Calibri"/>
                <w:i/>
              </w:rPr>
              <w:t xml:space="preserve"> </w:t>
            </w:r>
            <w:r w:rsidRPr="003771DB">
              <w:rPr>
                <w:rFonts w:eastAsia="Calibri"/>
                <w:iCs/>
              </w:rPr>
              <w:t>transformed utility data did not appear to be consistent with the quality</w:t>
            </w:r>
            <w:r w:rsidR="00D60720" w:rsidRPr="003771DB">
              <w:rPr>
                <w:rFonts w:eastAsia="Calibri"/>
                <w:iCs/>
              </w:rPr>
              <w:t xml:space="preserve"> </w:t>
            </w:r>
            <w:r w:rsidRPr="003771DB">
              <w:rPr>
                <w:rFonts w:eastAsia="Calibri"/>
                <w:iCs/>
              </w:rPr>
              <w:t>of</w:t>
            </w:r>
            <w:r w:rsidR="00D60720" w:rsidRPr="003771DB">
              <w:rPr>
                <w:rFonts w:eastAsia="Calibri"/>
                <w:iCs/>
              </w:rPr>
              <w:t xml:space="preserve"> </w:t>
            </w:r>
            <w:r w:rsidRPr="003771DB">
              <w:rPr>
                <w:rFonts w:eastAsia="Calibri"/>
                <w:iCs/>
              </w:rPr>
              <w:t>life outcomes reported in the STEP-1 trial</w:t>
            </w:r>
            <w:r w:rsidR="00D60720" w:rsidRPr="003771DB">
              <w:rPr>
                <w:rFonts w:eastAsia="Calibri"/>
                <w:iCs/>
              </w:rPr>
              <w:t>,</w:t>
            </w:r>
            <w:r w:rsidRPr="003771DB">
              <w:rPr>
                <w:rFonts w:eastAsia="Calibri"/>
                <w:iCs/>
              </w:rPr>
              <w:t xml:space="preserve"> which generally suggested much smaller differences between treatment arms.</w:t>
            </w:r>
          </w:p>
          <w:p w14:paraId="7F4D0D9C" w14:textId="4F487067" w:rsidR="007733D4" w:rsidRPr="003771DB" w:rsidRDefault="007733D4" w:rsidP="00886A85">
            <w:pPr>
              <w:pStyle w:val="COMTabletext"/>
              <w:keepLines/>
              <w:spacing w:after="60"/>
              <w:rPr>
                <w:rFonts w:eastAsia="Calibri"/>
                <w:iCs/>
              </w:rPr>
            </w:pPr>
            <w:r w:rsidRPr="003771DB">
              <w:rPr>
                <w:rFonts w:eastAsia="Calibri"/>
                <w:iCs/>
              </w:rPr>
              <w:t xml:space="preserve">The resubmission did not adequately justify the mapping of SF-36v2 quality of life values to SF-6Dv1 health states given that SF-6Dv2 health states have been developed based on the SF-36v2 questionnaire (Brazier </w:t>
            </w:r>
            <w:r w:rsidR="00137687" w:rsidRPr="003771DB">
              <w:rPr>
                <w:rFonts w:eastAsia="Calibri"/>
                <w:iCs/>
              </w:rPr>
              <w:t>2002</w:t>
            </w:r>
            <w:r w:rsidRPr="003771DB">
              <w:rPr>
                <w:rFonts w:eastAsia="Calibri"/>
                <w:iCs/>
              </w:rPr>
              <w:t xml:space="preserve">, Mulhern 2020) which also has Australian valuation of health states (Mulhern 2021). </w:t>
            </w:r>
          </w:p>
          <w:p w14:paraId="68A34230" w14:textId="5C44A14D" w:rsidR="007733D4" w:rsidRPr="003771DB" w:rsidRDefault="007733D4" w:rsidP="00886A85">
            <w:pPr>
              <w:pStyle w:val="COMTabletext"/>
              <w:keepLines/>
              <w:spacing w:after="60"/>
              <w:rPr>
                <w:rFonts w:eastAsia="Calibri"/>
                <w:iCs/>
              </w:rPr>
            </w:pPr>
            <w:r w:rsidRPr="003771DB">
              <w:rPr>
                <w:rFonts w:eastAsia="Calibri"/>
                <w:iCs/>
              </w:rPr>
              <w:t xml:space="preserve">A sponsor-commissioned, </w:t>
            </w:r>
            <w:r w:rsidRPr="003771DB">
              <w:rPr>
                <w:rFonts w:eastAsia="Calibri"/>
                <w:i/>
              </w:rPr>
              <w:t>post hoc</w:t>
            </w:r>
            <w:r w:rsidRPr="003771DB">
              <w:rPr>
                <w:rFonts w:eastAsia="Calibri"/>
                <w:iCs/>
              </w:rPr>
              <w:t xml:space="preserve"> analysis of the STEP trials which transformed </w:t>
            </w:r>
            <w:r w:rsidR="00E82E02" w:rsidRPr="003771DB">
              <w:rPr>
                <w:rFonts w:eastAsia="Calibri"/>
                <w:iCs/>
              </w:rPr>
              <w:t>SF</w:t>
            </w:r>
            <w:r w:rsidR="00E82E02" w:rsidRPr="003771DB">
              <w:rPr>
                <w:rFonts w:eastAsia="Calibri"/>
                <w:iCs/>
              </w:rPr>
              <w:noBreakHyphen/>
              <w:t xml:space="preserve">36v2 </w:t>
            </w:r>
            <w:r w:rsidRPr="003771DB">
              <w:rPr>
                <w:rFonts w:eastAsia="Calibri"/>
                <w:iCs/>
              </w:rPr>
              <w:t>scores to SF-6Dv2 utility values using UK QALY weights was recently published (</w:t>
            </w:r>
            <w:proofErr w:type="spellStart"/>
            <w:r w:rsidRPr="003771DB">
              <w:rPr>
                <w:rFonts w:eastAsia="Calibri"/>
                <w:iCs/>
              </w:rPr>
              <w:t>Bjorner</w:t>
            </w:r>
            <w:proofErr w:type="spellEnd"/>
            <w:r w:rsidRPr="003771DB">
              <w:rPr>
                <w:rFonts w:eastAsia="Calibri"/>
                <w:iCs/>
              </w:rPr>
              <w:t xml:space="preserve"> 2023). The estimated utility difference between semaglutide and placebo in the STEP-1 trial using mapped SF-6Dv2 values (0.029) was substantially smaller than the estimates presented in the resubmission using mapped SF-6Dv1 values (0.05</w:t>
            </w:r>
            <w:r w:rsidR="00016492" w:rsidRPr="003771DB">
              <w:rPr>
                <w:rFonts w:eastAsia="Calibri"/>
                <w:iCs/>
              </w:rPr>
              <w:t>7</w:t>
            </w:r>
            <w:r w:rsidRPr="003771DB">
              <w:rPr>
                <w:rFonts w:eastAsia="Calibri"/>
                <w:iCs/>
              </w:rPr>
              <w:t>).</w:t>
            </w:r>
            <w:r w:rsidR="000575F8" w:rsidRPr="003771DB">
              <w:rPr>
                <w:rFonts w:eastAsia="Calibri"/>
                <w:iCs/>
              </w:rPr>
              <w:t xml:space="preserve"> The pre-PBAC response stated the new methodological development was not actively considered during preparation of the resubmission and it also strongly disputes the assertion that an observed difference in the utility benefit obtained in the ITT population of STEP 1 using the UK valuation algorithm for the SF-6Dv2, versus the Australian valuation algorithm for the SF-6Dv1, means that the new methodology and value set will necessarily produce less favourable results than the old one within the subgroups of interest.</w:t>
            </w:r>
          </w:p>
          <w:p w14:paraId="03069492" w14:textId="3E60D93F" w:rsidR="007733D4" w:rsidRPr="003771DB" w:rsidRDefault="007733D4" w:rsidP="00886A85">
            <w:pPr>
              <w:pStyle w:val="COMTabletext"/>
              <w:keepLines/>
              <w:spacing w:after="60"/>
              <w:rPr>
                <w:i/>
              </w:rPr>
            </w:pPr>
            <w:r w:rsidRPr="003771DB">
              <w:t>Values between Week 68 and Week 104 were extrapolated based on the assumption that utility values at Week 68 would be maintained over this period regardless of whether patients were persistent or non-persistent to therapy.</w:t>
            </w:r>
            <w:r w:rsidR="00E57C94" w:rsidRPr="003771DB">
              <w:t xml:space="preserve"> </w:t>
            </w:r>
            <w:r w:rsidR="004834CF" w:rsidRPr="003771DB">
              <w:rPr>
                <w:iCs/>
              </w:rPr>
              <w:t xml:space="preserve">The ESC considered that </w:t>
            </w:r>
            <w:r w:rsidR="004834CF" w:rsidRPr="003771DB">
              <w:t>t</w:t>
            </w:r>
            <w:r w:rsidRPr="003771DB">
              <w:rPr>
                <w:iCs/>
              </w:rPr>
              <w:t>his assumption was not appropriate given that approximately 42% of patients in the semaglutide arm and 88% of patients in the placebo arm had ceased therapy at Week 68 in the model.</w:t>
            </w:r>
          </w:p>
        </w:tc>
        <w:tc>
          <w:tcPr>
            <w:tcW w:w="601" w:type="pct"/>
            <w:shd w:val="clear" w:color="auto" w:fill="auto"/>
            <w:vAlign w:val="center"/>
          </w:tcPr>
          <w:p w14:paraId="2E7E693A" w14:textId="77777777" w:rsidR="007733D4" w:rsidRPr="003771DB" w:rsidRDefault="007733D4" w:rsidP="00886A85">
            <w:pPr>
              <w:pStyle w:val="COMTabletext"/>
              <w:keepLines/>
              <w:jc w:val="center"/>
            </w:pPr>
            <w:r w:rsidRPr="003771DB">
              <w:t>High,</w:t>
            </w:r>
          </w:p>
          <w:p w14:paraId="429794CA" w14:textId="77777777" w:rsidR="007733D4" w:rsidRPr="003771DB" w:rsidRDefault="007733D4" w:rsidP="00886A85">
            <w:pPr>
              <w:pStyle w:val="COMTabletext"/>
              <w:keepLines/>
              <w:jc w:val="center"/>
              <w:rPr>
                <w:bCs w:val="0"/>
              </w:rPr>
            </w:pPr>
            <w:r w:rsidRPr="003771DB">
              <w:t>favours semaglutide</w:t>
            </w:r>
          </w:p>
          <w:p w14:paraId="4C33D523" w14:textId="77777777" w:rsidR="007733D4" w:rsidRPr="003771DB" w:rsidRDefault="007733D4" w:rsidP="00886A85">
            <w:pPr>
              <w:pStyle w:val="COMTabletext"/>
              <w:keepLines/>
              <w:jc w:val="center"/>
              <w:rPr>
                <w:i/>
              </w:rPr>
            </w:pPr>
          </w:p>
        </w:tc>
      </w:tr>
      <w:tr w:rsidR="007733D4" w:rsidRPr="003771DB" w14:paraId="08CCE810" w14:textId="77777777" w:rsidTr="00CB5360">
        <w:tc>
          <w:tcPr>
            <w:tcW w:w="548" w:type="pct"/>
            <w:shd w:val="clear" w:color="auto" w:fill="auto"/>
            <w:vAlign w:val="center"/>
          </w:tcPr>
          <w:p w14:paraId="2224462F" w14:textId="77777777" w:rsidR="007733D4" w:rsidRPr="003771DB" w:rsidRDefault="007733D4" w:rsidP="00886A85">
            <w:pPr>
              <w:pStyle w:val="COMTabletext"/>
              <w:keepLines/>
            </w:pPr>
            <w:r w:rsidRPr="003771DB">
              <w:t>Responder status utility values</w:t>
            </w:r>
          </w:p>
        </w:tc>
        <w:tc>
          <w:tcPr>
            <w:tcW w:w="3851" w:type="pct"/>
            <w:shd w:val="clear" w:color="auto" w:fill="auto"/>
            <w:vAlign w:val="center"/>
          </w:tcPr>
          <w:p w14:paraId="64A54DAB" w14:textId="77777777" w:rsidR="007733D4" w:rsidRPr="003771DB" w:rsidRDefault="007733D4" w:rsidP="00886A85">
            <w:pPr>
              <w:pStyle w:val="COMTabletext"/>
              <w:keepLines/>
              <w:spacing w:after="60"/>
            </w:pPr>
            <w:r w:rsidRPr="003771DB">
              <w:t xml:space="preserve">Utility values beyond Week 104 were extrapolated based on a </w:t>
            </w:r>
            <w:r w:rsidRPr="003771DB">
              <w:rPr>
                <w:i/>
              </w:rPr>
              <w:t>post hoc</w:t>
            </w:r>
            <w:r w:rsidRPr="003771DB">
              <w:t xml:space="preserve"> analysis of Week 68 mapped utility values (see above) in weight loss responders and non-responders using combined data from both treatment arms of the STEP-1 target subgroup.</w:t>
            </w:r>
          </w:p>
          <w:p w14:paraId="312E7441" w14:textId="77777777" w:rsidR="007733D4" w:rsidRPr="003771DB" w:rsidRDefault="007733D4" w:rsidP="00886A85">
            <w:pPr>
              <w:pStyle w:val="COMTabletext"/>
              <w:keepLines/>
              <w:spacing w:after="60"/>
              <w:rPr>
                <w:iCs/>
              </w:rPr>
            </w:pPr>
            <w:r w:rsidRPr="003771DB">
              <w:rPr>
                <w:iCs/>
              </w:rPr>
              <w:t xml:space="preserve">There were substantial differences in baseline utility scores between weight loss responders and non-responders, particularly in the semaglutide arm, which were not adequately explained </w:t>
            </w:r>
            <w:r w:rsidRPr="003771DB">
              <w:rPr>
                <w:iCs/>
              </w:rPr>
              <w:lastRenderedPageBreak/>
              <w:t>in the resubmission. The use of endpoint utility values for responders and non-responders in the model was inappropriate as it did not account for these baseline differences.</w:t>
            </w:r>
          </w:p>
          <w:p w14:paraId="41EE41E8" w14:textId="52531A7B" w:rsidR="00881E96" w:rsidRPr="003771DB" w:rsidRDefault="007733D4" w:rsidP="00886A85">
            <w:pPr>
              <w:pStyle w:val="COMTabletext"/>
              <w:keepLines/>
              <w:rPr>
                <w:iCs/>
              </w:rPr>
            </w:pPr>
            <w:r w:rsidRPr="003771DB">
              <w:rPr>
                <w:iCs/>
              </w:rPr>
              <w:t>For many of the subgroups, weight loss non-responders in the semaglutide arm achieved similar</w:t>
            </w:r>
            <w:r w:rsidR="00602B4E" w:rsidRPr="003771DB">
              <w:rPr>
                <w:iCs/>
              </w:rPr>
              <w:t>,</w:t>
            </w:r>
            <w:r w:rsidRPr="003771DB">
              <w:rPr>
                <w:iCs/>
              </w:rPr>
              <w:t xml:space="preserve"> or in some cases even larger</w:t>
            </w:r>
            <w:r w:rsidR="00602B4E" w:rsidRPr="003771DB">
              <w:rPr>
                <w:iCs/>
              </w:rPr>
              <w:t>,</w:t>
            </w:r>
            <w:r w:rsidRPr="003771DB">
              <w:rPr>
                <w:iCs/>
              </w:rPr>
              <w:t xml:space="preserve"> improvements in utility values compared to weight loss responders. These results were not consistent with weight loss being the main driver of utility gains.</w:t>
            </w:r>
          </w:p>
        </w:tc>
        <w:tc>
          <w:tcPr>
            <w:tcW w:w="601" w:type="pct"/>
            <w:shd w:val="clear" w:color="auto" w:fill="auto"/>
            <w:vAlign w:val="center"/>
          </w:tcPr>
          <w:p w14:paraId="6C63442F" w14:textId="77777777" w:rsidR="007733D4" w:rsidRPr="003771DB" w:rsidRDefault="007733D4" w:rsidP="00886A85">
            <w:pPr>
              <w:pStyle w:val="COMTabletext"/>
              <w:keepLines/>
              <w:jc w:val="center"/>
            </w:pPr>
            <w:r w:rsidRPr="003771DB">
              <w:lastRenderedPageBreak/>
              <w:t>High,</w:t>
            </w:r>
          </w:p>
          <w:p w14:paraId="373BB649" w14:textId="77777777" w:rsidR="007733D4" w:rsidRPr="003771DB" w:rsidRDefault="007733D4" w:rsidP="00886A85">
            <w:pPr>
              <w:pStyle w:val="COMTabletext"/>
              <w:keepLines/>
              <w:jc w:val="center"/>
              <w:rPr>
                <w:bCs w:val="0"/>
              </w:rPr>
            </w:pPr>
            <w:r w:rsidRPr="003771DB">
              <w:t>favours semaglutide</w:t>
            </w:r>
          </w:p>
        </w:tc>
      </w:tr>
    </w:tbl>
    <w:p w14:paraId="7E08790C" w14:textId="76965B93" w:rsidR="00CF6D57" w:rsidRPr="003771DB" w:rsidRDefault="00632B86" w:rsidP="00CF6D57">
      <w:pPr>
        <w:pStyle w:val="COMTablefooter"/>
      </w:pPr>
      <w:r w:rsidRPr="003771DB">
        <w:t>Source: Constructed during the evaluation</w:t>
      </w:r>
      <w:r w:rsidR="009D792E" w:rsidRPr="003771DB">
        <w:t>.</w:t>
      </w:r>
    </w:p>
    <w:p w14:paraId="01865C06" w14:textId="06CD0A32" w:rsidR="00CF6D57" w:rsidRPr="003771DB" w:rsidRDefault="00CF6D57" w:rsidP="00876C1C">
      <w:pPr>
        <w:pStyle w:val="COMexecsumnumberedpara"/>
      </w:pPr>
      <w:r w:rsidRPr="003771DB">
        <w:t>During the evaluation, the base case analysis was corrected and updated with the following changes:</w:t>
      </w:r>
    </w:p>
    <w:p w14:paraId="1A850C8D" w14:textId="1619FE9E" w:rsidR="00CF6D57" w:rsidRPr="003771DB" w:rsidRDefault="00CF6D57" w:rsidP="0042771B">
      <w:pPr>
        <w:pStyle w:val="COMexecsumnumberedpara"/>
        <w:numPr>
          <w:ilvl w:val="0"/>
          <w:numId w:val="9"/>
        </w:numPr>
        <w:ind w:left="1077" w:hanging="357"/>
      </w:pPr>
      <w:r w:rsidRPr="003771DB">
        <w:t>The formula calculating the utility values of non-responders in the semaglutide arm was corrected to reference the non-responder utility.</w:t>
      </w:r>
      <w:r w:rsidR="00E5575D" w:rsidRPr="003771DB">
        <w:t xml:space="preserve"> </w:t>
      </w:r>
      <w:r w:rsidR="00E5575D" w:rsidRPr="003771DB">
        <w:rPr>
          <w:iCs/>
        </w:rPr>
        <w:t xml:space="preserve">The PSCR acknowledged this error. </w:t>
      </w:r>
    </w:p>
    <w:p w14:paraId="7D3F43CE" w14:textId="7E49B854" w:rsidR="00CF6D57" w:rsidRPr="003771DB" w:rsidRDefault="00CF6D57" w:rsidP="0042771B">
      <w:pPr>
        <w:pStyle w:val="COMexecsumnumberedpara"/>
        <w:numPr>
          <w:ilvl w:val="0"/>
          <w:numId w:val="9"/>
        </w:numPr>
        <w:ind w:left="1077" w:hanging="357"/>
      </w:pPr>
      <w:r w:rsidRPr="003771DB">
        <w:t>The formula calculating trial persistence estimates in the semaglutide arm was corrected to allow the total number of discontinuing patients to accumulate.</w:t>
      </w:r>
      <w:r w:rsidR="00E5575D" w:rsidRPr="003771DB">
        <w:t xml:space="preserve"> </w:t>
      </w:r>
      <w:r w:rsidR="00E5575D" w:rsidRPr="003771DB">
        <w:rPr>
          <w:iCs/>
        </w:rPr>
        <w:t>The PSCR acknowledged this error.</w:t>
      </w:r>
    </w:p>
    <w:p w14:paraId="7F191F38" w14:textId="1628FB80" w:rsidR="00CF6D57" w:rsidRPr="003771DB" w:rsidRDefault="00CF6D57" w:rsidP="0042771B">
      <w:pPr>
        <w:pStyle w:val="COMexecsumnumberedpara"/>
        <w:numPr>
          <w:ilvl w:val="0"/>
          <w:numId w:val="9"/>
        </w:numPr>
        <w:ind w:left="1077" w:hanging="357"/>
      </w:pPr>
      <w:r w:rsidRPr="003771DB">
        <w:t>The effective price for semaglutide was recalculated based on the updated pricing provided by the sponsor</w:t>
      </w:r>
      <w:r w:rsidR="005C3136" w:rsidRPr="003771DB">
        <w:t>,</w:t>
      </w:r>
      <w:r w:rsidRPr="003771DB">
        <w:t xml:space="preserve"> using the standard method for determining effective DPMQs.</w:t>
      </w:r>
    </w:p>
    <w:p w14:paraId="30AA0E53" w14:textId="7FA4AD38" w:rsidR="00CF6D57" w:rsidRPr="003771DB" w:rsidRDefault="00CF6D57" w:rsidP="0042771B">
      <w:pPr>
        <w:pStyle w:val="COMexecsumnumberedpara"/>
        <w:numPr>
          <w:ilvl w:val="0"/>
          <w:numId w:val="9"/>
        </w:numPr>
        <w:ind w:left="1077" w:hanging="357"/>
      </w:pPr>
      <w:r w:rsidRPr="003771DB">
        <w:t xml:space="preserve">The MBS </w:t>
      </w:r>
      <w:r w:rsidR="00D31215" w:rsidRPr="003771DB">
        <w:t>fees were</w:t>
      </w:r>
      <w:r w:rsidRPr="003771DB">
        <w:t xml:space="preserve"> updated to reflect the August 2023 Schedule.</w:t>
      </w:r>
    </w:p>
    <w:p w14:paraId="65FC2B9C" w14:textId="4CFD6701" w:rsidR="00CF6D57" w:rsidRPr="003771DB" w:rsidRDefault="00CF6D57" w:rsidP="00CA17B6">
      <w:pPr>
        <w:pStyle w:val="COMexecsumnumberedpara"/>
        <w:keepNext/>
      </w:pPr>
      <w:r w:rsidRPr="003771DB">
        <w:t xml:space="preserve">The </w:t>
      </w:r>
      <w:r w:rsidR="00D945CD" w:rsidRPr="003771DB">
        <w:rPr>
          <w:iCs/>
        </w:rPr>
        <w:t>corrected</w:t>
      </w:r>
      <w:r w:rsidR="00D945CD" w:rsidRPr="003771DB">
        <w:t xml:space="preserve"> </w:t>
      </w:r>
      <w:r w:rsidRPr="003771DB">
        <w:t xml:space="preserve">results of the modelled economic evaluation are summarised </w:t>
      </w:r>
      <w:r w:rsidR="00DF093A" w:rsidRPr="003771DB">
        <w:t xml:space="preserve">in </w:t>
      </w:r>
      <w:r w:rsidR="00DF093A" w:rsidRPr="003771DB">
        <w:fldChar w:fldCharType="begin" w:fldLock="1"/>
      </w:r>
      <w:r w:rsidR="00DF093A" w:rsidRPr="003771DB">
        <w:instrText xml:space="preserve"> REF _Ref143501901 \h </w:instrText>
      </w:r>
      <w:r w:rsidR="00DF093A" w:rsidRPr="003771DB">
        <w:fldChar w:fldCharType="separate"/>
      </w:r>
      <w:r w:rsidR="00D44FF6" w:rsidRPr="003771DB">
        <w:t>Table</w:t>
      </w:r>
      <w:r w:rsidR="00876C1C">
        <w:t> </w:t>
      </w:r>
      <w:r w:rsidR="00D44FF6" w:rsidRPr="00F7478B">
        <w:t>14</w:t>
      </w:r>
      <w:r w:rsidR="00DF093A" w:rsidRPr="003771DB">
        <w:fldChar w:fldCharType="end"/>
      </w:r>
      <w:r w:rsidRPr="003771DB">
        <w:t>.</w:t>
      </w:r>
    </w:p>
    <w:p w14:paraId="2C47F9B4" w14:textId="021FBBB4" w:rsidR="00CF6D57" w:rsidRPr="003771DB" w:rsidRDefault="00CF6D57" w:rsidP="00DF093A">
      <w:pPr>
        <w:pStyle w:val="Caption"/>
      </w:pPr>
      <w:bookmarkStart w:id="47" w:name="_Ref143501901"/>
      <w:r w:rsidRPr="003771DB">
        <w:t xml:space="preserve">Table </w:t>
      </w:r>
      <w:fldSimple w:instr=" SEQ Table \* ARABIC " w:fldLock="1">
        <w:r w:rsidR="00AD487C" w:rsidRPr="00F7478B">
          <w:t>14</w:t>
        </w:r>
      </w:fldSimple>
      <w:bookmarkEnd w:id="47"/>
      <w:r w:rsidRPr="003771DB">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economic evaluation"/>
        <w:tblDescription w:val="Table 14: Results of the economic evaluation"/>
      </w:tblPr>
      <w:tblGrid>
        <w:gridCol w:w="4168"/>
        <w:gridCol w:w="1623"/>
        <w:gridCol w:w="1717"/>
        <w:gridCol w:w="1509"/>
      </w:tblGrid>
      <w:tr w:rsidR="00CF6D57" w:rsidRPr="003771DB" w14:paraId="2AC7F36B" w14:textId="77777777" w:rsidTr="00076B84">
        <w:trPr>
          <w:tblHeader/>
        </w:trPr>
        <w:tc>
          <w:tcPr>
            <w:tcW w:w="2311" w:type="pct"/>
            <w:vAlign w:val="center"/>
          </w:tcPr>
          <w:p w14:paraId="6043447B" w14:textId="77777777" w:rsidR="00CF6D57" w:rsidRPr="003771DB" w:rsidRDefault="00CF6D57" w:rsidP="00076B84">
            <w:pPr>
              <w:pStyle w:val="Tableheadingrow"/>
              <w:rPr>
                <w:lang w:val="en-AU"/>
              </w:rPr>
            </w:pPr>
            <w:r w:rsidRPr="003771DB">
              <w:rPr>
                <w:lang w:val="en-AU"/>
              </w:rPr>
              <w:t>Component</w:t>
            </w:r>
          </w:p>
        </w:tc>
        <w:tc>
          <w:tcPr>
            <w:tcW w:w="900" w:type="pct"/>
            <w:vAlign w:val="center"/>
          </w:tcPr>
          <w:p w14:paraId="0FA71793" w14:textId="77777777" w:rsidR="00CF6D57" w:rsidRPr="003771DB" w:rsidRDefault="00CF6D57" w:rsidP="00076B84">
            <w:pPr>
              <w:pStyle w:val="Tableheadingrow"/>
              <w:jc w:val="center"/>
              <w:rPr>
                <w:bCs/>
                <w:lang w:val="en-AU"/>
              </w:rPr>
            </w:pPr>
            <w:r w:rsidRPr="003771DB">
              <w:rPr>
                <w:bCs/>
                <w:lang w:val="en-AU"/>
              </w:rPr>
              <w:t>Semaglutide</w:t>
            </w:r>
          </w:p>
        </w:tc>
        <w:tc>
          <w:tcPr>
            <w:tcW w:w="952" w:type="pct"/>
            <w:vAlign w:val="center"/>
          </w:tcPr>
          <w:p w14:paraId="184023AB" w14:textId="77777777" w:rsidR="00CF6D57" w:rsidRPr="003771DB" w:rsidRDefault="00CF6D57" w:rsidP="00076B84">
            <w:pPr>
              <w:pStyle w:val="Tableheadingrow"/>
              <w:jc w:val="center"/>
              <w:rPr>
                <w:bCs/>
                <w:lang w:val="en-AU"/>
              </w:rPr>
            </w:pPr>
            <w:r w:rsidRPr="003771DB">
              <w:rPr>
                <w:bCs/>
                <w:lang w:val="en-AU"/>
              </w:rPr>
              <w:t>Placebo</w:t>
            </w:r>
          </w:p>
        </w:tc>
        <w:tc>
          <w:tcPr>
            <w:tcW w:w="837" w:type="pct"/>
            <w:vAlign w:val="center"/>
          </w:tcPr>
          <w:p w14:paraId="6FA5129D" w14:textId="77777777" w:rsidR="00CF6D57" w:rsidRPr="003771DB" w:rsidRDefault="00CF6D57" w:rsidP="00076B84">
            <w:pPr>
              <w:pStyle w:val="Tableheadingrow"/>
              <w:jc w:val="center"/>
              <w:rPr>
                <w:lang w:val="en-AU"/>
              </w:rPr>
            </w:pPr>
            <w:r w:rsidRPr="003771DB">
              <w:rPr>
                <w:lang w:val="en-AU"/>
              </w:rPr>
              <w:t>Increment</w:t>
            </w:r>
          </w:p>
        </w:tc>
      </w:tr>
      <w:tr w:rsidR="00CF6D57" w:rsidRPr="003771DB" w14:paraId="3DB15E28" w14:textId="77777777" w:rsidTr="00076B84">
        <w:tc>
          <w:tcPr>
            <w:tcW w:w="5000" w:type="pct"/>
            <w:gridSpan w:val="4"/>
            <w:vAlign w:val="center"/>
          </w:tcPr>
          <w:p w14:paraId="53D21661" w14:textId="313914B2" w:rsidR="00CF6D57" w:rsidRPr="003771DB" w:rsidRDefault="001F5AFC" w:rsidP="00076B84">
            <w:pPr>
              <w:pStyle w:val="TableText"/>
              <w:rPr>
                <w:b/>
              </w:rPr>
            </w:pPr>
            <w:r w:rsidRPr="003771DB">
              <w:rPr>
                <w:b/>
              </w:rPr>
              <w:t>Modelled analysis using trial duration (</w:t>
            </w:r>
            <w:r w:rsidR="00AF520A" w:rsidRPr="003771DB">
              <w:rPr>
                <w:b/>
              </w:rPr>
              <w:t xml:space="preserve">68 weeks; </w:t>
            </w:r>
            <w:r w:rsidR="00CF6D57" w:rsidRPr="003771DB">
              <w:rPr>
                <w:b/>
              </w:rPr>
              <w:t>no discounting)</w:t>
            </w:r>
          </w:p>
        </w:tc>
      </w:tr>
      <w:tr w:rsidR="00CF6D57" w:rsidRPr="003771DB" w14:paraId="45E1532B" w14:textId="77777777" w:rsidTr="00076B84">
        <w:tc>
          <w:tcPr>
            <w:tcW w:w="2311" w:type="pct"/>
            <w:vAlign w:val="center"/>
          </w:tcPr>
          <w:p w14:paraId="5875F2FB" w14:textId="77777777" w:rsidR="00CF6D57" w:rsidRPr="003771DB" w:rsidRDefault="00CF6D57" w:rsidP="00076B84">
            <w:pPr>
              <w:pStyle w:val="TableText"/>
              <w:rPr>
                <w:rFonts w:ascii="Times" w:hAnsi="Times"/>
              </w:rPr>
            </w:pPr>
            <w:r w:rsidRPr="003771DB">
              <w:t>Costs</w:t>
            </w:r>
          </w:p>
        </w:tc>
        <w:tc>
          <w:tcPr>
            <w:tcW w:w="900" w:type="pct"/>
            <w:vAlign w:val="center"/>
          </w:tcPr>
          <w:p w14:paraId="3FF767D7" w14:textId="1A696721" w:rsidR="00CF6D57" w:rsidRPr="003771DB" w:rsidRDefault="00427AAD" w:rsidP="00076B84">
            <w:pPr>
              <w:pStyle w:val="TableText"/>
              <w:jc w:val="center"/>
            </w:pPr>
            <w:r>
              <w:t xml:space="preserve"> </w:t>
            </w:r>
            <w:r w:rsidRPr="00427AAD">
              <w:rPr>
                <w:color w:val="000000"/>
                <w:shd w:val="solid" w:color="000000" w:fill="000000"/>
                <w14:textFill>
                  <w14:solidFill>
                    <w14:srgbClr w14:val="000000">
                      <w14:alpha w14:val="100000"/>
                    </w14:srgbClr>
                  </w14:solidFill>
                </w14:textFill>
              </w:rPr>
              <w:t>|</w:t>
            </w:r>
          </w:p>
        </w:tc>
        <w:tc>
          <w:tcPr>
            <w:tcW w:w="952" w:type="pct"/>
            <w:vAlign w:val="center"/>
          </w:tcPr>
          <w:p w14:paraId="11578916" w14:textId="77777777" w:rsidR="00CF6D57" w:rsidRPr="003771DB" w:rsidRDefault="00CF6D57" w:rsidP="00076B84">
            <w:pPr>
              <w:pStyle w:val="TableText"/>
              <w:jc w:val="center"/>
            </w:pPr>
            <w:r w:rsidRPr="003771DB">
              <w:t>$2,120</w:t>
            </w:r>
          </w:p>
        </w:tc>
        <w:tc>
          <w:tcPr>
            <w:tcW w:w="837" w:type="pct"/>
            <w:vAlign w:val="center"/>
          </w:tcPr>
          <w:p w14:paraId="6632CCA2" w14:textId="421D3543" w:rsidR="00CF6D57" w:rsidRPr="0023515E" w:rsidRDefault="00427AAD" w:rsidP="00076B84">
            <w:pPr>
              <w:pStyle w:val="TableText"/>
              <w:jc w:val="center"/>
              <w:rPr>
                <w:highlight w:val="darkGray"/>
              </w:rPr>
            </w:pPr>
            <w:r>
              <w:t xml:space="preserve"> </w:t>
            </w:r>
            <w:r w:rsidRPr="00427AAD">
              <w:rPr>
                <w:color w:val="000000"/>
                <w:shd w:val="solid" w:color="000000" w:fill="000000"/>
                <w14:textFill>
                  <w14:solidFill>
                    <w14:srgbClr w14:val="000000">
                      <w14:alpha w14:val="100000"/>
                    </w14:srgbClr>
                  </w14:solidFill>
                </w14:textFill>
              </w:rPr>
              <w:t>|</w:t>
            </w:r>
          </w:p>
        </w:tc>
      </w:tr>
      <w:tr w:rsidR="00CF6D57" w:rsidRPr="003771DB" w14:paraId="6EE0D28F" w14:textId="77777777" w:rsidTr="00076B84">
        <w:tc>
          <w:tcPr>
            <w:tcW w:w="2311" w:type="pct"/>
            <w:vAlign w:val="center"/>
          </w:tcPr>
          <w:p w14:paraId="70407D2C" w14:textId="77777777" w:rsidR="00CF6D57" w:rsidRPr="003771DB" w:rsidRDefault="00CF6D57" w:rsidP="00076B84">
            <w:pPr>
              <w:pStyle w:val="TableText"/>
              <w:rPr>
                <w:rFonts w:ascii="Times" w:hAnsi="Times"/>
              </w:rPr>
            </w:pPr>
            <w:r w:rsidRPr="003771DB">
              <w:t>QALYs</w:t>
            </w:r>
          </w:p>
        </w:tc>
        <w:tc>
          <w:tcPr>
            <w:tcW w:w="900" w:type="pct"/>
            <w:vAlign w:val="center"/>
          </w:tcPr>
          <w:p w14:paraId="750EF80B" w14:textId="77777777" w:rsidR="00CF6D57" w:rsidRPr="003771DB" w:rsidRDefault="00CF6D57" w:rsidP="00076B84">
            <w:pPr>
              <w:pStyle w:val="TableText"/>
              <w:jc w:val="center"/>
            </w:pPr>
            <w:r w:rsidRPr="003771DB">
              <w:t>0.8786</w:t>
            </w:r>
          </w:p>
        </w:tc>
        <w:tc>
          <w:tcPr>
            <w:tcW w:w="952" w:type="pct"/>
            <w:vAlign w:val="center"/>
          </w:tcPr>
          <w:p w14:paraId="5A4EAFF6" w14:textId="77777777" w:rsidR="00CF6D57" w:rsidRPr="003771DB" w:rsidRDefault="00CF6D57" w:rsidP="00076B84">
            <w:pPr>
              <w:pStyle w:val="TableText"/>
              <w:jc w:val="center"/>
            </w:pPr>
            <w:r w:rsidRPr="003771DB">
              <w:t>0.7935</w:t>
            </w:r>
          </w:p>
        </w:tc>
        <w:tc>
          <w:tcPr>
            <w:tcW w:w="837" w:type="pct"/>
            <w:vAlign w:val="center"/>
          </w:tcPr>
          <w:p w14:paraId="17C154D9" w14:textId="77777777" w:rsidR="00CF6D57" w:rsidRPr="003771DB" w:rsidRDefault="00CF6D57" w:rsidP="00076B84">
            <w:pPr>
              <w:pStyle w:val="TableText"/>
              <w:jc w:val="center"/>
            </w:pPr>
            <w:r w:rsidRPr="003771DB">
              <w:t>0.0852</w:t>
            </w:r>
          </w:p>
        </w:tc>
      </w:tr>
      <w:tr w:rsidR="00CF6D57" w:rsidRPr="003771DB" w14:paraId="50578D3C" w14:textId="77777777" w:rsidTr="00076B84">
        <w:tc>
          <w:tcPr>
            <w:tcW w:w="4163" w:type="pct"/>
            <w:gridSpan w:val="3"/>
            <w:vAlign w:val="center"/>
          </w:tcPr>
          <w:p w14:paraId="41FAADF6" w14:textId="77777777" w:rsidR="00CF6D57" w:rsidRPr="003771DB" w:rsidRDefault="00CF6D57" w:rsidP="00076B84">
            <w:pPr>
              <w:pStyle w:val="TableText"/>
              <w:rPr>
                <w:rFonts w:ascii="Times" w:hAnsi="Times"/>
                <w:b/>
              </w:rPr>
            </w:pPr>
            <w:r w:rsidRPr="003771DB">
              <w:rPr>
                <w:b/>
              </w:rPr>
              <w:t>Incremental cost per QALY gained</w:t>
            </w:r>
          </w:p>
        </w:tc>
        <w:tc>
          <w:tcPr>
            <w:tcW w:w="837" w:type="pct"/>
            <w:vAlign w:val="center"/>
          </w:tcPr>
          <w:p w14:paraId="48F09381" w14:textId="37BD0139" w:rsidR="00CF6D57" w:rsidRPr="003771DB" w:rsidRDefault="00427AAD" w:rsidP="00076B84">
            <w:pPr>
              <w:pStyle w:val="TableText"/>
              <w:jc w:val="center"/>
              <w:rPr>
                <w:b/>
                <w:bCs w:val="0"/>
              </w:rPr>
            </w:pPr>
            <w:r>
              <w:rPr>
                <w:b/>
                <w:bCs w:val="0"/>
              </w:rPr>
              <w:t xml:space="preserve"> </w:t>
            </w:r>
            <w:r w:rsidRPr="00427AAD">
              <w:rPr>
                <w:b/>
                <w:bCs w:val="0"/>
                <w:color w:val="000000"/>
                <w:shd w:val="solid" w:color="000000" w:fill="000000"/>
                <w14:textFill>
                  <w14:solidFill>
                    <w14:srgbClr w14:val="000000">
                      <w14:alpha w14:val="100000"/>
                    </w14:srgbClr>
                  </w14:solidFill>
                </w14:textFill>
              </w:rPr>
              <w:t>|</w:t>
            </w:r>
            <w:r w:rsidR="000E46DD" w:rsidRPr="002E10B7">
              <w:rPr>
                <w:vertAlign w:val="superscript"/>
              </w:rPr>
              <w:t>1</w:t>
            </w:r>
          </w:p>
        </w:tc>
      </w:tr>
      <w:tr w:rsidR="00CF6D57" w:rsidRPr="003771DB" w14:paraId="1C563D8F" w14:textId="77777777" w:rsidTr="00076B84">
        <w:tc>
          <w:tcPr>
            <w:tcW w:w="5000" w:type="pct"/>
            <w:gridSpan w:val="4"/>
            <w:vAlign w:val="center"/>
          </w:tcPr>
          <w:p w14:paraId="49D21AAD" w14:textId="77777777" w:rsidR="00CF6D57" w:rsidRPr="003771DB" w:rsidRDefault="00CF6D57" w:rsidP="00076B84">
            <w:pPr>
              <w:pStyle w:val="TableText"/>
              <w:rPr>
                <w:b/>
              </w:rPr>
            </w:pPr>
            <w:r w:rsidRPr="003771DB">
              <w:rPr>
                <w:b/>
              </w:rPr>
              <w:t>Modelled analysis with 5 year time horizon (discounted)</w:t>
            </w:r>
          </w:p>
        </w:tc>
      </w:tr>
      <w:tr w:rsidR="00CF6D57" w:rsidRPr="003771DB" w14:paraId="04698CBC" w14:textId="77777777" w:rsidTr="00076B84">
        <w:tc>
          <w:tcPr>
            <w:tcW w:w="2311" w:type="pct"/>
            <w:vAlign w:val="center"/>
          </w:tcPr>
          <w:p w14:paraId="33846134" w14:textId="77777777" w:rsidR="00CF6D57" w:rsidRPr="003771DB" w:rsidRDefault="00CF6D57" w:rsidP="00076B84">
            <w:pPr>
              <w:pStyle w:val="TableText"/>
              <w:rPr>
                <w:rFonts w:ascii="Times" w:hAnsi="Times"/>
              </w:rPr>
            </w:pPr>
            <w:r w:rsidRPr="003771DB">
              <w:t>Costs</w:t>
            </w:r>
          </w:p>
        </w:tc>
        <w:tc>
          <w:tcPr>
            <w:tcW w:w="900" w:type="pct"/>
          </w:tcPr>
          <w:p w14:paraId="7891E1F4" w14:textId="0089AE54" w:rsidR="00CF6D57" w:rsidRPr="003771DB" w:rsidRDefault="00427AAD" w:rsidP="00076B84">
            <w:pPr>
              <w:pStyle w:val="TableText"/>
              <w:jc w:val="center"/>
              <w:rPr>
                <w:bCs w:val="0"/>
              </w:rPr>
            </w:pPr>
            <w:r>
              <w:rPr>
                <w:bCs w:val="0"/>
              </w:rPr>
              <w:t xml:space="preserve"> </w:t>
            </w:r>
            <w:r w:rsidRPr="00427AAD">
              <w:rPr>
                <w:bCs w:val="0"/>
                <w:color w:val="000000"/>
                <w:shd w:val="solid" w:color="000000" w:fill="000000"/>
                <w14:textFill>
                  <w14:solidFill>
                    <w14:srgbClr w14:val="000000">
                      <w14:alpha w14:val="100000"/>
                    </w14:srgbClr>
                  </w14:solidFill>
                </w14:textFill>
              </w:rPr>
              <w:t>|</w:t>
            </w:r>
          </w:p>
        </w:tc>
        <w:tc>
          <w:tcPr>
            <w:tcW w:w="952" w:type="pct"/>
          </w:tcPr>
          <w:p w14:paraId="0F963439" w14:textId="77777777" w:rsidR="00CF6D57" w:rsidRPr="003771DB" w:rsidRDefault="00CF6D57" w:rsidP="00076B84">
            <w:pPr>
              <w:pStyle w:val="TableText"/>
              <w:jc w:val="center"/>
              <w:rPr>
                <w:bCs w:val="0"/>
              </w:rPr>
            </w:pPr>
            <w:r w:rsidRPr="003771DB">
              <w:rPr>
                <w:bCs w:val="0"/>
              </w:rPr>
              <w:t>$3,020</w:t>
            </w:r>
          </w:p>
        </w:tc>
        <w:tc>
          <w:tcPr>
            <w:tcW w:w="837" w:type="pct"/>
          </w:tcPr>
          <w:p w14:paraId="105E1573" w14:textId="1DA9D828" w:rsidR="00CF6D57" w:rsidRPr="003771DB" w:rsidRDefault="00427AAD" w:rsidP="00076B84">
            <w:pPr>
              <w:pStyle w:val="TableText"/>
              <w:jc w:val="center"/>
              <w:rPr>
                <w:bCs w:val="0"/>
              </w:rPr>
            </w:pPr>
            <w:r>
              <w:rPr>
                <w:bCs w:val="0"/>
              </w:rPr>
              <w:t xml:space="preserve"> </w:t>
            </w:r>
            <w:r w:rsidRPr="00427AAD">
              <w:rPr>
                <w:bCs w:val="0"/>
                <w:color w:val="000000"/>
                <w:shd w:val="solid" w:color="000000" w:fill="000000"/>
                <w14:textFill>
                  <w14:solidFill>
                    <w14:srgbClr w14:val="000000">
                      <w14:alpha w14:val="100000"/>
                    </w14:srgbClr>
                  </w14:solidFill>
                </w14:textFill>
              </w:rPr>
              <w:t>|</w:t>
            </w:r>
          </w:p>
        </w:tc>
      </w:tr>
      <w:tr w:rsidR="00CF6D57" w:rsidRPr="003771DB" w14:paraId="3B6DF494" w14:textId="77777777" w:rsidTr="00076B84">
        <w:tc>
          <w:tcPr>
            <w:tcW w:w="2311" w:type="pct"/>
            <w:vAlign w:val="center"/>
          </w:tcPr>
          <w:p w14:paraId="6048C55D" w14:textId="77777777" w:rsidR="00CF6D57" w:rsidRPr="003771DB" w:rsidRDefault="00CF6D57" w:rsidP="00076B84">
            <w:pPr>
              <w:pStyle w:val="TableText"/>
              <w:rPr>
                <w:rFonts w:ascii="Times" w:hAnsi="Times"/>
              </w:rPr>
            </w:pPr>
            <w:r w:rsidRPr="003771DB">
              <w:t>QALYs</w:t>
            </w:r>
          </w:p>
        </w:tc>
        <w:tc>
          <w:tcPr>
            <w:tcW w:w="900" w:type="pct"/>
            <w:vAlign w:val="center"/>
          </w:tcPr>
          <w:p w14:paraId="62C85C0C" w14:textId="77777777" w:rsidR="00CF6D57" w:rsidRPr="003771DB" w:rsidRDefault="00CF6D57" w:rsidP="00076B84">
            <w:pPr>
              <w:pStyle w:val="TableText"/>
              <w:jc w:val="center"/>
              <w:rPr>
                <w:bCs w:val="0"/>
              </w:rPr>
            </w:pPr>
            <w:r w:rsidRPr="003771DB">
              <w:rPr>
                <w:bCs w:val="0"/>
                <w:szCs w:val="20"/>
              </w:rPr>
              <w:t>3.0927</w:t>
            </w:r>
          </w:p>
        </w:tc>
        <w:tc>
          <w:tcPr>
            <w:tcW w:w="952" w:type="pct"/>
            <w:vAlign w:val="center"/>
          </w:tcPr>
          <w:p w14:paraId="3B801B57" w14:textId="77777777" w:rsidR="00CF6D57" w:rsidRPr="003771DB" w:rsidRDefault="00CF6D57" w:rsidP="00076B84">
            <w:pPr>
              <w:pStyle w:val="TableText"/>
              <w:jc w:val="center"/>
              <w:rPr>
                <w:bCs w:val="0"/>
              </w:rPr>
            </w:pPr>
            <w:r w:rsidRPr="003771DB">
              <w:rPr>
                <w:bCs w:val="0"/>
                <w:szCs w:val="20"/>
              </w:rPr>
              <w:t>2.7874</w:t>
            </w:r>
          </w:p>
        </w:tc>
        <w:tc>
          <w:tcPr>
            <w:tcW w:w="837" w:type="pct"/>
            <w:vAlign w:val="center"/>
          </w:tcPr>
          <w:p w14:paraId="3CA5B06C" w14:textId="77777777" w:rsidR="00CF6D57" w:rsidRPr="003771DB" w:rsidRDefault="00CF6D57" w:rsidP="00076B84">
            <w:pPr>
              <w:pStyle w:val="TableText"/>
              <w:jc w:val="center"/>
              <w:rPr>
                <w:bCs w:val="0"/>
              </w:rPr>
            </w:pPr>
            <w:r w:rsidRPr="003771DB">
              <w:rPr>
                <w:bCs w:val="0"/>
                <w:szCs w:val="20"/>
              </w:rPr>
              <w:t>0.3053</w:t>
            </w:r>
          </w:p>
        </w:tc>
      </w:tr>
      <w:tr w:rsidR="00CF6D57" w:rsidRPr="003771DB" w14:paraId="52B024CE" w14:textId="77777777" w:rsidTr="00076B84">
        <w:tc>
          <w:tcPr>
            <w:tcW w:w="4163" w:type="pct"/>
            <w:gridSpan w:val="3"/>
            <w:vAlign w:val="center"/>
          </w:tcPr>
          <w:p w14:paraId="044CA756" w14:textId="77777777" w:rsidR="00CF6D57" w:rsidRPr="003771DB" w:rsidRDefault="00CF6D57" w:rsidP="00076B84">
            <w:pPr>
              <w:pStyle w:val="TableText"/>
              <w:rPr>
                <w:rFonts w:ascii="Times" w:hAnsi="Times"/>
                <w:b/>
              </w:rPr>
            </w:pPr>
            <w:r w:rsidRPr="003771DB">
              <w:rPr>
                <w:b/>
              </w:rPr>
              <w:t>Incremental cost per QALY gained</w:t>
            </w:r>
          </w:p>
        </w:tc>
        <w:tc>
          <w:tcPr>
            <w:tcW w:w="837" w:type="pct"/>
            <w:vAlign w:val="center"/>
          </w:tcPr>
          <w:p w14:paraId="0BBC525B" w14:textId="6512FBB1" w:rsidR="00CF6D57" w:rsidRPr="003771DB" w:rsidRDefault="00427AAD" w:rsidP="00076B84">
            <w:pPr>
              <w:pStyle w:val="TableText"/>
              <w:jc w:val="center"/>
              <w:rPr>
                <w:b/>
                <w:bCs w:val="0"/>
              </w:rPr>
            </w:pPr>
            <w:r>
              <w:rPr>
                <w:b/>
                <w:bCs w:val="0"/>
              </w:rPr>
              <w:t xml:space="preserve"> </w:t>
            </w:r>
            <w:r w:rsidRPr="00427AAD">
              <w:rPr>
                <w:b/>
                <w:bCs w:val="0"/>
                <w:color w:val="000000"/>
                <w:shd w:val="solid" w:color="000000" w:fill="000000"/>
                <w14:textFill>
                  <w14:solidFill>
                    <w14:srgbClr w14:val="000000">
                      <w14:alpha w14:val="100000"/>
                    </w14:srgbClr>
                  </w14:solidFill>
                </w14:textFill>
              </w:rPr>
              <w:t>|</w:t>
            </w:r>
            <w:r w:rsidR="00DC5B9E" w:rsidRPr="002E10B7">
              <w:rPr>
                <w:vertAlign w:val="superscript"/>
              </w:rPr>
              <w:t>2</w:t>
            </w:r>
          </w:p>
        </w:tc>
      </w:tr>
    </w:tbl>
    <w:p w14:paraId="4A80D212" w14:textId="77777777" w:rsidR="00CF6D57" w:rsidRPr="003771DB" w:rsidRDefault="00CF6D57" w:rsidP="00CF6D57">
      <w:pPr>
        <w:pStyle w:val="TableFigureFooter"/>
      </w:pPr>
      <w:r w:rsidRPr="003771DB">
        <w:t>Source: Table 3-8, p184 of the resubmission; with recalculations based on semaglutide Section 3 Workbook (July 2023) Excel spreadsheet</w:t>
      </w:r>
    </w:p>
    <w:p w14:paraId="4AFECE95" w14:textId="5EA58C5C" w:rsidR="00CF6D57" w:rsidRPr="003771DB" w:rsidRDefault="00CF6D57" w:rsidP="00CF6D57">
      <w:pPr>
        <w:pStyle w:val="TableFigureFooter"/>
      </w:pPr>
      <w:r w:rsidRPr="003771DB">
        <w:t>Abbreviations: QALY, quality adjusted life years</w:t>
      </w:r>
    </w:p>
    <w:p w14:paraId="66AF9B29" w14:textId="5141BCE4" w:rsidR="003D67F3" w:rsidRDefault="003D67F3" w:rsidP="00CF6D57">
      <w:pPr>
        <w:pStyle w:val="TableFigureFooter"/>
      </w:pPr>
      <w:r w:rsidRPr="003771DB">
        <w:t xml:space="preserve">Note: </w:t>
      </w:r>
      <w:r w:rsidR="00AD7520" w:rsidRPr="003771DB">
        <w:t>T</w:t>
      </w:r>
      <w:r w:rsidRPr="003771DB">
        <w:t>he resubmission used a non-standard method of calculating effective DPMQs from effective AEMPs which did not account for the differences in fees and markups for the published and effective DPMQs. During the evaluation the effective DPMQs were recalculated using standard methods.</w:t>
      </w:r>
    </w:p>
    <w:p w14:paraId="6A8C3598" w14:textId="77777777" w:rsidR="00DC5B9E" w:rsidRPr="002E10B7" w:rsidRDefault="00DC5B9E" w:rsidP="00DC5B9E">
      <w:pPr>
        <w:pStyle w:val="TableFigureFooter"/>
        <w:rPr>
          <w:i/>
          <w:iCs/>
        </w:rPr>
      </w:pPr>
      <w:bookmarkStart w:id="48" w:name="_Hlk155770910"/>
      <w:r w:rsidRPr="002E10B7">
        <w:rPr>
          <w:i/>
          <w:iCs/>
        </w:rPr>
        <w:t>The redacted values correspond to the following ranges:</w:t>
      </w:r>
    </w:p>
    <w:p w14:paraId="234CAF5D" w14:textId="77777777" w:rsidR="002E10B7" w:rsidRDefault="00DC5B9E" w:rsidP="002E10B7">
      <w:pPr>
        <w:pStyle w:val="TableFigureFooter"/>
        <w:rPr>
          <w:i/>
          <w:iCs/>
        </w:rPr>
      </w:pPr>
      <w:r w:rsidRPr="002E10B7">
        <w:rPr>
          <w:i/>
          <w:iCs/>
          <w:vertAlign w:val="superscript"/>
        </w:rPr>
        <w:t>1</w:t>
      </w:r>
      <w:r>
        <w:rPr>
          <w:i/>
          <w:iCs/>
        </w:rPr>
        <w:t xml:space="preserve"> </w:t>
      </w:r>
      <w:r w:rsidR="00D661DB" w:rsidRPr="00D661DB">
        <w:rPr>
          <w:i/>
          <w:iCs/>
        </w:rPr>
        <w:t>$35,000 to &lt; $45,000</w:t>
      </w:r>
    </w:p>
    <w:p w14:paraId="61F850F7" w14:textId="558325C4" w:rsidR="00DC5B9E" w:rsidRPr="002E10B7" w:rsidRDefault="00DC5B9E" w:rsidP="002E10B7">
      <w:pPr>
        <w:pStyle w:val="TableFigureFooter"/>
        <w:rPr>
          <w:i/>
          <w:iCs/>
        </w:rPr>
      </w:pPr>
      <w:r w:rsidRPr="002E10B7">
        <w:rPr>
          <w:i/>
          <w:iCs/>
          <w:vertAlign w:val="superscript"/>
        </w:rPr>
        <w:t>2</w:t>
      </w:r>
      <w:r>
        <w:rPr>
          <w:i/>
          <w:iCs/>
        </w:rPr>
        <w:t xml:space="preserve"> </w:t>
      </w:r>
      <w:r w:rsidRPr="002E10B7">
        <w:rPr>
          <w:i/>
          <w:iCs/>
        </w:rPr>
        <w:t>$25,000 to &lt; $35,000</w:t>
      </w:r>
    </w:p>
    <w:bookmarkEnd w:id="48"/>
    <w:p w14:paraId="21DF9D08" w14:textId="6C98C2E7" w:rsidR="00BE4CF2" w:rsidRPr="003771DB" w:rsidRDefault="006C45AA" w:rsidP="004E2228">
      <w:pPr>
        <w:pStyle w:val="COMexecsumnumberedpara"/>
      </w:pPr>
      <w:r w:rsidRPr="003771DB">
        <w:t>Based on the economic model, treatment with semaglutide was associated with an incremental cost per QALY gained of $</w:t>
      </w:r>
      <w:r w:rsidR="00291241" w:rsidRPr="00291241">
        <w:t>25,000 to &lt; $35,000</w:t>
      </w:r>
      <w:r w:rsidRPr="003771DB">
        <w:t xml:space="preserve"> compared to placebo for the management of severe obesity (uncorrected estimate: $</w:t>
      </w:r>
      <w:r w:rsidR="00C03F4F">
        <w:t>15,000 to &lt; $25,000</w:t>
      </w:r>
      <w:r w:rsidRPr="003771DB">
        <w:t xml:space="preserve"> per QALY gained). The estimated cost-effectiveness of semaglutide in the current resubmission ($</w:t>
      </w:r>
      <w:r w:rsidR="00291241" w:rsidRPr="00291241">
        <w:t>25,000 to &lt; $35,000</w:t>
      </w:r>
      <w:r w:rsidRPr="003771DB">
        <w:t xml:space="preserve"> per QALY gained) is substantially higher than the </w:t>
      </w:r>
      <w:r w:rsidRPr="003771DB">
        <w:lastRenderedPageBreak/>
        <w:t>estimate originally proposed in the March 2022 submission ($</w:t>
      </w:r>
      <w:r w:rsidR="00291241" w:rsidRPr="00291241">
        <w:t>15,000 to &lt; $25,000</w:t>
      </w:r>
      <w:r w:rsidRPr="003771DB">
        <w:t xml:space="preserve"> per QALY gained), although the PBAC noted that the March 2022 estimate should not be considered reliable due to a number of calculation errors, logical inconsistencies and unsupported values (para 7.9, semaglutide P</w:t>
      </w:r>
      <w:r w:rsidR="000C4551" w:rsidRPr="003771DB">
        <w:t>SD</w:t>
      </w:r>
      <w:r w:rsidRPr="003771DB">
        <w:t>, March 2022 PBAC meeting).</w:t>
      </w:r>
    </w:p>
    <w:p w14:paraId="70D9E2A7" w14:textId="3B98F63B" w:rsidR="005E178B" w:rsidRPr="003771DB" w:rsidRDefault="005E178B" w:rsidP="00876C1C">
      <w:pPr>
        <w:pStyle w:val="COMexecsumnumberedpara"/>
      </w:pPr>
      <w:r w:rsidRPr="003771DB">
        <w:t>For every 1,000 patients treated with semaglutide versus placebo and followed up for 5 years, the economic evaluation (based on undiscounted values) estimated that there would be:</w:t>
      </w:r>
    </w:p>
    <w:p w14:paraId="71D902F9" w14:textId="77777777" w:rsidR="005E178B" w:rsidRPr="003771DB" w:rsidRDefault="005E178B" w:rsidP="0042771B">
      <w:pPr>
        <w:pStyle w:val="COMexecsumnumberedpara"/>
        <w:numPr>
          <w:ilvl w:val="0"/>
          <w:numId w:val="10"/>
        </w:numPr>
      </w:pPr>
      <w:r w:rsidRPr="003771DB">
        <w:t>Improved quality of life associated with weight loss (average increase of 0.3362 quality-adjusted life years per patient).</w:t>
      </w:r>
    </w:p>
    <w:p w14:paraId="2D53F049" w14:textId="77777777" w:rsidR="005E178B" w:rsidRPr="003771DB" w:rsidRDefault="005E178B" w:rsidP="0042771B">
      <w:pPr>
        <w:pStyle w:val="COMexecsumnumberedpara"/>
        <w:numPr>
          <w:ilvl w:val="0"/>
          <w:numId w:val="10"/>
        </w:numPr>
      </w:pPr>
      <w:r w:rsidRPr="003771DB">
        <w:t>Reduced time spent with pre-diabetes (average decrease of 0.7126 years per patient).</w:t>
      </w:r>
    </w:p>
    <w:p w14:paraId="0835F4AB" w14:textId="77777777" w:rsidR="005E178B" w:rsidRPr="003771DB" w:rsidRDefault="005E178B" w:rsidP="0042771B">
      <w:pPr>
        <w:pStyle w:val="COMexecsumnumberedpara"/>
        <w:numPr>
          <w:ilvl w:val="0"/>
          <w:numId w:val="10"/>
        </w:numPr>
      </w:pPr>
      <w:r w:rsidRPr="003771DB">
        <w:t>Increased incidence of serious adverse events (18 additional events).</w:t>
      </w:r>
    </w:p>
    <w:p w14:paraId="480ED62E" w14:textId="2615BA74" w:rsidR="005E178B" w:rsidRPr="003771DB" w:rsidRDefault="005E178B" w:rsidP="0042771B">
      <w:pPr>
        <w:pStyle w:val="COMexecsumnumberedpara"/>
        <w:numPr>
          <w:ilvl w:val="0"/>
          <w:numId w:val="10"/>
        </w:numPr>
      </w:pPr>
      <w:r w:rsidRPr="003771DB">
        <w:t>Additional drug and weight management costs of $10.3 million.</w:t>
      </w:r>
    </w:p>
    <w:p w14:paraId="09F44EFF" w14:textId="4DC9AA72" w:rsidR="005E178B" w:rsidRPr="003771DB" w:rsidRDefault="005E178B" w:rsidP="004E2228">
      <w:pPr>
        <w:pStyle w:val="COMexecsumnumberedpara"/>
      </w:pPr>
      <w:bookmarkStart w:id="49" w:name="_Ref147843937"/>
      <w:r w:rsidRPr="003771DB">
        <w:t>The results of the sensitivity analyses</w:t>
      </w:r>
      <w:r w:rsidR="0059190F" w:rsidRPr="003771DB">
        <w:t xml:space="preserve">, presented in </w:t>
      </w:r>
      <w:r w:rsidR="0059190F" w:rsidRPr="003771DB">
        <w:fldChar w:fldCharType="begin" w:fldLock="1"/>
      </w:r>
      <w:r w:rsidR="0059190F" w:rsidRPr="003771DB">
        <w:instrText xml:space="preserve"> REF _Ref143501971 \h  \* MERGEFORMAT </w:instrText>
      </w:r>
      <w:r w:rsidR="0059190F" w:rsidRPr="003771DB">
        <w:fldChar w:fldCharType="separate"/>
      </w:r>
      <w:r w:rsidR="00D44FF6" w:rsidRPr="003771DB">
        <w:t>Table 15</w:t>
      </w:r>
      <w:r w:rsidR="0059190F" w:rsidRPr="003771DB">
        <w:fldChar w:fldCharType="end"/>
      </w:r>
      <w:r w:rsidR="0059190F" w:rsidRPr="003771DB">
        <w:t>,</w:t>
      </w:r>
      <w:r w:rsidRPr="003771DB">
        <w:t xml:space="preserve"> indicate that the model is most sensitive to treatment arm utility values, responder status utility values and </w:t>
      </w:r>
      <w:r w:rsidR="00D1519D" w:rsidRPr="003771DB">
        <w:t xml:space="preserve">the </w:t>
      </w:r>
      <w:r w:rsidRPr="003771DB">
        <w:t>semaglutide drug price. However, it should be noted that the impact of multiple episodes of care (i.e. semaglutide re-treatment), maintenance of treatment effects over time (despite decreased longer-term use of adjunctive weight management), use of alternative stopping rules, and different utility sets could not be adequately assessed using the current economic model.</w:t>
      </w:r>
      <w:bookmarkEnd w:id="49"/>
    </w:p>
    <w:p w14:paraId="5CF30C8C" w14:textId="3C7A1728" w:rsidR="002D09DE" w:rsidRPr="003771DB" w:rsidRDefault="002D09DE" w:rsidP="0059190F">
      <w:pPr>
        <w:pStyle w:val="Caption"/>
        <w:rPr>
          <w:rStyle w:val="CommentReference"/>
          <w:iCs/>
          <w:sz w:val="20"/>
          <w:szCs w:val="24"/>
        </w:rPr>
      </w:pPr>
      <w:bookmarkStart w:id="50" w:name="_Ref143501971"/>
      <w:r w:rsidRPr="003771DB">
        <w:rPr>
          <w:rStyle w:val="CommentReference"/>
          <w:sz w:val="20"/>
          <w:szCs w:val="24"/>
        </w:rPr>
        <w:t xml:space="preserve">Table </w:t>
      </w:r>
      <w:r w:rsidR="00AD487C" w:rsidRPr="003771DB">
        <w:rPr>
          <w:rStyle w:val="CommentReference"/>
          <w:sz w:val="20"/>
          <w:szCs w:val="24"/>
        </w:rPr>
        <w:fldChar w:fldCharType="begin" w:fldLock="1"/>
      </w:r>
      <w:r w:rsidR="00AD487C" w:rsidRPr="003771DB">
        <w:rPr>
          <w:rStyle w:val="CommentReference"/>
          <w:sz w:val="20"/>
          <w:szCs w:val="24"/>
        </w:rPr>
        <w:instrText xml:space="preserve"> SEQ Table \* ARABIC </w:instrText>
      </w:r>
      <w:r w:rsidR="00AD487C" w:rsidRPr="003771DB">
        <w:rPr>
          <w:rStyle w:val="CommentReference"/>
          <w:sz w:val="20"/>
          <w:szCs w:val="24"/>
        </w:rPr>
        <w:fldChar w:fldCharType="separate"/>
      </w:r>
      <w:r w:rsidR="00AD487C" w:rsidRPr="00F7478B">
        <w:rPr>
          <w:rStyle w:val="CommentReference"/>
          <w:sz w:val="20"/>
          <w:szCs w:val="24"/>
        </w:rPr>
        <w:t>15</w:t>
      </w:r>
      <w:r w:rsidR="00AD487C" w:rsidRPr="003771DB">
        <w:rPr>
          <w:rStyle w:val="CommentReference"/>
          <w:sz w:val="20"/>
          <w:szCs w:val="24"/>
        </w:rPr>
        <w:fldChar w:fldCharType="end"/>
      </w:r>
      <w:bookmarkEnd w:id="50"/>
      <w:r w:rsidRPr="003771DB">
        <w:rPr>
          <w:rStyle w:val="CommentReference"/>
          <w:sz w:val="20"/>
          <w:szCs w:val="24"/>
        </w:rPr>
        <w:t xml:space="preserve">: Results of key univariate sensitivity analyses </w:t>
      </w:r>
      <w:r w:rsidR="00D945CD" w:rsidRPr="003771DB">
        <w:rPr>
          <w:rStyle w:val="CommentReference"/>
          <w:iCs/>
          <w:sz w:val="20"/>
          <w:szCs w:val="24"/>
        </w:rPr>
        <w:t>(corrected)</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5: Results of key univariate sensitivity analyses (corrected)"/>
        <w:tblDescription w:val="Table 15: Results of key univariate sensitivity analyses (corrected)"/>
      </w:tblPr>
      <w:tblGrid>
        <w:gridCol w:w="4327"/>
        <w:gridCol w:w="1174"/>
        <w:gridCol w:w="1174"/>
        <w:gridCol w:w="1167"/>
        <w:gridCol w:w="6"/>
        <w:gridCol w:w="1181"/>
      </w:tblGrid>
      <w:tr w:rsidR="002D09DE" w:rsidRPr="003771DB" w14:paraId="724DBF5B" w14:textId="77777777" w:rsidTr="00583889">
        <w:trPr>
          <w:tblHeader/>
        </w:trPr>
        <w:tc>
          <w:tcPr>
            <w:tcW w:w="4327" w:type="dxa"/>
            <w:tcMar>
              <w:top w:w="0" w:type="dxa"/>
              <w:left w:w="108" w:type="dxa"/>
              <w:bottom w:w="0" w:type="dxa"/>
              <w:right w:w="108" w:type="dxa"/>
            </w:tcMar>
            <w:vAlign w:val="center"/>
            <w:hideMark/>
          </w:tcPr>
          <w:p w14:paraId="73354FA4" w14:textId="77777777" w:rsidR="002D09DE" w:rsidRPr="003771DB" w:rsidRDefault="002D09DE" w:rsidP="00583889">
            <w:pPr>
              <w:pStyle w:val="Tabletext0"/>
              <w:rPr>
                <w:szCs w:val="20"/>
              </w:rPr>
            </w:pPr>
            <w:r w:rsidRPr="003771DB">
              <w:rPr>
                <w:b/>
                <w:bCs/>
                <w:szCs w:val="20"/>
              </w:rPr>
              <w:t>Analyses</w:t>
            </w:r>
          </w:p>
        </w:tc>
        <w:tc>
          <w:tcPr>
            <w:tcW w:w="1174" w:type="dxa"/>
            <w:tcMar>
              <w:top w:w="0" w:type="dxa"/>
              <w:left w:w="108" w:type="dxa"/>
              <w:bottom w:w="0" w:type="dxa"/>
              <w:right w:w="108" w:type="dxa"/>
            </w:tcMar>
            <w:vAlign w:val="center"/>
            <w:hideMark/>
          </w:tcPr>
          <w:p w14:paraId="5F3D3F49" w14:textId="78AA37A9" w:rsidR="002D09DE" w:rsidRPr="003771DB" w:rsidRDefault="002D09DE" w:rsidP="00076B84">
            <w:pPr>
              <w:pStyle w:val="Tabletext0"/>
              <w:jc w:val="center"/>
              <w:rPr>
                <w:b/>
                <w:bCs/>
                <w:szCs w:val="20"/>
              </w:rPr>
            </w:pPr>
            <w:r w:rsidRPr="003771DB">
              <w:rPr>
                <w:b/>
                <w:bCs/>
                <w:szCs w:val="20"/>
              </w:rPr>
              <w:t>Incremental cost</w:t>
            </w:r>
            <w:r w:rsidR="00036544">
              <w:rPr>
                <w:b/>
                <w:bCs/>
                <w:szCs w:val="20"/>
              </w:rPr>
              <w:t xml:space="preserve"> ($)</w:t>
            </w:r>
          </w:p>
        </w:tc>
        <w:tc>
          <w:tcPr>
            <w:tcW w:w="1174" w:type="dxa"/>
            <w:tcMar>
              <w:top w:w="0" w:type="dxa"/>
              <w:left w:w="108" w:type="dxa"/>
              <w:bottom w:w="0" w:type="dxa"/>
              <w:right w:w="108" w:type="dxa"/>
            </w:tcMar>
            <w:vAlign w:val="center"/>
            <w:hideMark/>
          </w:tcPr>
          <w:p w14:paraId="4BB1C556" w14:textId="77777777" w:rsidR="002D09DE" w:rsidRPr="003771DB" w:rsidRDefault="002D09DE" w:rsidP="00076B84">
            <w:pPr>
              <w:pStyle w:val="Tabletext0"/>
              <w:jc w:val="center"/>
              <w:rPr>
                <w:b/>
                <w:bCs/>
                <w:szCs w:val="20"/>
              </w:rPr>
            </w:pPr>
            <w:r w:rsidRPr="003771DB">
              <w:rPr>
                <w:b/>
                <w:bCs/>
                <w:szCs w:val="20"/>
              </w:rPr>
              <w:t>Incremental QALY</w:t>
            </w:r>
          </w:p>
        </w:tc>
        <w:tc>
          <w:tcPr>
            <w:tcW w:w="1167" w:type="dxa"/>
            <w:tcMar>
              <w:top w:w="0" w:type="dxa"/>
              <w:left w:w="108" w:type="dxa"/>
              <w:bottom w:w="0" w:type="dxa"/>
              <w:right w:w="108" w:type="dxa"/>
            </w:tcMar>
            <w:vAlign w:val="center"/>
            <w:hideMark/>
          </w:tcPr>
          <w:p w14:paraId="7DEC4AB5" w14:textId="77777777" w:rsidR="002D09DE" w:rsidRPr="003771DB" w:rsidRDefault="002D09DE" w:rsidP="00076B84">
            <w:pPr>
              <w:pStyle w:val="Tabletext0"/>
              <w:jc w:val="center"/>
              <w:rPr>
                <w:b/>
                <w:bCs/>
                <w:szCs w:val="20"/>
              </w:rPr>
            </w:pPr>
            <w:r w:rsidRPr="003771DB">
              <w:rPr>
                <w:b/>
                <w:bCs/>
                <w:szCs w:val="20"/>
              </w:rPr>
              <w:t>ICER</w:t>
            </w:r>
          </w:p>
        </w:tc>
        <w:tc>
          <w:tcPr>
            <w:tcW w:w="1187" w:type="dxa"/>
            <w:gridSpan w:val="2"/>
            <w:vAlign w:val="center"/>
          </w:tcPr>
          <w:p w14:paraId="6CFAF31E" w14:textId="48CE386E" w:rsidR="002D09DE" w:rsidRPr="003771DB" w:rsidRDefault="002D09DE" w:rsidP="00076B84">
            <w:pPr>
              <w:pStyle w:val="Tabletext0"/>
              <w:jc w:val="center"/>
              <w:rPr>
                <w:b/>
                <w:bCs/>
                <w:szCs w:val="20"/>
              </w:rPr>
            </w:pPr>
            <w:r w:rsidRPr="003771DB">
              <w:rPr>
                <w:b/>
                <w:bCs/>
              </w:rPr>
              <w:t>Change from base case ICER</w:t>
            </w:r>
            <w:r w:rsidR="0082048E">
              <w:rPr>
                <w:b/>
                <w:bCs/>
              </w:rPr>
              <w:t xml:space="preserve"> (%)</w:t>
            </w:r>
          </w:p>
        </w:tc>
      </w:tr>
      <w:tr w:rsidR="002D09DE" w:rsidRPr="003771DB" w14:paraId="339E0D29" w14:textId="77777777" w:rsidTr="00076B84">
        <w:tc>
          <w:tcPr>
            <w:tcW w:w="4327" w:type="dxa"/>
            <w:tcMar>
              <w:top w:w="0" w:type="dxa"/>
              <w:left w:w="108" w:type="dxa"/>
              <w:bottom w:w="0" w:type="dxa"/>
              <w:right w:w="108" w:type="dxa"/>
            </w:tcMar>
            <w:hideMark/>
          </w:tcPr>
          <w:p w14:paraId="2BB2F0D5" w14:textId="77777777" w:rsidR="002D09DE" w:rsidRPr="003771DB" w:rsidRDefault="002D09DE" w:rsidP="00076B84">
            <w:pPr>
              <w:pStyle w:val="Tabletext0"/>
              <w:rPr>
                <w:b/>
                <w:bCs/>
                <w:szCs w:val="20"/>
                <w:vertAlign w:val="superscript"/>
              </w:rPr>
            </w:pPr>
            <w:r w:rsidRPr="003771DB">
              <w:rPr>
                <w:b/>
                <w:bCs/>
                <w:szCs w:val="20"/>
              </w:rPr>
              <w:t>Base case</w:t>
            </w:r>
          </w:p>
        </w:tc>
        <w:tc>
          <w:tcPr>
            <w:tcW w:w="1174" w:type="dxa"/>
            <w:tcMar>
              <w:top w:w="0" w:type="dxa"/>
              <w:left w:w="108" w:type="dxa"/>
              <w:bottom w:w="0" w:type="dxa"/>
              <w:right w:w="108" w:type="dxa"/>
            </w:tcMar>
          </w:tcPr>
          <w:p w14:paraId="0ACDEF14" w14:textId="76DC2FF8" w:rsidR="002D09DE" w:rsidRPr="003771DB" w:rsidRDefault="00427AAD" w:rsidP="00076B84">
            <w:pPr>
              <w:pStyle w:val="Tabletext0"/>
              <w:jc w:val="center"/>
              <w:rPr>
                <w:b/>
                <w:bCs/>
                <w:szCs w:val="20"/>
              </w:rPr>
            </w:pPr>
            <w:r>
              <w:rPr>
                <w:b/>
                <w:bCs/>
                <w:szCs w:val="20"/>
              </w:rPr>
              <w:t xml:space="preserve"> </w:t>
            </w:r>
            <w:r w:rsidRPr="00427AAD">
              <w:rPr>
                <w:rFonts w:hint="eastAsia"/>
                <w:b/>
                <w:bCs/>
                <w:color w:val="000000"/>
                <w:w w:val="31"/>
                <w:szCs w:val="20"/>
                <w:shd w:val="solid" w:color="000000" w:fill="000000"/>
                <w:fitText w:val="140" w:id="-1032062460"/>
                <w14:textFill>
                  <w14:solidFill>
                    <w14:srgbClr w14:val="000000">
                      <w14:alpha w14:val="100000"/>
                    </w14:srgbClr>
                  </w14:solidFill>
                </w14:textFill>
              </w:rPr>
              <w:t xml:space="preserve">　</w:t>
            </w:r>
            <w:r w:rsidRPr="00427AAD">
              <w:rPr>
                <w:b/>
                <w:bCs/>
                <w:color w:val="000000"/>
                <w:w w:val="31"/>
                <w:szCs w:val="20"/>
                <w:shd w:val="solid" w:color="000000" w:fill="000000"/>
                <w:fitText w:val="140" w:id="-1032062460"/>
                <w14:textFill>
                  <w14:solidFill>
                    <w14:srgbClr w14:val="000000">
                      <w14:alpha w14:val="100000"/>
                    </w14:srgbClr>
                  </w14:solidFill>
                </w14:textFill>
              </w:rPr>
              <w:t>|</w:t>
            </w:r>
            <w:r w:rsidRPr="00427AAD">
              <w:rPr>
                <w:rFonts w:hint="eastAsia"/>
                <w:b/>
                <w:bCs/>
                <w:color w:val="000000"/>
                <w:spacing w:val="3"/>
                <w:w w:val="31"/>
                <w:szCs w:val="20"/>
                <w:shd w:val="solid" w:color="000000" w:fill="000000"/>
                <w:fitText w:val="140" w:id="-1032062460"/>
                <w14:textFill>
                  <w14:solidFill>
                    <w14:srgbClr w14:val="000000">
                      <w14:alpha w14:val="100000"/>
                    </w14:srgbClr>
                  </w14:solidFill>
                </w14:textFill>
              </w:rPr>
              <w:t xml:space="preserve">　</w:t>
            </w:r>
            <w:r w:rsidR="00291241">
              <w:rPr>
                <w:b/>
                <w:bCs/>
                <w:szCs w:val="20"/>
              </w:rPr>
              <w:t xml:space="preserve"> </w:t>
            </w:r>
          </w:p>
        </w:tc>
        <w:tc>
          <w:tcPr>
            <w:tcW w:w="1174" w:type="dxa"/>
            <w:tcMar>
              <w:top w:w="0" w:type="dxa"/>
              <w:left w:w="108" w:type="dxa"/>
              <w:bottom w:w="0" w:type="dxa"/>
              <w:right w:w="108" w:type="dxa"/>
            </w:tcMar>
          </w:tcPr>
          <w:p w14:paraId="1959819F" w14:textId="77777777" w:rsidR="002D09DE" w:rsidRPr="003771DB" w:rsidRDefault="002D09DE" w:rsidP="00076B84">
            <w:pPr>
              <w:pStyle w:val="Tabletext0"/>
              <w:jc w:val="center"/>
              <w:rPr>
                <w:b/>
                <w:bCs/>
                <w:szCs w:val="20"/>
              </w:rPr>
            </w:pPr>
            <w:r w:rsidRPr="003771DB">
              <w:rPr>
                <w:b/>
                <w:bCs/>
                <w:szCs w:val="20"/>
              </w:rPr>
              <w:t>0.3053</w:t>
            </w:r>
          </w:p>
        </w:tc>
        <w:tc>
          <w:tcPr>
            <w:tcW w:w="1167" w:type="dxa"/>
            <w:tcMar>
              <w:top w:w="0" w:type="dxa"/>
              <w:left w:w="108" w:type="dxa"/>
              <w:bottom w:w="0" w:type="dxa"/>
              <w:right w:w="108" w:type="dxa"/>
            </w:tcMar>
          </w:tcPr>
          <w:p w14:paraId="19CE82D0" w14:textId="4B7A3273" w:rsidR="002D09DE" w:rsidRPr="003771DB" w:rsidRDefault="00427AAD" w:rsidP="00076B84">
            <w:pPr>
              <w:pStyle w:val="Tabletext0"/>
              <w:jc w:val="center"/>
              <w:rPr>
                <w:b/>
                <w:bCs/>
                <w:szCs w:val="20"/>
              </w:rPr>
            </w:pPr>
            <w:r>
              <w:rPr>
                <w:b/>
                <w:bCs/>
                <w:szCs w:val="20"/>
              </w:rPr>
              <w:t xml:space="preserve"> </w:t>
            </w:r>
            <w:r w:rsidRPr="00427AAD">
              <w:rPr>
                <w:b/>
                <w:bCs/>
                <w:color w:val="000000"/>
                <w:spacing w:val="78"/>
                <w:szCs w:val="20"/>
                <w:shd w:val="solid" w:color="000000" w:fill="000000"/>
                <w:fitText w:val="170" w:id="-1032062459"/>
                <w14:textFill>
                  <w14:solidFill>
                    <w14:srgbClr w14:val="000000">
                      <w14:alpha w14:val="100000"/>
                    </w14:srgbClr>
                  </w14:solidFill>
                </w14:textFill>
              </w:rPr>
              <w:t>|</w:t>
            </w:r>
            <w:r w:rsidRPr="00427AAD">
              <w:rPr>
                <w:b/>
                <w:bCs/>
                <w:color w:val="000000"/>
                <w:spacing w:val="1"/>
                <w:szCs w:val="20"/>
                <w:shd w:val="solid" w:color="000000" w:fill="000000"/>
                <w:fitText w:val="170" w:id="-1032062459"/>
                <w14:textFill>
                  <w14:solidFill>
                    <w14:srgbClr w14:val="000000">
                      <w14:alpha w14:val="100000"/>
                    </w14:srgbClr>
                  </w14:solidFill>
                </w14:textFill>
              </w:rPr>
              <w:t>|</w:t>
            </w:r>
            <w:r w:rsidR="002D0895">
              <w:rPr>
                <w:szCs w:val="20"/>
                <w:vertAlign w:val="superscript"/>
              </w:rPr>
              <w:t>1</w:t>
            </w:r>
          </w:p>
        </w:tc>
        <w:tc>
          <w:tcPr>
            <w:tcW w:w="1187" w:type="dxa"/>
            <w:gridSpan w:val="2"/>
          </w:tcPr>
          <w:p w14:paraId="227D1512" w14:textId="77777777" w:rsidR="002D09DE" w:rsidRPr="003771DB" w:rsidRDefault="002D09DE" w:rsidP="00076B84">
            <w:pPr>
              <w:pStyle w:val="Tabletext0"/>
              <w:jc w:val="center"/>
              <w:rPr>
                <w:b/>
                <w:bCs/>
                <w:szCs w:val="20"/>
              </w:rPr>
            </w:pPr>
            <w:r w:rsidRPr="003771DB">
              <w:rPr>
                <w:b/>
                <w:bCs/>
                <w:szCs w:val="20"/>
              </w:rPr>
              <w:t>-</w:t>
            </w:r>
          </w:p>
        </w:tc>
      </w:tr>
      <w:tr w:rsidR="002D09DE" w:rsidRPr="003771DB" w14:paraId="2A9FEE0D" w14:textId="77777777" w:rsidTr="00076B84">
        <w:tc>
          <w:tcPr>
            <w:tcW w:w="9029" w:type="dxa"/>
            <w:gridSpan w:val="6"/>
            <w:tcMar>
              <w:top w:w="0" w:type="dxa"/>
              <w:left w:w="108" w:type="dxa"/>
              <w:bottom w:w="0" w:type="dxa"/>
              <w:right w:w="108" w:type="dxa"/>
            </w:tcMar>
            <w:hideMark/>
          </w:tcPr>
          <w:p w14:paraId="516BAB85" w14:textId="77777777" w:rsidR="002D09DE" w:rsidRPr="003771DB" w:rsidRDefault="002D09DE" w:rsidP="00076B84">
            <w:pPr>
              <w:pStyle w:val="Tabletext0"/>
              <w:rPr>
                <w:szCs w:val="20"/>
              </w:rPr>
            </w:pPr>
            <w:r w:rsidRPr="003771DB">
              <w:rPr>
                <w:b/>
                <w:bCs/>
                <w:szCs w:val="20"/>
              </w:rPr>
              <w:t>Discount rate (base case: 5% for benefits and costs)</w:t>
            </w:r>
          </w:p>
        </w:tc>
      </w:tr>
      <w:tr w:rsidR="002D09DE" w:rsidRPr="003771DB" w14:paraId="747E295C" w14:textId="77777777" w:rsidTr="00076B84">
        <w:tc>
          <w:tcPr>
            <w:tcW w:w="4327" w:type="dxa"/>
            <w:tcMar>
              <w:top w:w="0" w:type="dxa"/>
              <w:left w:w="108" w:type="dxa"/>
              <w:bottom w:w="0" w:type="dxa"/>
              <w:right w:w="108" w:type="dxa"/>
            </w:tcMar>
            <w:hideMark/>
          </w:tcPr>
          <w:p w14:paraId="547C2F4E" w14:textId="77777777" w:rsidR="002D09DE" w:rsidRPr="003771DB" w:rsidRDefault="002D09DE" w:rsidP="00076B84">
            <w:pPr>
              <w:pStyle w:val="Tabletext0"/>
              <w:rPr>
                <w:szCs w:val="20"/>
              </w:rPr>
            </w:pPr>
            <w:r w:rsidRPr="003771DB">
              <w:rPr>
                <w:szCs w:val="20"/>
              </w:rPr>
              <w:t>3.5% discount rate</w:t>
            </w:r>
          </w:p>
        </w:tc>
        <w:tc>
          <w:tcPr>
            <w:tcW w:w="1174" w:type="dxa"/>
            <w:tcMar>
              <w:top w:w="0" w:type="dxa"/>
              <w:left w:w="108" w:type="dxa"/>
              <w:bottom w:w="0" w:type="dxa"/>
              <w:right w:w="108" w:type="dxa"/>
            </w:tcMar>
          </w:tcPr>
          <w:p w14:paraId="3B2FA139" w14:textId="27A4BEC0"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458"/>
                <w14:textFill>
                  <w14:solidFill>
                    <w14:srgbClr w14:val="000000">
                      <w14:alpha w14:val="100000"/>
                    </w14:srgbClr>
                  </w14:solidFill>
                </w14:textFill>
              </w:rPr>
              <w:t xml:space="preserve">　</w:t>
            </w:r>
            <w:r w:rsidRPr="00427AAD">
              <w:rPr>
                <w:color w:val="000000"/>
                <w:w w:val="20"/>
                <w:szCs w:val="20"/>
                <w:shd w:val="solid" w:color="000000" w:fill="000000"/>
                <w:fitText w:val="90" w:id="-1032062458"/>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458"/>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2D48D20A" w14:textId="77777777" w:rsidR="002D09DE" w:rsidRPr="003771DB" w:rsidRDefault="002D09DE" w:rsidP="00076B84">
            <w:pPr>
              <w:pStyle w:val="Tabletext0"/>
              <w:jc w:val="center"/>
              <w:rPr>
                <w:szCs w:val="20"/>
              </w:rPr>
            </w:pPr>
            <w:r w:rsidRPr="003771DB">
              <w:rPr>
                <w:szCs w:val="20"/>
              </w:rPr>
              <w:t>0.3140</w:t>
            </w:r>
          </w:p>
        </w:tc>
        <w:tc>
          <w:tcPr>
            <w:tcW w:w="1167" w:type="dxa"/>
            <w:tcMar>
              <w:top w:w="0" w:type="dxa"/>
              <w:left w:w="108" w:type="dxa"/>
              <w:bottom w:w="0" w:type="dxa"/>
              <w:right w:w="108" w:type="dxa"/>
            </w:tcMar>
          </w:tcPr>
          <w:p w14:paraId="5DAE844D" w14:textId="4193F5C9"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457"/>
                <w14:textFill>
                  <w14:solidFill>
                    <w14:srgbClr w14:val="000000">
                      <w14:alpha w14:val="100000"/>
                    </w14:srgbClr>
                  </w14:solidFill>
                </w14:textFill>
              </w:rPr>
              <w:t xml:space="preserve">　</w:t>
            </w:r>
            <w:r w:rsidRPr="00427AAD">
              <w:rPr>
                <w:color w:val="000000"/>
                <w:w w:val="29"/>
                <w:szCs w:val="20"/>
                <w:shd w:val="solid" w:color="000000" w:fill="000000"/>
                <w:fitText w:val="130" w:id="-1032062457"/>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457"/>
                <w14:textFill>
                  <w14:solidFill>
                    <w14:srgbClr w14:val="000000">
                      <w14:alpha w14:val="100000"/>
                    </w14:srgbClr>
                  </w14:solidFill>
                </w14:textFill>
              </w:rPr>
              <w:t xml:space="preserve">　</w:t>
            </w:r>
            <w:r w:rsidR="002D0895">
              <w:rPr>
                <w:szCs w:val="20"/>
                <w:vertAlign w:val="superscript"/>
              </w:rPr>
              <w:t>1</w:t>
            </w:r>
          </w:p>
        </w:tc>
        <w:tc>
          <w:tcPr>
            <w:tcW w:w="1187" w:type="dxa"/>
            <w:gridSpan w:val="2"/>
          </w:tcPr>
          <w:p w14:paraId="0B16606F" w14:textId="29CDDB87" w:rsidR="002D09DE" w:rsidRPr="003771DB" w:rsidRDefault="002D09DE" w:rsidP="00076B84">
            <w:pPr>
              <w:pStyle w:val="Tabletext0"/>
              <w:jc w:val="center"/>
              <w:rPr>
                <w:szCs w:val="20"/>
              </w:rPr>
            </w:pPr>
            <w:r w:rsidRPr="003771DB">
              <w:rPr>
                <w:szCs w:val="20"/>
              </w:rPr>
              <w:t>-</w:t>
            </w:r>
            <w:r w:rsidR="00427AAD">
              <w:rPr>
                <w:szCs w:val="20"/>
              </w:rPr>
              <w:t xml:space="preserve"> </w:t>
            </w:r>
            <w:r w:rsidR="00427AAD" w:rsidRPr="00EE4281">
              <w:rPr>
                <w:rFonts w:hint="eastAsia"/>
                <w:color w:val="000000"/>
                <w:w w:val="15"/>
                <w:szCs w:val="20"/>
                <w:shd w:val="solid" w:color="000000" w:fill="000000"/>
                <w:fitText w:val="10" w:id="-1032062456"/>
                <w14:textFill>
                  <w14:solidFill>
                    <w14:srgbClr w14:val="000000">
                      <w14:alpha w14:val="100000"/>
                    </w14:srgbClr>
                  </w14:solidFill>
                </w14:textFill>
              </w:rPr>
              <w:t xml:space="preserve">　</w:t>
            </w:r>
            <w:r w:rsidR="00427AAD" w:rsidRPr="00EE4281">
              <w:rPr>
                <w:color w:val="000000"/>
                <w:w w:val="15"/>
                <w:szCs w:val="20"/>
                <w:shd w:val="solid" w:color="000000" w:fill="000000"/>
                <w:fitText w:val="10" w:id="-1032062456"/>
                <w14:textFill>
                  <w14:solidFill>
                    <w14:srgbClr w14:val="000000">
                      <w14:alpha w14:val="100000"/>
                    </w14:srgbClr>
                  </w14:solidFill>
                </w14:textFill>
              </w:rPr>
              <w:t>|</w:t>
            </w:r>
            <w:r w:rsidR="00427AAD" w:rsidRPr="00EE4281">
              <w:rPr>
                <w:rFonts w:hint="eastAsia"/>
                <w:color w:val="000000"/>
                <w:spacing w:val="-56"/>
                <w:w w:val="15"/>
                <w:szCs w:val="20"/>
                <w:shd w:val="solid" w:color="000000" w:fill="000000"/>
                <w:fitText w:val="10" w:id="-1032062456"/>
                <w14:textFill>
                  <w14:solidFill>
                    <w14:srgbClr w14:val="000000">
                      <w14:alpha w14:val="100000"/>
                    </w14:srgbClr>
                  </w14:solidFill>
                </w14:textFill>
              </w:rPr>
              <w:t xml:space="preserve">　</w:t>
            </w:r>
          </w:p>
        </w:tc>
      </w:tr>
      <w:tr w:rsidR="002D09DE" w:rsidRPr="003771DB" w14:paraId="17E93FA1" w14:textId="77777777" w:rsidTr="00076B84">
        <w:tc>
          <w:tcPr>
            <w:tcW w:w="4327" w:type="dxa"/>
            <w:tcMar>
              <w:top w:w="0" w:type="dxa"/>
              <w:left w:w="108" w:type="dxa"/>
              <w:bottom w:w="0" w:type="dxa"/>
              <w:right w:w="108" w:type="dxa"/>
            </w:tcMar>
            <w:hideMark/>
          </w:tcPr>
          <w:p w14:paraId="2705A09D" w14:textId="77777777" w:rsidR="002D09DE" w:rsidRPr="003771DB" w:rsidRDefault="002D09DE" w:rsidP="00076B84">
            <w:pPr>
              <w:pStyle w:val="Tabletext0"/>
              <w:rPr>
                <w:szCs w:val="20"/>
              </w:rPr>
            </w:pPr>
            <w:r w:rsidRPr="003771DB">
              <w:rPr>
                <w:szCs w:val="20"/>
              </w:rPr>
              <w:t>0% discount rate</w:t>
            </w:r>
          </w:p>
        </w:tc>
        <w:tc>
          <w:tcPr>
            <w:tcW w:w="1174" w:type="dxa"/>
            <w:tcMar>
              <w:top w:w="0" w:type="dxa"/>
              <w:left w:w="108" w:type="dxa"/>
              <w:bottom w:w="0" w:type="dxa"/>
              <w:right w:w="108" w:type="dxa"/>
            </w:tcMar>
          </w:tcPr>
          <w:p w14:paraId="1DEF79FC" w14:textId="37E1794C"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455"/>
                <w14:textFill>
                  <w14:solidFill>
                    <w14:srgbClr w14:val="000000">
                      <w14:alpha w14:val="100000"/>
                    </w14:srgbClr>
                  </w14:solidFill>
                </w14:textFill>
              </w:rPr>
              <w:t xml:space="preserve">　</w:t>
            </w:r>
            <w:r w:rsidRPr="00427AAD">
              <w:rPr>
                <w:color w:val="000000"/>
                <w:w w:val="20"/>
                <w:szCs w:val="20"/>
                <w:shd w:val="solid" w:color="000000" w:fill="000000"/>
                <w:fitText w:val="90" w:id="-1032062455"/>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455"/>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07276EF3" w14:textId="77777777" w:rsidR="002D09DE" w:rsidRPr="003771DB" w:rsidRDefault="002D09DE" w:rsidP="00076B84">
            <w:pPr>
              <w:pStyle w:val="Tabletext0"/>
              <w:jc w:val="center"/>
              <w:rPr>
                <w:szCs w:val="20"/>
              </w:rPr>
            </w:pPr>
            <w:r w:rsidRPr="003771DB">
              <w:rPr>
                <w:szCs w:val="20"/>
              </w:rPr>
              <w:t>0.3362</w:t>
            </w:r>
          </w:p>
        </w:tc>
        <w:tc>
          <w:tcPr>
            <w:tcW w:w="1167" w:type="dxa"/>
            <w:tcMar>
              <w:top w:w="0" w:type="dxa"/>
              <w:left w:w="108" w:type="dxa"/>
              <w:bottom w:w="0" w:type="dxa"/>
              <w:right w:w="108" w:type="dxa"/>
            </w:tcMar>
          </w:tcPr>
          <w:p w14:paraId="0ED80ED0" w14:textId="641C586A"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454"/>
                <w14:textFill>
                  <w14:solidFill>
                    <w14:srgbClr w14:val="000000">
                      <w14:alpha w14:val="100000"/>
                    </w14:srgbClr>
                  </w14:solidFill>
                </w14:textFill>
              </w:rPr>
              <w:t xml:space="preserve">　</w:t>
            </w:r>
            <w:r w:rsidRPr="00427AAD">
              <w:rPr>
                <w:color w:val="000000"/>
                <w:w w:val="29"/>
                <w:szCs w:val="20"/>
                <w:shd w:val="solid" w:color="000000" w:fill="000000"/>
                <w:fitText w:val="130" w:id="-1032062454"/>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454"/>
                <w14:textFill>
                  <w14:solidFill>
                    <w14:srgbClr w14:val="000000">
                      <w14:alpha w14:val="100000"/>
                    </w14:srgbClr>
                  </w14:solidFill>
                </w14:textFill>
              </w:rPr>
              <w:t xml:space="preserve">　</w:t>
            </w:r>
            <w:r w:rsidR="002D0895">
              <w:rPr>
                <w:szCs w:val="20"/>
                <w:vertAlign w:val="superscript"/>
              </w:rPr>
              <w:t>1</w:t>
            </w:r>
          </w:p>
        </w:tc>
        <w:tc>
          <w:tcPr>
            <w:tcW w:w="1187" w:type="dxa"/>
            <w:gridSpan w:val="2"/>
          </w:tcPr>
          <w:p w14:paraId="11BCED53" w14:textId="7B6ED208" w:rsidR="002D09DE" w:rsidRPr="003771DB" w:rsidRDefault="002D09DE" w:rsidP="00076B84">
            <w:pPr>
              <w:pStyle w:val="Tabletext0"/>
              <w:jc w:val="center"/>
              <w:rPr>
                <w:szCs w:val="20"/>
              </w:rPr>
            </w:pPr>
            <w:r w:rsidRPr="003771DB">
              <w:rPr>
                <w:szCs w:val="20"/>
              </w:rPr>
              <w:t>-</w:t>
            </w:r>
            <w:r w:rsidR="00427AAD">
              <w:rPr>
                <w:szCs w:val="20"/>
              </w:rPr>
              <w:t xml:space="preserve"> </w:t>
            </w:r>
            <w:r w:rsidR="00427AAD" w:rsidRPr="00EE4281">
              <w:rPr>
                <w:rFonts w:hint="eastAsia"/>
                <w:color w:val="000000"/>
                <w:w w:val="15"/>
                <w:szCs w:val="20"/>
                <w:shd w:val="solid" w:color="000000" w:fill="000000"/>
                <w:fitText w:val="10" w:id="-1032062453"/>
                <w14:textFill>
                  <w14:solidFill>
                    <w14:srgbClr w14:val="000000">
                      <w14:alpha w14:val="100000"/>
                    </w14:srgbClr>
                  </w14:solidFill>
                </w14:textFill>
              </w:rPr>
              <w:t xml:space="preserve">　</w:t>
            </w:r>
            <w:r w:rsidR="00427AAD" w:rsidRPr="00EE4281">
              <w:rPr>
                <w:color w:val="000000"/>
                <w:w w:val="15"/>
                <w:szCs w:val="20"/>
                <w:shd w:val="solid" w:color="000000" w:fill="000000"/>
                <w:fitText w:val="10" w:id="-1032062453"/>
                <w14:textFill>
                  <w14:solidFill>
                    <w14:srgbClr w14:val="000000">
                      <w14:alpha w14:val="100000"/>
                    </w14:srgbClr>
                  </w14:solidFill>
                </w14:textFill>
              </w:rPr>
              <w:t>|</w:t>
            </w:r>
            <w:r w:rsidR="00427AAD" w:rsidRPr="00EE4281">
              <w:rPr>
                <w:rFonts w:hint="eastAsia"/>
                <w:color w:val="000000"/>
                <w:spacing w:val="-56"/>
                <w:w w:val="15"/>
                <w:szCs w:val="20"/>
                <w:shd w:val="solid" w:color="000000" w:fill="000000"/>
                <w:fitText w:val="10" w:id="-1032062453"/>
                <w14:textFill>
                  <w14:solidFill>
                    <w14:srgbClr w14:val="000000">
                      <w14:alpha w14:val="100000"/>
                    </w14:srgbClr>
                  </w14:solidFill>
                </w14:textFill>
              </w:rPr>
              <w:t xml:space="preserve">　</w:t>
            </w:r>
          </w:p>
        </w:tc>
      </w:tr>
      <w:tr w:rsidR="002D09DE" w:rsidRPr="003771DB" w14:paraId="69D78FE9" w14:textId="77777777" w:rsidTr="00076B84">
        <w:tc>
          <w:tcPr>
            <w:tcW w:w="9029" w:type="dxa"/>
            <w:gridSpan w:val="6"/>
            <w:tcMar>
              <w:top w:w="0" w:type="dxa"/>
              <w:left w:w="108" w:type="dxa"/>
              <w:bottom w:w="0" w:type="dxa"/>
              <w:right w:w="108" w:type="dxa"/>
            </w:tcMar>
            <w:hideMark/>
          </w:tcPr>
          <w:p w14:paraId="6A3AB8FC" w14:textId="77777777" w:rsidR="002D09DE" w:rsidRPr="003771DB" w:rsidRDefault="002D09DE" w:rsidP="00076B84">
            <w:pPr>
              <w:pStyle w:val="Tabletext0"/>
              <w:rPr>
                <w:szCs w:val="20"/>
              </w:rPr>
            </w:pPr>
            <w:r w:rsidRPr="003771DB">
              <w:rPr>
                <w:b/>
                <w:bCs/>
                <w:szCs w:val="20"/>
              </w:rPr>
              <w:t>Time horizon (base case: 5 years)</w:t>
            </w:r>
          </w:p>
        </w:tc>
      </w:tr>
      <w:tr w:rsidR="002D09DE" w:rsidRPr="003771DB" w14:paraId="27D11DE4" w14:textId="77777777" w:rsidTr="00076B84">
        <w:tc>
          <w:tcPr>
            <w:tcW w:w="4327" w:type="dxa"/>
            <w:tcMar>
              <w:top w:w="0" w:type="dxa"/>
              <w:left w:w="108" w:type="dxa"/>
              <w:bottom w:w="0" w:type="dxa"/>
              <w:right w:w="108" w:type="dxa"/>
            </w:tcMar>
          </w:tcPr>
          <w:p w14:paraId="0DB8BADC" w14:textId="77777777" w:rsidR="002D09DE" w:rsidRPr="003771DB" w:rsidRDefault="002D09DE" w:rsidP="00076B84">
            <w:pPr>
              <w:pStyle w:val="Tabletext0"/>
              <w:rPr>
                <w:szCs w:val="20"/>
              </w:rPr>
            </w:pPr>
            <w:r w:rsidRPr="003771DB">
              <w:rPr>
                <w:szCs w:val="20"/>
              </w:rPr>
              <w:t>3 years</w:t>
            </w:r>
          </w:p>
        </w:tc>
        <w:tc>
          <w:tcPr>
            <w:tcW w:w="1174" w:type="dxa"/>
            <w:tcMar>
              <w:top w:w="0" w:type="dxa"/>
              <w:left w:w="108" w:type="dxa"/>
              <w:bottom w:w="0" w:type="dxa"/>
              <w:right w:w="108" w:type="dxa"/>
            </w:tcMar>
          </w:tcPr>
          <w:p w14:paraId="02E53BE7" w14:textId="32E41689"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452"/>
                <w14:textFill>
                  <w14:solidFill>
                    <w14:srgbClr w14:val="000000">
                      <w14:alpha w14:val="100000"/>
                    </w14:srgbClr>
                  </w14:solidFill>
                </w14:textFill>
              </w:rPr>
              <w:t xml:space="preserve">　</w:t>
            </w:r>
            <w:r w:rsidRPr="00427AAD">
              <w:rPr>
                <w:color w:val="000000"/>
                <w:w w:val="20"/>
                <w:szCs w:val="20"/>
                <w:shd w:val="solid" w:color="000000" w:fill="000000"/>
                <w:fitText w:val="90" w:id="-1032062452"/>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452"/>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2F37C650" w14:textId="77777777" w:rsidR="002D09DE" w:rsidRPr="003771DB" w:rsidRDefault="002D09DE" w:rsidP="00076B84">
            <w:pPr>
              <w:pStyle w:val="Tabletext0"/>
              <w:jc w:val="center"/>
              <w:rPr>
                <w:szCs w:val="20"/>
              </w:rPr>
            </w:pPr>
            <w:r w:rsidRPr="003771DB">
              <w:rPr>
                <w:szCs w:val="20"/>
              </w:rPr>
              <w:t>0.1917</w:t>
            </w:r>
          </w:p>
        </w:tc>
        <w:tc>
          <w:tcPr>
            <w:tcW w:w="1167" w:type="dxa"/>
            <w:tcMar>
              <w:top w:w="0" w:type="dxa"/>
              <w:left w:w="108" w:type="dxa"/>
              <w:bottom w:w="0" w:type="dxa"/>
              <w:right w:w="108" w:type="dxa"/>
            </w:tcMar>
          </w:tcPr>
          <w:p w14:paraId="09BFCA27" w14:textId="7F13FBB3"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451"/>
                <w14:textFill>
                  <w14:solidFill>
                    <w14:srgbClr w14:val="000000">
                      <w14:alpha w14:val="100000"/>
                    </w14:srgbClr>
                  </w14:solidFill>
                </w14:textFill>
              </w:rPr>
              <w:t xml:space="preserve">　</w:t>
            </w:r>
            <w:r w:rsidRPr="00427AAD">
              <w:rPr>
                <w:color w:val="000000"/>
                <w:w w:val="29"/>
                <w:szCs w:val="20"/>
                <w:shd w:val="solid" w:color="000000" w:fill="000000"/>
                <w:fitText w:val="130" w:id="-1032062451"/>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451"/>
                <w14:textFill>
                  <w14:solidFill>
                    <w14:srgbClr w14:val="000000">
                      <w14:alpha w14:val="100000"/>
                    </w14:srgbClr>
                  </w14:solidFill>
                </w14:textFill>
              </w:rPr>
              <w:t xml:space="preserve">　</w:t>
            </w:r>
            <w:r w:rsidR="002D0895">
              <w:rPr>
                <w:szCs w:val="20"/>
                <w:vertAlign w:val="superscript"/>
              </w:rPr>
              <w:t>1</w:t>
            </w:r>
          </w:p>
        </w:tc>
        <w:tc>
          <w:tcPr>
            <w:tcW w:w="1187" w:type="dxa"/>
            <w:gridSpan w:val="2"/>
          </w:tcPr>
          <w:p w14:paraId="1DBAF18B" w14:textId="0B314251" w:rsidR="002D09DE" w:rsidRPr="003771DB" w:rsidRDefault="002D09DE" w:rsidP="00076B84">
            <w:pPr>
              <w:pStyle w:val="Tabletext0"/>
              <w:jc w:val="center"/>
              <w:rPr>
                <w:szCs w:val="20"/>
              </w:rPr>
            </w:pPr>
            <w:r w:rsidRPr="003771DB">
              <w:t>+</w:t>
            </w:r>
            <w:r w:rsidR="00427AAD">
              <w:t xml:space="preserve"> </w:t>
            </w:r>
            <w:r w:rsidR="00427AAD" w:rsidRPr="00427AAD">
              <w:rPr>
                <w:rFonts w:hint="eastAsia"/>
                <w:color w:val="000000"/>
                <w:w w:val="15"/>
                <w:shd w:val="solid" w:color="000000" w:fill="000000"/>
                <w:fitText w:val="30" w:id="-1032062450"/>
                <w14:textFill>
                  <w14:solidFill>
                    <w14:srgbClr w14:val="000000">
                      <w14:alpha w14:val="100000"/>
                    </w14:srgbClr>
                  </w14:solidFill>
                </w14:textFill>
              </w:rPr>
              <w:t xml:space="preserve">　</w:t>
            </w:r>
            <w:r w:rsidR="00427AAD" w:rsidRPr="00427AAD">
              <w:rPr>
                <w:color w:val="000000"/>
                <w:w w:val="15"/>
                <w:shd w:val="solid" w:color="000000" w:fill="000000"/>
                <w:fitText w:val="30" w:id="-1032062450"/>
                <w14:textFill>
                  <w14:solidFill>
                    <w14:srgbClr w14:val="000000">
                      <w14:alpha w14:val="100000"/>
                    </w14:srgbClr>
                  </w14:solidFill>
                </w14:textFill>
              </w:rPr>
              <w:t>|</w:t>
            </w:r>
            <w:r w:rsidR="00427AAD" w:rsidRPr="00427AAD">
              <w:rPr>
                <w:rFonts w:hint="eastAsia"/>
                <w:color w:val="000000"/>
                <w:spacing w:val="-35"/>
                <w:w w:val="15"/>
                <w:shd w:val="solid" w:color="000000" w:fill="000000"/>
                <w:fitText w:val="30" w:id="-1032062450"/>
                <w14:textFill>
                  <w14:solidFill>
                    <w14:srgbClr w14:val="000000">
                      <w14:alpha w14:val="100000"/>
                    </w14:srgbClr>
                  </w14:solidFill>
                </w14:textFill>
              </w:rPr>
              <w:t xml:space="preserve">　</w:t>
            </w:r>
          </w:p>
        </w:tc>
      </w:tr>
      <w:tr w:rsidR="002D09DE" w:rsidRPr="003771DB" w14:paraId="785076AE" w14:textId="77777777" w:rsidTr="00076B84">
        <w:tc>
          <w:tcPr>
            <w:tcW w:w="4327" w:type="dxa"/>
            <w:tcMar>
              <w:top w:w="0" w:type="dxa"/>
              <w:left w:w="108" w:type="dxa"/>
              <w:bottom w:w="0" w:type="dxa"/>
              <w:right w:w="108" w:type="dxa"/>
            </w:tcMar>
          </w:tcPr>
          <w:p w14:paraId="1C7476BE" w14:textId="77777777" w:rsidR="002D09DE" w:rsidRPr="003771DB" w:rsidRDefault="002D09DE" w:rsidP="00076B84">
            <w:pPr>
              <w:pStyle w:val="Tabletext0"/>
              <w:rPr>
                <w:szCs w:val="20"/>
              </w:rPr>
            </w:pPr>
            <w:r w:rsidRPr="003771DB">
              <w:rPr>
                <w:szCs w:val="20"/>
              </w:rPr>
              <w:t>10 years</w:t>
            </w:r>
          </w:p>
        </w:tc>
        <w:tc>
          <w:tcPr>
            <w:tcW w:w="1174" w:type="dxa"/>
            <w:tcMar>
              <w:top w:w="0" w:type="dxa"/>
              <w:left w:w="108" w:type="dxa"/>
              <w:bottom w:w="0" w:type="dxa"/>
              <w:right w:w="108" w:type="dxa"/>
            </w:tcMar>
          </w:tcPr>
          <w:p w14:paraId="3AFC125E" w14:textId="4786042A"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449"/>
                <w14:textFill>
                  <w14:solidFill>
                    <w14:srgbClr w14:val="000000">
                      <w14:alpha w14:val="100000"/>
                    </w14:srgbClr>
                  </w14:solidFill>
                </w14:textFill>
              </w:rPr>
              <w:t xml:space="preserve">　</w:t>
            </w:r>
            <w:r w:rsidRPr="00427AAD">
              <w:rPr>
                <w:color w:val="000000"/>
                <w:w w:val="20"/>
                <w:szCs w:val="20"/>
                <w:shd w:val="solid" w:color="000000" w:fill="000000"/>
                <w:fitText w:val="90" w:id="-1032062449"/>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449"/>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73597497" w14:textId="77777777" w:rsidR="002D09DE" w:rsidRPr="003771DB" w:rsidRDefault="002D09DE" w:rsidP="00076B84">
            <w:pPr>
              <w:pStyle w:val="Tabletext0"/>
              <w:jc w:val="center"/>
              <w:rPr>
                <w:szCs w:val="20"/>
              </w:rPr>
            </w:pPr>
            <w:r w:rsidRPr="003771DB">
              <w:rPr>
                <w:szCs w:val="20"/>
              </w:rPr>
              <w:t>0.5072</w:t>
            </w:r>
          </w:p>
        </w:tc>
        <w:tc>
          <w:tcPr>
            <w:tcW w:w="1167" w:type="dxa"/>
            <w:tcMar>
              <w:top w:w="0" w:type="dxa"/>
              <w:left w:w="108" w:type="dxa"/>
              <w:bottom w:w="0" w:type="dxa"/>
              <w:right w:w="108" w:type="dxa"/>
            </w:tcMar>
          </w:tcPr>
          <w:p w14:paraId="49DAB9E5" w14:textId="37384E08"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208"/>
                <w14:textFill>
                  <w14:solidFill>
                    <w14:srgbClr w14:val="000000">
                      <w14:alpha w14:val="100000"/>
                    </w14:srgbClr>
                  </w14:solidFill>
                </w14:textFill>
              </w:rPr>
              <w:t xml:space="preserve">　</w:t>
            </w:r>
            <w:r w:rsidRPr="00427AAD">
              <w:rPr>
                <w:color w:val="000000"/>
                <w:w w:val="29"/>
                <w:szCs w:val="20"/>
                <w:shd w:val="solid" w:color="000000" w:fill="000000"/>
                <w:fitText w:val="130" w:id="-1032062208"/>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208"/>
                <w14:textFill>
                  <w14:solidFill>
                    <w14:srgbClr w14:val="000000">
                      <w14:alpha w14:val="100000"/>
                    </w14:srgbClr>
                  </w14:solidFill>
                </w14:textFill>
              </w:rPr>
              <w:t xml:space="preserve">　</w:t>
            </w:r>
            <w:r w:rsidR="002D0895">
              <w:rPr>
                <w:szCs w:val="20"/>
                <w:vertAlign w:val="superscript"/>
              </w:rPr>
              <w:t>1</w:t>
            </w:r>
          </w:p>
        </w:tc>
        <w:tc>
          <w:tcPr>
            <w:tcW w:w="1187" w:type="dxa"/>
            <w:gridSpan w:val="2"/>
          </w:tcPr>
          <w:p w14:paraId="671A558A" w14:textId="69080287" w:rsidR="002D09DE" w:rsidRPr="003771DB" w:rsidRDefault="002D09DE" w:rsidP="00076B84">
            <w:pPr>
              <w:pStyle w:val="Tabletext0"/>
              <w:jc w:val="center"/>
              <w:rPr>
                <w:szCs w:val="20"/>
              </w:rPr>
            </w:pPr>
            <w:r w:rsidRPr="003771DB">
              <w:t>-</w:t>
            </w:r>
            <w:r w:rsidR="00427AAD">
              <w:t xml:space="preserve"> </w:t>
            </w:r>
            <w:r w:rsidR="00427AAD" w:rsidRPr="00EE4281">
              <w:rPr>
                <w:rFonts w:hint="eastAsia"/>
                <w:color w:val="000000"/>
                <w:w w:val="15"/>
                <w:shd w:val="solid" w:color="000000" w:fill="000000"/>
                <w:fitText w:val="10" w:id="-1032062207"/>
                <w14:textFill>
                  <w14:solidFill>
                    <w14:srgbClr w14:val="000000">
                      <w14:alpha w14:val="100000"/>
                    </w14:srgbClr>
                  </w14:solidFill>
                </w14:textFill>
              </w:rPr>
              <w:t xml:space="preserve">　</w:t>
            </w:r>
            <w:r w:rsidR="00427AAD" w:rsidRPr="00EE4281">
              <w:rPr>
                <w:color w:val="000000"/>
                <w:w w:val="15"/>
                <w:shd w:val="solid" w:color="000000" w:fill="000000"/>
                <w:fitText w:val="10" w:id="-1032062207"/>
                <w14:textFill>
                  <w14:solidFill>
                    <w14:srgbClr w14:val="000000">
                      <w14:alpha w14:val="100000"/>
                    </w14:srgbClr>
                  </w14:solidFill>
                </w14:textFill>
              </w:rPr>
              <w:t>|</w:t>
            </w:r>
            <w:r w:rsidR="00427AAD" w:rsidRPr="00EE4281">
              <w:rPr>
                <w:rFonts w:hint="eastAsia"/>
                <w:color w:val="000000"/>
                <w:spacing w:val="-56"/>
                <w:w w:val="15"/>
                <w:shd w:val="solid" w:color="000000" w:fill="000000"/>
                <w:fitText w:val="10" w:id="-1032062207"/>
                <w14:textFill>
                  <w14:solidFill>
                    <w14:srgbClr w14:val="000000">
                      <w14:alpha w14:val="100000"/>
                    </w14:srgbClr>
                  </w14:solidFill>
                </w14:textFill>
              </w:rPr>
              <w:t xml:space="preserve">　</w:t>
            </w:r>
          </w:p>
        </w:tc>
      </w:tr>
      <w:tr w:rsidR="002D09DE" w:rsidRPr="003771DB" w14:paraId="28C23211" w14:textId="77777777" w:rsidTr="00076B84">
        <w:tc>
          <w:tcPr>
            <w:tcW w:w="9029" w:type="dxa"/>
            <w:gridSpan w:val="6"/>
            <w:tcMar>
              <w:top w:w="0" w:type="dxa"/>
              <w:left w:w="108" w:type="dxa"/>
              <w:bottom w:w="0" w:type="dxa"/>
              <w:right w:w="108" w:type="dxa"/>
            </w:tcMar>
          </w:tcPr>
          <w:p w14:paraId="34C94754" w14:textId="77777777" w:rsidR="002D09DE" w:rsidRPr="003771DB" w:rsidRDefault="002D09DE" w:rsidP="00076B84">
            <w:pPr>
              <w:pStyle w:val="Tabletext0"/>
              <w:rPr>
                <w:b/>
                <w:bCs/>
                <w:szCs w:val="20"/>
              </w:rPr>
            </w:pPr>
            <w:r w:rsidRPr="003771DB">
              <w:rPr>
                <w:b/>
                <w:bCs/>
                <w:szCs w:val="20"/>
              </w:rPr>
              <w:t>Utility values (base case: variable with time and treatment arm based on subgroup analyses of the STEP-1 trial; extrapolated between Week 68 and Week 104 assuming constant treatment arm utilities; extrapolated beyond 104 weeks based on end-of-trial values by weight responder status regardless of treatment arm)</w:t>
            </w:r>
          </w:p>
        </w:tc>
      </w:tr>
      <w:tr w:rsidR="002D09DE" w:rsidRPr="003771DB" w14:paraId="334190ED" w14:textId="77777777" w:rsidTr="00076B84">
        <w:tc>
          <w:tcPr>
            <w:tcW w:w="4327" w:type="dxa"/>
            <w:tcMar>
              <w:top w:w="0" w:type="dxa"/>
              <w:left w:w="108" w:type="dxa"/>
              <w:bottom w:w="0" w:type="dxa"/>
              <w:right w:w="108" w:type="dxa"/>
            </w:tcMar>
          </w:tcPr>
          <w:p w14:paraId="3D0773C4" w14:textId="77777777" w:rsidR="002D09DE" w:rsidRPr="003771DB" w:rsidRDefault="002D09DE" w:rsidP="00076B84">
            <w:pPr>
              <w:pStyle w:val="Tabletext0"/>
              <w:rPr>
                <w:szCs w:val="20"/>
              </w:rPr>
            </w:pPr>
            <w:r w:rsidRPr="003771DB">
              <w:rPr>
                <w:szCs w:val="20"/>
              </w:rPr>
              <w:t>Increase treatment difference in utility values to upper 95% CI at all timepoints using semaglutide as anchor</w:t>
            </w:r>
          </w:p>
        </w:tc>
        <w:tc>
          <w:tcPr>
            <w:tcW w:w="1174" w:type="dxa"/>
            <w:tcMar>
              <w:top w:w="0" w:type="dxa"/>
              <w:left w:w="108" w:type="dxa"/>
              <w:bottom w:w="0" w:type="dxa"/>
              <w:right w:w="108" w:type="dxa"/>
            </w:tcMar>
            <w:vAlign w:val="center"/>
          </w:tcPr>
          <w:p w14:paraId="61F10BE1" w14:textId="7918143C"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206"/>
                <w14:textFill>
                  <w14:solidFill>
                    <w14:srgbClr w14:val="000000">
                      <w14:alpha w14:val="100000"/>
                    </w14:srgbClr>
                  </w14:solidFill>
                </w14:textFill>
              </w:rPr>
              <w:t xml:space="preserve">　</w:t>
            </w:r>
            <w:r w:rsidRPr="00427AAD">
              <w:rPr>
                <w:color w:val="000000"/>
                <w:w w:val="20"/>
                <w:szCs w:val="20"/>
                <w:shd w:val="solid" w:color="000000" w:fill="000000"/>
                <w:fitText w:val="90" w:id="-1032062206"/>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206"/>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7761A33B" w14:textId="77777777" w:rsidR="002D09DE" w:rsidRPr="003771DB" w:rsidRDefault="002D09DE" w:rsidP="00076B84">
            <w:pPr>
              <w:pStyle w:val="Tabletext0"/>
              <w:jc w:val="center"/>
              <w:rPr>
                <w:szCs w:val="20"/>
              </w:rPr>
            </w:pPr>
            <w:r w:rsidRPr="003771DB">
              <w:rPr>
                <w:szCs w:val="20"/>
              </w:rPr>
              <w:t>0.4011</w:t>
            </w:r>
          </w:p>
        </w:tc>
        <w:tc>
          <w:tcPr>
            <w:tcW w:w="1167" w:type="dxa"/>
            <w:tcMar>
              <w:top w:w="0" w:type="dxa"/>
              <w:left w:w="108" w:type="dxa"/>
              <w:bottom w:w="0" w:type="dxa"/>
              <w:right w:w="108" w:type="dxa"/>
            </w:tcMar>
            <w:vAlign w:val="center"/>
          </w:tcPr>
          <w:p w14:paraId="77C00F3B" w14:textId="2FD36937"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205"/>
                <w14:textFill>
                  <w14:solidFill>
                    <w14:srgbClr w14:val="000000">
                      <w14:alpha w14:val="100000"/>
                    </w14:srgbClr>
                  </w14:solidFill>
                </w14:textFill>
              </w:rPr>
              <w:t xml:space="preserve">　</w:t>
            </w:r>
            <w:r w:rsidRPr="00427AAD">
              <w:rPr>
                <w:color w:val="000000"/>
                <w:w w:val="29"/>
                <w:szCs w:val="20"/>
                <w:shd w:val="solid" w:color="000000" w:fill="000000"/>
                <w:fitText w:val="130" w:id="-1032062205"/>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205"/>
                <w14:textFill>
                  <w14:solidFill>
                    <w14:srgbClr w14:val="000000">
                      <w14:alpha w14:val="100000"/>
                    </w14:srgbClr>
                  </w14:solidFill>
                </w14:textFill>
              </w:rPr>
              <w:t xml:space="preserve">　</w:t>
            </w:r>
            <w:r w:rsidR="00300315" w:rsidRPr="0023515E">
              <w:rPr>
                <w:szCs w:val="20"/>
                <w:vertAlign w:val="superscript"/>
              </w:rPr>
              <w:t>2</w:t>
            </w:r>
          </w:p>
        </w:tc>
        <w:tc>
          <w:tcPr>
            <w:tcW w:w="1187" w:type="dxa"/>
            <w:gridSpan w:val="2"/>
            <w:vAlign w:val="center"/>
          </w:tcPr>
          <w:p w14:paraId="1E1553EE" w14:textId="4C5BC0A5" w:rsidR="002D09DE" w:rsidRPr="003771DB" w:rsidRDefault="002D09DE" w:rsidP="00076B84">
            <w:pPr>
              <w:pStyle w:val="Tabletext0"/>
              <w:jc w:val="center"/>
              <w:rPr>
                <w:szCs w:val="20"/>
              </w:rPr>
            </w:pPr>
            <w:r w:rsidRPr="003771DB">
              <w:t>-</w:t>
            </w:r>
            <w:r w:rsidR="00427AAD">
              <w:t xml:space="preserve"> </w:t>
            </w:r>
            <w:r w:rsidR="00427AAD" w:rsidRPr="00EE4281">
              <w:rPr>
                <w:rFonts w:hint="eastAsia"/>
                <w:color w:val="000000"/>
                <w:w w:val="15"/>
                <w:shd w:val="solid" w:color="000000" w:fill="000000"/>
                <w:fitText w:val="10" w:id="-1032062204"/>
                <w14:textFill>
                  <w14:solidFill>
                    <w14:srgbClr w14:val="000000">
                      <w14:alpha w14:val="100000"/>
                    </w14:srgbClr>
                  </w14:solidFill>
                </w14:textFill>
              </w:rPr>
              <w:t xml:space="preserve">　</w:t>
            </w:r>
            <w:r w:rsidR="00427AAD" w:rsidRPr="00EE4281">
              <w:rPr>
                <w:color w:val="000000"/>
                <w:w w:val="15"/>
                <w:shd w:val="solid" w:color="000000" w:fill="000000"/>
                <w:fitText w:val="10" w:id="-1032062204"/>
                <w14:textFill>
                  <w14:solidFill>
                    <w14:srgbClr w14:val="000000">
                      <w14:alpha w14:val="100000"/>
                    </w14:srgbClr>
                  </w14:solidFill>
                </w14:textFill>
              </w:rPr>
              <w:t>|</w:t>
            </w:r>
            <w:r w:rsidR="00427AAD" w:rsidRPr="00EE4281">
              <w:rPr>
                <w:rFonts w:hint="eastAsia"/>
                <w:color w:val="000000"/>
                <w:spacing w:val="-56"/>
                <w:w w:val="15"/>
                <w:shd w:val="solid" w:color="000000" w:fill="000000"/>
                <w:fitText w:val="10" w:id="-1032062204"/>
                <w14:textFill>
                  <w14:solidFill>
                    <w14:srgbClr w14:val="000000">
                      <w14:alpha w14:val="100000"/>
                    </w14:srgbClr>
                  </w14:solidFill>
                </w14:textFill>
              </w:rPr>
              <w:t xml:space="preserve">　</w:t>
            </w:r>
          </w:p>
        </w:tc>
      </w:tr>
      <w:tr w:rsidR="002D09DE" w:rsidRPr="003771DB" w14:paraId="2A306C9A" w14:textId="77777777" w:rsidTr="00076B84">
        <w:tc>
          <w:tcPr>
            <w:tcW w:w="4327" w:type="dxa"/>
            <w:tcMar>
              <w:top w:w="0" w:type="dxa"/>
              <w:left w:w="108" w:type="dxa"/>
              <w:bottom w:w="0" w:type="dxa"/>
              <w:right w:w="108" w:type="dxa"/>
            </w:tcMar>
          </w:tcPr>
          <w:p w14:paraId="7561A82A" w14:textId="77777777" w:rsidR="002D09DE" w:rsidRPr="003771DB" w:rsidRDefault="002D09DE" w:rsidP="00076B84">
            <w:pPr>
              <w:pStyle w:val="Tabletext0"/>
              <w:rPr>
                <w:szCs w:val="20"/>
              </w:rPr>
            </w:pPr>
            <w:r w:rsidRPr="003771DB">
              <w:rPr>
                <w:szCs w:val="20"/>
              </w:rPr>
              <w:t>Decrease treatment difference in utility values to lower 95% CI at all timepoints using semaglutide as anchor</w:t>
            </w:r>
          </w:p>
        </w:tc>
        <w:tc>
          <w:tcPr>
            <w:tcW w:w="1174" w:type="dxa"/>
            <w:tcMar>
              <w:top w:w="0" w:type="dxa"/>
              <w:left w:w="108" w:type="dxa"/>
              <w:bottom w:w="0" w:type="dxa"/>
              <w:right w:w="108" w:type="dxa"/>
            </w:tcMar>
            <w:vAlign w:val="center"/>
          </w:tcPr>
          <w:p w14:paraId="3E7D4BD1" w14:textId="58DDC366"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203"/>
                <w14:textFill>
                  <w14:solidFill>
                    <w14:srgbClr w14:val="000000">
                      <w14:alpha w14:val="100000"/>
                    </w14:srgbClr>
                  </w14:solidFill>
                </w14:textFill>
              </w:rPr>
              <w:t xml:space="preserve">　</w:t>
            </w:r>
            <w:r w:rsidRPr="00427AAD">
              <w:rPr>
                <w:color w:val="000000"/>
                <w:w w:val="20"/>
                <w:szCs w:val="20"/>
                <w:shd w:val="solid" w:color="000000" w:fill="000000"/>
                <w:fitText w:val="90" w:id="-1032062203"/>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203"/>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67D274CE" w14:textId="77777777" w:rsidR="002D09DE" w:rsidRPr="003771DB" w:rsidRDefault="002D09DE" w:rsidP="00076B84">
            <w:pPr>
              <w:pStyle w:val="Tabletext0"/>
              <w:jc w:val="center"/>
              <w:rPr>
                <w:szCs w:val="20"/>
              </w:rPr>
            </w:pPr>
            <w:r w:rsidRPr="003771DB">
              <w:rPr>
                <w:szCs w:val="20"/>
              </w:rPr>
              <w:t>0.2095</w:t>
            </w:r>
          </w:p>
        </w:tc>
        <w:tc>
          <w:tcPr>
            <w:tcW w:w="1167" w:type="dxa"/>
            <w:tcMar>
              <w:top w:w="0" w:type="dxa"/>
              <w:left w:w="108" w:type="dxa"/>
              <w:bottom w:w="0" w:type="dxa"/>
              <w:right w:w="108" w:type="dxa"/>
            </w:tcMar>
            <w:vAlign w:val="center"/>
          </w:tcPr>
          <w:p w14:paraId="0FD7E18C" w14:textId="2E1085BB"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202"/>
                <w14:textFill>
                  <w14:solidFill>
                    <w14:srgbClr w14:val="000000">
                      <w14:alpha w14:val="100000"/>
                    </w14:srgbClr>
                  </w14:solidFill>
                </w14:textFill>
              </w:rPr>
              <w:t xml:space="preserve">　</w:t>
            </w:r>
            <w:r w:rsidRPr="00427AAD">
              <w:rPr>
                <w:color w:val="000000"/>
                <w:w w:val="29"/>
                <w:szCs w:val="20"/>
                <w:shd w:val="solid" w:color="000000" w:fill="000000"/>
                <w:fitText w:val="130" w:id="-1032062202"/>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202"/>
                <w14:textFill>
                  <w14:solidFill>
                    <w14:srgbClr w14:val="000000">
                      <w14:alpha w14:val="100000"/>
                    </w14:srgbClr>
                  </w14:solidFill>
                </w14:textFill>
              </w:rPr>
              <w:t xml:space="preserve">　</w:t>
            </w:r>
            <w:r w:rsidR="00566FCC" w:rsidRPr="0023515E">
              <w:rPr>
                <w:szCs w:val="20"/>
                <w:vertAlign w:val="superscript"/>
              </w:rPr>
              <w:t>3</w:t>
            </w:r>
          </w:p>
        </w:tc>
        <w:tc>
          <w:tcPr>
            <w:tcW w:w="1187" w:type="dxa"/>
            <w:gridSpan w:val="2"/>
            <w:vAlign w:val="center"/>
          </w:tcPr>
          <w:p w14:paraId="67F4821C" w14:textId="49FEDC93" w:rsidR="002D09DE" w:rsidRPr="003771DB" w:rsidRDefault="002D09DE" w:rsidP="00076B84">
            <w:pPr>
              <w:pStyle w:val="Tabletext0"/>
              <w:jc w:val="center"/>
              <w:rPr>
                <w:szCs w:val="20"/>
              </w:rPr>
            </w:pPr>
            <w:r w:rsidRPr="003771DB">
              <w:t>+</w:t>
            </w:r>
            <w:r w:rsidR="00427AAD">
              <w:t xml:space="preserve"> </w:t>
            </w:r>
            <w:r w:rsidR="00427AAD" w:rsidRPr="00427AAD">
              <w:rPr>
                <w:rFonts w:hint="eastAsia"/>
                <w:color w:val="000000"/>
                <w:w w:val="15"/>
                <w:shd w:val="solid" w:color="000000" w:fill="000000"/>
                <w:fitText w:val="30" w:id="-1032062201"/>
                <w14:textFill>
                  <w14:solidFill>
                    <w14:srgbClr w14:val="000000">
                      <w14:alpha w14:val="100000"/>
                    </w14:srgbClr>
                  </w14:solidFill>
                </w14:textFill>
              </w:rPr>
              <w:t xml:space="preserve">　</w:t>
            </w:r>
            <w:r w:rsidR="00427AAD" w:rsidRPr="00427AAD">
              <w:rPr>
                <w:color w:val="000000"/>
                <w:w w:val="15"/>
                <w:shd w:val="solid" w:color="000000" w:fill="000000"/>
                <w:fitText w:val="30" w:id="-1032062201"/>
                <w14:textFill>
                  <w14:solidFill>
                    <w14:srgbClr w14:val="000000">
                      <w14:alpha w14:val="100000"/>
                    </w14:srgbClr>
                  </w14:solidFill>
                </w14:textFill>
              </w:rPr>
              <w:t>|</w:t>
            </w:r>
            <w:r w:rsidR="00427AAD" w:rsidRPr="00427AAD">
              <w:rPr>
                <w:rFonts w:hint="eastAsia"/>
                <w:color w:val="000000"/>
                <w:spacing w:val="-35"/>
                <w:w w:val="15"/>
                <w:shd w:val="solid" w:color="000000" w:fill="000000"/>
                <w:fitText w:val="30" w:id="-1032062201"/>
                <w14:textFill>
                  <w14:solidFill>
                    <w14:srgbClr w14:val="000000">
                      <w14:alpha w14:val="100000"/>
                    </w14:srgbClr>
                  </w14:solidFill>
                </w14:textFill>
              </w:rPr>
              <w:t xml:space="preserve">　</w:t>
            </w:r>
          </w:p>
        </w:tc>
      </w:tr>
      <w:tr w:rsidR="002D09DE" w:rsidRPr="003771DB" w14:paraId="61B9DE15" w14:textId="77777777" w:rsidTr="00076B84">
        <w:tc>
          <w:tcPr>
            <w:tcW w:w="4327" w:type="dxa"/>
            <w:tcMar>
              <w:top w:w="0" w:type="dxa"/>
              <w:left w:w="108" w:type="dxa"/>
              <w:bottom w:w="0" w:type="dxa"/>
              <w:right w:w="108" w:type="dxa"/>
            </w:tcMar>
          </w:tcPr>
          <w:p w14:paraId="1EC31029" w14:textId="77777777" w:rsidR="002D09DE" w:rsidRPr="003771DB" w:rsidRDefault="002D09DE" w:rsidP="00076B84">
            <w:pPr>
              <w:pStyle w:val="Tabletext0"/>
              <w:rPr>
                <w:szCs w:val="20"/>
              </w:rPr>
            </w:pPr>
            <w:r w:rsidRPr="003771DB">
              <w:rPr>
                <w:szCs w:val="20"/>
              </w:rPr>
              <w:t>Switch to responder analysis after Week 68</w:t>
            </w:r>
          </w:p>
        </w:tc>
        <w:tc>
          <w:tcPr>
            <w:tcW w:w="1174" w:type="dxa"/>
            <w:tcMar>
              <w:top w:w="0" w:type="dxa"/>
              <w:left w:w="108" w:type="dxa"/>
              <w:bottom w:w="0" w:type="dxa"/>
              <w:right w:w="108" w:type="dxa"/>
            </w:tcMar>
            <w:vAlign w:val="center"/>
          </w:tcPr>
          <w:p w14:paraId="3C4FC1EC" w14:textId="1612357D"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200"/>
                <w14:textFill>
                  <w14:solidFill>
                    <w14:srgbClr w14:val="000000">
                      <w14:alpha w14:val="100000"/>
                    </w14:srgbClr>
                  </w14:solidFill>
                </w14:textFill>
              </w:rPr>
              <w:t xml:space="preserve">　</w:t>
            </w:r>
            <w:r w:rsidRPr="00427AAD">
              <w:rPr>
                <w:color w:val="000000"/>
                <w:w w:val="20"/>
                <w:szCs w:val="20"/>
                <w:shd w:val="solid" w:color="000000" w:fill="000000"/>
                <w:fitText w:val="90" w:id="-1032062200"/>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200"/>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5ACF4A15" w14:textId="77777777" w:rsidR="002D09DE" w:rsidRPr="003771DB" w:rsidRDefault="002D09DE" w:rsidP="00076B84">
            <w:pPr>
              <w:pStyle w:val="Tabletext0"/>
              <w:jc w:val="center"/>
              <w:rPr>
                <w:szCs w:val="20"/>
              </w:rPr>
            </w:pPr>
            <w:r w:rsidRPr="003771DB">
              <w:rPr>
                <w:szCs w:val="20"/>
              </w:rPr>
              <w:t>0.3162</w:t>
            </w:r>
          </w:p>
        </w:tc>
        <w:tc>
          <w:tcPr>
            <w:tcW w:w="1167" w:type="dxa"/>
            <w:tcMar>
              <w:top w:w="0" w:type="dxa"/>
              <w:left w:w="108" w:type="dxa"/>
              <w:bottom w:w="0" w:type="dxa"/>
              <w:right w:w="108" w:type="dxa"/>
            </w:tcMar>
            <w:vAlign w:val="center"/>
          </w:tcPr>
          <w:p w14:paraId="5D59EF2E" w14:textId="63071F9B"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199"/>
                <w14:textFill>
                  <w14:solidFill>
                    <w14:srgbClr w14:val="000000">
                      <w14:alpha w14:val="100000"/>
                    </w14:srgbClr>
                  </w14:solidFill>
                </w14:textFill>
              </w:rPr>
              <w:t xml:space="preserve">　</w:t>
            </w:r>
            <w:r w:rsidRPr="00427AAD">
              <w:rPr>
                <w:color w:val="000000"/>
                <w:w w:val="29"/>
                <w:szCs w:val="20"/>
                <w:shd w:val="solid" w:color="000000" w:fill="000000"/>
                <w:fitText w:val="130" w:id="-1032062199"/>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199"/>
                <w14:textFill>
                  <w14:solidFill>
                    <w14:srgbClr w14:val="000000">
                      <w14:alpha w14:val="100000"/>
                    </w14:srgbClr>
                  </w14:solidFill>
                </w14:textFill>
              </w:rPr>
              <w:t xml:space="preserve">　</w:t>
            </w:r>
            <w:r w:rsidR="002D0895">
              <w:rPr>
                <w:szCs w:val="20"/>
                <w:vertAlign w:val="superscript"/>
              </w:rPr>
              <w:t>1</w:t>
            </w:r>
          </w:p>
        </w:tc>
        <w:tc>
          <w:tcPr>
            <w:tcW w:w="1187" w:type="dxa"/>
            <w:gridSpan w:val="2"/>
            <w:vAlign w:val="center"/>
          </w:tcPr>
          <w:p w14:paraId="5E399299" w14:textId="0F86075E" w:rsidR="002D09DE" w:rsidRPr="003771DB" w:rsidRDefault="002D09DE" w:rsidP="00076B84">
            <w:pPr>
              <w:pStyle w:val="Tabletext0"/>
              <w:jc w:val="center"/>
              <w:rPr>
                <w:szCs w:val="20"/>
              </w:rPr>
            </w:pPr>
            <w:r w:rsidRPr="003771DB">
              <w:t>-</w:t>
            </w:r>
            <w:r w:rsidR="00427AAD">
              <w:t xml:space="preserve"> </w:t>
            </w:r>
            <w:r w:rsidR="00427AAD" w:rsidRPr="00EE4281">
              <w:rPr>
                <w:rFonts w:hint="eastAsia"/>
                <w:color w:val="000000"/>
                <w:w w:val="15"/>
                <w:shd w:val="solid" w:color="000000" w:fill="000000"/>
                <w:fitText w:val="10" w:id="-1032062198"/>
                <w14:textFill>
                  <w14:solidFill>
                    <w14:srgbClr w14:val="000000">
                      <w14:alpha w14:val="100000"/>
                    </w14:srgbClr>
                  </w14:solidFill>
                </w14:textFill>
              </w:rPr>
              <w:t xml:space="preserve">　</w:t>
            </w:r>
            <w:r w:rsidR="00427AAD" w:rsidRPr="00EE4281">
              <w:rPr>
                <w:color w:val="000000"/>
                <w:w w:val="15"/>
                <w:shd w:val="solid" w:color="000000" w:fill="000000"/>
                <w:fitText w:val="10" w:id="-1032062198"/>
                <w14:textFill>
                  <w14:solidFill>
                    <w14:srgbClr w14:val="000000">
                      <w14:alpha w14:val="100000"/>
                    </w14:srgbClr>
                  </w14:solidFill>
                </w14:textFill>
              </w:rPr>
              <w:t>|</w:t>
            </w:r>
            <w:r w:rsidR="00427AAD" w:rsidRPr="00EE4281">
              <w:rPr>
                <w:rFonts w:hint="eastAsia"/>
                <w:color w:val="000000"/>
                <w:spacing w:val="-56"/>
                <w:w w:val="15"/>
                <w:shd w:val="solid" w:color="000000" w:fill="000000"/>
                <w:fitText w:val="10" w:id="-1032062198"/>
                <w14:textFill>
                  <w14:solidFill>
                    <w14:srgbClr w14:val="000000">
                      <w14:alpha w14:val="100000"/>
                    </w14:srgbClr>
                  </w14:solidFill>
                </w14:textFill>
              </w:rPr>
              <w:t xml:space="preserve">　</w:t>
            </w:r>
          </w:p>
        </w:tc>
      </w:tr>
      <w:tr w:rsidR="002D09DE" w:rsidRPr="003771DB" w14:paraId="4EEF15E5" w14:textId="77777777" w:rsidTr="00076B84">
        <w:tc>
          <w:tcPr>
            <w:tcW w:w="4327" w:type="dxa"/>
            <w:tcMar>
              <w:top w:w="0" w:type="dxa"/>
              <w:left w:w="108" w:type="dxa"/>
              <w:bottom w:w="0" w:type="dxa"/>
              <w:right w:w="108" w:type="dxa"/>
            </w:tcMar>
          </w:tcPr>
          <w:p w14:paraId="3289B80D" w14:textId="07D5B46F" w:rsidR="002D09DE" w:rsidRPr="003771DB" w:rsidRDefault="002D09DE" w:rsidP="00076B84">
            <w:pPr>
              <w:pStyle w:val="Tabletext0"/>
              <w:rPr>
                <w:szCs w:val="20"/>
              </w:rPr>
            </w:pPr>
            <w:r w:rsidRPr="003771DB">
              <w:rPr>
                <w:szCs w:val="20"/>
              </w:rPr>
              <w:t>Use responder status values based on change from baseline</w:t>
            </w:r>
          </w:p>
        </w:tc>
        <w:tc>
          <w:tcPr>
            <w:tcW w:w="1174" w:type="dxa"/>
            <w:tcMar>
              <w:top w:w="0" w:type="dxa"/>
              <w:left w:w="108" w:type="dxa"/>
              <w:bottom w:w="0" w:type="dxa"/>
              <w:right w:w="108" w:type="dxa"/>
            </w:tcMar>
            <w:vAlign w:val="center"/>
          </w:tcPr>
          <w:p w14:paraId="68669E31" w14:textId="7DD3E86B"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197"/>
                <w14:textFill>
                  <w14:solidFill>
                    <w14:srgbClr w14:val="000000">
                      <w14:alpha w14:val="100000"/>
                    </w14:srgbClr>
                  </w14:solidFill>
                </w14:textFill>
              </w:rPr>
              <w:t xml:space="preserve">　</w:t>
            </w:r>
            <w:r w:rsidRPr="00427AAD">
              <w:rPr>
                <w:color w:val="000000"/>
                <w:w w:val="20"/>
                <w:szCs w:val="20"/>
                <w:shd w:val="solid" w:color="000000" w:fill="000000"/>
                <w:fitText w:val="90" w:id="-1032062197"/>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197"/>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43CFA4FA" w14:textId="77777777" w:rsidR="002D09DE" w:rsidRPr="003771DB" w:rsidRDefault="002D09DE" w:rsidP="00076B84">
            <w:pPr>
              <w:pStyle w:val="Tabletext0"/>
              <w:jc w:val="center"/>
              <w:rPr>
                <w:szCs w:val="20"/>
              </w:rPr>
            </w:pPr>
            <w:r w:rsidRPr="003771DB">
              <w:rPr>
                <w:szCs w:val="20"/>
              </w:rPr>
              <w:t>0.2326</w:t>
            </w:r>
          </w:p>
        </w:tc>
        <w:tc>
          <w:tcPr>
            <w:tcW w:w="1167" w:type="dxa"/>
            <w:tcMar>
              <w:top w:w="0" w:type="dxa"/>
              <w:left w:w="108" w:type="dxa"/>
              <w:bottom w:w="0" w:type="dxa"/>
              <w:right w:w="108" w:type="dxa"/>
            </w:tcMar>
            <w:vAlign w:val="center"/>
          </w:tcPr>
          <w:p w14:paraId="0FF8E93C" w14:textId="05A8AAF8"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9"/>
                <w:szCs w:val="20"/>
                <w:shd w:val="solid" w:color="000000" w:fill="000000"/>
                <w:fitText w:val="130" w:id="-1032062196"/>
                <w14:textFill>
                  <w14:solidFill>
                    <w14:srgbClr w14:val="000000">
                      <w14:alpha w14:val="100000"/>
                    </w14:srgbClr>
                  </w14:solidFill>
                </w14:textFill>
              </w:rPr>
              <w:t xml:space="preserve">　</w:t>
            </w:r>
            <w:r w:rsidRPr="00427AAD">
              <w:rPr>
                <w:color w:val="000000"/>
                <w:w w:val="29"/>
                <w:szCs w:val="20"/>
                <w:shd w:val="solid" w:color="000000" w:fill="000000"/>
                <w:fitText w:val="130" w:id="-1032062196"/>
                <w14:textFill>
                  <w14:solidFill>
                    <w14:srgbClr w14:val="000000">
                      <w14:alpha w14:val="100000"/>
                    </w14:srgbClr>
                  </w14:solidFill>
                </w14:textFill>
              </w:rPr>
              <w:t>|</w:t>
            </w:r>
            <w:r w:rsidRPr="00427AAD">
              <w:rPr>
                <w:rFonts w:hint="eastAsia"/>
                <w:color w:val="000000"/>
                <w:spacing w:val="2"/>
                <w:w w:val="29"/>
                <w:szCs w:val="20"/>
                <w:shd w:val="solid" w:color="000000" w:fill="000000"/>
                <w:fitText w:val="130" w:id="-1032062196"/>
                <w14:textFill>
                  <w14:solidFill>
                    <w14:srgbClr w14:val="000000">
                      <w14:alpha w14:val="100000"/>
                    </w14:srgbClr>
                  </w14:solidFill>
                </w14:textFill>
              </w:rPr>
              <w:t xml:space="preserve">　</w:t>
            </w:r>
            <w:r w:rsidR="0015527A" w:rsidRPr="0023515E">
              <w:rPr>
                <w:szCs w:val="20"/>
                <w:vertAlign w:val="superscript"/>
              </w:rPr>
              <w:t>3</w:t>
            </w:r>
          </w:p>
        </w:tc>
        <w:tc>
          <w:tcPr>
            <w:tcW w:w="1187" w:type="dxa"/>
            <w:gridSpan w:val="2"/>
            <w:vAlign w:val="center"/>
          </w:tcPr>
          <w:p w14:paraId="5B18512D" w14:textId="6F16FD0A" w:rsidR="002D09DE" w:rsidRPr="003771DB" w:rsidRDefault="002D09DE" w:rsidP="00076B84">
            <w:pPr>
              <w:pStyle w:val="Tabletext0"/>
              <w:jc w:val="center"/>
              <w:rPr>
                <w:szCs w:val="20"/>
              </w:rPr>
            </w:pPr>
            <w:r w:rsidRPr="003771DB">
              <w:t>+</w:t>
            </w:r>
            <w:r w:rsidR="00427AAD">
              <w:t xml:space="preserve"> </w:t>
            </w:r>
            <w:r w:rsidR="00427AAD" w:rsidRPr="00427AAD">
              <w:rPr>
                <w:rFonts w:hint="eastAsia"/>
                <w:color w:val="000000"/>
                <w:w w:val="15"/>
                <w:shd w:val="solid" w:color="000000" w:fill="000000"/>
                <w:fitText w:val="30" w:id="-1032062195"/>
                <w14:textFill>
                  <w14:solidFill>
                    <w14:srgbClr w14:val="000000">
                      <w14:alpha w14:val="100000"/>
                    </w14:srgbClr>
                  </w14:solidFill>
                </w14:textFill>
              </w:rPr>
              <w:t xml:space="preserve">　</w:t>
            </w:r>
            <w:r w:rsidR="00427AAD" w:rsidRPr="00427AAD">
              <w:rPr>
                <w:color w:val="000000"/>
                <w:w w:val="15"/>
                <w:shd w:val="solid" w:color="000000" w:fill="000000"/>
                <w:fitText w:val="30" w:id="-1032062195"/>
                <w14:textFill>
                  <w14:solidFill>
                    <w14:srgbClr w14:val="000000">
                      <w14:alpha w14:val="100000"/>
                    </w14:srgbClr>
                  </w14:solidFill>
                </w14:textFill>
              </w:rPr>
              <w:t>|</w:t>
            </w:r>
            <w:r w:rsidR="00427AAD" w:rsidRPr="00427AAD">
              <w:rPr>
                <w:rFonts w:hint="eastAsia"/>
                <w:color w:val="000000"/>
                <w:spacing w:val="-35"/>
                <w:w w:val="15"/>
                <w:shd w:val="solid" w:color="000000" w:fill="000000"/>
                <w:fitText w:val="30" w:id="-1032062195"/>
                <w14:textFill>
                  <w14:solidFill>
                    <w14:srgbClr w14:val="000000">
                      <w14:alpha w14:val="100000"/>
                    </w14:srgbClr>
                  </w14:solidFill>
                </w14:textFill>
              </w:rPr>
              <w:t xml:space="preserve">　</w:t>
            </w:r>
          </w:p>
        </w:tc>
      </w:tr>
      <w:tr w:rsidR="002D09DE" w:rsidRPr="003771DB" w14:paraId="247A4D2E" w14:textId="77777777" w:rsidTr="00076B84">
        <w:tc>
          <w:tcPr>
            <w:tcW w:w="9029" w:type="dxa"/>
            <w:gridSpan w:val="6"/>
            <w:tcMar>
              <w:top w:w="0" w:type="dxa"/>
              <w:left w:w="108" w:type="dxa"/>
              <w:bottom w:w="0" w:type="dxa"/>
              <w:right w:w="108" w:type="dxa"/>
            </w:tcMar>
          </w:tcPr>
          <w:p w14:paraId="4527D745" w14:textId="77777777" w:rsidR="002D09DE" w:rsidRPr="003771DB" w:rsidRDefault="002D09DE" w:rsidP="00076B84">
            <w:pPr>
              <w:pStyle w:val="Tabletext0"/>
              <w:rPr>
                <w:b/>
                <w:bCs/>
                <w:szCs w:val="20"/>
              </w:rPr>
            </w:pPr>
            <w:r w:rsidRPr="003771DB">
              <w:rPr>
                <w:b/>
                <w:bCs/>
                <w:szCs w:val="20"/>
              </w:rPr>
              <w:t>Costs (base case: resource use and unit costs based on various sources)</w:t>
            </w:r>
          </w:p>
        </w:tc>
      </w:tr>
      <w:tr w:rsidR="002D09DE" w:rsidRPr="003771DB" w14:paraId="53CAB0F6" w14:textId="77777777" w:rsidTr="00076B84">
        <w:tc>
          <w:tcPr>
            <w:tcW w:w="4327" w:type="dxa"/>
            <w:tcMar>
              <w:top w:w="0" w:type="dxa"/>
              <w:left w:w="108" w:type="dxa"/>
              <w:bottom w:w="0" w:type="dxa"/>
              <w:right w:w="108" w:type="dxa"/>
            </w:tcMar>
          </w:tcPr>
          <w:p w14:paraId="02EFB2C2" w14:textId="77777777" w:rsidR="002D09DE" w:rsidRPr="003771DB" w:rsidRDefault="002D09DE" w:rsidP="00076B84">
            <w:pPr>
              <w:pStyle w:val="Tabletext0"/>
              <w:rPr>
                <w:szCs w:val="20"/>
              </w:rPr>
            </w:pPr>
            <w:r w:rsidRPr="003771DB">
              <w:rPr>
                <w:szCs w:val="20"/>
              </w:rPr>
              <w:t>Use effective DPMQs proposed by sponsor</w:t>
            </w:r>
          </w:p>
        </w:tc>
        <w:tc>
          <w:tcPr>
            <w:tcW w:w="1174" w:type="dxa"/>
            <w:tcMar>
              <w:top w:w="0" w:type="dxa"/>
              <w:left w:w="108" w:type="dxa"/>
              <w:bottom w:w="0" w:type="dxa"/>
              <w:right w:w="108" w:type="dxa"/>
            </w:tcMar>
          </w:tcPr>
          <w:p w14:paraId="40A9762C" w14:textId="3D2AF779"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194"/>
                <w14:textFill>
                  <w14:solidFill>
                    <w14:srgbClr w14:val="000000">
                      <w14:alpha w14:val="100000"/>
                    </w14:srgbClr>
                  </w14:solidFill>
                </w14:textFill>
              </w:rPr>
              <w:t xml:space="preserve">　</w:t>
            </w:r>
            <w:r w:rsidRPr="00427AAD">
              <w:rPr>
                <w:color w:val="000000"/>
                <w:w w:val="20"/>
                <w:szCs w:val="20"/>
                <w:shd w:val="solid" w:color="000000" w:fill="000000"/>
                <w:fitText w:val="90" w:id="-1032062194"/>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194"/>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40274A95" w14:textId="77777777" w:rsidR="002D09DE" w:rsidRPr="003771DB" w:rsidRDefault="002D09DE" w:rsidP="00076B84">
            <w:pPr>
              <w:pStyle w:val="Tabletext0"/>
              <w:jc w:val="center"/>
              <w:rPr>
                <w:szCs w:val="20"/>
              </w:rPr>
            </w:pPr>
            <w:r w:rsidRPr="003771DB">
              <w:rPr>
                <w:szCs w:val="20"/>
              </w:rPr>
              <w:t>0.3053</w:t>
            </w:r>
          </w:p>
        </w:tc>
        <w:tc>
          <w:tcPr>
            <w:tcW w:w="1173" w:type="dxa"/>
            <w:gridSpan w:val="2"/>
            <w:tcMar>
              <w:top w:w="0" w:type="dxa"/>
              <w:left w:w="108" w:type="dxa"/>
              <w:bottom w:w="0" w:type="dxa"/>
              <w:right w:w="108" w:type="dxa"/>
            </w:tcMar>
          </w:tcPr>
          <w:p w14:paraId="3E650361" w14:textId="1A28B64A"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7"/>
                <w:szCs w:val="20"/>
                <w:shd w:val="solid" w:color="000000" w:fill="000000"/>
                <w:fitText w:val="120" w:id="-1032062193"/>
                <w14:textFill>
                  <w14:solidFill>
                    <w14:srgbClr w14:val="000000">
                      <w14:alpha w14:val="100000"/>
                    </w14:srgbClr>
                  </w14:solidFill>
                </w14:textFill>
              </w:rPr>
              <w:t xml:space="preserve">　</w:t>
            </w:r>
            <w:r w:rsidRPr="00427AAD">
              <w:rPr>
                <w:color w:val="000000"/>
                <w:w w:val="27"/>
                <w:szCs w:val="20"/>
                <w:shd w:val="solid" w:color="000000" w:fill="000000"/>
                <w:fitText w:val="120" w:id="-1032062193"/>
                <w14:textFill>
                  <w14:solidFill>
                    <w14:srgbClr w14:val="000000">
                      <w14:alpha w14:val="100000"/>
                    </w14:srgbClr>
                  </w14:solidFill>
                </w14:textFill>
              </w:rPr>
              <w:t>|</w:t>
            </w:r>
            <w:r w:rsidRPr="00427AAD">
              <w:rPr>
                <w:rFonts w:hint="eastAsia"/>
                <w:color w:val="000000"/>
                <w:spacing w:val="2"/>
                <w:w w:val="27"/>
                <w:szCs w:val="20"/>
                <w:shd w:val="solid" w:color="000000" w:fill="000000"/>
                <w:fitText w:val="120" w:id="-1032062193"/>
                <w14:textFill>
                  <w14:solidFill>
                    <w14:srgbClr w14:val="000000">
                      <w14:alpha w14:val="100000"/>
                    </w14:srgbClr>
                  </w14:solidFill>
                </w14:textFill>
              </w:rPr>
              <w:t xml:space="preserve">　</w:t>
            </w:r>
            <w:r w:rsidR="002D0895">
              <w:rPr>
                <w:szCs w:val="20"/>
                <w:vertAlign w:val="superscript"/>
              </w:rPr>
              <w:t>1</w:t>
            </w:r>
          </w:p>
        </w:tc>
        <w:tc>
          <w:tcPr>
            <w:tcW w:w="1181" w:type="dxa"/>
            <w:vAlign w:val="center"/>
          </w:tcPr>
          <w:p w14:paraId="443F847E" w14:textId="70CFB244" w:rsidR="002D09DE" w:rsidRPr="003771DB" w:rsidRDefault="002D09DE" w:rsidP="00076B84">
            <w:pPr>
              <w:pStyle w:val="Tabletext0"/>
              <w:jc w:val="center"/>
              <w:rPr>
                <w:szCs w:val="20"/>
              </w:rPr>
            </w:pPr>
            <w:r w:rsidRPr="003771DB">
              <w:t>+</w:t>
            </w:r>
            <w:r w:rsidR="00427AAD">
              <w:t xml:space="preserve"> </w:t>
            </w:r>
            <w:r w:rsidR="00427AAD" w:rsidRPr="00EE4281">
              <w:rPr>
                <w:rFonts w:hint="eastAsia"/>
                <w:color w:val="000000"/>
                <w:w w:val="15"/>
                <w:shd w:val="solid" w:color="000000" w:fill="000000"/>
                <w:fitText w:val="20" w:id="-1032062192"/>
                <w14:textFill>
                  <w14:solidFill>
                    <w14:srgbClr w14:val="000000">
                      <w14:alpha w14:val="100000"/>
                    </w14:srgbClr>
                  </w14:solidFill>
                </w14:textFill>
              </w:rPr>
              <w:t xml:space="preserve">　</w:t>
            </w:r>
            <w:r w:rsidR="00427AAD" w:rsidRPr="00EE4281">
              <w:rPr>
                <w:color w:val="000000"/>
                <w:w w:val="15"/>
                <w:shd w:val="solid" w:color="000000" w:fill="000000"/>
                <w:fitText w:val="20" w:id="-1032062192"/>
                <w14:textFill>
                  <w14:solidFill>
                    <w14:srgbClr w14:val="000000">
                      <w14:alpha w14:val="100000"/>
                    </w14:srgbClr>
                  </w14:solidFill>
                </w14:textFill>
              </w:rPr>
              <w:t>|</w:t>
            </w:r>
            <w:r w:rsidR="00427AAD" w:rsidRPr="00EE4281">
              <w:rPr>
                <w:rFonts w:hint="eastAsia"/>
                <w:color w:val="000000"/>
                <w:spacing w:val="-46"/>
                <w:w w:val="15"/>
                <w:shd w:val="solid" w:color="000000" w:fill="000000"/>
                <w:fitText w:val="20" w:id="-1032062192"/>
                <w14:textFill>
                  <w14:solidFill>
                    <w14:srgbClr w14:val="000000">
                      <w14:alpha w14:val="100000"/>
                    </w14:srgbClr>
                  </w14:solidFill>
                </w14:textFill>
              </w:rPr>
              <w:t xml:space="preserve">　</w:t>
            </w:r>
          </w:p>
        </w:tc>
      </w:tr>
      <w:tr w:rsidR="002D09DE" w:rsidRPr="003771DB" w14:paraId="0954415D" w14:textId="77777777" w:rsidTr="00076B84">
        <w:tc>
          <w:tcPr>
            <w:tcW w:w="4327" w:type="dxa"/>
            <w:tcMar>
              <w:top w:w="0" w:type="dxa"/>
              <w:left w:w="108" w:type="dxa"/>
              <w:bottom w:w="0" w:type="dxa"/>
              <w:right w:w="108" w:type="dxa"/>
            </w:tcMar>
          </w:tcPr>
          <w:p w14:paraId="21F3A962" w14:textId="77777777" w:rsidR="002D09DE" w:rsidRPr="003771DB" w:rsidRDefault="002D09DE" w:rsidP="00076B84">
            <w:pPr>
              <w:pStyle w:val="Tabletext0"/>
              <w:rPr>
                <w:szCs w:val="20"/>
              </w:rPr>
            </w:pPr>
            <w:r w:rsidRPr="003771DB">
              <w:rPr>
                <w:szCs w:val="20"/>
              </w:rPr>
              <w:lastRenderedPageBreak/>
              <w:t>Use semaglutide effective price for diabetes for all dose strengths</w:t>
            </w:r>
          </w:p>
        </w:tc>
        <w:tc>
          <w:tcPr>
            <w:tcW w:w="1174" w:type="dxa"/>
            <w:tcMar>
              <w:top w:w="0" w:type="dxa"/>
              <w:left w:w="108" w:type="dxa"/>
              <w:bottom w:w="0" w:type="dxa"/>
              <w:right w:w="108" w:type="dxa"/>
            </w:tcMar>
            <w:vAlign w:val="center"/>
          </w:tcPr>
          <w:p w14:paraId="1BB5CA2E" w14:textId="6D86BDF3"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0"/>
                <w:szCs w:val="20"/>
                <w:shd w:val="solid" w:color="000000" w:fill="000000"/>
                <w:fitText w:val="90" w:id="-1032062208"/>
                <w14:textFill>
                  <w14:solidFill>
                    <w14:srgbClr w14:val="000000">
                      <w14:alpha w14:val="100000"/>
                    </w14:srgbClr>
                  </w14:solidFill>
                </w14:textFill>
              </w:rPr>
              <w:t xml:space="preserve">　</w:t>
            </w:r>
            <w:r w:rsidRPr="00427AAD">
              <w:rPr>
                <w:color w:val="000000"/>
                <w:w w:val="20"/>
                <w:szCs w:val="20"/>
                <w:shd w:val="solid" w:color="000000" w:fill="000000"/>
                <w:fitText w:val="90" w:id="-1032062208"/>
                <w14:textFill>
                  <w14:solidFill>
                    <w14:srgbClr w14:val="000000">
                      <w14:alpha w14:val="100000"/>
                    </w14:srgbClr>
                  </w14:solidFill>
                </w14:textFill>
              </w:rPr>
              <w:t>|</w:t>
            </w:r>
            <w:r w:rsidRPr="00427AAD">
              <w:rPr>
                <w:rFonts w:hint="eastAsia"/>
                <w:color w:val="000000"/>
                <w:spacing w:val="3"/>
                <w:w w:val="20"/>
                <w:szCs w:val="20"/>
                <w:shd w:val="solid" w:color="000000" w:fill="000000"/>
                <w:fitText w:val="90" w:id="-1032062208"/>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2819F551" w14:textId="77777777" w:rsidR="002D09DE" w:rsidRPr="003771DB" w:rsidRDefault="002D09DE" w:rsidP="00076B84">
            <w:pPr>
              <w:pStyle w:val="Tabletext0"/>
              <w:jc w:val="center"/>
              <w:rPr>
                <w:szCs w:val="20"/>
              </w:rPr>
            </w:pPr>
            <w:r w:rsidRPr="003771DB">
              <w:rPr>
                <w:szCs w:val="20"/>
              </w:rPr>
              <w:t>0.3053</w:t>
            </w:r>
          </w:p>
        </w:tc>
        <w:tc>
          <w:tcPr>
            <w:tcW w:w="1173" w:type="dxa"/>
            <w:gridSpan w:val="2"/>
            <w:tcMar>
              <w:top w:w="0" w:type="dxa"/>
              <w:left w:w="108" w:type="dxa"/>
              <w:bottom w:w="0" w:type="dxa"/>
              <w:right w:w="108" w:type="dxa"/>
            </w:tcMar>
            <w:vAlign w:val="center"/>
          </w:tcPr>
          <w:p w14:paraId="06E4FD85" w14:textId="1838AF8B" w:rsidR="002D09DE" w:rsidRPr="0023515E" w:rsidRDefault="00427AAD" w:rsidP="00076B84">
            <w:pPr>
              <w:pStyle w:val="Tabletext0"/>
              <w:jc w:val="center"/>
              <w:rPr>
                <w:szCs w:val="20"/>
                <w:highlight w:val="darkGray"/>
              </w:rPr>
            </w:pPr>
            <w:r>
              <w:rPr>
                <w:szCs w:val="20"/>
              </w:rPr>
              <w:t xml:space="preserve"> </w:t>
            </w:r>
            <w:r w:rsidRPr="00427AAD">
              <w:rPr>
                <w:rFonts w:hint="eastAsia"/>
                <w:color w:val="000000"/>
                <w:w w:val="27"/>
                <w:szCs w:val="20"/>
                <w:shd w:val="solid" w:color="000000" w:fill="000000"/>
                <w:fitText w:val="120" w:id="-1032062207"/>
                <w14:textFill>
                  <w14:solidFill>
                    <w14:srgbClr w14:val="000000">
                      <w14:alpha w14:val="100000"/>
                    </w14:srgbClr>
                  </w14:solidFill>
                </w14:textFill>
              </w:rPr>
              <w:t xml:space="preserve">　</w:t>
            </w:r>
            <w:r w:rsidRPr="00427AAD">
              <w:rPr>
                <w:color w:val="000000"/>
                <w:w w:val="27"/>
                <w:szCs w:val="20"/>
                <w:shd w:val="solid" w:color="000000" w:fill="000000"/>
                <w:fitText w:val="120" w:id="-1032062207"/>
                <w14:textFill>
                  <w14:solidFill>
                    <w14:srgbClr w14:val="000000">
                      <w14:alpha w14:val="100000"/>
                    </w14:srgbClr>
                  </w14:solidFill>
                </w14:textFill>
              </w:rPr>
              <w:t>|</w:t>
            </w:r>
            <w:r w:rsidRPr="00427AAD">
              <w:rPr>
                <w:rFonts w:hint="eastAsia"/>
                <w:color w:val="000000"/>
                <w:spacing w:val="2"/>
                <w:w w:val="27"/>
                <w:szCs w:val="20"/>
                <w:shd w:val="solid" w:color="000000" w:fill="000000"/>
                <w:fitText w:val="120" w:id="-1032062207"/>
                <w14:textFill>
                  <w14:solidFill>
                    <w14:srgbClr w14:val="000000">
                      <w14:alpha w14:val="100000"/>
                    </w14:srgbClr>
                  </w14:solidFill>
                </w14:textFill>
              </w:rPr>
              <w:t xml:space="preserve">　</w:t>
            </w:r>
            <w:r w:rsidR="0015527A" w:rsidRPr="0023515E">
              <w:rPr>
                <w:szCs w:val="20"/>
                <w:vertAlign w:val="superscript"/>
              </w:rPr>
              <w:t>4</w:t>
            </w:r>
          </w:p>
        </w:tc>
        <w:tc>
          <w:tcPr>
            <w:tcW w:w="1181" w:type="dxa"/>
            <w:vAlign w:val="center"/>
          </w:tcPr>
          <w:p w14:paraId="19DE89AC" w14:textId="1C1B3D61" w:rsidR="002D09DE" w:rsidRPr="003771DB" w:rsidRDefault="002D09DE" w:rsidP="00076B84">
            <w:pPr>
              <w:pStyle w:val="Tabletext0"/>
              <w:jc w:val="center"/>
              <w:rPr>
                <w:szCs w:val="20"/>
              </w:rPr>
            </w:pPr>
            <w:r w:rsidRPr="003771DB">
              <w:t>-</w:t>
            </w:r>
            <w:r w:rsidR="00427AAD">
              <w:t xml:space="preserve"> </w:t>
            </w:r>
            <w:r w:rsidR="00427AAD" w:rsidRPr="00427AAD">
              <w:rPr>
                <w:color w:val="000000"/>
                <w:shd w:val="solid" w:color="000000" w:fill="000000"/>
                <w14:textFill>
                  <w14:solidFill>
                    <w14:srgbClr w14:val="000000">
                      <w14:alpha w14:val="100000"/>
                    </w14:srgbClr>
                  </w14:solidFill>
                </w14:textFill>
              </w:rPr>
              <w:t>|</w:t>
            </w:r>
          </w:p>
        </w:tc>
      </w:tr>
    </w:tbl>
    <w:p w14:paraId="69342609" w14:textId="77777777" w:rsidR="002D09DE" w:rsidRPr="003771DB" w:rsidRDefault="002D09DE" w:rsidP="005F14CC">
      <w:pPr>
        <w:pStyle w:val="COMTablefooter"/>
      </w:pPr>
      <w:r w:rsidRPr="003771DB">
        <w:t>Source: 3-11, p185 of the resubmission; with recalculations based on semaglutide Section 3 Workbook (July 2023) Excel spreadsheet</w:t>
      </w:r>
    </w:p>
    <w:p w14:paraId="3EAF0F84" w14:textId="45F6FF35" w:rsidR="002D09DE" w:rsidRPr="003771DB" w:rsidRDefault="002D09DE" w:rsidP="005F14CC">
      <w:pPr>
        <w:pStyle w:val="COMTablefooter"/>
      </w:pPr>
      <w:r w:rsidRPr="003771DB">
        <w:t xml:space="preserve">Abbreviations: CI, confidence interval; DPMQ, dispensed price </w:t>
      </w:r>
      <w:r w:rsidR="000270C9" w:rsidRPr="003771DB">
        <w:t>for</w:t>
      </w:r>
      <w:r w:rsidRPr="003771DB">
        <w:t xml:space="preserve"> maximum quantity; ICER, incremental cost effectiveness ratio; QALY, quality adjusted life year</w:t>
      </w:r>
    </w:p>
    <w:p w14:paraId="1EDDE3DC" w14:textId="446410D7" w:rsidR="005F14CC" w:rsidRDefault="005F14CC" w:rsidP="00E16160">
      <w:pPr>
        <w:pStyle w:val="COMTablefooter"/>
        <w:spacing w:after="0"/>
      </w:pPr>
      <w:r w:rsidRPr="003771DB">
        <w:t>Note: The resubmission used a non-standard method of calculating effective DPMQs from effective AEMPs which did not account for the differences in fees and markups for the published and effective DPMQs. During the evaluation the effective DPMQs were recalculated using standard methods.</w:t>
      </w:r>
    </w:p>
    <w:p w14:paraId="630441E8" w14:textId="3B3387E1" w:rsidR="00291241" w:rsidRDefault="00291241" w:rsidP="00E16160">
      <w:pPr>
        <w:pStyle w:val="TableFigureFooter"/>
        <w:spacing w:after="0"/>
        <w:rPr>
          <w:i/>
          <w:iCs/>
        </w:rPr>
      </w:pPr>
      <w:bookmarkStart w:id="51" w:name="_Hlk155772345"/>
      <w:bookmarkStart w:id="52" w:name="_Hlk155771732"/>
      <w:r w:rsidRPr="00D95954">
        <w:rPr>
          <w:i/>
          <w:iCs/>
        </w:rPr>
        <w:t>The redacted values correspond to the following ranges:</w:t>
      </w:r>
    </w:p>
    <w:p w14:paraId="11CD98B0" w14:textId="1C7E2391" w:rsidR="00300315" w:rsidRDefault="00300315" w:rsidP="00E16160">
      <w:pPr>
        <w:pStyle w:val="TableFigureFooter"/>
        <w:spacing w:after="0"/>
        <w:rPr>
          <w:i/>
          <w:iCs/>
        </w:rPr>
      </w:pPr>
      <w:r>
        <w:rPr>
          <w:i/>
          <w:iCs/>
          <w:vertAlign w:val="superscript"/>
        </w:rPr>
        <w:t xml:space="preserve">1 </w:t>
      </w:r>
      <w:r w:rsidRPr="00291241">
        <w:rPr>
          <w:i/>
          <w:iCs/>
        </w:rPr>
        <w:t>$25,000 to &lt; $35,000</w:t>
      </w:r>
    </w:p>
    <w:p w14:paraId="5D2336B4" w14:textId="73A42481" w:rsidR="00C66F5E" w:rsidRPr="00221552" w:rsidRDefault="00C66F5E" w:rsidP="00E16160">
      <w:pPr>
        <w:pStyle w:val="TableFigureFooter"/>
        <w:spacing w:after="0"/>
        <w:rPr>
          <w:i/>
          <w:iCs/>
        </w:rPr>
      </w:pPr>
      <w:r>
        <w:rPr>
          <w:i/>
          <w:iCs/>
          <w:vertAlign w:val="superscript"/>
        </w:rPr>
        <w:t>2</w:t>
      </w:r>
      <w:r>
        <w:rPr>
          <w:i/>
          <w:iCs/>
        </w:rPr>
        <w:t xml:space="preserve"> </w:t>
      </w:r>
      <w:r w:rsidRPr="00221552">
        <w:rPr>
          <w:i/>
          <w:iCs/>
        </w:rPr>
        <w:t>$15,000 to &lt; $25,000</w:t>
      </w:r>
    </w:p>
    <w:p w14:paraId="6DA03924" w14:textId="53272752" w:rsidR="0015527A" w:rsidRPr="00221552" w:rsidRDefault="0015527A" w:rsidP="00E16160">
      <w:pPr>
        <w:pStyle w:val="TableFigureFooter"/>
        <w:spacing w:after="0"/>
        <w:rPr>
          <w:i/>
          <w:iCs/>
        </w:rPr>
      </w:pPr>
      <w:r>
        <w:rPr>
          <w:i/>
          <w:iCs/>
          <w:vertAlign w:val="superscript"/>
        </w:rPr>
        <w:t>3</w:t>
      </w:r>
      <w:r>
        <w:rPr>
          <w:i/>
          <w:iCs/>
        </w:rPr>
        <w:t xml:space="preserve"> </w:t>
      </w:r>
      <w:r w:rsidRPr="00221552">
        <w:rPr>
          <w:i/>
          <w:iCs/>
        </w:rPr>
        <w:t>$35,000 to &lt; $45,000</w:t>
      </w:r>
    </w:p>
    <w:p w14:paraId="663C67F2" w14:textId="6F3F374F" w:rsidR="0015527A" w:rsidRDefault="0015527A" w:rsidP="00E16160">
      <w:pPr>
        <w:pStyle w:val="TableFigureFooter"/>
        <w:rPr>
          <w:i/>
          <w:iCs/>
        </w:rPr>
      </w:pPr>
      <w:r>
        <w:rPr>
          <w:i/>
          <w:iCs/>
          <w:vertAlign w:val="superscript"/>
        </w:rPr>
        <w:t>4</w:t>
      </w:r>
      <w:r>
        <w:rPr>
          <w:i/>
          <w:iCs/>
        </w:rPr>
        <w:t xml:space="preserve"> </w:t>
      </w:r>
      <w:r w:rsidRPr="00D95954">
        <w:rPr>
          <w:i/>
          <w:iCs/>
        </w:rPr>
        <w:t xml:space="preserve">$5,000 to &lt; $15,000 </w:t>
      </w:r>
    </w:p>
    <w:p w14:paraId="6460C437" w14:textId="1703DAE5" w:rsidR="002D09DE" w:rsidRPr="003771DB" w:rsidRDefault="002D09DE" w:rsidP="00D607C5">
      <w:pPr>
        <w:pStyle w:val="COMexecsumnumberedpara"/>
        <w:rPr>
          <w:iCs/>
        </w:rPr>
      </w:pPr>
      <w:bookmarkStart w:id="53" w:name="_Ref152074602"/>
      <w:bookmarkEnd w:id="51"/>
      <w:bookmarkEnd w:id="52"/>
      <w:r w:rsidRPr="003771DB">
        <w:t>The results of multivariate sensitivity analyses using different patient populations are summarised in</w:t>
      </w:r>
      <w:r w:rsidR="00615F9B" w:rsidRPr="003771DB">
        <w:t xml:space="preserve"> </w:t>
      </w:r>
      <w:r w:rsidR="00615F9B" w:rsidRPr="003771DB">
        <w:fldChar w:fldCharType="begin" w:fldLock="1"/>
      </w:r>
      <w:r w:rsidR="00615F9B" w:rsidRPr="003771DB">
        <w:instrText xml:space="preserve"> REF _Ref143502012 \h  \* MERGEFORMAT </w:instrText>
      </w:r>
      <w:r w:rsidR="00615F9B" w:rsidRPr="003771DB">
        <w:fldChar w:fldCharType="separate"/>
      </w:r>
      <w:r w:rsidR="00D44FF6" w:rsidRPr="003771DB">
        <w:t>Table 16</w:t>
      </w:r>
      <w:r w:rsidR="00615F9B" w:rsidRPr="003771DB">
        <w:fldChar w:fldCharType="end"/>
      </w:r>
      <w:r w:rsidRPr="003771DB">
        <w:t>. During the evaluation, these analyses were modified to use the change in utility score rather than the endpoint utility score for responders and non-responders due to the large differences in baseline utility values between these groups</w:t>
      </w:r>
      <w:r w:rsidR="001211DF" w:rsidRPr="003771DB">
        <w:t xml:space="preserve">, </w:t>
      </w:r>
      <w:r w:rsidR="001211DF" w:rsidRPr="003771DB">
        <w:rPr>
          <w:iCs/>
        </w:rPr>
        <w:t xml:space="preserve">resulting </w:t>
      </w:r>
      <w:r w:rsidR="00471FE5" w:rsidRPr="003771DB">
        <w:rPr>
          <w:iCs/>
        </w:rPr>
        <w:t xml:space="preserve">in a modified base case </w:t>
      </w:r>
      <w:r w:rsidR="001211DF" w:rsidRPr="003771DB">
        <w:rPr>
          <w:iCs/>
        </w:rPr>
        <w:t>ICER of $</w:t>
      </w:r>
      <w:r w:rsidR="00221552" w:rsidRPr="00221552">
        <w:rPr>
          <w:iCs/>
        </w:rPr>
        <w:t>35,000 to &lt; $45,000</w:t>
      </w:r>
      <w:r w:rsidR="001211DF" w:rsidRPr="003771DB">
        <w:rPr>
          <w:iCs/>
        </w:rPr>
        <w:t>/QALY gained.</w:t>
      </w:r>
      <w:r w:rsidR="00C240DE" w:rsidRPr="003771DB">
        <w:t xml:space="preserve"> </w:t>
      </w:r>
      <w:r w:rsidR="00C240DE" w:rsidRPr="003771DB">
        <w:rPr>
          <w:iCs/>
        </w:rPr>
        <w:t xml:space="preserve">The PSCR </w:t>
      </w:r>
      <w:r w:rsidR="00DC3E63" w:rsidRPr="003771DB">
        <w:rPr>
          <w:iCs/>
        </w:rPr>
        <w:t>contended that</w:t>
      </w:r>
      <w:r w:rsidR="001211DF" w:rsidRPr="003771DB">
        <w:rPr>
          <w:iCs/>
        </w:rPr>
        <w:t xml:space="preserve">, in the extrapolated period of the model, </w:t>
      </w:r>
      <w:r w:rsidR="00DC3E63" w:rsidRPr="003771DB">
        <w:rPr>
          <w:iCs/>
        </w:rPr>
        <w:t>it was reasonable to apply utilities based on response status rather than treatment allocation, as it attempt</w:t>
      </w:r>
      <w:r w:rsidR="001211DF" w:rsidRPr="003771DB">
        <w:rPr>
          <w:iCs/>
        </w:rPr>
        <w:t>ed</w:t>
      </w:r>
      <w:r w:rsidR="00DC3E63" w:rsidRPr="003771DB">
        <w:rPr>
          <w:iCs/>
        </w:rPr>
        <w:t xml:space="preserve"> to reflect the impact of the proposed PBS treatment stopping rule. </w:t>
      </w:r>
      <w:r w:rsidR="001211DF" w:rsidRPr="003771DB">
        <w:rPr>
          <w:iCs/>
        </w:rPr>
        <w:t xml:space="preserve">The ESC </w:t>
      </w:r>
      <w:r w:rsidR="008E0E05" w:rsidRPr="003771DB">
        <w:rPr>
          <w:iCs/>
        </w:rPr>
        <w:t xml:space="preserve">agreed with evaluation and considered the large differences in baseline utility values should be factored </w:t>
      </w:r>
      <w:r w:rsidR="00574BF4" w:rsidRPr="003771DB">
        <w:rPr>
          <w:iCs/>
        </w:rPr>
        <w:t>in</w:t>
      </w:r>
      <w:r w:rsidR="008E0E05" w:rsidRPr="003771DB">
        <w:rPr>
          <w:iCs/>
        </w:rPr>
        <w:t xml:space="preserve"> rather than </w:t>
      </w:r>
      <w:r w:rsidR="009B5BAC" w:rsidRPr="003771DB">
        <w:rPr>
          <w:iCs/>
        </w:rPr>
        <w:t xml:space="preserve">relying on </w:t>
      </w:r>
      <w:r w:rsidR="008E0E05" w:rsidRPr="003771DB">
        <w:rPr>
          <w:iCs/>
        </w:rPr>
        <w:t>the end</w:t>
      </w:r>
      <w:r w:rsidR="009B5BAC" w:rsidRPr="003771DB">
        <w:rPr>
          <w:iCs/>
        </w:rPr>
        <w:t>point utility</w:t>
      </w:r>
      <w:r w:rsidR="008E0E05" w:rsidRPr="003771DB">
        <w:rPr>
          <w:iCs/>
        </w:rPr>
        <w:t>.</w:t>
      </w:r>
      <w:r w:rsidR="004606F8" w:rsidRPr="003771DB">
        <w:rPr>
          <w:iCs/>
        </w:rPr>
        <w:t xml:space="preserve"> The pre-PBAC response suggested it would be appropriate to use a change from baseline to final utility value approach for responders and non-responders in each of the semaglutide and placebo groups as opposed to a single approach encompassing both groups</w:t>
      </w:r>
      <w:r w:rsidR="003771DB">
        <w:rPr>
          <w:iCs/>
        </w:rPr>
        <w:t xml:space="preserve">. </w:t>
      </w:r>
      <w:r w:rsidR="004606F8" w:rsidRPr="003771DB">
        <w:rPr>
          <w:iCs/>
        </w:rPr>
        <w:t>The ICER obtained from this revised analysis, for the proposed base case population and restriction is $</w:t>
      </w:r>
      <w:r w:rsidR="00221552" w:rsidRPr="00221552">
        <w:rPr>
          <w:iCs/>
        </w:rPr>
        <w:t>25,000 to &lt; $35,000</w:t>
      </w:r>
      <w:r w:rsidR="004606F8" w:rsidRPr="003771DB">
        <w:rPr>
          <w:iCs/>
        </w:rPr>
        <w:t>. However, review of this method suggested it is not appropriate as it assumes that patients who have trialled and failed semaglutide (non-responder utility: 0.6587) will retain a utility improvement over equivalent placebo patients (non-responder utility: 0.5845) for the remaining five years of the model despite neither group receiving ongoing treatment with semaglutide. This is a very strong bias in favour of semaglutide (additional benefit without additional cost) which substantially reduces the estimated ICER per QALY gained.</w:t>
      </w:r>
      <w:bookmarkEnd w:id="53"/>
    </w:p>
    <w:p w14:paraId="4A544CC6" w14:textId="22C999B2" w:rsidR="002D09DE" w:rsidRPr="003771DB" w:rsidRDefault="002D09DE" w:rsidP="00615F9B">
      <w:pPr>
        <w:pStyle w:val="Caption"/>
        <w:keepLines/>
        <w:rPr>
          <w:rStyle w:val="CommentReference"/>
          <w:sz w:val="20"/>
          <w:szCs w:val="24"/>
        </w:rPr>
      </w:pPr>
      <w:bookmarkStart w:id="54" w:name="_Ref143502012"/>
      <w:r w:rsidRPr="003771DB">
        <w:rPr>
          <w:rStyle w:val="CommentReference"/>
          <w:sz w:val="20"/>
          <w:szCs w:val="24"/>
        </w:rPr>
        <w:lastRenderedPageBreak/>
        <w:t xml:space="preserve">Table </w:t>
      </w:r>
      <w:r w:rsidR="00AD487C" w:rsidRPr="003771DB">
        <w:rPr>
          <w:rStyle w:val="CommentReference"/>
          <w:sz w:val="20"/>
          <w:szCs w:val="24"/>
        </w:rPr>
        <w:fldChar w:fldCharType="begin" w:fldLock="1"/>
      </w:r>
      <w:r w:rsidR="00AD487C" w:rsidRPr="003771DB">
        <w:rPr>
          <w:rStyle w:val="CommentReference"/>
          <w:sz w:val="20"/>
          <w:szCs w:val="24"/>
        </w:rPr>
        <w:instrText xml:space="preserve"> SEQ Table \* ARABIC </w:instrText>
      </w:r>
      <w:r w:rsidR="00AD487C" w:rsidRPr="003771DB">
        <w:rPr>
          <w:rStyle w:val="CommentReference"/>
          <w:sz w:val="20"/>
          <w:szCs w:val="24"/>
        </w:rPr>
        <w:fldChar w:fldCharType="separate"/>
      </w:r>
      <w:r w:rsidR="00AD487C" w:rsidRPr="00F7478B">
        <w:rPr>
          <w:rStyle w:val="CommentReference"/>
          <w:sz w:val="20"/>
          <w:szCs w:val="24"/>
        </w:rPr>
        <w:t>16</w:t>
      </w:r>
      <w:r w:rsidR="00AD487C" w:rsidRPr="003771DB">
        <w:rPr>
          <w:rStyle w:val="CommentReference"/>
          <w:sz w:val="20"/>
          <w:szCs w:val="24"/>
        </w:rPr>
        <w:fldChar w:fldCharType="end"/>
      </w:r>
      <w:bookmarkEnd w:id="54"/>
      <w:r w:rsidRPr="003771DB">
        <w:rPr>
          <w:rStyle w:val="CommentReference"/>
          <w:sz w:val="20"/>
          <w:szCs w:val="24"/>
        </w:rPr>
        <w:t xml:space="preserve">: Results of multivariate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6: Results of multivariate sensitivity analyses "/>
        <w:tblDescription w:val="Table 16: Results of multivariate sensitivity analyses "/>
      </w:tblPr>
      <w:tblGrid>
        <w:gridCol w:w="3940"/>
        <w:gridCol w:w="1402"/>
        <w:gridCol w:w="1169"/>
        <w:gridCol w:w="1402"/>
        <w:gridCol w:w="1116"/>
      </w:tblGrid>
      <w:tr w:rsidR="002D09DE" w:rsidRPr="003771DB" w14:paraId="06F5021C" w14:textId="77777777" w:rsidTr="00187DF7">
        <w:trPr>
          <w:tblHeader/>
        </w:trPr>
        <w:tc>
          <w:tcPr>
            <w:tcW w:w="3940" w:type="dxa"/>
            <w:tcMar>
              <w:top w:w="0" w:type="dxa"/>
              <w:left w:w="108" w:type="dxa"/>
              <w:bottom w:w="0" w:type="dxa"/>
              <w:right w:w="108" w:type="dxa"/>
            </w:tcMar>
            <w:vAlign w:val="center"/>
            <w:hideMark/>
          </w:tcPr>
          <w:p w14:paraId="1F121209" w14:textId="77777777" w:rsidR="002D09DE" w:rsidRPr="003771DB" w:rsidRDefault="002D09DE" w:rsidP="00187DF7">
            <w:pPr>
              <w:pStyle w:val="Tabletext0"/>
              <w:keepNext/>
              <w:keepLines/>
              <w:rPr>
                <w:szCs w:val="20"/>
              </w:rPr>
            </w:pPr>
            <w:r w:rsidRPr="003771DB">
              <w:rPr>
                <w:b/>
                <w:bCs/>
                <w:szCs w:val="20"/>
              </w:rPr>
              <w:t>Analyses</w:t>
            </w:r>
          </w:p>
        </w:tc>
        <w:tc>
          <w:tcPr>
            <w:tcW w:w="1402" w:type="dxa"/>
            <w:tcMar>
              <w:top w:w="0" w:type="dxa"/>
              <w:left w:w="108" w:type="dxa"/>
              <w:bottom w:w="0" w:type="dxa"/>
              <w:right w:w="108" w:type="dxa"/>
            </w:tcMar>
            <w:vAlign w:val="center"/>
            <w:hideMark/>
          </w:tcPr>
          <w:p w14:paraId="134AAF66" w14:textId="221CE5D6" w:rsidR="002D09DE" w:rsidRPr="003771DB" w:rsidRDefault="002D09DE" w:rsidP="00615F9B">
            <w:pPr>
              <w:pStyle w:val="Tabletext0"/>
              <w:keepNext/>
              <w:keepLines/>
              <w:jc w:val="center"/>
              <w:rPr>
                <w:b/>
                <w:bCs/>
                <w:szCs w:val="20"/>
              </w:rPr>
            </w:pPr>
            <w:r w:rsidRPr="003771DB">
              <w:rPr>
                <w:b/>
                <w:bCs/>
                <w:szCs w:val="20"/>
              </w:rPr>
              <w:t>Incremental cost</w:t>
            </w:r>
            <w:r w:rsidR="00036544">
              <w:rPr>
                <w:b/>
                <w:bCs/>
                <w:szCs w:val="20"/>
              </w:rPr>
              <w:t xml:space="preserve"> ($)</w:t>
            </w:r>
          </w:p>
        </w:tc>
        <w:tc>
          <w:tcPr>
            <w:tcW w:w="1169" w:type="dxa"/>
            <w:tcMar>
              <w:top w:w="0" w:type="dxa"/>
              <w:left w:w="108" w:type="dxa"/>
              <w:bottom w:w="0" w:type="dxa"/>
              <w:right w:w="108" w:type="dxa"/>
            </w:tcMar>
            <w:vAlign w:val="center"/>
            <w:hideMark/>
          </w:tcPr>
          <w:p w14:paraId="3337A483" w14:textId="77777777" w:rsidR="002D09DE" w:rsidRPr="003771DB" w:rsidRDefault="002D09DE" w:rsidP="00615F9B">
            <w:pPr>
              <w:pStyle w:val="Tabletext0"/>
              <w:keepNext/>
              <w:keepLines/>
              <w:jc w:val="center"/>
              <w:rPr>
                <w:b/>
                <w:bCs/>
                <w:szCs w:val="20"/>
              </w:rPr>
            </w:pPr>
            <w:r w:rsidRPr="003771DB">
              <w:rPr>
                <w:b/>
                <w:bCs/>
                <w:szCs w:val="20"/>
              </w:rPr>
              <w:t>Incremental QALY</w:t>
            </w:r>
          </w:p>
        </w:tc>
        <w:tc>
          <w:tcPr>
            <w:tcW w:w="1402" w:type="dxa"/>
            <w:tcMar>
              <w:top w:w="0" w:type="dxa"/>
              <w:left w:w="108" w:type="dxa"/>
              <w:bottom w:w="0" w:type="dxa"/>
              <w:right w:w="108" w:type="dxa"/>
            </w:tcMar>
            <w:vAlign w:val="center"/>
            <w:hideMark/>
          </w:tcPr>
          <w:p w14:paraId="78AF01DD" w14:textId="77777777" w:rsidR="002D09DE" w:rsidRPr="003771DB" w:rsidRDefault="002D09DE" w:rsidP="00615F9B">
            <w:pPr>
              <w:pStyle w:val="Tabletext0"/>
              <w:keepNext/>
              <w:keepLines/>
              <w:jc w:val="center"/>
              <w:rPr>
                <w:b/>
                <w:bCs/>
                <w:szCs w:val="20"/>
              </w:rPr>
            </w:pPr>
            <w:r w:rsidRPr="003771DB">
              <w:rPr>
                <w:b/>
                <w:bCs/>
                <w:szCs w:val="20"/>
              </w:rPr>
              <w:t>ICER</w:t>
            </w:r>
          </w:p>
        </w:tc>
        <w:tc>
          <w:tcPr>
            <w:tcW w:w="1116" w:type="dxa"/>
            <w:vAlign w:val="center"/>
          </w:tcPr>
          <w:p w14:paraId="6CE7780A" w14:textId="632336EA" w:rsidR="002D09DE" w:rsidRPr="003771DB" w:rsidRDefault="002D09DE" w:rsidP="00615F9B">
            <w:pPr>
              <w:pStyle w:val="Tabletext0"/>
              <w:keepNext/>
              <w:keepLines/>
              <w:jc w:val="center"/>
              <w:rPr>
                <w:b/>
                <w:bCs/>
                <w:szCs w:val="20"/>
              </w:rPr>
            </w:pPr>
            <w:r w:rsidRPr="003771DB">
              <w:rPr>
                <w:b/>
                <w:bCs/>
              </w:rPr>
              <w:t>Change from base case ICER</w:t>
            </w:r>
            <w:r w:rsidR="00036544">
              <w:rPr>
                <w:b/>
                <w:bCs/>
              </w:rPr>
              <w:t xml:space="preserve"> (%)</w:t>
            </w:r>
          </w:p>
        </w:tc>
      </w:tr>
      <w:tr w:rsidR="002D09DE" w:rsidRPr="003771DB" w14:paraId="77023D43" w14:textId="77777777" w:rsidTr="00076B84">
        <w:tc>
          <w:tcPr>
            <w:tcW w:w="3940" w:type="dxa"/>
            <w:tcMar>
              <w:top w:w="0" w:type="dxa"/>
              <w:left w:w="108" w:type="dxa"/>
              <w:bottom w:w="0" w:type="dxa"/>
              <w:right w:w="108" w:type="dxa"/>
            </w:tcMar>
            <w:hideMark/>
          </w:tcPr>
          <w:p w14:paraId="005EA3FF" w14:textId="77777777" w:rsidR="002D09DE" w:rsidRPr="003771DB" w:rsidRDefault="002D09DE" w:rsidP="00615F9B">
            <w:pPr>
              <w:pStyle w:val="Tabletext0"/>
              <w:keepNext/>
              <w:keepLines/>
              <w:rPr>
                <w:b/>
                <w:bCs/>
                <w:szCs w:val="20"/>
                <w:vertAlign w:val="superscript"/>
              </w:rPr>
            </w:pPr>
            <w:r w:rsidRPr="003771DB">
              <w:rPr>
                <w:b/>
                <w:bCs/>
                <w:szCs w:val="20"/>
              </w:rPr>
              <w:t>Base case</w:t>
            </w:r>
          </w:p>
        </w:tc>
        <w:tc>
          <w:tcPr>
            <w:tcW w:w="1402" w:type="dxa"/>
            <w:tcMar>
              <w:top w:w="0" w:type="dxa"/>
              <w:left w:w="108" w:type="dxa"/>
              <w:bottom w:w="0" w:type="dxa"/>
              <w:right w:w="108" w:type="dxa"/>
            </w:tcMar>
          </w:tcPr>
          <w:p w14:paraId="49C62D7A" w14:textId="08E59DB2" w:rsidR="002D09DE" w:rsidRPr="0023515E" w:rsidRDefault="00427AAD" w:rsidP="00615F9B">
            <w:pPr>
              <w:pStyle w:val="Tabletext0"/>
              <w:keepNext/>
              <w:keepLines/>
              <w:jc w:val="center"/>
              <w:rPr>
                <w:b/>
                <w:bCs/>
                <w:szCs w:val="20"/>
                <w:highlight w:val="darkGray"/>
              </w:rPr>
            </w:pPr>
            <w:r>
              <w:rPr>
                <w:b/>
                <w:bCs/>
                <w:szCs w:val="20"/>
              </w:rPr>
              <w:t xml:space="preserve"> </w:t>
            </w:r>
            <w:r w:rsidRPr="00EE4281">
              <w:rPr>
                <w:rFonts w:hint="eastAsia"/>
                <w:b/>
                <w:bCs/>
                <w:color w:val="000000"/>
                <w:w w:val="15"/>
                <w:szCs w:val="20"/>
                <w:shd w:val="solid" w:color="000000" w:fill="000000"/>
                <w:fitText w:val="20" w:id="-1032062206"/>
                <w14:textFill>
                  <w14:solidFill>
                    <w14:srgbClr w14:val="000000">
                      <w14:alpha w14:val="100000"/>
                    </w14:srgbClr>
                  </w14:solidFill>
                </w14:textFill>
              </w:rPr>
              <w:t xml:space="preserve">　</w:t>
            </w:r>
            <w:r w:rsidRPr="00EE4281">
              <w:rPr>
                <w:b/>
                <w:bCs/>
                <w:color w:val="000000"/>
                <w:w w:val="15"/>
                <w:szCs w:val="20"/>
                <w:shd w:val="solid" w:color="000000" w:fill="000000"/>
                <w:fitText w:val="20" w:id="-1032062206"/>
                <w14:textFill>
                  <w14:solidFill>
                    <w14:srgbClr w14:val="000000">
                      <w14:alpha w14:val="100000"/>
                    </w14:srgbClr>
                  </w14:solidFill>
                </w14:textFill>
              </w:rPr>
              <w:t>|</w:t>
            </w:r>
            <w:r w:rsidRPr="00EE4281">
              <w:rPr>
                <w:rFonts w:hint="eastAsia"/>
                <w:b/>
                <w:bCs/>
                <w:color w:val="000000"/>
                <w:spacing w:val="-46"/>
                <w:w w:val="15"/>
                <w:szCs w:val="20"/>
                <w:shd w:val="solid" w:color="000000" w:fill="000000"/>
                <w:fitText w:val="20" w:id="-1032062206"/>
                <w14:textFill>
                  <w14:solidFill>
                    <w14:srgbClr w14:val="000000">
                      <w14:alpha w14:val="100000"/>
                    </w14:srgbClr>
                  </w14:solidFill>
                </w14:textFill>
              </w:rPr>
              <w:t xml:space="preserve">　</w:t>
            </w:r>
          </w:p>
        </w:tc>
        <w:tc>
          <w:tcPr>
            <w:tcW w:w="1169" w:type="dxa"/>
            <w:tcMar>
              <w:top w:w="0" w:type="dxa"/>
              <w:left w:w="108" w:type="dxa"/>
              <w:bottom w:w="0" w:type="dxa"/>
              <w:right w:w="108" w:type="dxa"/>
            </w:tcMar>
          </w:tcPr>
          <w:p w14:paraId="52CB71DE" w14:textId="77777777" w:rsidR="002D09DE" w:rsidRPr="003771DB" w:rsidRDefault="002D09DE" w:rsidP="00615F9B">
            <w:pPr>
              <w:pStyle w:val="Tabletext0"/>
              <w:keepNext/>
              <w:keepLines/>
              <w:jc w:val="center"/>
              <w:rPr>
                <w:b/>
                <w:bCs/>
                <w:szCs w:val="20"/>
              </w:rPr>
            </w:pPr>
            <w:r w:rsidRPr="003771DB">
              <w:rPr>
                <w:b/>
                <w:bCs/>
                <w:szCs w:val="20"/>
              </w:rPr>
              <w:t>0.3053</w:t>
            </w:r>
          </w:p>
        </w:tc>
        <w:tc>
          <w:tcPr>
            <w:tcW w:w="1402" w:type="dxa"/>
            <w:tcMar>
              <w:top w:w="0" w:type="dxa"/>
              <w:left w:w="108" w:type="dxa"/>
              <w:bottom w:w="0" w:type="dxa"/>
              <w:right w:w="108" w:type="dxa"/>
            </w:tcMar>
          </w:tcPr>
          <w:p w14:paraId="61DC43FD" w14:textId="7E153A7C" w:rsidR="002D09DE" w:rsidRPr="0023515E" w:rsidRDefault="00427AAD" w:rsidP="00615F9B">
            <w:pPr>
              <w:pStyle w:val="Tabletext0"/>
              <w:keepNext/>
              <w:keepLines/>
              <w:jc w:val="center"/>
              <w:rPr>
                <w:b/>
                <w:bCs/>
                <w:szCs w:val="20"/>
                <w:highlight w:val="darkGray"/>
              </w:rPr>
            </w:pPr>
            <w:r>
              <w:rPr>
                <w:b/>
                <w:bCs/>
                <w:szCs w:val="20"/>
              </w:rPr>
              <w:t xml:space="preserve"> </w:t>
            </w:r>
            <w:r w:rsidRPr="00427AAD">
              <w:rPr>
                <w:rFonts w:hint="eastAsia"/>
                <w:b/>
                <w:bCs/>
                <w:color w:val="000000"/>
                <w:w w:val="15"/>
                <w:szCs w:val="20"/>
                <w:shd w:val="solid" w:color="000000" w:fill="000000"/>
                <w:fitText w:val="50" w:id="-1032062205"/>
                <w14:textFill>
                  <w14:solidFill>
                    <w14:srgbClr w14:val="000000">
                      <w14:alpha w14:val="100000"/>
                    </w14:srgbClr>
                  </w14:solidFill>
                </w14:textFill>
              </w:rPr>
              <w:t xml:space="preserve">　</w:t>
            </w:r>
            <w:r w:rsidRPr="00427AAD">
              <w:rPr>
                <w:b/>
                <w:bCs/>
                <w:color w:val="000000"/>
                <w:w w:val="15"/>
                <w:szCs w:val="20"/>
                <w:shd w:val="solid" w:color="000000" w:fill="000000"/>
                <w:fitText w:val="50" w:id="-1032062205"/>
                <w14:textFill>
                  <w14:solidFill>
                    <w14:srgbClr w14:val="000000">
                      <w14:alpha w14:val="100000"/>
                    </w14:srgbClr>
                  </w14:solidFill>
                </w14:textFill>
              </w:rPr>
              <w:t>|</w:t>
            </w:r>
            <w:r w:rsidRPr="00427AAD">
              <w:rPr>
                <w:rFonts w:hint="eastAsia"/>
                <w:b/>
                <w:bCs/>
                <w:color w:val="000000"/>
                <w:spacing w:val="-16"/>
                <w:w w:val="15"/>
                <w:szCs w:val="20"/>
                <w:shd w:val="solid" w:color="000000" w:fill="000000"/>
                <w:fitText w:val="50" w:id="-1032062205"/>
                <w14:textFill>
                  <w14:solidFill>
                    <w14:srgbClr w14:val="000000">
                      <w14:alpha w14:val="100000"/>
                    </w14:srgbClr>
                  </w14:solidFill>
                </w14:textFill>
              </w:rPr>
              <w:t xml:space="preserve">　</w:t>
            </w:r>
            <w:r w:rsidR="00036544" w:rsidRPr="0023515E">
              <w:rPr>
                <w:b/>
                <w:bCs/>
                <w:szCs w:val="20"/>
                <w:vertAlign w:val="superscript"/>
              </w:rPr>
              <w:t>1</w:t>
            </w:r>
          </w:p>
        </w:tc>
        <w:tc>
          <w:tcPr>
            <w:tcW w:w="1116" w:type="dxa"/>
          </w:tcPr>
          <w:p w14:paraId="5A2921CB" w14:textId="77777777" w:rsidR="002D09DE" w:rsidRPr="003771DB" w:rsidRDefault="002D09DE" w:rsidP="00615F9B">
            <w:pPr>
              <w:pStyle w:val="Tabletext0"/>
              <w:keepNext/>
              <w:keepLines/>
              <w:jc w:val="center"/>
              <w:rPr>
                <w:b/>
                <w:bCs/>
                <w:szCs w:val="20"/>
              </w:rPr>
            </w:pPr>
            <w:r w:rsidRPr="003771DB">
              <w:rPr>
                <w:b/>
                <w:bCs/>
                <w:szCs w:val="20"/>
              </w:rPr>
              <w:t>-</w:t>
            </w:r>
          </w:p>
        </w:tc>
      </w:tr>
      <w:tr w:rsidR="002D09DE" w:rsidRPr="003771DB" w14:paraId="0182A907" w14:textId="77777777" w:rsidTr="00076B84">
        <w:tc>
          <w:tcPr>
            <w:tcW w:w="3940" w:type="dxa"/>
            <w:tcMar>
              <w:top w:w="0" w:type="dxa"/>
              <w:left w:w="108" w:type="dxa"/>
              <w:bottom w:w="0" w:type="dxa"/>
              <w:right w:w="108" w:type="dxa"/>
            </w:tcMar>
          </w:tcPr>
          <w:p w14:paraId="2BF52F59" w14:textId="77777777" w:rsidR="002D09DE" w:rsidRPr="003771DB" w:rsidRDefault="002D09DE" w:rsidP="00615F9B">
            <w:pPr>
              <w:pStyle w:val="Tabletext0"/>
              <w:keepNext/>
              <w:keepLines/>
              <w:rPr>
                <w:szCs w:val="20"/>
              </w:rPr>
            </w:pPr>
            <w:r w:rsidRPr="003771DB">
              <w:rPr>
                <w:szCs w:val="20"/>
              </w:rPr>
              <w:t>Modified base case with responder status utility values based on change from baseline</w:t>
            </w:r>
          </w:p>
        </w:tc>
        <w:tc>
          <w:tcPr>
            <w:tcW w:w="1402" w:type="dxa"/>
            <w:tcMar>
              <w:top w:w="0" w:type="dxa"/>
              <w:left w:w="108" w:type="dxa"/>
              <w:bottom w:w="0" w:type="dxa"/>
              <w:right w:w="108" w:type="dxa"/>
            </w:tcMar>
            <w:vAlign w:val="center"/>
          </w:tcPr>
          <w:p w14:paraId="7826347B" w14:textId="3CBC5426" w:rsidR="002D09DE" w:rsidRPr="0023515E" w:rsidRDefault="00427AAD" w:rsidP="00615F9B">
            <w:pPr>
              <w:pStyle w:val="Tabletext0"/>
              <w:keepNext/>
              <w:keepLines/>
              <w:jc w:val="center"/>
              <w:rPr>
                <w:b/>
                <w:bCs/>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p>
        </w:tc>
        <w:tc>
          <w:tcPr>
            <w:tcW w:w="1169" w:type="dxa"/>
            <w:tcMar>
              <w:top w:w="0" w:type="dxa"/>
              <w:left w:w="108" w:type="dxa"/>
              <w:bottom w:w="0" w:type="dxa"/>
              <w:right w:w="108" w:type="dxa"/>
            </w:tcMar>
            <w:vAlign w:val="center"/>
          </w:tcPr>
          <w:p w14:paraId="6CB85A00" w14:textId="77777777" w:rsidR="002D09DE" w:rsidRPr="003771DB" w:rsidRDefault="002D09DE" w:rsidP="00615F9B">
            <w:pPr>
              <w:pStyle w:val="Tabletext0"/>
              <w:keepNext/>
              <w:keepLines/>
              <w:jc w:val="center"/>
              <w:rPr>
                <w:b/>
                <w:bCs/>
                <w:szCs w:val="20"/>
              </w:rPr>
            </w:pPr>
            <w:r w:rsidRPr="003771DB">
              <w:rPr>
                <w:szCs w:val="20"/>
              </w:rPr>
              <w:t>0.2326</w:t>
            </w:r>
          </w:p>
        </w:tc>
        <w:tc>
          <w:tcPr>
            <w:tcW w:w="1402" w:type="dxa"/>
            <w:tcMar>
              <w:top w:w="0" w:type="dxa"/>
              <w:left w:w="108" w:type="dxa"/>
              <w:bottom w:w="0" w:type="dxa"/>
              <w:right w:w="108" w:type="dxa"/>
            </w:tcMar>
            <w:vAlign w:val="center"/>
          </w:tcPr>
          <w:p w14:paraId="7761B3FF" w14:textId="7FD9DC7B" w:rsidR="002D09DE" w:rsidRPr="0023515E" w:rsidRDefault="00427AAD" w:rsidP="00615F9B">
            <w:pPr>
              <w:pStyle w:val="Tabletext0"/>
              <w:keepNext/>
              <w:keepLines/>
              <w:jc w:val="center"/>
              <w:rPr>
                <w:b/>
                <w:bCs/>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r w:rsidR="00036544" w:rsidRPr="0023515E">
              <w:rPr>
                <w:szCs w:val="20"/>
                <w:vertAlign w:val="superscript"/>
              </w:rPr>
              <w:t>2</w:t>
            </w:r>
          </w:p>
        </w:tc>
        <w:tc>
          <w:tcPr>
            <w:tcW w:w="1116" w:type="dxa"/>
            <w:vAlign w:val="center"/>
          </w:tcPr>
          <w:p w14:paraId="7A434388" w14:textId="21DD0F26" w:rsidR="002D09DE" w:rsidRPr="003771DB" w:rsidRDefault="002D09DE" w:rsidP="00615F9B">
            <w:pPr>
              <w:pStyle w:val="Tabletext0"/>
              <w:keepNext/>
              <w:keepLines/>
              <w:jc w:val="center"/>
            </w:pPr>
            <w:r w:rsidRPr="003771DB">
              <w:t>+</w:t>
            </w:r>
            <w:r w:rsidR="00427AAD">
              <w:t xml:space="preserve"> </w:t>
            </w:r>
            <w:r w:rsidR="00427AAD" w:rsidRPr="00427AAD">
              <w:rPr>
                <w:rFonts w:hint="eastAsia"/>
                <w:color w:val="000000"/>
                <w:w w:val="15"/>
                <w:shd w:val="solid" w:color="000000" w:fill="000000"/>
                <w:fitText w:val="70" w:id="-1032062204"/>
                <w14:textFill>
                  <w14:solidFill>
                    <w14:srgbClr w14:val="000000">
                      <w14:alpha w14:val="100000"/>
                    </w14:srgbClr>
                  </w14:solidFill>
                </w14:textFill>
              </w:rPr>
              <w:t xml:space="preserve">　</w:t>
            </w:r>
            <w:r w:rsidR="00427AAD" w:rsidRPr="00427AAD">
              <w:rPr>
                <w:color w:val="000000"/>
                <w:w w:val="15"/>
                <w:shd w:val="solid" w:color="000000" w:fill="000000"/>
                <w:fitText w:val="70" w:id="-1032062204"/>
                <w14:textFill>
                  <w14:solidFill>
                    <w14:srgbClr w14:val="000000">
                      <w14:alpha w14:val="100000"/>
                    </w14:srgbClr>
                  </w14:solidFill>
                </w14:textFill>
              </w:rPr>
              <w:t>|</w:t>
            </w:r>
            <w:r w:rsidR="00427AAD" w:rsidRPr="00427AAD">
              <w:rPr>
                <w:rFonts w:hint="eastAsia"/>
                <w:color w:val="000000"/>
                <w:spacing w:val="4"/>
                <w:w w:val="15"/>
                <w:shd w:val="solid" w:color="000000" w:fill="000000"/>
                <w:fitText w:val="70" w:id="-1032062204"/>
                <w14:textFill>
                  <w14:solidFill>
                    <w14:srgbClr w14:val="000000">
                      <w14:alpha w14:val="100000"/>
                    </w14:srgbClr>
                  </w14:solidFill>
                </w14:textFill>
              </w:rPr>
              <w:t xml:space="preserve">　</w:t>
            </w:r>
          </w:p>
        </w:tc>
      </w:tr>
      <w:tr w:rsidR="002D09DE" w:rsidRPr="003771DB" w14:paraId="36F381F9" w14:textId="77777777" w:rsidTr="00076B84">
        <w:tc>
          <w:tcPr>
            <w:tcW w:w="9029" w:type="dxa"/>
            <w:gridSpan w:val="5"/>
            <w:tcMar>
              <w:top w:w="0" w:type="dxa"/>
              <w:left w:w="108" w:type="dxa"/>
              <w:bottom w:w="0" w:type="dxa"/>
              <w:right w:w="108" w:type="dxa"/>
            </w:tcMar>
          </w:tcPr>
          <w:p w14:paraId="0C9B2552" w14:textId="77BCAA32" w:rsidR="002D09DE" w:rsidRPr="003771DB" w:rsidRDefault="002D09DE" w:rsidP="00615F9B">
            <w:pPr>
              <w:pStyle w:val="Tabletext0"/>
              <w:keepNext/>
              <w:keepLines/>
              <w:rPr>
                <w:b/>
                <w:bCs/>
                <w:szCs w:val="20"/>
              </w:rPr>
            </w:pPr>
            <w:r w:rsidRPr="003771DB">
              <w:rPr>
                <w:b/>
                <w:bCs/>
                <w:szCs w:val="20"/>
              </w:rPr>
              <w:t xml:space="preserve">Patient population </w:t>
            </w:r>
            <w:r w:rsidRPr="003771DB">
              <w:rPr>
                <w:b/>
                <w:bCs/>
                <w:szCs w:val="20"/>
              </w:rPr>
              <w:br/>
              <w:t xml:space="preserve">(base case: patients with BMI </w:t>
            </w:r>
            <w:r w:rsidR="007F6A1D" w:rsidRPr="003771DB">
              <w:rPr>
                <w:b/>
                <w:bCs/>
                <w:szCs w:val="20"/>
                <w:u w:val="single"/>
              </w:rPr>
              <w:t>≥</w:t>
            </w:r>
            <w:r w:rsidRPr="003771DB">
              <w:rPr>
                <w:b/>
                <w:bCs/>
                <w:szCs w:val="20"/>
              </w:rPr>
              <w:t>40 kg/m</w:t>
            </w:r>
            <w:r w:rsidRPr="003771DB">
              <w:rPr>
                <w:b/>
                <w:bCs/>
                <w:szCs w:val="20"/>
                <w:vertAlign w:val="superscript"/>
              </w:rPr>
              <w:t>2</w:t>
            </w:r>
            <w:r w:rsidRPr="003771DB">
              <w:rPr>
                <w:b/>
                <w:bCs/>
                <w:szCs w:val="20"/>
              </w:rPr>
              <w:t xml:space="preserve"> and </w:t>
            </w:r>
            <w:r w:rsidR="007F6A1D" w:rsidRPr="003771DB">
              <w:rPr>
                <w:b/>
                <w:bCs/>
                <w:szCs w:val="20"/>
                <w:u w:val="single"/>
              </w:rPr>
              <w:t>≥</w:t>
            </w:r>
            <w:r w:rsidRPr="003771DB">
              <w:rPr>
                <w:b/>
                <w:bCs/>
                <w:szCs w:val="20"/>
              </w:rPr>
              <w:t>2 weight-related comorbidities with OSA, KOA or PD)</w:t>
            </w:r>
          </w:p>
        </w:tc>
      </w:tr>
      <w:tr w:rsidR="002D09DE" w:rsidRPr="003771DB" w14:paraId="2B76FF68" w14:textId="77777777" w:rsidTr="00076B84">
        <w:tc>
          <w:tcPr>
            <w:tcW w:w="3940" w:type="dxa"/>
            <w:tcMar>
              <w:top w:w="0" w:type="dxa"/>
              <w:left w:w="108" w:type="dxa"/>
              <w:bottom w:w="0" w:type="dxa"/>
              <w:right w:w="108" w:type="dxa"/>
            </w:tcMar>
            <w:vAlign w:val="center"/>
          </w:tcPr>
          <w:p w14:paraId="36CE01DD" w14:textId="77777777" w:rsidR="002D09DE" w:rsidRPr="003771DB" w:rsidRDefault="002D09DE" w:rsidP="00615F9B">
            <w:pPr>
              <w:pStyle w:val="Tabletext0"/>
              <w:keepNext/>
              <w:keepLines/>
              <w:rPr>
                <w:szCs w:val="20"/>
              </w:rPr>
            </w:pPr>
            <w:r w:rsidRPr="003771DB">
              <w:t>ITT population</w:t>
            </w:r>
          </w:p>
        </w:tc>
        <w:tc>
          <w:tcPr>
            <w:tcW w:w="1402" w:type="dxa"/>
            <w:tcMar>
              <w:top w:w="0" w:type="dxa"/>
              <w:left w:w="108" w:type="dxa"/>
              <w:bottom w:w="0" w:type="dxa"/>
              <w:right w:w="108" w:type="dxa"/>
            </w:tcMar>
            <w:vAlign w:val="center"/>
          </w:tcPr>
          <w:p w14:paraId="182A59B3" w14:textId="7BE86ED0" w:rsidR="002D09DE" w:rsidRPr="0023515E" w:rsidRDefault="00427AAD" w:rsidP="00615F9B">
            <w:pPr>
              <w:pStyle w:val="Tabletext0"/>
              <w:keepNext/>
              <w:keepLines/>
              <w:jc w:val="center"/>
              <w:rPr>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p>
        </w:tc>
        <w:tc>
          <w:tcPr>
            <w:tcW w:w="1169" w:type="dxa"/>
            <w:tcMar>
              <w:top w:w="0" w:type="dxa"/>
              <w:left w:w="108" w:type="dxa"/>
              <w:bottom w:w="0" w:type="dxa"/>
              <w:right w:w="108" w:type="dxa"/>
            </w:tcMar>
            <w:vAlign w:val="center"/>
          </w:tcPr>
          <w:p w14:paraId="2BBFD669" w14:textId="77777777" w:rsidR="002D09DE" w:rsidRPr="003771DB" w:rsidRDefault="002D09DE" w:rsidP="00615F9B">
            <w:pPr>
              <w:pStyle w:val="Tabletext0"/>
              <w:keepNext/>
              <w:keepLines/>
              <w:jc w:val="center"/>
              <w:rPr>
                <w:szCs w:val="20"/>
              </w:rPr>
            </w:pPr>
            <w:r w:rsidRPr="003771DB">
              <w:rPr>
                <w:szCs w:val="20"/>
              </w:rPr>
              <w:t>0.1483</w:t>
            </w:r>
          </w:p>
        </w:tc>
        <w:tc>
          <w:tcPr>
            <w:tcW w:w="1402" w:type="dxa"/>
            <w:tcMar>
              <w:top w:w="0" w:type="dxa"/>
              <w:left w:w="108" w:type="dxa"/>
              <w:bottom w:w="0" w:type="dxa"/>
              <w:right w:w="108" w:type="dxa"/>
            </w:tcMar>
            <w:vAlign w:val="center"/>
          </w:tcPr>
          <w:p w14:paraId="79913E53" w14:textId="251CB5B2" w:rsidR="002D09DE" w:rsidRPr="0023515E" w:rsidRDefault="00427AAD" w:rsidP="00615F9B">
            <w:pPr>
              <w:pStyle w:val="Tabletext0"/>
              <w:keepNext/>
              <w:keepLines/>
              <w:jc w:val="center"/>
              <w:rPr>
                <w:szCs w:val="20"/>
                <w:highlight w:val="darkGray"/>
                <w:vertAlign w:val="superscript"/>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r w:rsidR="00036544" w:rsidRPr="0023515E">
              <w:rPr>
                <w:szCs w:val="20"/>
                <w:vertAlign w:val="superscript"/>
              </w:rPr>
              <w:t xml:space="preserve">3 </w:t>
            </w:r>
          </w:p>
        </w:tc>
        <w:tc>
          <w:tcPr>
            <w:tcW w:w="1116" w:type="dxa"/>
            <w:vAlign w:val="center"/>
          </w:tcPr>
          <w:p w14:paraId="54110198" w14:textId="4F1EE5AB" w:rsidR="002D09DE" w:rsidRPr="003771DB" w:rsidRDefault="002D09DE" w:rsidP="00615F9B">
            <w:pPr>
              <w:pStyle w:val="Tabletext0"/>
              <w:keepNext/>
              <w:keepLines/>
              <w:jc w:val="center"/>
              <w:rPr>
                <w:szCs w:val="20"/>
              </w:rPr>
            </w:pPr>
            <w:r w:rsidRPr="003771DB">
              <w:t>+</w:t>
            </w:r>
            <w:r w:rsidR="00427AAD">
              <w:t xml:space="preserve"> </w:t>
            </w:r>
            <w:r w:rsidR="00427AAD" w:rsidRPr="00427AAD">
              <w:rPr>
                <w:rFonts w:hint="eastAsia"/>
                <w:color w:val="000000"/>
                <w:w w:val="15"/>
                <w:shd w:val="solid" w:color="000000" w:fill="000000"/>
                <w:fitText w:val="70" w:id="-1032062203"/>
                <w14:textFill>
                  <w14:solidFill>
                    <w14:srgbClr w14:val="000000">
                      <w14:alpha w14:val="100000"/>
                    </w14:srgbClr>
                  </w14:solidFill>
                </w14:textFill>
              </w:rPr>
              <w:t xml:space="preserve">　</w:t>
            </w:r>
            <w:r w:rsidR="00427AAD" w:rsidRPr="00427AAD">
              <w:rPr>
                <w:color w:val="000000"/>
                <w:w w:val="15"/>
                <w:shd w:val="solid" w:color="000000" w:fill="000000"/>
                <w:fitText w:val="70" w:id="-1032062203"/>
                <w14:textFill>
                  <w14:solidFill>
                    <w14:srgbClr w14:val="000000">
                      <w14:alpha w14:val="100000"/>
                    </w14:srgbClr>
                  </w14:solidFill>
                </w14:textFill>
              </w:rPr>
              <w:t>|</w:t>
            </w:r>
            <w:r w:rsidR="00427AAD" w:rsidRPr="00427AAD">
              <w:rPr>
                <w:rFonts w:hint="eastAsia"/>
                <w:color w:val="000000"/>
                <w:spacing w:val="4"/>
                <w:w w:val="15"/>
                <w:shd w:val="solid" w:color="000000" w:fill="000000"/>
                <w:fitText w:val="70" w:id="-1032062203"/>
                <w14:textFill>
                  <w14:solidFill>
                    <w14:srgbClr w14:val="000000">
                      <w14:alpha w14:val="100000"/>
                    </w14:srgbClr>
                  </w14:solidFill>
                </w14:textFill>
              </w:rPr>
              <w:t xml:space="preserve">　</w:t>
            </w:r>
          </w:p>
        </w:tc>
      </w:tr>
      <w:tr w:rsidR="002D09DE" w:rsidRPr="003771DB" w14:paraId="32216A5D" w14:textId="77777777" w:rsidTr="00076B84">
        <w:tc>
          <w:tcPr>
            <w:tcW w:w="3940" w:type="dxa"/>
            <w:tcMar>
              <w:top w:w="0" w:type="dxa"/>
              <w:left w:w="108" w:type="dxa"/>
              <w:bottom w:w="0" w:type="dxa"/>
              <w:right w:w="108" w:type="dxa"/>
            </w:tcMar>
            <w:vAlign w:val="center"/>
          </w:tcPr>
          <w:p w14:paraId="0F3114CC" w14:textId="02A85799" w:rsidR="002D09DE" w:rsidRPr="003771DB" w:rsidRDefault="002D09DE" w:rsidP="00615F9B">
            <w:pPr>
              <w:pStyle w:val="Tabletext0"/>
              <w:keepNext/>
              <w:keepLines/>
              <w:rPr>
                <w:szCs w:val="20"/>
              </w:rPr>
            </w:pPr>
            <w:r w:rsidRPr="003771DB">
              <w:t xml:space="preserve">BMI </w:t>
            </w:r>
            <w:r w:rsidR="007F6A1D" w:rsidRPr="003771DB">
              <w:t>≥</w:t>
            </w:r>
            <w:r w:rsidRPr="003771DB">
              <w:t>35 kg/m</w:t>
            </w:r>
            <w:r w:rsidRPr="003771DB">
              <w:rPr>
                <w:vertAlign w:val="superscript"/>
              </w:rPr>
              <w:t>2</w:t>
            </w:r>
            <w:r w:rsidRPr="003771DB">
              <w:t xml:space="preserve"> &amp; ≥1 weight-related comorbidity</w:t>
            </w:r>
          </w:p>
        </w:tc>
        <w:tc>
          <w:tcPr>
            <w:tcW w:w="1402" w:type="dxa"/>
            <w:tcMar>
              <w:top w:w="0" w:type="dxa"/>
              <w:left w:w="108" w:type="dxa"/>
              <w:bottom w:w="0" w:type="dxa"/>
              <w:right w:w="108" w:type="dxa"/>
            </w:tcMar>
            <w:vAlign w:val="center"/>
          </w:tcPr>
          <w:p w14:paraId="68F78BAE" w14:textId="2E08D91E" w:rsidR="002D09DE" w:rsidRPr="00036544" w:rsidRDefault="00427AAD" w:rsidP="00615F9B">
            <w:pPr>
              <w:pStyle w:val="Tabletext0"/>
              <w:keepNext/>
              <w:keepLines/>
              <w:jc w:val="center"/>
              <w:rPr>
                <w:szCs w:val="20"/>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p>
        </w:tc>
        <w:tc>
          <w:tcPr>
            <w:tcW w:w="1169" w:type="dxa"/>
            <w:tcMar>
              <w:top w:w="0" w:type="dxa"/>
              <w:left w:w="108" w:type="dxa"/>
              <w:bottom w:w="0" w:type="dxa"/>
              <w:right w:w="108" w:type="dxa"/>
            </w:tcMar>
            <w:vAlign w:val="center"/>
          </w:tcPr>
          <w:p w14:paraId="7BB68D8A" w14:textId="77777777" w:rsidR="002D09DE" w:rsidRPr="003771DB" w:rsidRDefault="002D09DE" w:rsidP="00615F9B">
            <w:pPr>
              <w:pStyle w:val="Tabletext0"/>
              <w:keepNext/>
              <w:keepLines/>
              <w:jc w:val="center"/>
              <w:rPr>
                <w:szCs w:val="20"/>
              </w:rPr>
            </w:pPr>
            <w:r w:rsidRPr="003771DB">
              <w:rPr>
                <w:szCs w:val="20"/>
              </w:rPr>
              <w:t>0.1910</w:t>
            </w:r>
          </w:p>
        </w:tc>
        <w:tc>
          <w:tcPr>
            <w:tcW w:w="1402" w:type="dxa"/>
            <w:tcMar>
              <w:top w:w="0" w:type="dxa"/>
              <w:left w:w="108" w:type="dxa"/>
              <w:bottom w:w="0" w:type="dxa"/>
              <w:right w:w="108" w:type="dxa"/>
            </w:tcMar>
            <w:vAlign w:val="center"/>
          </w:tcPr>
          <w:p w14:paraId="2560E696" w14:textId="1D8AEF11" w:rsidR="002D09DE" w:rsidRPr="0023515E" w:rsidRDefault="00886A85" w:rsidP="00615F9B">
            <w:pPr>
              <w:pStyle w:val="Tabletext0"/>
              <w:keepNext/>
              <w:keepLines/>
              <w:jc w:val="center"/>
              <w:rPr>
                <w:szCs w:val="20"/>
                <w:highlight w:val="darkGray"/>
                <w:vertAlign w:val="superscript"/>
              </w:rPr>
            </w:pPr>
            <w:r>
              <w:rPr>
                <w:szCs w:val="20"/>
              </w:rPr>
              <w:t>$</w:t>
            </w:r>
            <w:r w:rsidR="00427AAD" w:rsidRPr="00886A85">
              <w:rPr>
                <w:rFonts w:hint="eastAsia"/>
                <w:color w:val="000000"/>
                <w:w w:val="15"/>
                <w:szCs w:val="20"/>
                <w:shd w:val="solid" w:color="000000" w:fill="000000"/>
                <w:fitText w:val="50" w:id="-1032062202"/>
                <w14:textFill>
                  <w14:solidFill>
                    <w14:srgbClr w14:val="000000">
                      <w14:alpha w14:val="100000"/>
                    </w14:srgbClr>
                  </w14:solidFill>
                </w14:textFill>
              </w:rPr>
              <w:t xml:space="preserve">　</w:t>
            </w:r>
            <w:r w:rsidR="00427AAD" w:rsidRPr="00886A85">
              <w:rPr>
                <w:color w:val="000000"/>
                <w:w w:val="15"/>
                <w:szCs w:val="20"/>
                <w:shd w:val="solid" w:color="000000" w:fill="000000"/>
                <w:fitText w:val="50" w:id="-1032062202"/>
                <w14:textFill>
                  <w14:solidFill>
                    <w14:srgbClr w14:val="000000">
                      <w14:alpha w14:val="100000"/>
                    </w14:srgbClr>
                  </w14:solidFill>
                </w14:textFill>
              </w:rPr>
              <w:t>|</w:t>
            </w:r>
            <w:r w:rsidR="00427AAD" w:rsidRPr="00886A85">
              <w:rPr>
                <w:rFonts w:hint="eastAsia"/>
                <w:color w:val="000000"/>
                <w:spacing w:val="-15"/>
                <w:w w:val="15"/>
                <w:szCs w:val="20"/>
                <w:shd w:val="solid" w:color="000000" w:fill="000000"/>
                <w:fitText w:val="50" w:id="-1032062202"/>
                <w14:textFill>
                  <w14:solidFill>
                    <w14:srgbClr w14:val="000000">
                      <w14:alpha w14:val="100000"/>
                    </w14:srgbClr>
                  </w14:solidFill>
                </w14:textFill>
              </w:rPr>
              <w:t xml:space="preserve">　</w:t>
            </w:r>
            <w:r w:rsidR="00EA0C06" w:rsidRPr="0023515E">
              <w:rPr>
                <w:szCs w:val="20"/>
                <w:vertAlign w:val="superscript"/>
              </w:rPr>
              <w:t>4</w:t>
            </w:r>
          </w:p>
        </w:tc>
        <w:tc>
          <w:tcPr>
            <w:tcW w:w="1116" w:type="dxa"/>
            <w:vAlign w:val="center"/>
          </w:tcPr>
          <w:p w14:paraId="117AE149" w14:textId="75D28CD5" w:rsidR="002D09DE" w:rsidRPr="003771DB" w:rsidRDefault="002D09DE" w:rsidP="00615F9B">
            <w:pPr>
              <w:pStyle w:val="Tabletext0"/>
              <w:keepNext/>
              <w:keepLines/>
              <w:jc w:val="center"/>
              <w:rPr>
                <w:szCs w:val="20"/>
              </w:rPr>
            </w:pPr>
            <w:r w:rsidRPr="003771DB">
              <w:t>+</w:t>
            </w:r>
            <w:r w:rsidR="00427AAD">
              <w:t xml:space="preserve"> </w:t>
            </w:r>
            <w:r w:rsidR="00427AAD" w:rsidRPr="00427AAD">
              <w:rPr>
                <w:rFonts w:hint="eastAsia"/>
                <w:color w:val="000000"/>
                <w:w w:val="15"/>
                <w:shd w:val="solid" w:color="000000" w:fill="000000"/>
                <w:fitText w:val="70" w:id="-1032062201"/>
                <w14:textFill>
                  <w14:solidFill>
                    <w14:srgbClr w14:val="000000">
                      <w14:alpha w14:val="100000"/>
                    </w14:srgbClr>
                  </w14:solidFill>
                </w14:textFill>
              </w:rPr>
              <w:t xml:space="preserve">　</w:t>
            </w:r>
            <w:r w:rsidR="00427AAD" w:rsidRPr="00427AAD">
              <w:rPr>
                <w:color w:val="000000"/>
                <w:w w:val="15"/>
                <w:shd w:val="solid" w:color="000000" w:fill="000000"/>
                <w:fitText w:val="70" w:id="-1032062201"/>
                <w14:textFill>
                  <w14:solidFill>
                    <w14:srgbClr w14:val="000000">
                      <w14:alpha w14:val="100000"/>
                    </w14:srgbClr>
                  </w14:solidFill>
                </w14:textFill>
              </w:rPr>
              <w:t>|</w:t>
            </w:r>
            <w:r w:rsidR="00427AAD" w:rsidRPr="00427AAD">
              <w:rPr>
                <w:rFonts w:hint="eastAsia"/>
                <w:color w:val="000000"/>
                <w:spacing w:val="4"/>
                <w:w w:val="15"/>
                <w:shd w:val="solid" w:color="000000" w:fill="000000"/>
                <w:fitText w:val="70" w:id="-1032062201"/>
                <w14:textFill>
                  <w14:solidFill>
                    <w14:srgbClr w14:val="000000">
                      <w14:alpha w14:val="100000"/>
                    </w14:srgbClr>
                  </w14:solidFill>
                </w14:textFill>
              </w:rPr>
              <w:t xml:space="preserve">　</w:t>
            </w:r>
          </w:p>
        </w:tc>
      </w:tr>
      <w:tr w:rsidR="002D09DE" w:rsidRPr="003771DB" w14:paraId="61818474" w14:textId="77777777" w:rsidTr="00076B84">
        <w:tc>
          <w:tcPr>
            <w:tcW w:w="3940" w:type="dxa"/>
            <w:tcMar>
              <w:top w:w="0" w:type="dxa"/>
              <w:left w:w="108" w:type="dxa"/>
              <w:bottom w:w="0" w:type="dxa"/>
              <w:right w:w="108" w:type="dxa"/>
            </w:tcMar>
            <w:vAlign w:val="center"/>
          </w:tcPr>
          <w:p w14:paraId="46FA3825" w14:textId="5CB7CA26" w:rsidR="002D09DE" w:rsidRPr="003771DB" w:rsidRDefault="002D09DE" w:rsidP="00615F9B">
            <w:pPr>
              <w:pStyle w:val="Tabletext0"/>
              <w:keepNext/>
              <w:keepLines/>
              <w:rPr>
                <w:szCs w:val="20"/>
              </w:rPr>
            </w:pPr>
            <w:r w:rsidRPr="003771DB">
              <w:rPr>
                <w:szCs w:val="20"/>
              </w:rPr>
              <w:t xml:space="preserve">BMI </w:t>
            </w:r>
            <w:r w:rsidR="007F6A1D" w:rsidRPr="003771DB">
              <w:rPr>
                <w:szCs w:val="20"/>
              </w:rPr>
              <w:t>≥</w:t>
            </w:r>
            <w:r w:rsidRPr="003771DB">
              <w:rPr>
                <w:szCs w:val="20"/>
              </w:rPr>
              <w:t>35 kg/m</w:t>
            </w:r>
            <w:r w:rsidRPr="003771DB">
              <w:rPr>
                <w:szCs w:val="20"/>
                <w:vertAlign w:val="superscript"/>
              </w:rPr>
              <w:t>2</w:t>
            </w:r>
            <w:r w:rsidRPr="003771DB">
              <w:rPr>
                <w:szCs w:val="20"/>
              </w:rPr>
              <w:t xml:space="preserve"> and </w:t>
            </w:r>
            <w:r w:rsidR="007F6A1D" w:rsidRPr="003771DB">
              <w:rPr>
                <w:szCs w:val="20"/>
              </w:rPr>
              <w:t>≥</w:t>
            </w:r>
            <w:r w:rsidRPr="003771DB">
              <w:rPr>
                <w:szCs w:val="20"/>
              </w:rPr>
              <w:t>2 weight-related comorbidities with OSA or KOA</w:t>
            </w:r>
          </w:p>
        </w:tc>
        <w:tc>
          <w:tcPr>
            <w:tcW w:w="1402" w:type="dxa"/>
            <w:tcMar>
              <w:top w:w="0" w:type="dxa"/>
              <w:left w:w="108" w:type="dxa"/>
              <w:bottom w:w="0" w:type="dxa"/>
              <w:right w:w="108" w:type="dxa"/>
            </w:tcMar>
            <w:vAlign w:val="center"/>
          </w:tcPr>
          <w:p w14:paraId="0848AC6D" w14:textId="58431DC1" w:rsidR="002D09DE" w:rsidRPr="0023515E" w:rsidRDefault="00427AAD" w:rsidP="00615F9B">
            <w:pPr>
              <w:pStyle w:val="Tabletext0"/>
              <w:keepNext/>
              <w:keepLines/>
              <w:jc w:val="center"/>
              <w:rPr>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p>
        </w:tc>
        <w:tc>
          <w:tcPr>
            <w:tcW w:w="1169" w:type="dxa"/>
            <w:tcMar>
              <w:top w:w="0" w:type="dxa"/>
              <w:left w:w="108" w:type="dxa"/>
              <w:bottom w:w="0" w:type="dxa"/>
              <w:right w:w="108" w:type="dxa"/>
            </w:tcMar>
            <w:vAlign w:val="center"/>
          </w:tcPr>
          <w:p w14:paraId="670B81ED" w14:textId="77777777" w:rsidR="002D09DE" w:rsidRPr="003771DB" w:rsidRDefault="002D09DE" w:rsidP="00615F9B">
            <w:pPr>
              <w:pStyle w:val="Tabletext0"/>
              <w:keepNext/>
              <w:keepLines/>
              <w:jc w:val="center"/>
              <w:rPr>
                <w:szCs w:val="20"/>
              </w:rPr>
            </w:pPr>
            <w:r w:rsidRPr="003771DB">
              <w:rPr>
                <w:szCs w:val="20"/>
              </w:rPr>
              <w:t>0.1326</w:t>
            </w:r>
          </w:p>
        </w:tc>
        <w:tc>
          <w:tcPr>
            <w:tcW w:w="1402" w:type="dxa"/>
            <w:tcMar>
              <w:top w:w="0" w:type="dxa"/>
              <w:left w:w="108" w:type="dxa"/>
              <w:bottom w:w="0" w:type="dxa"/>
              <w:right w:w="108" w:type="dxa"/>
            </w:tcMar>
            <w:vAlign w:val="center"/>
          </w:tcPr>
          <w:p w14:paraId="3F844102" w14:textId="789DE2F8" w:rsidR="002D09DE" w:rsidRPr="0023515E" w:rsidRDefault="00427AAD" w:rsidP="00615F9B">
            <w:pPr>
              <w:pStyle w:val="Tabletext0"/>
              <w:keepNext/>
              <w:keepLines/>
              <w:jc w:val="center"/>
              <w:rPr>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r w:rsidR="00EA0C06" w:rsidRPr="0023515E">
              <w:rPr>
                <w:szCs w:val="20"/>
                <w:vertAlign w:val="superscript"/>
              </w:rPr>
              <w:t>5</w:t>
            </w:r>
          </w:p>
        </w:tc>
        <w:tc>
          <w:tcPr>
            <w:tcW w:w="1116" w:type="dxa"/>
            <w:vAlign w:val="center"/>
          </w:tcPr>
          <w:p w14:paraId="4FBEB062" w14:textId="0BC4F247" w:rsidR="002D09DE" w:rsidRPr="003771DB" w:rsidRDefault="002D09DE" w:rsidP="00615F9B">
            <w:pPr>
              <w:pStyle w:val="Tabletext0"/>
              <w:keepNext/>
              <w:keepLines/>
              <w:jc w:val="center"/>
              <w:rPr>
                <w:szCs w:val="20"/>
              </w:rPr>
            </w:pPr>
            <w:r w:rsidRPr="003771DB">
              <w:t>+</w:t>
            </w:r>
            <w:r w:rsidR="00427AAD">
              <w:t xml:space="preserve"> </w:t>
            </w:r>
            <w:r w:rsidR="00427AAD" w:rsidRPr="00427AAD">
              <w:rPr>
                <w:rFonts w:hint="eastAsia"/>
                <w:color w:val="000000"/>
                <w:w w:val="15"/>
                <w:shd w:val="solid" w:color="000000" w:fill="000000"/>
                <w:fitText w:val="70" w:id="-1032062200"/>
                <w14:textFill>
                  <w14:solidFill>
                    <w14:srgbClr w14:val="000000">
                      <w14:alpha w14:val="100000"/>
                    </w14:srgbClr>
                  </w14:solidFill>
                </w14:textFill>
              </w:rPr>
              <w:t xml:space="preserve">　</w:t>
            </w:r>
            <w:r w:rsidR="00427AAD" w:rsidRPr="00427AAD">
              <w:rPr>
                <w:color w:val="000000"/>
                <w:w w:val="15"/>
                <w:shd w:val="solid" w:color="000000" w:fill="000000"/>
                <w:fitText w:val="70" w:id="-1032062200"/>
                <w14:textFill>
                  <w14:solidFill>
                    <w14:srgbClr w14:val="000000">
                      <w14:alpha w14:val="100000"/>
                    </w14:srgbClr>
                  </w14:solidFill>
                </w14:textFill>
              </w:rPr>
              <w:t>|</w:t>
            </w:r>
            <w:r w:rsidR="00427AAD" w:rsidRPr="00427AAD">
              <w:rPr>
                <w:rFonts w:hint="eastAsia"/>
                <w:color w:val="000000"/>
                <w:spacing w:val="4"/>
                <w:w w:val="15"/>
                <w:shd w:val="solid" w:color="000000" w:fill="000000"/>
                <w:fitText w:val="70" w:id="-1032062200"/>
                <w14:textFill>
                  <w14:solidFill>
                    <w14:srgbClr w14:val="000000">
                      <w14:alpha w14:val="100000"/>
                    </w14:srgbClr>
                  </w14:solidFill>
                </w14:textFill>
              </w:rPr>
              <w:t xml:space="preserve">　</w:t>
            </w:r>
          </w:p>
        </w:tc>
      </w:tr>
      <w:tr w:rsidR="002D09DE" w:rsidRPr="003771DB" w14:paraId="34C30AFD" w14:textId="77777777" w:rsidTr="00076B84">
        <w:tc>
          <w:tcPr>
            <w:tcW w:w="3940" w:type="dxa"/>
            <w:tcMar>
              <w:top w:w="0" w:type="dxa"/>
              <w:left w:w="108" w:type="dxa"/>
              <w:bottom w:w="0" w:type="dxa"/>
              <w:right w:w="108" w:type="dxa"/>
            </w:tcMar>
            <w:vAlign w:val="center"/>
          </w:tcPr>
          <w:p w14:paraId="40C342B6" w14:textId="44007581" w:rsidR="002D09DE" w:rsidRPr="003771DB" w:rsidRDefault="002D09DE" w:rsidP="00615F9B">
            <w:pPr>
              <w:pStyle w:val="Tabletext0"/>
              <w:keepNext/>
              <w:keepLines/>
              <w:rPr>
                <w:szCs w:val="20"/>
              </w:rPr>
            </w:pPr>
            <w:r w:rsidRPr="003771DB">
              <w:rPr>
                <w:szCs w:val="20"/>
              </w:rPr>
              <w:t xml:space="preserve">BMI </w:t>
            </w:r>
            <w:r w:rsidR="009A2266" w:rsidRPr="003771DB">
              <w:rPr>
                <w:szCs w:val="20"/>
              </w:rPr>
              <w:t>≥</w:t>
            </w:r>
            <w:r w:rsidRPr="003771DB">
              <w:rPr>
                <w:szCs w:val="20"/>
              </w:rPr>
              <w:t>40 kg/m</w:t>
            </w:r>
            <w:r w:rsidRPr="003771DB">
              <w:rPr>
                <w:szCs w:val="20"/>
                <w:vertAlign w:val="superscript"/>
              </w:rPr>
              <w:t>2</w:t>
            </w:r>
            <w:r w:rsidRPr="003771DB">
              <w:rPr>
                <w:szCs w:val="20"/>
              </w:rPr>
              <w:t xml:space="preserve"> and </w:t>
            </w:r>
            <w:r w:rsidR="009A2266" w:rsidRPr="003771DB">
              <w:rPr>
                <w:szCs w:val="20"/>
              </w:rPr>
              <w:t>≥</w:t>
            </w:r>
            <w:r w:rsidRPr="003771DB">
              <w:rPr>
                <w:szCs w:val="20"/>
              </w:rPr>
              <w:t>1 weight-related comorbidity with OSA or KOA</w:t>
            </w:r>
          </w:p>
        </w:tc>
        <w:tc>
          <w:tcPr>
            <w:tcW w:w="1402" w:type="dxa"/>
            <w:tcMar>
              <w:top w:w="0" w:type="dxa"/>
              <w:left w:w="108" w:type="dxa"/>
              <w:bottom w:w="0" w:type="dxa"/>
              <w:right w:w="108" w:type="dxa"/>
            </w:tcMar>
            <w:vAlign w:val="center"/>
          </w:tcPr>
          <w:p w14:paraId="1DE32187" w14:textId="567859E0" w:rsidR="002D09DE" w:rsidRPr="0023515E" w:rsidRDefault="00427AAD" w:rsidP="00615F9B">
            <w:pPr>
              <w:pStyle w:val="Tabletext0"/>
              <w:keepNext/>
              <w:keepLines/>
              <w:jc w:val="center"/>
              <w:rPr>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p>
        </w:tc>
        <w:tc>
          <w:tcPr>
            <w:tcW w:w="1169" w:type="dxa"/>
            <w:tcMar>
              <w:top w:w="0" w:type="dxa"/>
              <w:left w:w="108" w:type="dxa"/>
              <w:bottom w:w="0" w:type="dxa"/>
              <w:right w:w="108" w:type="dxa"/>
            </w:tcMar>
            <w:vAlign w:val="center"/>
          </w:tcPr>
          <w:p w14:paraId="2D89F09E" w14:textId="77777777" w:rsidR="002D09DE" w:rsidRPr="003771DB" w:rsidRDefault="002D09DE" w:rsidP="00615F9B">
            <w:pPr>
              <w:pStyle w:val="Tabletext0"/>
              <w:keepNext/>
              <w:keepLines/>
              <w:jc w:val="center"/>
              <w:rPr>
                <w:szCs w:val="20"/>
              </w:rPr>
            </w:pPr>
            <w:r w:rsidRPr="003771DB">
              <w:rPr>
                <w:szCs w:val="20"/>
              </w:rPr>
              <w:t>0.2006</w:t>
            </w:r>
          </w:p>
        </w:tc>
        <w:tc>
          <w:tcPr>
            <w:tcW w:w="1402" w:type="dxa"/>
            <w:tcMar>
              <w:top w:w="0" w:type="dxa"/>
              <w:left w:w="108" w:type="dxa"/>
              <w:bottom w:w="0" w:type="dxa"/>
              <w:right w:w="108" w:type="dxa"/>
            </w:tcMar>
            <w:vAlign w:val="center"/>
          </w:tcPr>
          <w:p w14:paraId="1FE09632" w14:textId="5A43A5D9" w:rsidR="002D09DE" w:rsidRPr="0023515E" w:rsidRDefault="00427AAD" w:rsidP="00615F9B">
            <w:pPr>
              <w:pStyle w:val="Tabletext0"/>
              <w:keepNext/>
              <w:keepLines/>
              <w:jc w:val="center"/>
              <w:rPr>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r w:rsidR="00EA0C06" w:rsidRPr="00D95954">
              <w:rPr>
                <w:b/>
                <w:bCs/>
                <w:szCs w:val="20"/>
                <w:vertAlign w:val="superscript"/>
              </w:rPr>
              <w:t>4</w:t>
            </w:r>
          </w:p>
        </w:tc>
        <w:tc>
          <w:tcPr>
            <w:tcW w:w="1116" w:type="dxa"/>
            <w:vAlign w:val="center"/>
          </w:tcPr>
          <w:p w14:paraId="05EEC9DE" w14:textId="6E865B92" w:rsidR="002D09DE" w:rsidRPr="003771DB" w:rsidRDefault="002D09DE" w:rsidP="00615F9B">
            <w:pPr>
              <w:pStyle w:val="Tabletext0"/>
              <w:keepNext/>
              <w:keepLines/>
              <w:jc w:val="center"/>
              <w:rPr>
                <w:szCs w:val="20"/>
              </w:rPr>
            </w:pPr>
            <w:r w:rsidRPr="003771DB">
              <w:t>+</w:t>
            </w:r>
            <w:r w:rsidR="00427AAD">
              <w:t xml:space="preserve"> </w:t>
            </w:r>
            <w:r w:rsidR="00427AAD" w:rsidRPr="00427AAD">
              <w:rPr>
                <w:rFonts w:hint="eastAsia"/>
                <w:color w:val="000000"/>
                <w:w w:val="15"/>
                <w:shd w:val="solid" w:color="000000" w:fill="000000"/>
                <w:fitText w:val="70" w:id="-1032062199"/>
                <w14:textFill>
                  <w14:solidFill>
                    <w14:srgbClr w14:val="000000">
                      <w14:alpha w14:val="100000"/>
                    </w14:srgbClr>
                  </w14:solidFill>
                </w14:textFill>
              </w:rPr>
              <w:t xml:space="preserve">　</w:t>
            </w:r>
            <w:r w:rsidR="00427AAD" w:rsidRPr="00427AAD">
              <w:rPr>
                <w:color w:val="000000"/>
                <w:w w:val="15"/>
                <w:shd w:val="solid" w:color="000000" w:fill="000000"/>
                <w:fitText w:val="70" w:id="-1032062199"/>
                <w14:textFill>
                  <w14:solidFill>
                    <w14:srgbClr w14:val="000000">
                      <w14:alpha w14:val="100000"/>
                    </w14:srgbClr>
                  </w14:solidFill>
                </w14:textFill>
              </w:rPr>
              <w:t>|</w:t>
            </w:r>
            <w:r w:rsidR="00427AAD" w:rsidRPr="00427AAD">
              <w:rPr>
                <w:rFonts w:hint="eastAsia"/>
                <w:color w:val="000000"/>
                <w:spacing w:val="4"/>
                <w:w w:val="15"/>
                <w:shd w:val="solid" w:color="000000" w:fill="000000"/>
                <w:fitText w:val="70" w:id="-1032062199"/>
                <w14:textFill>
                  <w14:solidFill>
                    <w14:srgbClr w14:val="000000">
                      <w14:alpha w14:val="100000"/>
                    </w14:srgbClr>
                  </w14:solidFill>
                </w14:textFill>
              </w:rPr>
              <w:t xml:space="preserve">　</w:t>
            </w:r>
          </w:p>
        </w:tc>
      </w:tr>
      <w:tr w:rsidR="002D09DE" w:rsidRPr="003771DB" w14:paraId="34269CF2" w14:textId="77777777" w:rsidTr="00076B84">
        <w:tc>
          <w:tcPr>
            <w:tcW w:w="3940" w:type="dxa"/>
            <w:tcMar>
              <w:top w:w="0" w:type="dxa"/>
              <w:left w:w="108" w:type="dxa"/>
              <w:bottom w:w="0" w:type="dxa"/>
              <w:right w:w="108" w:type="dxa"/>
            </w:tcMar>
            <w:vAlign w:val="center"/>
          </w:tcPr>
          <w:p w14:paraId="39894E5F" w14:textId="01FBC841" w:rsidR="002D09DE" w:rsidRPr="003771DB" w:rsidRDefault="002D09DE" w:rsidP="00615F9B">
            <w:pPr>
              <w:pStyle w:val="Tabletext0"/>
              <w:keepNext/>
              <w:keepLines/>
              <w:rPr>
                <w:szCs w:val="20"/>
              </w:rPr>
            </w:pPr>
            <w:r w:rsidRPr="003771DB">
              <w:rPr>
                <w:szCs w:val="20"/>
              </w:rPr>
              <w:t xml:space="preserve">BMI </w:t>
            </w:r>
            <w:r w:rsidR="009A2266" w:rsidRPr="003771DB">
              <w:rPr>
                <w:szCs w:val="20"/>
              </w:rPr>
              <w:t>≥</w:t>
            </w:r>
            <w:r w:rsidRPr="003771DB">
              <w:rPr>
                <w:szCs w:val="20"/>
              </w:rPr>
              <w:t>40 kg/m</w:t>
            </w:r>
            <w:r w:rsidRPr="003771DB">
              <w:rPr>
                <w:szCs w:val="20"/>
                <w:vertAlign w:val="superscript"/>
              </w:rPr>
              <w:t>2</w:t>
            </w:r>
            <w:r w:rsidRPr="003771DB">
              <w:rPr>
                <w:szCs w:val="20"/>
              </w:rPr>
              <w:t xml:space="preserve"> and </w:t>
            </w:r>
            <w:r w:rsidR="009A2266" w:rsidRPr="003771DB">
              <w:rPr>
                <w:szCs w:val="20"/>
              </w:rPr>
              <w:t>≥</w:t>
            </w:r>
            <w:r w:rsidRPr="003771DB">
              <w:rPr>
                <w:szCs w:val="20"/>
              </w:rPr>
              <w:t>2 weight-related comorbidities with OSA or KOA</w:t>
            </w:r>
          </w:p>
        </w:tc>
        <w:tc>
          <w:tcPr>
            <w:tcW w:w="1402" w:type="dxa"/>
            <w:tcMar>
              <w:top w:w="0" w:type="dxa"/>
              <w:left w:w="108" w:type="dxa"/>
              <w:bottom w:w="0" w:type="dxa"/>
              <w:right w:w="108" w:type="dxa"/>
            </w:tcMar>
            <w:vAlign w:val="center"/>
          </w:tcPr>
          <w:p w14:paraId="639070C5" w14:textId="7FEC7BD2" w:rsidR="002D09DE" w:rsidRPr="0023515E" w:rsidRDefault="00427AAD" w:rsidP="00615F9B">
            <w:pPr>
              <w:pStyle w:val="Tabletext0"/>
              <w:keepNext/>
              <w:keepLines/>
              <w:jc w:val="center"/>
              <w:rPr>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p>
        </w:tc>
        <w:tc>
          <w:tcPr>
            <w:tcW w:w="1169" w:type="dxa"/>
            <w:tcMar>
              <w:top w:w="0" w:type="dxa"/>
              <w:left w:w="108" w:type="dxa"/>
              <w:bottom w:w="0" w:type="dxa"/>
              <w:right w:w="108" w:type="dxa"/>
            </w:tcMar>
            <w:vAlign w:val="center"/>
          </w:tcPr>
          <w:p w14:paraId="374322BD" w14:textId="77777777" w:rsidR="002D09DE" w:rsidRPr="003771DB" w:rsidRDefault="002D09DE" w:rsidP="00615F9B">
            <w:pPr>
              <w:pStyle w:val="Tabletext0"/>
              <w:keepNext/>
              <w:keepLines/>
              <w:jc w:val="center"/>
              <w:rPr>
                <w:szCs w:val="20"/>
              </w:rPr>
            </w:pPr>
            <w:r w:rsidRPr="003771DB">
              <w:rPr>
                <w:szCs w:val="20"/>
              </w:rPr>
              <w:t>0.1937</w:t>
            </w:r>
          </w:p>
        </w:tc>
        <w:tc>
          <w:tcPr>
            <w:tcW w:w="1402" w:type="dxa"/>
            <w:tcMar>
              <w:top w:w="0" w:type="dxa"/>
              <w:left w:w="108" w:type="dxa"/>
              <w:bottom w:w="0" w:type="dxa"/>
              <w:right w:w="108" w:type="dxa"/>
            </w:tcMar>
            <w:vAlign w:val="center"/>
          </w:tcPr>
          <w:p w14:paraId="25987917" w14:textId="708F75B1" w:rsidR="002D09DE" w:rsidRPr="0023515E" w:rsidRDefault="00427AAD" w:rsidP="00615F9B">
            <w:pPr>
              <w:pStyle w:val="Tabletext0"/>
              <w:keepNext/>
              <w:keepLines/>
              <w:jc w:val="center"/>
              <w:rPr>
                <w:szCs w:val="20"/>
                <w:highlight w:val="darkGray"/>
              </w:rPr>
            </w:pPr>
            <w:r>
              <w:rPr>
                <w:szCs w:val="20"/>
              </w:rPr>
              <w:t xml:space="preserve"> </w:t>
            </w:r>
            <w:r w:rsidRPr="00427AAD">
              <w:rPr>
                <w:color w:val="000000"/>
                <w:szCs w:val="20"/>
                <w:shd w:val="solid" w:color="000000" w:fill="000000"/>
                <w14:textFill>
                  <w14:solidFill>
                    <w14:srgbClr w14:val="000000">
                      <w14:alpha w14:val="100000"/>
                    </w14:srgbClr>
                  </w14:solidFill>
                </w14:textFill>
              </w:rPr>
              <w:t>|</w:t>
            </w:r>
            <w:r w:rsidR="00EA0C06" w:rsidRPr="00D95954">
              <w:rPr>
                <w:b/>
                <w:bCs/>
                <w:szCs w:val="20"/>
                <w:vertAlign w:val="superscript"/>
              </w:rPr>
              <w:t>4</w:t>
            </w:r>
          </w:p>
        </w:tc>
        <w:tc>
          <w:tcPr>
            <w:tcW w:w="1116" w:type="dxa"/>
            <w:vAlign w:val="center"/>
          </w:tcPr>
          <w:p w14:paraId="656A2552" w14:textId="09EBFD10" w:rsidR="002D09DE" w:rsidRPr="003771DB" w:rsidRDefault="002D09DE" w:rsidP="00615F9B">
            <w:pPr>
              <w:pStyle w:val="Tabletext0"/>
              <w:keepNext/>
              <w:keepLines/>
              <w:jc w:val="center"/>
              <w:rPr>
                <w:szCs w:val="20"/>
              </w:rPr>
            </w:pPr>
            <w:r w:rsidRPr="003771DB">
              <w:t>+</w:t>
            </w:r>
            <w:r w:rsidR="00427AAD">
              <w:t xml:space="preserve"> </w:t>
            </w:r>
            <w:r w:rsidR="00427AAD" w:rsidRPr="00427AAD">
              <w:rPr>
                <w:rFonts w:hint="eastAsia"/>
                <w:color w:val="000000"/>
                <w:w w:val="15"/>
                <w:shd w:val="solid" w:color="000000" w:fill="000000"/>
                <w:fitText w:val="70" w:id="-1032062198"/>
                <w14:textFill>
                  <w14:solidFill>
                    <w14:srgbClr w14:val="000000">
                      <w14:alpha w14:val="100000"/>
                    </w14:srgbClr>
                  </w14:solidFill>
                </w14:textFill>
              </w:rPr>
              <w:t xml:space="preserve">　</w:t>
            </w:r>
            <w:r w:rsidR="00427AAD" w:rsidRPr="00427AAD">
              <w:rPr>
                <w:color w:val="000000"/>
                <w:w w:val="15"/>
                <w:shd w:val="solid" w:color="000000" w:fill="000000"/>
                <w:fitText w:val="70" w:id="-1032062198"/>
                <w14:textFill>
                  <w14:solidFill>
                    <w14:srgbClr w14:val="000000">
                      <w14:alpha w14:val="100000"/>
                    </w14:srgbClr>
                  </w14:solidFill>
                </w14:textFill>
              </w:rPr>
              <w:t>|</w:t>
            </w:r>
            <w:r w:rsidR="00427AAD" w:rsidRPr="00427AAD">
              <w:rPr>
                <w:rFonts w:hint="eastAsia"/>
                <w:color w:val="000000"/>
                <w:spacing w:val="4"/>
                <w:w w:val="15"/>
                <w:shd w:val="solid" w:color="000000" w:fill="000000"/>
                <w:fitText w:val="70" w:id="-1032062198"/>
                <w14:textFill>
                  <w14:solidFill>
                    <w14:srgbClr w14:val="000000">
                      <w14:alpha w14:val="100000"/>
                    </w14:srgbClr>
                  </w14:solidFill>
                </w14:textFill>
              </w:rPr>
              <w:t xml:space="preserve">　</w:t>
            </w:r>
          </w:p>
        </w:tc>
      </w:tr>
    </w:tbl>
    <w:p w14:paraId="485FC7CE" w14:textId="77777777" w:rsidR="002D09DE" w:rsidRPr="003771DB" w:rsidRDefault="002D09DE" w:rsidP="00FF2D3A">
      <w:pPr>
        <w:pStyle w:val="COMTablefooter"/>
      </w:pPr>
      <w:r w:rsidRPr="003771DB">
        <w:t>Source: 3-11, p185 of the resubmission; with recalculations based on semaglutide Section 3 Workbook (July 2023) Excel spreadsheet</w:t>
      </w:r>
    </w:p>
    <w:p w14:paraId="1D810626" w14:textId="10E3792A" w:rsidR="002D09DE" w:rsidRPr="003771DB" w:rsidRDefault="002D09DE" w:rsidP="00FF2D3A">
      <w:pPr>
        <w:pStyle w:val="COMTablefooter"/>
      </w:pPr>
      <w:r w:rsidRPr="003771DB">
        <w:t xml:space="preserve">Abbreviations: BMI, body mass index; </w:t>
      </w:r>
      <w:r w:rsidR="00A647A3" w:rsidRPr="003771DB">
        <w:t xml:space="preserve">ICER, incremental cost-effectiveness ratio; </w:t>
      </w:r>
      <w:r w:rsidR="00F66D81" w:rsidRPr="003771DB">
        <w:t xml:space="preserve">ITT, intention-to-treat; </w:t>
      </w:r>
      <w:r w:rsidRPr="003771DB">
        <w:t>KOA, knee osteoarthritis; OSA, obstructive sleep apnoea; PD, pre-diabetes</w:t>
      </w:r>
      <w:r w:rsidR="00F66D81" w:rsidRPr="003771DB">
        <w:t>; QALY, quality adjusted life year</w:t>
      </w:r>
    </w:p>
    <w:p w14:paraId="12744BDE" w14:textId="57047932" w:rsidR="002D09DE" w:rsidRPr="003771DB" w:rsidRDefault="002D09DE" w:rsidP="00FF2D3A">
      <w:pPr>
        <w:pStyle w:val="COMTablefooter"/>
      </w:pPr>
      <w:r w:rsidRPr="003771DB">
        <w:t>Note: During the evaluation, these analyses were modified to use the change in utility score rather than the endpoint utility score for responders and non-responders due to the large differences in baseline utility values between these groups</w:t>
      </w:r>
      <w:r w:rsidR="00FF2D3A" w:rsidRPr="003771DB">
        <w:t>.</w:t>
      </w:r>
    </w:p>
    <w:p w14:paraId="03161A71" w14:textId="332ECCB7" w:rsidR="00FF2D3A" w:rsidRDefault="00FF2D3A" w:rsidP="00E16160">
      <w:pPr>
        <w:pStyle w:val="COMTablefooter"/>
        <w:spacing w:after="0"/>
      </w:pPr>
      <w:r w:rsidRPr="003771DB">
        <w:t>Note: The resubmission used a non-standard method of calculating effective DPMQs from effective AEMPs which did not account for the differences in fees and markups for the published and effective DPMQs. During the evaluation the effective DPMQs were recalculated using standard methods.</w:t>
      </w:r>
    </w:p>
    <w:p w14:paraId="4B9B957D" w14:textId="77777777" w:rsidR="00EA0C06" w:rsidRDefault="00EA0C06" w:rsidP="00E16160">
      <w:pPr>
        <w:pStyle w:val="TableFigureFooter"/>
        <w:spacing w:after="0"/>
        <w:rPr>
          <w:i/>
          <w:iCs/>
        </w:rPr>
      </w:pPr>
      <w:bookmarkStart w:id="55" w:name="_Hlk155773559"/>
      <w:r w:rsidRPr="00D95954">
        <w:rPr>
          <w:i/>
          <w:iCs/>
        </w:rPr>
        <w:t>The redacted values correspond to the following ranges</w:t>
      </w:r>
      <w:bookmarkEnd w:id="55"/>
      <w:r w:rsidRPr="00D95954">
        <w:rPr>
          <w:i/>
          <w:iCs/>
        </w:rPr>
        <w:t>:</w:t>
      </w:r>
    </w:p>
    <w:p w14:paraId="54A71239" w14:textId="1986418F" w:rsidR="00036544" w:rsidRDefault="00036544" w:rsidP="00E16160">
      <w:pPr>
        <w:pStyle w:val="TableFigureFooter"/>
        <w:spacing w:after="0"/>
        <w:rPr>
          <w:i/>
          <w:iCs/>
        </w:rPr>
      </w:pPr>
      <w:r>
        <w:rPr>
          <w:i/>
          <w:iCs/>
          <w:vertAlign w:val="superscript"/>
        </w:rPr>
        <w:t xml:space="preserve">1 </w:t>
      </w:r>
      <w:r w:rsidRPr="00291241">
        <w:rPr>
          <w:i/>
          <w:iCs/>
        </w:rPr>
        <w:t>$25,000 to &lt; $35,000</w:t>
      </w:r>
    </w:p>
    <w:p w14:paraId="2872FEF5" w14:textId="22A6698F" w:rsidR="00036544" w:rsidRDefault="00036544" w:rsidP="00E16160">
      <w:pPr>
        <w:pStyle w:val="TableFigureFooter"/>
        <w:spacing w:after="0"/>
        <w:rPr>
          <w:i/>
          <w:iCs/>
        </w:rPr>
      </w:pPr>
      <w:r>
        <w:rPr>
          <w:i/>
          <w:iCs/>
          <w:vertAlign w:val="superscript"/>
        </w:rPr>
        <w:t>2</w:t>
      </w:r>
      <w:r>
        <w:rPr>
          <w:i/>
          <w:iCs/>
        </w:rPr>
        <w:t xml:space="preserve"> </w:t>
      </w:r>
      <w:r w:rsidRPr="00221552">
        <w:rPr>
          <w:i/>
          <w:iCs/>
        </w:rPr>
        <w:t>$35,000 to &lt; $45,000</w:t>
      </w:r>
    </w:p>
    <w:p w14:paraId="36747361" w14:textId="64C2396E" w:rsidR="00036544" w:rsidRPr="00EA0C06" w:rsidRDefault="00036544" w:rsidP="00E16160">
      <w:pPr>
        <w:pStyle w:val="TableFigureFooter"/>
        <w:spacing w:after="0"/>
        <w:rPr>
          <w:i/>
          <w:iCs/>
        </w:rPr>
      </w:pPr>
      <w:r>
        <w:rPr>
          <w:i/>
          <w:iCs/>
          <w:vertAlign w:val="superscript"/>
        </w:rPr>
        <w:t>3</w:t>
      </w:r>
      <w:r w:rsidRPr="00EA0C06">
        <w:rPr>
          <w:i/>
          <w:iCs/>
        </w:rPr>
        <w:t>$75,000 to &lt; $95,000</w:t>
      </w:r>
    </w:p>
    <w:p w14:paraId="5EABC635" w14:textId="77777777" w:rsidR="00036544" w:rsidRPr="00EA0C06" w:rsidRDefault="00036544" w:rsidP="00E16160">
      <w:pPr>
        <w:pStyle w:val="TableFigureFooter"/>
        <w:spacing w:after="0"/>
        <w:rPr>
          <w:i/>
          <w:iCs/>
        </w:rPr>
      </w:pPr>
      <w:r w:rsidRPr="00F83466">
        <w:rPr>
          <w:i/>
          <w:iCs/>
          <w:vertAlign w:val="superscript"/>
        </w:rPr>
        <w:t>4</w:t>
      </w:r>
      <w:r>
        <w:rPr>
          <w:i/>
          <w:iCs/>
        </w:rPr>
        <w:t xml:space="preserve"> </w:t>
      </w:r>
      <w:r w:rsidRPr="00EA0C06">
        <w:rPr>
          <w:i/>
          <w:iCs/>
        </w:rPr>
        <w:t>$45,000 to &lt; $55,000</w:t>
      </w:r>
    </w:p>
    <w:p w14:paraId="6E13C0E8" w14:textId="6BE0334A" w:rsidR="00036544" w:rsidRDefault="00036544" w:rsidP="00E16160">
      <w:pPr>
        <w:pStyle w:val="TableFigureFooter"/>
        <w:rPr>
          <w:i/>
          <w:iCs/>
        </w:rPr>
      </w:pPr>
      <w:r w:rsidRPr="00F83466">
        <w:rPr>
          <w:i/>
          <w:iCs/>
          <w:vertAlign w:val="superscript"/>
        </w:rPr>
        <w:t>5</w:t>
      </w:r>
      <w:r>
        <w:rPr>
          <w:i/>
          <w:iCs/>
        </w:rPr>
        <w:t xml:space="preserve"> </w:t>
      </w:r>
      <w:r w:rsidRPr="00EA0C06">
        <w:rPr>
          <w:i/>
          <w:iCs/>
        </w:rPr>
        <w:t xml:space="preserve">$55,000 to &lt; $75,000 </w:t>
      </w:r>
    </w:p>
    <w:p w14:paraId="18507BD9" w14:textId="0809B237" w:rsidR="002D09DE" w:rsidRPr="003771DB" w:rsidRDefault="002D09DE" w:rsidP="004E2228">
      <w:pPr>
        <w:pStyle w:val="COMexecsumnumberedpara"/>
      </w:pPr>
      <w:r w:rsidRPr="003771DB">
        <w:t>The results of the multivariate sensitivity analyses indicate that the model is highly sensitive to different patient populations, primarily due to differences in treatment arm utility values, response status utility values and the proportion of treatment responders.</w:t>
      </w:r>
    </w:p>
    <w:p w14:paraId="472842D7" w14:textId="46EF8736" w:rsidR="00C25D9C" w:rsidRPr="003771DB" w:rsidRDefault="00C25D9C" w:rsidP="00BB732D">
      <w:pPr>
        <w:pStyle w:val="COMH2-non-numbered"/>
      </w:pPr>
      <w:bookmarkStart w:id="56" w:name="_Toc22897646"/>
      <w:bookmarkStart w:id="57" w:name="_Toc144899329"/>
      <w:r w:rsidRPr="003771DB">
        <w:t>Drug cost/patient</w:t>
      </w:r>
      <w:bookmarkEnd w:id="56"/>
      <w:r w:rsidR="002D1CA8" w:rsidRPr="003771DB">
        <w:t>/year</w:t>
      </w:r>
      <w:bookmarkEnd w:id="57"/>
    </w:p>
    <w:p w14:paraId="3D2B9B3F" w14:textId="09FB901A" w:rsidR="0048536A" w:rsidRPr="003771DB" w:rsidRDefault="0048536A" w:rsidP="004E2228">
      <w:pPr>
        <w:pStyle w:val="COMexecsumnumberedpara"/>
        <w:rPr>
          <w:snapToGrid/>
        </w:rPr>
      </w:pPr>
      <w:bookmarkStart w:id="58" w:name="_Hlk107307804"/>
      <w:r w:rsidRPr="003771DB">
        <w:rPr>
          <w:snapToGrid/>
        </w:rPr>
        <w:t>The estimated drug cost</w:t>
      </w:r>
      <w:r w:rsidR="00B70FB5" w:rsidRPr="003771DB">
        <w:rPr>
          <w:snapToGrid/>
        </w:rPr>
        <w:t>s</w:t>
      </w:r>
      <w:r w:rsidRPr="003771DB">
        <w:rPr>
          <w:snapToGrid/>
        </w:rPr>
        <w:t xml:space="preserve"> per </w:t>
      </w:r>
      <w:r w:rsidR="002D1CA8" w:rsidRPr="003771DB">
        <w:rPr>
          <w:snapToGrid/>
        </w:rPr>
        <w:t xml:space="preserve">patient per </w:t>
      </w:r>
      <w:r w:rsidRPr="003771DB">
        <w:rPr>
          <w:snapToGrid/>
        </w:rPr>
        <w:t xml:space="preserve">year </w:t>
      </w:r>
      <w:r w:rsidR="00B70FB5" w:rsidRPr="003771DB">
        <w:rPr>
          <w:snapToGrid/>
        </w:rPr>
        <w:t>are</w:t>
      </w:r>
      <w:r w:rsidRPr="003771DB">
        <w:rPr>
          <w:snapToGrid/>
        </w:rPr>
        <w:t xml:space="preserve"> summarised in </w:t>
      </w:r>
      <w:r w:rsidR="00615F9B" w:rsidRPr="003771DB">
        <w:rPr>
          <w:snapToGrid/>
        </w:rPr>
        <w:fldChar w:fldCharType="begin" w:fldLock="1"/>
      </w:r>
      <w:r w:rsidR="00615F9B" w:rsidRPr="003771DB">
        <w:rPr>
          <w:snapToGrid/>
        </w:rPr>
        <w:instrText xml:space="preserve"> REF _Ref143502055 \h  \* MERGEFORMAT </w:instrText>
      </w:r>
      <w:r w:rsidR="00615F9B" w:rsidRPr="003771DB">
        <w:rPr>
          <w:snapToGrid/>
        </w:rPr>
      </w:r>
      <w:r w:rsidR="00615F9B" w:rsidRPr="003771DB">
        <w:rPr>
          <w:snapToGrid/>
        </w:rPr>
        <w:fldChar w:fldCharType="separate"/>
      </w:r>
      <w:r w:rsidR="00D44FF6" w:rsidRPr="003771DB">
        <w:rPr>
          <w:snapToGrid/>
        </w:rPr>
        <w:t>Table 17</w:t>
      </w:r>
      <w:r w:rsidR="00615F9B" w:rsidRPr="003771DB">
        <w:rPr>
          <w:snapToGrid/>
        </w:rPr>
        <w:fldChar w:fldCharType="end"/>
      </w:r>
      <w:r w:rsidR="00854F33" w:rsidRPr="003771DB">
        <w:rPr>
          <w:snapToGrid/>
        </w:rPr>
        <w:t>.</w:t>
      </w:r>
    </w:p>
    <w:p w14:paraId="5490F21C" w14:textId="03C30A7D" w:rsidR="0048536A" w:rsidRPr="003771DB" w:rsidRDefault="0048536A" w:rsidP="00615F9B">
      <w:pPr>
        <w:pStyle w:val="Caption"/>
      </w:pPr>
      <w:bookmarkStart w:id="59" w:name="_Ref143502055"/>
      <w:r w:rsidRPr="003771DB">
        <w:rPr>
          <w:rStyle w:val="CommentReference"/>
          <w:sz w:val="20"/>
          <w:szCs w:val="24"/>
        </w:rPr>
        <w:lastRenderedPageBreak/>
        <w:t xml:space="preserve">Table </w:t>
      </w:r>
      <w:r w:rsidR="00AD487C" w:rsidRPr="003771DB">
        <w:rPr>
          <w:rStyle w:val="CommentReference"/>
          <w:sz w:val="20"/>
          <w:szCs w:val="24"/>
        </w:rPr>
        <w:fldChar w:fldCharType="begin" w:fldLock="1"/>
      </w:r>
      <w:r w:rsidR="00AD487C" w:rsidRPr="003771DB">
        <w:rPr>
          <w:rStyle w:val="CommentReference"/>
          <w:sz w:val="20"/>
          <w:szCs w:val="24"/>
        </w:rPr>
        <w:instrText xml:space="preserve"> SEQ Table \* ARABIC </w:instrText>
      </w:r>
      <w:r w:rsidR="00AD487C" w:rsidRPr="003771DB">
        <w:rPr>
          <w:rStyle w:val="CommentReference"/>
          <w:sz w:val="20"/>
          <w:szCs w:val="24"/>
        </w:rPr>
        <w:fldChar w:fldCharType="separate"/>
      </w:r>
      <w:r w:rsidR="00AD487C" w:rsidRPr="00F7478B">
        <w:rPr>
          <w:rStyle w:val="CommentReference"/>
          <w:sz w:val="20"/>
          <w:szCs w:val="24"/>
        </w:rPr>
        <w:t>17</w:t>
      </w:r>
      <w:r w:rsidR="00AD487C" w:rsidRPr="003771DB">
        <w:rPr>
          <w:rStyle w:val="CommentReference"/>
          <w:sz w:val="20"/>
          <w:szCs w:val="24"/>
        </w:rPr>
        <w:fldChar w:fldCharType="end"/>
      </w:r>
      <w:bookmarkEnd w:id="59"/>
      <w:r w:rsidRPr="003771DB">
        <w:rPr>
          <w:rStyle w:val="CommentReference"/>
          <w:sz w:val="20"/>
          <w:szCs w:val="24"/>
        </w:rPr>
        <w:t>: Calculation of drug cost per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Calculation of drug cost per year"/>
        <w:tblDescription w:val="Table 17: Calculation of drug cost per year"/>
      </w:tblPr>
      <w:tblGrid>
        <w:gridCol w:w="2123"/>
        <w:gridCol w:w="1984"/>
        <w:gridCol w:w="2454"/>
        <w:gridCol w:w="2456"/>
      </w:tblGrid>
      <w:tr w:rsidR="0048536A" w:rsidRPr="003771DB" w14:paraId="30BC82EF" w14:textId="77777777" w:rsidTr="00076B84">
        <w:trPr>
          <w:cantSplit/>
          <w:tblHeader/>
          <w:jc w:val="center"/>
        </w:trPr>
        <w:tc>
          <w:tcPr>
            <w:tcW w:w="1177" w:type="pct"/>
            <w:shd w:val="clear" w:color="auto" w:fill="auto"/>
            <w:vAlign w:val="center"/>
          </w:tcPr>
          <w:p w14:paraId="31CF15ED" w14:textId="77777777" w:rsidR="0048536A" w:rsidRPr="003771DB" w:rsidRDefault="0048536A" w:rsidP="00076B84">
            <w:pPr>
              <w:pStyle w:val="Tableheadingrow"/>
              <w:jc w:val="center"/>
              <w:rPr>
                <w:lang w:val="en-AU"/>
              </w:rPr>
            </w:pPr>
          </w:p>
        </w:tc>
        <w:tc>
          <w:tcPr>
            <w:tcW w:w="1100" w:type="pct"/>
            <w:shd w:val="clear" w:color="auto" w:fill="auto"/>
            <w:vAlign w:val="center"/>
          </w:tcPr>
          <w:p w14:paraId="7088EC0D" w14:textId="733A8463" w:rsidR="0048536A" w:rsidRPr="003771DB" w:rsidRDefault="0048536A" w:rsidP="00076B84">
            <w:pPr>
              <w:pStyle w:val="Tableheadingrow"/>
              <w:jc w:val="center"/>
              <w:rPr>
                <w:lang w:val="en-AU"/>
              </w:rPr>
            </w:pPr>
            <w:r w:rsidRPr="003771DB">
              <w:rPr>
                <w:lang w:val="en-AU"/>
              </w:rPr>
              <w:t>STEP-1</w:t>
            </w:r>
          </w:p>
        </w:tc>
        <w:tc>
          <w:tcPr>
            <w:tcW w:w="1361" w:type="pct"/>
            <w:shd w:val="clear" w:color="auto" w:fill="auto"/>
            <w:vAlign w:val="center"/>
          </w:tcPr>
          <w:p w14:paraId="4FD4AF73" w14:textId="77777777" w:rsidR="0048536A" w:rsidRPr="003771DB" w:rsidRDefault="0048536A" w:rsidP="00076B84">
            <w:pPr>
              <w:pStyle w:val="Tableheadingrow"/>
              <w:jc w:val="center"/>
              <w:rPr>
                <w:lang w:val="en-AU"/>
              </w:rPr>
            </w:pPr>
            <w:r w:rsidRPr="003771DB">
              <w:rPr>
                <w:lang w:val="en-AU"/>
              </w:rPr>
              <w:t>Economic model</w:t>
            </w:r>
          </w:p>
        </w:tc>
        <w:tc>
          <w:tcPr>
            <w:tcW w:w="1362" w:type="pct"/>
            <w:shd w:val="clear" w:color="auto" w:fill="auto"/>
            <w:vAlign w:val="center"/>
          </w:tcPr>
          <w:p w14:paraId="2D5BAB04" w14:textId="77777777" w:rsidR="0048536A" w:rsidRPr="003771DB" w:rsidRDefault="0048536A" w:rsidP="00076B84">
            <w:pPr>
              <w:pStyle w:val="Tableheadingrow"/>
              <w:jc w:val="center"/>
              <w:rPr>
                <w:lang w:val="en-AU"/>
              </w:rPr>
            </w:pPr>
            <w:r w:rsidRPr="003771DB">
              <w:rPr>
                <w:lang w:val="en-AU"/>
              </w:rPr>
              <w:t>Financial estimates</w:t>
            </w:r>
          </w:p>
        </w:tc>
      </w:tr>
      <w:tr w:rsidR="0048536A" w:rsidRPr="003771DB" w14:paraId="0D0A52CD" w14:textId="77777777" w:rsidTr="00076B84">
        <w:trPr>
          <w:cantSplit/>
          <w:jc w:val="center"/>
        </w:trPr>
        <w:tc>
          <w:tcPr>
            <w:tcW w:w="1177" w:type="pct"/>
            <w:shd w:val="clear" w:color="auto" w:fill="auto"/>
            <w:vAlign w:val="center"/>
          </w:tcPr>
          <w:p w14:paraId="4AF7D36E" w14:textId="77777777" w:rsidR="0048536A" w:rsidRPr="003771DB" w:rsidRDefault="0048536A" w:rsidP="00076B84">
            <w:pPr>
              <w:pStyle w:val="TableText"/>
            </w:pPr>
            <w:r w:rsidRPr="003771DB">
              <w:t>Dose distribution at end of dose titration</w:t>
            </w:r>
          </w:p>
        </w:tc>
        <w:tc>
          <w:tcPr>
            <w:tcW w:w="1100" w:type="pct"/>
            <w:shd w:val="clear" w:color="auto" w:fill="auto"/>
            <w:vAlign w:val="center"/>
          </w:tcPr>
          <w:p w14:paraId="2076FD2D" w14:textId="4E5AA617" w:rsidR="0048536A" w:rsidRPr="003771DB" w:rsidRDefault="00A1366A" w:rsidP="00076B84">
            <w:pPr>
              <w:pStyle w:val="TableText"/>
              <w:jc w:val="center"/>
            </w:pPr>
            <w:r w:rsidRPr="003771DB">
              <w:t>Lower doses</w:t>
            </w:r>
            <w:r w:rsidR="0048536A" w:rsidRPr="003771DB">
              <w:t>: 16.5%</w:t>
            </w:r>
          </w:p>
          <w:p w14:paraId="0FDB7580" w14:textId="50030E9F" w:rsidR="0048536A" w:rsidRPr="003771DB" w:rsidRDefault="00A1366A" w:rsidP="00076B84">
            <w:pPr>
              <w:pStyle w:val="TableText"/>
              <w:jc w:val="center"/>
            </w:pPr>
            <w:r w:rsidRPr="003771DB">
              <w:t>2.4 mg</w:t>
            </w:r>
            <w:r w:rsidR="0048536A" w:rsidRPr="003771DB">
              <w:t>: 83.5%</w:t>
            </w:r>
          </w:p>
        </w:tc>
        <w:tc>
          <w:tcPr>
            <w:tcW w:w="1361" w:type="pct"/>
            <w:shd w:val="clear" w:color="auto" w:fill="auto"/>
            <w:vAlign w:val="center"/>
          </w:tcPr>
          <w:p w14:paraId="71377448" w14:textId="77777777" w:rsidR="0048536A" w:rsidRPr="003771DB" w:rsidRDefault="0048536A" w:rsidP="00076B84">
            <w:pPr>
              <w:pStyle w:val="TableText"/>
              <w:jc w:val="center"/>
            </w:pPr>
            <w:r w:rsidRPr="003771DB">
              <w:t>1.7 mg: 0%</w:t>
            </w:r>
          </w:p>
          <w:p w14:paraId="7774E49D" w14:textId="77777777" w:rsidR="0048536A" w:rsidRPr="003771DB" w:rsidRDefault="0048536A" w:rsidP="00076B84">
            <w:pPr>
              <w:pStyle w:val="TableText"/>
              <w:jc w:val="center"/>
            </w:pPr>
            <w:r w:rsidRPr="003771DB">
              <w:t>2.4 mg: 100%</w:t>
            </w:r>
          </w:p>
        </w:tc>
        <w:tc>
          <w:tcPr>
            <w:tcW w:w="1362" w:type="pct"/>
            <w:shd w:val="clear" w:color="auto" w:fill="auto"/>
            <w:vAlign w:val="center"/>
          </w:tcPr>
          <w:p w14:paraId="5A7361FB" w14:textId="77777777" w:rsidR="0048536A" w:rsidRPr="003771DB" w:rsidRDefault="0048536A" w:rsidP="00076B84">
            <w:pPr>
              <w:pStyle w:val="TableText"/>
              <w:jc w:val="center"/>
            </w:pPr>
            <w:r w:rsidRPr="003771DB">
              <w:t>1.7 mg: 0%</w:t>
            </w:r>
          </w:p>
          <w:p w14:paraId="1782B945" w14:textId="77777777" w:rsidR="0048536A" w:rsidRPr="003771DB" w:rsidRDefault="0048536A" w:rsidP="00076B84">
            <w:pPr>
              <w:pStyle w:val="TableText"/>
              <w:jc w:val="center"/>
            </w:pPr>
            <w:r w:rsidRPr="003771DB">
              <w:t>2.4 mg: 100%</w:t>
            </w:r>
          </w:p>
        </w:tc>
      </w:tr>
      <w:tr w:rsidR="0048536A" w:rsidRPr="003771DB" w14:paraId="2F508C41" w14:textId="77777777" w:rsidTr="00076B84">
        <w:trPr>
          <w:cantSplit/>
          <w:jc w:val="center"/>
        </w:trPr>
        <w:tc>
          <w:tcPr>
            <w:tcW w:w="1177" w:type="pct"/>
            <w:shd w:val="clear" w:color="auto" w:fill="auto"/>
            <w:vAlign w:val="center"/>
          </w:tcPr>
          <w:p w14:paraId="601747EE" w14:textId="3E2BA770" w:rsidR="0048536A" w:rsidRPr="003771DB" w:rsidRDefault="0048536A" w:rsidP="00076B84">
            <w:pPr>
              <w:pStyle w:val="TableText"/>
            </w:pPr>
            <w:r w:rsidRPr="003771DB">
              <w:t xml:space="preserve">Dose distribution on maintenance </w:t>
            </w:r>
            <w:proofErr w:type="spellStart"/>
            <w:r w:rsidRPr="003771DB">
              <w:t>therapy</w:t>
            </w:r>
            <w:r w:rsidRPr="003771DB">
              <w:rPr>
                <w:vertAlign w:val="superscript"/>
              </w:rPr>
              <w:t>a</w:t>
            </w:r>
            <w:proofErr w:type="spellEnd"/>
          </w:p>
        </w:tc>
        <w:tc>
          <w:tcPr>
            <w:tcW w:w="1100" w:type="pct"/>
            <w:shd w:val="clear" w:color="auto" w:fill="auto"/>
            <w:vAlign w:val="center"/>
          </w:tcPr>
          <w:p w14:paraId="782F5DE8" w14:textId="75590F74" w:rsidR="0048536A" w:rsidRPr="003771DB" w:rsidRDefault="00A1366A" w:rsidP="00076B84">
            <w:pPr>
              <w:pStyle w:val="TableText"/>
              <w:jc w:val="center"/>
            </w:pPr>
            <w:r w:rsidRPr="003771DB">
              <w:t>Lower doses</w:t>
            </w:r>
            <w:r w:rsidR="0048536A" w:rsidRPr="003771DB">
              <w:t>: 10.4%</w:t>
            </w:r>
          </w:p>
          <w:p w14:paraId="4C32956D" w14:textId="77777777" w:rsidR="0048536A" w:rsidRPr="003771DB" w:rsidRDefault="0048536A" w:rsidP="00076B84">
            <w:pPr>
              <w:pStyle w:val="TableText"/>
              <w:jc w:val="center"/>
            </w:pPr>
            <w:r w:rsidRPr="003771DB">
              <w:t>2.4 mg: 89.6%</w:t>
            </w:r>
          </w:p>
        </w:tc>
        <w:tc>
          <w:tcPr>
            <w:tcW w:w="1361" w:type="pct"/>
            <w:shd w:val="clear" w:color="auto" w:fill="auto"/>
            <w:vAlign w:val="center"/>
          </w:tcPr>
          <w:p w14:paraId="4B9B5216" w14:textId="77777777" w:rsidR="0048536A" w:rsidRPr="003771DB" w:rsidRDefault="0048536A" w:rsidP="00076B84">
            <w:pPr>
              <w:pStyle w:val="TableText"/>
              <w:jc w:val="center"/>
            </w:pPr>
            <w:r w:rsidRPr="003771DB">
              <w:t>1.7 mg: 0%</w:t>
            </w:r>
          </w:p>
          <w:p w14:paraId="20A8E784" w14:textId="77777777" w:rsidR="0048536A" w:rsidRPr="003771DB" w:rsidRDefault="0048536A" w:rsidP="00076B84">
            <w:pPr>
              <w:pStyle w:val="TableText"/>
              <w:jc w:val="center"/>
            </w:pPr>
            <w:r w:rsidRPr="003771DB">
              <w:t>2.4 mg: 100%</w:t>
            </w:r>
          </w:p>
        </w:tc>
        <w:tc>
          <w:tcPr>
            <w:tcW w:w="1362" w:type="pct"/>
            <w:shd w:val="clear" w:color="auto" w:fill="auto"/>
            <w:vAlign w:val="center"/>
          </w:tcPr>
          <w:p w14:paraId="0AC67E69" w14:textId="77777777" w:rsidR="0048536A" w:rsidRPr="003771DB" w:rsidRDefault="0048536A" w:rsidP="00076B84">
            <w:pPr>
              <w:pStyle w:val="TableText"/>
              <w:jc w:val="center"/>
            </w:pPr>
            <w:r w:rsidRPr="003771DB">
              <w:t>1.7 mg: 5%</w:t>
            </w:r>
          </w:p>
          <w:p w14:paraId="7BEC323F" w14:textId="77777777" w:rsidR="0048536A" w:rsidRPr="003771DB" w:rsidRDefault="0048536A" w:rsidP="00076B84">
            <w:pPr>
              <w:pStyle w:val="TableText"/>
              <w:jc w:val="center"/>
            </w:pPr>
            <w:r w:rsidRPr="003771DB">
              <w:t>2.4 mg: 95%</w:t>
            </w:r>
          </w:p>
        </w:tc>
      </w:tr>
      <w:tr w:rsidR="0048536A" w:rsidRPr="003771DB" w14:paraId="42DE00AC" w14:textId="77777777" w:rsidTr="00076B84">
        <w:trPr>
          <w:cantSplit/>
          <w:jc w:val="center"/>
        </w:trPr>
        <w:tc>
          <w:tcPr>
            <w:tcW w:w="1177" w:type="pct"/>
            <w:shd w:val="clear" w:color="auto" w:fill="auto"/>
            <w:vAlign w:val="center"/>
          </w:tcPr>
          <w:p w14:paraId="40216CB6" w14:textId="28EFD427" w:rsidR="0048536A" w:rsidRPr="003771DB" w:rsidRDefault="0048536A" w:rsidP="00076B84">
            <w:pPr>
              <w:pStyle w:val="TableText"/>
            </w:pPr>
            <w:r w:rsidRPr="003771DB">
              <w:t>Cost per 28 days (effective DPMQ)</w:t>
            </w:r>
            <w:r w:rsidR="006E5EC3">
              <w:t xml:space="preserve"> ($)</w:t>
            </w:r>
          </w:p>
        </w:tc>
        <w:tc>
          <w:tcPr>
            <w:tcW w:w="1100" w:type="pct"/>
            <w:shd w:val="clear" w:color="auto" w:fill="auto"/>
            <w:vAlign w:val="center"/>
          </w:tcPr>
          <w:p w14:paraId="5D544673" w14:textId="77777777" w:rsidR="0048536A" w:rsidRPr="003771DB" w:rsidRDefault="0048536A" w:rsidP="00076B84">
            <w:pPr>
              <w:pStyle w:val="TableText"/>
              <w:jc w:val="center"/>
            </w:pPr>
            <w:r w:rsidRPr="003771DB">
              <w:t>-</w:t>
            </w:r>
          </w:p>
        </w:tc>
        <w:tc>
          <w:tcPr>
            <w:tcW w:w="1361" w:type="pct"/>
            <w:shd w:val="clear" w:color="auto" w:fill="auto"/>
            <w:vAlign w:val="center"/>
          </w:tcPr>
          <w:p w14:paraId="051F9CCC" w14:textId="0D1181E3" w:rsidR="0048536A" w:rsidRPr="003771DB" w:rsidRDefault="0048536A" w:rsidP="00076B84">
            <w:pPr>
              <w:pStyle w:val="TableText"/>
              <w:jc w:val="center"/>
            </w:pPr>
            <w:r w:rsidRPr="003771DB">
              <w:t xml:space="preserve">0.25 to 1.0 mg: </w:t>
            </w:r>
            <w:r w:rsidR="00427AAD">
              <w:t xml:space="preserve"> </w:t>
            </w:r>
            <w:r w:rsidR="00427AAD" w:rsidRPr="00427AAD">
              <w:rPr>
                <w:color w:val="000000"/>
                <w:shd w:val="solid" w:color="000000" w:fill="000000"/>
                <w14:textFill>
                  <w14:solidFill>
                    <w14:srgbClr w14:val="000000">
                      <w14:alpha w14:val="100000"/>
                    </w14:srgbClr>
                  </w14:solidFill>
                </w14:textFill>
              </w:rPr>
              <w:t>|</w:t>
            </w:r>
          </w:p>
          <w:p w14:paraId="28CEEA9E" w14:textId="580F1B62" w:rsidR="0048536A" w:rsidRPr="003771DB" w:rsidRDefault="0048536A" w:rsidP="00076B84">
            <w:pPr>
              <w:pStyle w:val="TableText"/>
              <w:jc w:val="center"/>
            </w:pPr>
            <w:r w:rsidRPr="003771DB">
              <w:t xml:space="preserve">1.7 to 2.4 mg: </w:t>
            </w:r>
            <w:r w:rsidR="00427AAD">
              <w:t xml:space="preserve"> </w:t>
            </w:r>
            <w:r w:rsidR="00427AAD" w:rsidRPr="00427AAD">
              <w:rPr>
                <w:color w:val="000000"/>
                <w:shd w:val="solid" w:color="000000" w:fill="000000"/>
                <w14:textFill>
                  <w14:solidFill>
                    <w14:srgbClr w14:val="000000">
                      <w14:alpha w14:val="100000"/>
                    </w14:srgbClr>
                  </w14:solidFill>
                </w14:textFill>
              </w:rPr>
              <w:t>|</w:t>
            </w:r>
          </w:p>
        </w:tc>
        <w:tc>
          <w:tcPr>
            <w:tcW w:w="1362" w:type="pct"/>
            <w:shd w:val="clear" w:color="auto" w:fill="auto"/>
            <w:vAlign w:val="center"/>
          </w:tcPr>
          <w:p w14:paraId="250B8531" w14:textId="3344981C" w:rsidR="0048536A" w:rsidRPr="003771DB" w:rsidRDefault="0048536A" w:rsidP="00076B84">
            <w:pPr>
              <w:pStyle w:val="TableText"/>
              <w:jc w:val="center"/>
            </w:pPr>
            <w:r w:rsidRPr="003771DB">
              <w:t xml:space="preserve">0.25 to 1.0 mg: </w:t>
            </w:r>
            <w:r w:rsidR="00427AAD">
              <w:t xml:space="preserve"> </w:t>
            </w:r>
            <w:r w:rsidR="00427AAD" w:rsidRPr="00427AAD">
              <w:rPr>
                <w:color w:val="000000"/>
                <w:shd w:val="solid" w:color="000000" w:fill="000000"/>
                <w14:textFill>
                  <w14:solidFill>
                    <w14:srgbClr w14:val="000000">
                      <w14:alpha w14:val="100000"/>
                    </w14:srgbClr>
                  </w14:solidFill>
                </w14:textFill>
              </w:rPr>
              <w:t>|</w:t>
            </w:r>
          </w:p>
          <w:p w14:paraId="460181D1" w14:textId="5E28A631" w:rsidR="0048536A" w:rsidRPr="003771DB" w:rsidRDefault="0048536A" w:rsidP="00076B84">
            <w:pPr>
              <w:pStyle w:val="TableText"/>
              <w:jc w:val="center"/>
            </w:pPr>
            <w:r w:rsidRPr="003771DB">
              <w:t xml:space="preserve">1.7 to 2.4 mg: </w:t>
            </w:r>
            <w:r w:rsidR="00427AAD">
              <w:t xml:space="preserve"> </w:t>
            </w:r>
            <w:r w:rsidR="00427AAD" w:rsidRPr="00427AAD">
              <w:rPr>
                <w:color w:val="000000"/>
                <w:shd w:val="solid" w:color="000000" w:fill="000000"/>
                <w14:textFill>
                  <w14:solidFill>
                    <w14:srgbClr w14:val="000000">
                      <w14:alpha w14:val="100000"/>
                    </w14:srgbClr>
                  </w14:solidFill>
                </w14:textFill>
              </w:rPr>
              <w:t>|</w:t>
            </w:r>
          </w:p>
        </w:tc>
      </w:tr>
      <w:tr w:rsidR="0048536A" w:rsidRPr="003771DB" w14:paraId="016DC891" w14:textId="77777777" w:rsidTr="00076B84">
        <w:trPr>
          <w:cantSplit/>
          <w:jc w:val="center"/>
        </w:trPr>
        <w:tc>
          <w:tcPr>
            <w:tcW w:w="1177" w:type="pct"/>
            <w:shd w:val="clear" w:color="auto" w:fill="auto"/>
            <w:vAlign w:val="center"/>
          </w:tcPr>
          <w:p w14:paraId="59CCA6D7" w14:textId="77777777" w:rsidR="0048536A" w:rsidRPr="003771DB" w:rsidRDefault="0048536A" w:rsidP="00076B84">
            <w:pPr>
              <w:pStyle w:val="TableText"/>
            </w:pPr>
            <w:r w:rsidRPr="003771DB">
              <w:t>Adherence</w:t>
            </w:r>
          </w:p>
        </w:tc>
        <w:tc>
          <w:tcPr>
            <w:tcW w:w="1100" w:type="pct"/>
            <w:shd w:val="clear" w:color="auto" w:fill="auto"/>
            <w:vAlign w:val="center"/>
          </w:tcPr>
          <w:p w14:paraId="1B297693" w14:textId="77777777" w:rsidR="0048536A" w:rsidRPr="003771DB" w:rsidRDefault="0048536A" w:rsidP="00076B84">
            <w:pPr>
              <w:pStyle w:val="TableText"/>
              <w:jc w:val="center"/>
            </w:pPr>
            <w:r w:rsidRPr="003771DB">
              <w:t>NR</w:t>
            </w:r>
          </w:p>
        </w:tc>
        <w:tc>
          <w:tcPr>
            <w:tcW w:w="1361" w:type="pct"/>
            <w:shd w:val="clear" w:color="auto" w:fill="auto"/>
            <w:vAlign w:val="center"/>
          </w:tcPr>
          <w:p w14:paraId="20B6B188" w14:textId="77777777" w:rsidR="0048536A" w:rsidRPr="003771DB" w:rsidRDefault="0048536A" w:rsidP="00076B84">
            <w:pPr>
              <w:pStyle w:val="TableText"/>
              <w:jc w:val="center"/>
            </w:pPr>
            <w:r w:rsidRPr="003771DB">
              <w:t>100%</w:t>
            </w:r>
          </w:p>
        </w:tc>
        <w:tc>
          <w:tcPr>
            <w:tcW w:w="1362" w:type="pct"/>
            <w:shd w:val="clear" w:color="auto" w:fill="auto"/>
            <w:vAlign w:val="center"/>
          </w:tcPr>
          <w:p w14:paraId="1BC576DD" w14:textId="77777777" w:rsidR="0048536A" w:rsidRPr="003771DB" w:rsidRDefault="0048536A" w:rsidP="00076B84">
            <w:pPr>
              <w:pStyle w:val="TableText"/>
              <w:jc w:val="center"/>
            </w:pPr>
            <w:r w:rsidRPr="003771DB">
              <w:t>100%</w:t>
            </w:r>
          </w:p>
        </w:tc>
      </w:tr>
      <w:tr w:rsidR="0048536A" w:rsidRPr="003771DB" w14:paraId="7AFF39F9" w14:textId="77777777" w:rsidTr="00076B84">
        <w:trPr>
          <w:cantSplit/>
          <w:jc w:val="center"/>
        </w:trPr>
        <w:tc>
          <w:tcPr>
            <w:tcW w:w="1177" w:type="pct"/>
            <w:shd w:val="clear" w:color="auto" w:fill="auto"/>
            <w:vAlign w:val="center"/>
          </w:tcPr>
          <w:p w14:paraId="6BB412B4" w14:textId="7DDE2D15" w:rsidR="0048536A" w:rsidRPr="003771DB" w:rsidRDefault="0048536A" w:rsidP="00076B84">
            <w:pPr>
              <w:pStyle w:val="TableText"/>
            </w:pPr>
            <w:r w:rsidRPr="003771DB">
              <w:t xml:space="preserve">Cost per </w:t>
            </w:r>
            <w:proofErr w:type="spellStart"/>
            <w:r w:rsidRPr="003771DB">
              <w:t>year</w:t>
            </w:r>
            <w:r w:rsidRPr="003771DB">
              <w:rPr>
                <w:vertAlign w:val="superscript"/>
              </w:rPr>
              <w:t>b</w:t>
            </w:r>
            <w:proofErr w:type="spellEnd"/>
          </w:p>
        </w:tc>
        <w:tc>
          <w:tcPr>
            <w:tcW w:w="1100" w:type="pct"/>
            <w:shd w:val="clear" w:color="auto" w:fill="auto"/>
            <w:vAlign w:val="center"/>
          </w:tcPr>
          <w:p w14:paraId="763E6DC9" w14:textId="77777777" w:rsidR="0048536A" w:rsidRPr="003771DB" w:rsidRDefault="0048536A" w:rsidP="00076B84">
            <w:pPr>
              <w:pStyle w:val="TableText"/>
              <w:jc w:val="center"/>
            </w:pPr>
            <w:r w:rsidRPr="003771DB">
              <w:t>-</w:t>
            </w:r>
          </w:p>
        </w:tc>
        <w:tc>
          <w:tcPr>
            <w:tcW w:w="1361" w:type="pct"/>
            <w:shd w:val="clear" w:color="auto" w:fill="auto"/>
            <w:vAlign w:val="center"/>
          </w:tcPr>
          <w:p w14:paraId="5406C110" w14:textId="3536EBE8" w:rsidR="0048536A" w:rsidRPr="003771DB" w:rsidRDefault="0048536A" w:rsidP="00076B84">
            <w:pPr>
              <w:pStyle w:val="TableText"/>
              <w:jc w:val="center"/>
            </w:pPr>
            <w:r w:rsidRPr="003771DB">
              <w:t xml:space="preserve">Year 1: </w:t>
            </w:r>
            <w:r w:rsidR="00427AAD">
              <w:t xml:space="preserve"> </w:t>
            </w:r>
            <w:r w:rsidR="00427AAD" w:rsidRPr="00427AAD">
              <w:rPr>
                <w:color w:val="000000"/>
                <w:shd w:val="solid" w:color="000000" w:fill="000000"/>
                <w14:textFill>
                  <w14:solidFill>
                    <w14:srgbClr w14:val="000000">
                      <w14:alpha w14:val="100000"/>
                    </w14:srgbClr>
                  </w14:solidFill>
                </w14:textFill>
              </w:rPr>
              <w:t>|</w:t>
            </w:r>
          </w:p>
          <w:p w14:paraId="22296532" w14:textId="235A2BE3" w:rsidR="0048536A" w:rsidRPr="003771DB" w:rsidRDefault="0048536A" w:rsidP="00076B84">
            <w:pPr>
              <w:pStyle w:val="TableText"/>
              <w:jc w:val="center"/>
            </w:pPr>
            <w:r w:rsidRPr="003771DB">
              <w:t xml:space="preserve">Year 2+: </w:t>
            </w:r>
            <w:r w:rsidR="00427AAD">
              <w:t xml:space="preserve"> </w:t>
            </w:r>
            <w:r w:rsidR="00427AAD" w:rsidRPr="00427AAD">
              <w:rPr>
                <w:color w:val="000000"/>
                <w:shd w:val="solid" w:color="000000" w:fill="000000"/>
                <w14:textFill>
                  <w14:solidFill>
                    <w14:srgbClr w14:val="000000">
                      <w14:alpha w14:val="100000"/>
                    </w14:srgbClr>
                  </w14:solidFill>
                </w14:textFill>
              </w:rPr>
              <w:t>|</w:t>
            </w:r>
          </w:p>
        </w:tc>
        <w:tc>
          <w:tcPr>
            <w:tcW w:w="1362" w:type="pct"/>
            <w:shd w:val="clear" w:color="auto" w:fill="auto"/>
            <w:vAlign w:val="center"/>
          </w:tcPr>
          <w:p w14:paraId="291BF599" w14:textId="664B790B" w:rsidR="0048536A" w:rsidRPr="003771DB" w:rsidRDefault="0048536A" w:rsidP="00076B84">
            <w:pPr>
              <w:pStyle w:val="TableText"/>
              <w:jc w:val="center"/>
            </w:pPr>
            <w:r w:rsidRPr="003771DB">
              <w:t xml:space="preserve">Year 1: </w:t>
            </w:r>
            <w:r w:rsidR="00427AAD">
              <w:t xml:space="preserve"> </w:t>
            </w:r>
            <w:r w:rsidR="00427AAD" w:rsidRPr="00427AAD">
              <w:rPr>
                <w:color w:val="000000"/>
                <w:shd w:val="solid" w:color="000000" w:fill="000000"/>
                <w14:textFill>
                  <w14:solidFill>
                    <w14:srgbClr w14:val="000000">
                      <w14:alpha w14:val="100000"/>
                    </w14:srgbClr>
                  </w14:solidFill>
                </w14:textFill>
              </w:rPr>
              <w:t>|</w:t>
            </w:r>
          </w:p>
          <w:p w14:paraId="30A9BE88" w14:textId="7CF217F3" w:rsidR="0048536A" w:rsidRPr="003771DB" w:rsidRDefault="0048536A" w:rsidP="00076B84">
            <w:pPr>
              <w:pStyle w:val="TableText"/>
              <w:jc w:val="center"/>
            </w:pPr>
            <w:r w:rsidRPr="003771DB">
              <w:t xml:space="preserve">Year 2+: </w:t>
            </w:r>
            <w:r w:rsidR="00427AAD">
              <w:t xml:space="preserve"> </w:t>
            </w:r>
            <w:r w:rsidR="00427AAD" w:rsidRPr="00427AAD">
              <w:rPr>
                <w:color w:val="000000"/>
                <w:shd w:val="solid" w:color="000000" w:fill="000000"/>
                <w14:textFill>
                  <w14:solidFill>
                    <w14:srgbClr w14:val="000000">
                      <w14:alpha w14:val="100000"/>
                    </w14:srgbClr>
                  </w14:solidFill>
                </w14:textFill>
              </w:rPr>
              <w:t>|</w:t>
            </w:r>
          </w:p>
        </w:tc>
      </w:tr>
      <w:tr w:rsidR="0048536A" w:rsidRPr="003771DB" w14:paraId="7ACB9FC0" w14:textId="77777777" w:rsidTr="00076B84">
        <w:trPr>
          <w:cantSplit/>
          <w:jc w:val="center"/>
        </w:trPr>
        <w:tc>
          <w:tcPr>
            <w:tcW w:w="1177" w:type="pct"/>
            <w:shd w:val="clear" w:color="auto" w:fill="auto"/>
            <w:vAlign w:val="center"/>
          </w:tcPr>
          <w:p w14:paraId="2C600C1B" w14:textId="43D65BAE" w:rsidR="0048536A" w:rsidRPr="003771DB" w:rsidRDefault="0048536A" w:rsidP="00076B84">
            <w:pPr>
              <w:pStyle w:val="TableText"/>
            </w:pPr>
            <w:r w:rsidRPr="003771DB">
              <w:t>Proportion of patients on treatment</w:t>
            </w:r>
            <w:r w:rsidRPr="003771DB">
              <w:rPr>
                <w:vertAlign w:val="superscript"/>
              </w:rPr>
              <w:t>c</w:t>
            </w:r>
          </w:p>
        </w:tc>
        <w:tc>
          <w:tcPr>
            <w:tcW w:w="1100" w:type="pct"/>
            <w:shd w:val="clear" w:color="auto" w:fill="auto"/>
            <w:vAlign w:val="center"/>
          </w:tcPr>
          <w:p w14:paraId="7BBD2B04" w14:textId="77777777" w:rsidR="0048536A" w:rsidRPr="003771DB" w:rsidRDefault="0048536A" w:rsidP="00076B84">
            <w:pPr>
              <w:pStyle w:val="TableText"/>
              <w:jc w:val="center"/>
            </w:pPr>
            <w:r w:rsidRPr="003771DB">
              <w:t>18.0% of patients discontinued treatment over 68 weeks.</w:t>
            </w:r>
          </w:p>
        </w:tc>
        <w:tc>
          <w:tcPr>
            <w:tcW w:w="1361" w:type="pct"/>
            <w:shd w:val="clear" w:color="auto" w:fill="auto"/>
            <w:vAlign w:val="center"/>
          </w:tcPr>
          <w:p w14:paraId="23283609" w14:textId="77777777" w:rsidR="0048536A" w:rsidRPr="003771DB" w:rsidRDefault="0048536A" w:rsidP="00076B84">
            <w:pPr>
              <w:pStyle w:val="TableText"/>
              <w:jc w:val="center"/>
            </w:pPr>
            <w:r w:rsidRPr="003771DB">
              <w:t>Year 1: 85.8%</w:t>
            </w:r>
          </w:p>
          <w:p w14:paraId="58ADBB3A" w14:textId="77777777" w:rsidR="0048536A" w:rsidRPr="003771DB" w:rsidRDefault="0048536A" w:rsidP="00076B84">
            <w:pPr>
              <w:pStyle w:val="TableText"/>
              <w:jc w:val="center"/>
            </w:pPr>
            <w:r w:rsidRPr="003771DB">
              <w:t>Year 2: 55.8%</w:t>
            </w:r>
          </w:p>
          <w:p w14:paraId="1BF4969C" w14:textId="77777777" w:rsidR="0048536A" w:rsidRPr="003771DB" w:rsidRDefault="0048536A" w:rsidP="00076B84">
            <w:pPr>
              <w:pStyle w:val="TableText"/>
              <w:jc w:val="center"/>
            </w:pPr>
            <w:r w:rsidRPr="003771DB">
              <w:t>Year 3: 53.0%</w:t>
            </w:r>
          </w:p>
          <w:p w14:paraId="11429FCA" w14:textId="77777777" w:rsidR="0048536A" w:rsidRPr="003771DB" w:rsidRDefault="0048536A" w:rsidP="00076B84">
            <w:pPr>
              <w:pStyle w:val="TableText"/>
              <w:jc w:val="center"/>
            </w:pPr>
            <w:r w:rsidRPr="003771DB">
              <w:t>Year 4: 50.4%</w:t>
            </w:r>
          </w:p>
          <w:p w14:paraId="43F8B5F0" w14:textId="77777777" w:rsidR="0048536A" w:rsidRPr="003771DB" w:rsidRDefault="0048536A" w:rsidP="00076B84">
            <w:pPr>
              <w:pStyle w:val="TableText"/>
              <w:jc w:val="center"/>
            </w:pPr>
            <w:r w:rsidRPr="003771DB">
              <w:t>Year 5: 47.9%</w:t>
            </w:r>
          </w:p>
          <w:p w14:paraId="3768A2D0" w14:textId="77777777" w:rsidR="0048536A" w:rsidRPr="003771DB" w:rsidRDefault="0048536A" w:rsidP="00076B84">
            <w:pPr>
              <w:pStyle w:val="TableText"/>
              <w:jc w:val="center"/>
            </w:pPr>
            <w:r w:rsidRPr="003771DB">
              <w:t>Year 6: NA</w:t>
            </w:r>
          </w:p>
        </w:tc>
        <w:tc>
          <w:tcPr>
            <w:tcW w:w="1362" w:type="pct"/>
            <w:shd w:val="clear" w:color="auto" w:fill="auto"/>
            <w:vAlign w:val="center"/>
          </w:tcPr>
          <w:p w14:paraId="443ACB3F" w14:textId="77777777" w:rsidR="0048536A" w:rsidRPr="003771DB" w:rsidRDefault="0048536A" w:rsidP="00076B84">
            <w:pPr>
              <w:pStyle w:val="TableText"/>
              <w:jc w:val="center"/>
            </w:pPr>
            <w:r w:rsidRPr="003771DB">
              <w:t>Year 1: 100%</w:t>
            </w:r>
          </w:p>
          <w:p w14:paraId="1E9406E1" w14:textId="77777777" w:rsidR="0048536A" w:rsidRPr="003771DB" w:rsidRDefault="0048536A" w:rsidP="00076B84">
            <w:pPr>
              <w:pStyle w:val="TableText"/>
              <w:jc w:val="center"/>
            </w:pPr>
            <w:r w:rsidRPr="003771DB">
              <w:t>Year 2: 58.0%</w:t>
            </w:r>
          </w:p>
          <w:p w14:paraId="2FD8BB28" w14:textId="77777777" w:rsidR="0048536A" w:rsidRPr="003771DB" w:rsidRDefault="0048536A" w:rsidP="00076B84">
            <w:pPr>
              <w:pStyle w:val="TableText"/>
              <w:jc w:val="center"/>
            </w:pPr>
            <w:r w:rsidRPr="003771DB">
              <w:t>Year 3: 55.1%</w:t>
            </w:r>
          </w:p>
          <w:p w14:paraId="2890CA12" w14:textId="77777777" w:rsidR="0048536A" w:rsidRPr="003771DB" w:rsidRDefault="0048536A" w:rsidP="00076B84">
            <w:pPr>
              <w:pStyle w:val="TableText"/>
              <w:jc w:val="center"/>
            </w:pPr>
            <w:r w:rsidRPr="003771DB">
              <w:t>Year 4: 52.3%</w:t>
            </w:r>
          </w:p>
          <w:p w14:paraId="55A4D487" w14:textId="77777777" w:rsidR="0048536A" w:rsidRPr="003771DB" w:rsidRDefault="0048536A" w:rsidP="00076B84">
            <w:pPr>
              <w:pStyle w:val="TableText"/>
              <w:jc w:val="center"/>
            </w:pPr>
            <w:r w:rsidRPr="003771DB">
              <w:t>Year 5: 49.7%</w:t>
            </w:r>
          </w:p>
          <w:p w14:paraId="2F7A1D87" w14:textId="77777777" w:rsidR="0048536A" w:rsidRPr="003771DB" w:rsidRDefault="0048536A" w:rsidP="00076B84">
            <w:pPr>
              <w:pStyle w:val="TableText"/>
              <w:jc w:val="center"/>
            </w:pPr>
            <w:r w:rsidRPr="003771DB">
              <w:t>Year 6: 47.2%</w:t>
            </w:r>
          </w:p>
        </w:tc>
      </w:tr>
    </w:tbl>
    <w:p w14:paraId="70BC958A" w14:textId="77777777" w:rsidR="0048536A" w:rsidRPr="003771DB" w:rsidRDefault="0048536A" w:rsidP="00E71F8D">
      <w:pPr>
        <w:pStyle w:val="COMTablefooter"/>
      </w:pPr>
      <w:r w:rsidRPr="003771DB">
        <w:t>Source: constructed during the evaluation using Section 3 Workbook (July 2023) and Section 4 Workbook (July 2023) Excel spreadsheets</w:t>
      </w:r>
    </w:p>
    <w:p w14:paraId="0DC1B4AA" w14:textId="77777777" w:rsidR="0048536A" w:rsidRPr="003771DB" w:rsidRDefault="0048536A" w:rsidP="00E71F8D">
      <w:pPr>
        <w:pStyle w:val="COMTablefooter"/>
      </w:pPr>
      <w:r w:rsidRPr="003771DB">
        <w:t>Abbreviations: DPMQ, dispensed price for maximum quantity; NA, not applicable; NR, not reported</w:t>
      </w:r>
    </w:p>
    <w:p w14:paraId="5B3C9607" w14:textId="2816F952" w:rsidR="0048536A" w:rsidRPr="003771DB" w:rsidRDefault="0048536A" w:rsidP="00E71F8D">
      <w:pPr>
        <w:pStyle w:val="COMTablefooter"/>
      </w:pPr>
      <w:r w:rsidRPr="003771DB">
        <w:rPr>
          <w:vertAlign w:val="superscript"/>
        </w:rPr>
        <w:t xml:space="preserve">a </w:t>
      </w:r>
      <w:r w:rsidRPr="003771DB">
        <w:t>Dose distribution on maintenance therapy for the STEP-1 target subgroup population was based on the proportion of patients using the maximum dose of 2.4 mg at the end of the trial.</w:t>
      </w:r>
    </w:p>
    <w:p w14:paraId="3E547431" w14:textId="61E4B1DD" w:rsidR="0048536A" w:rsidRPr="003771DB" w:rsidRDefault="0048536A" w:rsidP="00E71F8D">
      <w:pPr>
        <w:pStyle w:val="COMTablefooter"/>
      </w:pPr>
      <w:r w:rsidRPr="003771DB">
        <w:rPr>
          <w:vertAlign w:val="superscript"/>
        </w:rPr>
        <w:t xml:space="preserve">b </w:t>
      </w:r>
      <w:r w:rsidRPr="003771DB">
        <w:t>Cost per year for persistent patients.</w:t>
      </w:r>
    </w:p>
    <w:p w14:paraId="6D790E87" w14:textId="53B6508D" w:rsidR="0048536A" w:rsidRPr="003771DB" w:rsidRDefault="0048536A" w:rsidP="00E71F8D">
      <w:pPr>
        <w:pStyle w:val="COMTablefooter"/>
      </w:pPr>
      <w:r w:rsidRPr="003771DB">
        <w:rPr>
          <w:vertAlign w:val="superscript"/>
        </w:rPr>
        <w:t>c</w:t>
      </w:r>
      <w:r w:rsidRPr="003771DB">
        <w:t xml:space="preserve"> Based on proportion on treatment at the end of each year. For the economic model, estimates incorporate discontinuation due to death. For the financial estimates, estimates are based on a fixed cohort from Year 1.</w:t>
      </w:r>
    </w:p>
    <w:p w14:paraId="6A258383" w14:textId="6AC5A378" w:rsidR="00E71F8D" w:rsidRPr="00D44504" w:rsidRDefault="00E71F8D" w:rsidP="00A36EB1">
      <w:pPr>
        <w:pStyle w:val="COMTablefooter"/>
        <w:rPr>
          <w:szCs w:val="18"/>
        </w:rPr>
      </w:pPr>
      <w:r w:rsidRPr="003771DB">
        <w:t xml:space="preserve">Note: The resubmission used a non-standard method of calculating effective DPMQs from effective AEMPs which did not account for the differences in fees and markups for the published and effective DPMQs. During the evaluation the effective DPMQs were recalculated using </w:t>
      </w:r>
      <w:r w:rsidRPr="00D44504">
        <w:rPr>
          <w:szCs w:val="18"/>
        </w:rPr>
        <w:t>standard methods.</w:t>
      </w:r>
    </w:p>
    <w:p w14:paraId="105DA5AF" w14:textId="5CE9C77E" w:rsidR="00A1366A" w:rsidRPr="003771DB" w:rsidRDefault="00A1366A" w:rsidP="004E2228">
      <w:pPr>
        <w:pStyle w:val="COMexecsumnumberedpara"/>
        <w:rPr>
          <w:snapToGrid/>
        </w:rPr>
      </w:pPr>
      <w:r w:rsidRPr="003771DB">
        <w:rPr>
          <w:snapToGrid/>
        </w:rPr>
        <w:t>The resubmission did not adequately justify the differences in semaglutide dose distribution and treatment persistence between different sections of the document.</w:t>
      </w:r>
    </w:p>
    <w:p w14:paraId="4511963A" w14:textId="1E5EC7DE" w:rsidR="00854F33" w:rsidRPr="003771DB" w:rsidRDefault="00854F33" w:rsidP="004E2228">
      <w:pPr>
        <w:pStyle w:val="COMexecsumnumberedpara"/>
        <w:rPr>
          <w:snapToGrid/>
        </w:rPr>
      </w:pPr>
      <w:r w:rsidRPr="003771DB">
        <w:rPr>
          <w:snapToGrid/>
        </w:rPr>
        <w:t xml:space="preserve">The estimated </w:t>
      </w:r>
      <w:r w:rsidR="007B78BD" w:rsidRPr="003771DB">
        <w:rPr>
          <w:snapToGrid/>
        </w:rPr>
        <w:t xml:space="preserve">utilisation of </w:t>
      </w:r>
      <w:r w:rsidRPr="003771DB">
        <w:rPr>
          <w:snapToGrid/>
        </w:rPr>
        <w:t xml:space="preserve">adjunctive weight management is summarised in </w:t>
      </w:r>
      <w:r w:rsidR="00615E93" w:rsidRPr="003771DB">
        <w:rPr>
          <w:snapToGrid/>
        </w:rPr>
        <w:fldChar w:fldCharType="begin" w:fldLock="1"/>
      </w:r>
      <w:r w:rsidR="00615E93" w:rsidRPr="003771DB">
        <w:rPr>
          <w:snapToGrid/>
        </w:rPr>
        <w:instrText xml:space="preserve"> REF _Ref143502097 \h </w:instrText>
      </w:r>
      <w:r w:rsidR="00615E93" w:rsidRPr="003771DB">
        <w:rPr>
          <w:snapToGrid/>
        </w:rPr>
      </w:r>
      <w:r w:rsidR="00615E93" w:rsidRPr="003771DB">
        <w:rPr>
          <w:snapToGrid/>
        </w:rPr>
        <w:fldChar w:fldCharType="separate"/>
      </w:r>
      <w:r w:rsidR="00D44FF6" w:rsidRPr="003771DB">
        <w:t xml:space="preserve">Table </w:t>
      </w:r>
      <w:r w:rsidR="00D44FF6" w:rsidRPr="00F7478B">
        <w:t>18</w:t>
      </w:r>
      <w:r w:rsidR="00615E93" w:rsidRPr="003771DB">
        <w:rPr>
          <w:snapToGrid/>
        </w:rPr>
        <w:fldChar w:fldCharType="end"/>
      </w:r>
      <w:r w:rsidRPr="003771DB">
        <w:rPr>
          <w:snapToGrid/>
        </w:rPr>
        <w:t>.</w:t>
      </w:r>
      <w:r w:rsidR="00C85C9A" w:rsidRPr="003771DB">
        <w:t xml:space="preserve"> </w:t>
      </w:r>
      <w:r w:rsidR="00C85C9A" w:rsidRPr="003771DB">
        <w:rPr>
          <w:snapToGrid/>
        </w:rPr>
        <w:t>In the STEP-1 trial, patients received counselling administered by a dietician (or similar healthcare professional) every 4 weeks. Compliance to adjunctive care in the STEP-1 trial was not available.</w:t>
      </w:r>
    </w:p>
    <w:p w14:paraId="6557D22F" w14:textId="4800BB1A" w:rsidR="00854F33" w:rsidRPr="003771DB" w:rsidRDefault="00615E93" w:rsidP="00287215">
      <w:pPr>
        <w:pStyle w:val="Caption"/>
        <w:keepLines/>
      </w:pPr>
      <w:bookmarkStart w:id="60" w:name="_Ref143502097"/>
      <w:r w:rsidRPr="003771DB">
        <w:lastRenderedPageBreak/>
        <w:t xml:space="preserve">Table </w:t>
      </w:r>
      <w:fldSimple w:instr=" SEQ Table \* ARABIC " w:fldLock="1">
        <w:r w:rsidR="00AD487C" w:rsidRPr="00F7478B">
          <w:t>18</w:t>
        </w:r>
      </w:fldSimple>
      <w:bookmarkEnd w:id="60"/>
      <w:r w:rsidR="003A3CE2" w:rsidRPr="003771DB">
        <w:t>: Health resource utilisation for adjunctive weight management</w:t>
      </w:r>
    </w:p>
    <w:tbl>
      <w:tblPr>
        <w:tblStyle w:val="TableGrid"/>
        <w:tblW w:w="0" w:type="auto"/>
        <w:tblCellMar>
          <w:left w:w="28" w:type="dxa"/>
          <w:right w:w="28" w:type="dxa"/>
        </w:tblCellMar>
        <w:tblLook w:val="04A0" w:firstRow="1" w:lastRow="0" w:firstColumn="1" w:lastColumn="0" w:noHBand="0" w:noVBand="1"/>
        <w:tblCaption w:val="Table 18: Health resource utilisation for adjunctive weight management"/>
        <w:tblDescription w:val="Table 18: Health resource utilisation for adjunctive weight management"/>
      </w:tblPr>
      <w:tblGrid>
        <w:gridCol w:w="2263"/>
        <w:gridCol w:w="1688"/>
        <w:gridCol w:w="13"/>
        <w:gridCol w:w="1675"/>
        <w:gridCol w:w="26"/>
        <w:gridCol w:w="1662"/>
        <w:gridCol w:w="13"/>
        <w:gridCol w:w="1676"/>
      </w:tblGrid>
      <w:tr w:rsidR="00B57103" w:rsidRPr="003771DB" w14:paraId="0EC9D396" w14:textId="77777777" w:rsidTr="00076B84">
        <w:tc>
          <w:tcPr>
            <w:tcW w:w="2263" w:type="dxa"/>
            <w:vMerge w:val="restart"/>
          </w:tcPr>
          <w:p w14:paraId="6AAA4F19" w14:textId="77777777" w:rsidR="00B57103" w:rsidRPr="003771DB" w:rsidRDefault="00B57103" w:rsidP="00287215">
            <w:pPr>
              <w:keepNext/>
              <w:keepLines/>
              <w:contextualSpacing/>
              <w:jc w:val="left"/>
              <w:rPr>
                <w:rFonts w:ascii="Arial Narrow" w:hAnsi="Arial Narrow"/>
                <w:sz w:val="20"/>
                <w:szCs w:val="20"/>
              </w:rPr>
            </w:pPr>
          </w:p>
        </w:tc>
        <w:tc>
          <w:tcPr>
            <w:tcW w:w="3376" w:type="dxa"/>
            <w:gridSpan w:val="3"/>
            <w:vAlign w:val="center"/>
          </w:tcPr>
          <w:p w14:paraId="22A974C2" w14:textId="77777777" w:rsidR="00B57103" w:rsidRPr="003771DB" w:rsidRDefault="00B57103" w:rsidP="00287215">
            <w:pPr>
              <w:keepNext/>
              <w:keepLines/>
              <w:contextualSpacing/>
              <w:jc w:val="center"/>
              <w:rPr>
                <w:rFonts w:ascii="Arial Narrow" w:hAnsi="Arial Narrow"/>
                <w:b/>
                <w:bCs/>
                <w:sz w:val="20"/>
                <w:szCs w:val="20"/>
              </w:rPr>
            </w:pPr>
            <w:r w:rsidRPr="003771DB">
              <w:rPr>
                <w:rFonts w:ascii="Arial Narrow" w:hAnsi="Arial Narrow"/>
                <w:b/>
                <w:bCs/>
                <w:sz w:val="20"/>
                <w:szCs w:val="20"/>
              </w:rPr>
              <w:t>Economic model</w:t>
            </w:r>
          </w:p>
        </w:tc>
        <w:tc>
          <w:tcPr>
            <w:tcW w:w="3377" w:type="dxa"/>
            <w:gridSpan w:val="4"/>
            <w:vAlign w:val="center"/>
          </w:tcPr>
          <w:p w14:paraId="59F107EC" w14:textId="77777777" w:rsidR="00B57103" w:rsidRPr="003771DB" w:rsidRDefault="00B57103" w:rsidP="00287215">
            <w:pPr>
              <w:keepNext/>
              <w:keepLines/>
              <w:contextualSpacing/>
              <w:jc w:val="center"/>
              <w:rPr>
                <w:rFonts w:ascii="Arial Narrow" w:hAnsi="Arial Narrow"/>
                <w:b/>
                <w:bCs/>
                <w:sz w:val="20"/>
                <w:szCs w:val="20"/>
              </w:rPr>
            </w:pPr>
            <w:r w:rsidRPr="003771DB">
              <w:rPr>
                <w:rFonts w:ascii="Arial Narrow" w:hAnsi="Arial Narrow"/>
                <w:b/>
                <w:bCs/>
                <w:sz w:val="20"/>
                <w:szCs w:val="20"/>
              </w:rPr>
              <w:t>Financial estimates</w:t>
            </w:r>
          </w:p>
        </w:tc>
      </w:tr>
      <w:tr w:rsidR="00B57103" w:rsidRPr="003771DB" w14:paraId="69699B67" w14:textId="77777777" w:rsidTr="00076B84">
        <w:tc>
          <w:tcPr>
            <w:tcW w:w="2263" w:type="dxa"/>
            <w:vMerge/>
          </w:tcPr>
          <w:p w14:paraId="6FC6D5B7" w14:textId="77777777" w:rsidR="00B57103" w:rsidRPr="003771DB" w:rsidRDefault="00B57103" w:rsidP="00287215">
            <w:pPr>
              <w:keepNext/>
              <w:keepLines/>
              <w:contextualSpacing/>
              <w:jc w:val="left"/>
              <w:rPr>
                <w:rFonts w:ascii="Arial Narrow" w:hAnsi="Arial Narrow"/>
                <w:sz w:val="20"/>
                <w:szCs w:val="20"/>
              </w:rPr>
            </w:pPr>
          </w:p>
        </w:tc>
        <w:tc>
          <w:tcPr>
            <w:tcW w:w="1688" w:type="dxa"/>
            <w:vAlign w:val="center"/>
          </w:tcPr>
          <w:p w14:paraId="3A01BE79" w14:textId="77777777" w:rsidR="00B57103" w:rsidRPr="003771DB" w:rsidRDefault="00B57103" w:rsidP="00287215">
            <w:pPr>
              <w:keepNext/>
              <w:keepLines/>
              <w:contextualSpacing/>
              <w:jc w:val="center"/>
              <w:rPr>
                <w:rFonts w:ascii="Arial Narrow" w:hAnsi="Arial Narrow"/>
                <w:b/>
                <w:bCs/>
                <w:sz w:val="20"/>
                <w:szCs w:val="20"/>
              </w:rPr>
            </w:pPr>
            <w:r w:rsidRPr="003771DB">
              <w:rPr>
                <w:rFonts w:ascii="Arial Narrow" w:hAnsi="Arial Narrow"/>
                <w:b/>
                <w:bCs/>
                <w:sz w:val="20"/>
                <w:szCs w:val="20"/>
              </w:rPr>
              <w:t>Semaglutide</w:t>
            </w:r>
          </w:p>
        </w:tc>
        <w:tc>
          <w:tcPr>
            <w:tcW w:w="1688" w:type="dxa"/>
            <w:gridSpan w:val="2"/>
            <w:vAlign w:val="center"/>
          </w:tcPr>
          <w:p w14:paraId="6FF4FE7F" w14:textId="77777777" w:rsidR="00B57103" w:rsidRPr="003771DB" w:rsidRDefault="00B57103" w:rsidP="00287215">
            <w:pPr>
              <w:keepNext/>
              <w:keepLines/>
              <w:contextualSpacing/>
              <w:jc w:val="center"/>
              <w:rPr>
                <w:rFonts w:ascii="Arial Narrow" w:hAnsi="Arial Narrow"/>
                <w:b/>
                <w:bCs/>
                <w:sz w:val="20"/>
                <w:szCs w:val="20"/>
              </w:rPr>
            </w:pPr>
            <w:r w:rsidRPr="003771DB">
              <w:rPr>
                <w:rFonts w:ascii="Arial Narrow" w:hAnsi="Arial Narrow"/>
                <w:b/>
                <w:bCs/>
                <w:sz w:val="20"/>
                <w:szCs w:val="20"/>
              </w:rPr>
              <w:t>Placebo</w:t>
            </w:r>
          </w:p>
        </w:tc>
        <w:tc>
          <w:tcPr>
            <w:tcW w:w="1688" w:type="dxa"/>
            <w:gridSpan w:val="2"/>
            <w:vAlign w:val="center"/>
          </w:tcPr>
          <w:p w14:paraId="24D44679" w14:textId="77777777" w:rsidR="00B57103" w:rsidRPr="003771DB" w:rsidRDefault="00B57103" w:rsidP="00287215">
            <w:pPr>
              <w:keepNext/>
              <w:keepLines/>
              <w:contextualSpacing/>
              <w:jc w:val="center"/>
              <w:rPr>
                <w:rFonts w:ascii="Arial Narrow" w:hAnsi="Arial Narrow"/>
                <w:b/>
                <w:bCs/>
                <w:sz w:val="20"/>
                <w:szCs w:val="20"/>
              </w:rPr>
            </w:pPr>
            <w:r w:rsidRPr="003771DB">
              <w:rPr>
                <w:rFonts w:ascii="Arial Narrow" w:hAnsi="Arial Narrow"/>
                <w:b/>
                <w:bCs/>
                <w:sz w:val="20"/>
                <w:szCs w:val="20"/>
              </w:rPr>
              <w:t>Semaglutide</w:t>
            </w:r>
          </w:p>
        </w:tc>
        <w:tc>
          <w:tcPr>
            <w:tcW w:w="1689" w:type="dxa"/>
            <w:gridSpan w:val="2"/>
            <w:vAlign w:val="center"/>
          </w:tcPr>
          <w:p w14:paraId="7EA05F01" w14:textId="77777777" w:rsidR="00B57103" w:rsidRPr="003771DB" w:rsidRDefault="00B57103" w:rsidP="00287215">
            <w:pPr>
              <w:keepNext/>
              <w:keepLines/>
              <w:contextualSpacing/>
              <w:jc w:val="center"/>
              <w:rPr>
                <w:rFonts w:ascii="Arial Narrow" w:hAnsi="Arial Narrow"/>
                <w:b/>
                <w:bCs/>
                <w:sz w:val="20"/>
                <w:szCs w:val="20"/>
              </w:rPr>
            </w:pPr>
            <w:r w:rsidRPr="003771DB">
              <w:rPr>
                <w:rFonts w:ascii="Arial Narrow" w:hAnsi="Arial Narrow"/>
                <w:b/>
                <w:bCs/>
                <w:sz w:val="20"/>
                <w:szCs w:val="20"/>
              </w:rPr>
              <w:t>Placebo</w:t>
            </w:r>
          </w:p>
        </w:tc>
      </w:tr>
      <w:tr w:rsidR="00B57103" w:rsidRPr="003771DB" w14:paraId="0A334F22" w14:textId="77777777" w:rsidTr="00076B84">
        <w:tc>
          <w:tcPr>
            <w:tcW w:w="9016" w:type="dxa"/>
            <w:gridSpan w:val="8"/>
          </w:tcPr>
          <w:p w14:paraId="137BA9F1" w14:textId="77777777" w:rsidR="00B57103" w:rsidRPr="003771DB" w:rsidRDefault="00B57103" w:rsidP="00287215">
            <w:pPr>
              <w:keepNext/>
              <w:keepLines/>
              <w:contextualSpacing/>
              <w:jc w:val="left"/>
              <w:rPr>
                <w:rFonts w:ascii="Arial Narrow" w:hAnsi="Arial Narrow"/>
                <w:b/>
                <w:bCs/>
                <w:sz w:val="20"/>
                <w:szCs w:val="20"/>
              </w:rPr>
            </w:pPr>
            <w:r w:rsidRPr="003771DB">
              <w:rPr>
                <w:rFonts w:ascii="Arial Narrow" w:hAnsi="Arial Narrow"/>
                <w:b/>
                <w:bCs/>
                <w:sz w:val="20"/>
                <w:szCs w:val="20"/>
              </w:rPr>
              <w:t>Year 1</w:t>
            </w:r>
          </w:p>
        </w:tc>
      </w:tr>
      <w:tr w:rsidR="00B57103" w:rsidRPr="003771DB" w14:paraId="2805AB25" w14:textId="77777777" w:rsidTr="00076B84">
        <w:tc>
          <w:tcPr>
            <w:tcW w:w="2263" w:type="dxa"/>
            <w:vAlign w:val="center"/>
          </w:tcPr>
          <w:p w14:paraId="6D6F70E3"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TCA visits</w:t>
            </w:r>
          </w:p>
        </w:tc>
        <w:tc>
          <w:tcPr>
            <w:tcW w:w="3402" w:type="dxa"/>
            <w:gridSpan w:val="4"/>
            <w:vAlign w:val="center"/>
          </w:tcPr>
          <w:p w14:paraId="674AB4BD" w14:textId="77777777" w:rsidR="00B57103" w:rsidRPr="003771DB" w:rsidRDefault="00B57103" w:rsidP="00287215">
            <w:pPr>
              <w:pStyle w:val="TableText"/>
              <w:keepLines/>
              <w:jc w:val="center"/>
              <w:rPr>
                <w:szCs w:val="20"/>
              </w:rPr>
            </w:pPr>
            <w:r w:rsidRPr="003771DB">
              <w:rPr>
                <w:szCs w:val="20"/>
              </w:rPr>
              <w:t>4 (baseline; weeks 16, 28, 44)</w:t>
            </w:r>
          </w:p>
        </w:tc>
        <w:tc>
          <w:tcPr>
            <w:tcW w:w="1675" w:type="dxa"/>
            <w:gridSpan w:val="2"/>
            <w:vAlign w:val="center"/>
          </w:tcPr>
          <w:p w14:paraId="3804B5AA"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4</w:t>
            </w:r>
          </w:p>
        </w:tc>
        <w:tc>
          <w:tcPr>
            <w:tcW w:w="1676" w:type="dxa"/>
            <w:vAlign w:val="center"/>
          </w:tcPr>
          <w:p w14:paraId="27BA1007"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2.8</w:t>
            </w:r>
          </w:p>
        </w:tc>
      </w:tr>
      <w:tr w:rsidR="00B57103" w:rsidRPr="003771DB" w14:paraId="769F30D9" w14:textId="77777777" w:rsidTr="00076B84">
        <w:tc>
          <w:tcPr>
            <w:tcW w:w="2263" w:type="dxa"/>
            <w:vAlign w:val="center"/>
          </w:tcPr>
          <w:p w14:paraId="7C8372AB"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GP visits</w:t>
            </w:r>
          </w:p>
        </w:tc>
        <w:tc>
          <w:tcPr>
            <w:tcW w:w="1701" w:type="dxa"/>
            <w:gridSpan w:val="2"/>
            <w:vAlign w:val="center"/>
          </w:tcPr>
          <w:p w14:paraId="59D30E38"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3 (for titration)</w:t>
            </w:r>
          </w:p>
        </w:tc>
        <w:tc>
          <w:tcPr>
            <w:tcW w:w="1701" w:type="dxa"/>
            <w:gridSpan w:val="2"/>
            <w:vAlign w:val="center"/>
          </w:tcPr>
          <w:p w14:paraId="10D55D2D"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0</w:t>
            </w:r>
          </w:p>
        </w:tc>
        <w:tc>
          <w:tcPr>
            <w:tcW w:w="1675" w:type="dxa"/>
            <w:gridSpan w:val="2"/>
            <w:vAlign w:val="center"/>
          </w:tcPr>
          <w:p w14:paraId="6464513A"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3 (for titration)</w:t>
            </w:r>
          </w:p>
        </w:tc>
        <w:tc>
          <w:tcPr>
            <w:tcW w:w="1676" w:type="dxa"/>
            <w:vAlign w:val="center"/>
          </w:tcPr>
          <w:p w14:paraId="778CFBA7"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0</w:t>
            </w:r>
          </w:p>
        </w:tc>
      </w:tr>
      <w:tr w:rsidR="00B57103" w:rsidRPr="003771DB" w14:paraId="676B65EC" w14:textId="77777777" w:rsidTr="00076B84">
        <w:tc>
          <w:tcPr>
            <w:tcW w:w="2263" w:type="dxa"/>
            <w:vAlign w:val="center"/>
          </w:tcPr>
          <w:p w14:paraId="5421E659"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Dietician/exercise physiologist</w:t>
            </w:r>
          </w:p>
        </w:tc>
        <w:tc>
          <w:tcPr>
            <w:tcW w:w="3402" w:type="dxa"/>
            <w:gridSpan w:val="4"/>
            <w:vAlign w:val="center"/>
          </w:tcPr>
          <w:p w14:paraId="338EC55E"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14 (baseline and every 4 weeks)</w:t>
            </w:r>
          </w:p>
        </w:tc>
        <w:tc>
          <w:tcPr>
            <w:tcW w:w="1675" w:type="dxa"/>
            <w:gridSpan w:val="2"/>
            <w:vAlign w:val="center"/>
          </w:tcPr>
          <w:p w14:paraId="0736633F"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16</w:t>
            </w:r>
          </w:p>
        </w:tc>
        <w:tc>
          <w:tcPr>
            <w:tcW w:w="1676" w:type="dxa"/>
            <w:vAlign w:val="center"/>
          </w:tcPr>
          <w:p w14:paraId="4C8A0EED"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13.6</w:t>
            </w:r>
          </w:p>
        </w:tc>
      </w:tr>
      <w:tr w:rsidR="00B57103" w:rsidRPr="003771DB" w14:paraId="006B6AC3" w14:textId="77777777" w:rsidTr="00076B84">
        <w:tc>
          <w:tcPr>
            <w:tcW w:w="9016" w:type="dxa"/>
            <w:gridSpan w:val="8"/>
          </w:tcPr>
          <w:p w14:paraId="1E32080C" w14:textId="77777777" w:rsidR="00B57103" w:rsidRPr="003771DB" w:rsidRDefault="00B57103" w:rsidP="00287215">
            <w:pPr>
              <w:keepNext/>
              <w:keepLines/>
              <w:contextualSpacing/>
              <w:jc w:val="left"/>
              <w:rPr>
                <w:rFonts w:ascii="Arial Narrow" w:hAnsi="Arial Narrow"/>
                <w:b/>
                <w:bCs/>
                <w:sz w:val="20"/>
                <w:szCs w:val="20"/>
              </w:rPr>
            </w:pPr>
            <w:r w:rsidRPr="003771DB">
              <w:rPr>
                <w:rFonts w:ascii="Arial Narrow" w:hAnsi="Arial Narrow"/>
                <w:b/>
                <w:bCs/>
                <w:sz w:val="20"/>
                <w:szCs w:val="20"/>
              </w:rPr>
              <w:t>Year 2</w:t>
            </w:r>
          </w:p>
        </w:tc>
      </w:tr>
      <w:tr w:rsidR="00B57103" w:rsidRPr="003771DB" w14:paraId="314E5DA0" w14:textId="77777777" w:rsidTr="00076B84">
        <w:tc>
          <w:tcPr>
            <w:tcW w:w="2263" w:type="dxa"/>
            <w:vAlign w:val="center"/>
          </w:tcPr>
          <w:p w14:paraId="33EB695F"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TCA visits</w:t>
            </w:r>
          </w:p>
        </w:tc>
        <w:tc>
          <w:tcPr>
            <w:tcW w:w="3402" w:type="dxa"/>
            <w:gridSpan w:val="4"/>
            <w:vAlign w:val="center"/>
          </w:tcPr>
          <w:p w14:paraId="693633A2"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1 (in week 68)</w:t>
            </w:r>
          </w:p>
        </w:tc>
        <w:tc>
          <w:tcPr>
            <w:tcW w:w="1675" w:type="dxa"/>
            <w:gridSpan w:val="2"/>
            <w:vAlign w:val="center"/>
          </w:tcPr>
          <w:p w14:paraId="5F67B630"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2</w:t>
            </w:r>
          </w:p>
        </w:tc>
        <w:tc>
          <w:tcPr>
            <w:tcW w:w="1676" w:type="dxa"/>
            <w:vAlign w:val="center"/>
          </w:tcPr>
          <w:p w14:paraId="28C539FD"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1.4</w:t>
            </w:r>
          </w:p>
        </w:tc>
      </w:tr>
      <w:tr w:rsidR="00B57103" w:rsidRPr="003771DB" w14:paraId="159422B3" w14:textId="77777777" w:rsidTr="00076B84">
        <w:tc>
          <w:tcPr>
            <w:tcW w:w="2263" w:type="dxa"/>
            <w:vAlign w:val="center"/>
          </w:tcPr>
          <w:p w14:paraId="266A9E3D"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GP visits</w:t>
            </w:r>
          </w:p>
        </w:tc>
        <w:tc>
          <w:tcPr>
            <w:tcW w:w="3402" w:type="dxa"/>
            <w:gridSpan w:val="4"/>
            <w:vAlign w:val="center"/>
          </w:tcPr>
          <w:p w14:paraId="63455F34"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2 (in week 68, 92)</w:t>
            </w:r>
          </w:p>
        </w:tc>
        <w:tc>
          <w:tcPr>
            <w:tcW w:w="1675" w:type="dxa"/>
            <w:gridSpan w:val="2"/>
            <w:vAlign w:val="center"/>
          </w:tcPr>
          <w:p w14:paraId="77622DF2"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0</w:t>
            </w:r>
          </w:p>
        </w:tc>
        <w:tc>
          <w:tcPr>
            <w:tcW w:w="1676" w:type="dxa"/>
            <w:vAlign w:val="center"/>
          </w:tcPr>
          <w:p w14:paraId="0C8997E0"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0</w:t>
            </w:r>
          </w:p>
        </w:tc>
      </w:tr>
      <w:tr w:rsidR="00B57103" w:rsidRPr="003771DB" w14:paraId="4C81E24F" w14:textId="77777777" w:rsidTr="00076B84">
        <w:tc>
          <w:tcPr>
            <w:tcW w:w="2263" w:type="dxa"/>
            <w:vAlign w:val="center"/>
          </w:tcPr>
          <w:p w14:paraId="6F03FAF3"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Dietician/exercise physiologist</w:t>
            </w:r>
          </w:p>
        </w:tc>
        <w:tc>
          <w:tcPr>
            <w:tcW w:w="3402" w:type="dxa"/>
            <w:gridSpan w:val="4"/>
            <w:vAlign w:val="center"/>
          </w:tcPr>
          <w:p w14:paraId="06BF38E3" w14:textId="5B8A9278"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7 (1 in week 56, 60, 64; 2 in week 68; 2</w:t>
            </w:r>
            <w:r w:rsidR="00264C53" w:rsidRPr="003771DB">
              <w:rPr>
                <w:rFonts w:ascii="Arial Narrow" w:hAnsi="Arial Narrow"/>
                <w:sz w:val="20"/>
                <w:szCs w:val="20"/>
              </w:rPr>
              <w:t> </w:t>
            </w:r>
            <w:r w:rsidRPr="003771DB">
              <w:rPr>
                <w:rFonts w:ascii="Arial Narrow" w:hAnsi="Arial Narrow"/>
                <w:sz w:val="20"/>
                <w:szCs w:val="20"/>
              </w:rPr>
              <w:t>in</w:t>
            </w:r>
            <w:r w:rsidR="00264C53" w:rsidRPr="003771DB">
              <w:rPr>
                <w:rFonts w:ascii="Arial Narrow" w:hAnsi="Arial Narrow"/>
                <w:sz w:val="20"/>
                <w:szCs w:val="20"/>
              </w:rPr>
              <w:t> </w:t>
            </w:r>
            <w:r w:rsidRPr="003771DB">
              <w:rPr>
                <w:rFonts w:ascii="Arial Narrow" w:hAnsi="Arial Narrow"/>
                <w:sz w:val="20"/>
                <w:szCs w:val="20"/>
              </w:rPr>
              <w:t>week 92)</w:t>
            </w:r>
          </w:p>
        </w:tc>
        <w:tc>
          <w:tcPr>
            <w:tcW w:w="1675" w:type="dxa"/>
            <w:gridSpan w:val="2"/>
            <w:vAlign w:val="center"/>
          </w:tcPr>
          <w:p w14:paraId="70F612A3"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4</w:t>
            </w:r>
          </w:p>
        </w:tc>
        <w:tc>
          <w:tcPr>
            <w:tcW w:w="1676" w:type="dxa"/>
            <w:vAlign w:val="center"/>
          </w:tcPr>
          <w:p w14:paraId="2B35DD92"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2.8</w:t>
            </w:r>
          </w:p>
        </w:tc>
      </w:tr>
      <w:tr w:rsidR="00B57103" w:rsidRPr="003771DB" w14:paraId="336C6685" w14:textId="77777777" w:rsidTr="00076B84">
        <w:tc>
          <w:tcPr>
            <w:tcW w:w="9016" w:type="dxa"/>
            <w:gridSpan w:val="8"/>
          </w:tcPr>
          <w:p w14:paraId="2DD3DA59" w14:textId="77777777" w:rsidR="00B57103" w:rsidRPr="003771DB" w:rsidRDefault="00B57103" w:rsidP="00287215">
            <w:pPr>
              <w:keepNext/>
              <w:keepLines/>
              <w:contextualSpacing/>
              <w:jc w:val="left"/>
              <w:rPr>
                <w:rFonts w:ascii="Arial Narrow" w:hAnsi="Arial Narrow"/>
                <w:b/>
                <w:bCs/>
                <w:sz w:val="20"/>
                <w:szCs w:val="20"/>
              </w:rPr>
            </w:pPr>
            <w:r w:rsidRPr="003771DB">
              <w:rPr>
                <w:rFonts w:ascii="Arial Narrow" w:hAnsi="Arial Narrow"/>
                <w:b/>
                <w:bCs/>
                <w:sz w:val="20"/>
                <w:szCs w:val="20"/>
              </w:rPr>
              <w:t>Year 3+</w:t>
            </w:r>
          </w:p>
        </w:tc>
      </w:tr>
      <w:tr w:rsidR="00B57103" w:rsidRPr="003771DB" w14:paraId="5DDE5050" w14:textId="77777777" w:rsidTr="00076B84">
        <w:tc>
          <w:tcPr>
            <w:tcW w:w="2263" w:type="dxa"/>
            <w:vAlign w:val="center"/>
          </w:tcPr>
          <w:p w14:paraId="60A5BC27"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TCA visits</w:t>
            </w:r>
          </w:p>
        </w:tc>
        <w:tc>
          <w:tcPr>
            <w:tcW w:w="3402" w:type="dxa"/>
            <w:gridSpan w:val="4"/>
            <w:vAlign w:val="center"/>
          </w:tcPr>
          <w:p w14:paraId="51301B14" w14:textId="2AA72D59" w:rsidR="00B57103" w:rsidRPr="003771DB" w:rsidRDefault="00DC52CB" w:rsidP="00287215">
            <w:pPr>
              <w:keepNext/>
              <w:keepLines/>
              <w:contextualSpacing/>
              <w:jc w:val="center"/>
              <w:rPr>
                <w:rFonts w:ascii="Arial Narrow" w:hAnsi="Arial Narrow"/>
                <w:sz w:val="20"/>
                <w:szCs w:val="20"/>
              </w:rPr>
            </w:pPr>
            <w:r w:rsidRPr="003771DB">
              <w:rPr>
                <w:rFonts w:ascii="Arial Narrow" w:hAnsi="Arial Narrow"/>
                <w:sz w:val="20"/>
                <w:szCs w:val="20"/>
              </w:rPr>
              <w:t>1.1</w:t>
            </w:r>
            <w:r w:rsidR="00B57103" w:rsidRPr="003771DB">
              <w:rPr>
                <w:rFonts w:ascii="Arial Narrow" w:hAnsi="Arial Narrow"/>
                <w:sz w:val="20"/>
                <w:szCs w:val="20"/>
              </w:rPr>
              <w:t xml:space="preserve"> per year (1 every 48 weeks)</w:t>
            </w:r>
          </w:p>
        </w:tc>
        <w:tc>
          <w:tcPr>
            <w:tcW w:w="1675" w:type="dxa"/>
            <w:gridSpan w:val="2"/>
            <w:vAlign w:val="center"/>
          </w:tcPr>
          <w:p w14:paraId="3D8BB238"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2</w:t>
            </w:r>
          </w:p>
        </w:tc>
        <w:tc>
          <w:tcPr>
            <w:tcW w:w="1676" w:type="dxa"/>
            <w:vAlign w:val="center"/>
          </w:tcPr>
          <w:p w14:paraId="3340F406"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1.4</w:t>
            </w:r>
          </w:p>
        </w:tc>
      </w:tr>
      <w:tr w:rsidR="00B57103" w:rsidRPr="003771DB" w14:paraId="75097D3D" w14:textId="77777777" w:rsidTr="00076B84">
        <w:tc>
          <w:tcPr>
            <w:tcW w:w="2263" w:type="dxa"/>
            <w:vAlign w:val="center"/>
          </w:tcPr>
          <w:p w14:paraId="34BBE781"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GP visits</w:t>
            </w:r>
          </w:p>
        </w:tc>
        <w:tc>
          <w:tcPr>
            <w:tcW w:w="3402" w:type="dxa"/>
            <w:gridSpan w:val="4"/>
            <w:vAlign w:val="center"/>
          </w:tcPr>
          <w:p w14:paraId="27ACFC8F" w14:textId="6A837D68" w:rsidR="00B57103" w:rsidRPr="003771DB" w:rsidRDefault="00DC52CB" w:rsidP="00287215">
            <w:pPr>
              <w:keepNext/>
              <w:keepLines/>
              <w:contextualSpacing/>
              <w:jc w:val="center"/>
              <w:rPr>
                <w:rFonts w:ascii="Arial Narrow" w:hAnsi="Arial Narrow"/>
                <w:sz w:val="20"/>
                <w:szCs w:val="20"/>
              </w:rPr>
            </w:pPr>
            <w:r w:rsidRPr="003771DB">
              <w:rPr>
                <w:rFonts w:ascii="Arial Narrow" w:hAnsi="Arial Narrow"/>
                <w:sz w:val="20"/>
                <w:szCs w:val="20"/>
              </w:rPr>
              <w:t>1.1</w:t>
            </w:r>
            <w:r w:rsidR="00B57103" w:rsidRPr="003771DB">
              <w:rPr>
                <w:rFonts w:ascii="Arial Narrow" w:hAnsi="Arial Narrow"/>
                <w:sz w:val="20"/>
                <w:szCs w:val="20"/>
              </w:rPr>
              <w:t xml:space="preserve"> per year (1 every 48 weeks)</w:t>
            </w:r>
          </w:p>
        </w:tc>
        <w:tc>
          <w:tcPr>
            <w:tcW w:w="1675" w:type="dxa"/>
            <w:gridSpan w:val="2"/>
            <w:vAlign w:val="center"/>
          </w:tcPr>
          <w:p w14:paraId="3261B25F"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0</w:t>
            </w:r>
          </w:p>
        </w:tc>
        <w:tc>
          <w:tcPr>
            <w:tcW w:w="1676" w:type="dxa"/>
            <w:vAlign w:val="center"/>
          </w:tcPr>
          <w:p w14:paraId="6904B7BB"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0</w:t>
            </w:r>
          </w:p>
        </w:tc>
      </w:tr>
      <w:tr w:rsidR="00B57103" w:rsidRPr="003771DB" w14:paraId="2C9B3FC1" w14:textId="77777777" w:rsidTr="00076B84">
        <w:tc>
          <w:tcPr>
            <w:tcW w:w="2263" w:type="dxa"/>
            <w:vAlign w:val="center"/>
          </w:tcPr>
          <w:p w14:paraId="0816741E"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Dietician/exercise physiologist</w:t>
            </w:r>
          </w:p>
        </w:tc>
        <w:tc>
          <w:tcPr>
            <w:tcW w:w="3402" w:type="dxa"/>
            <w:gridSpan w:val="4"/>
            <w:vAlign w:val="center"/>
          </w:tcPr>
          <w:p w14:paraId="60714630" w14:textId="77777777" w:rsidR="00B57103" w:rsidRPr="003771DB" w:rsidRDefault="00B57103" w:rsidP="00287215">
            <w:pPr>
              <w:pStyle w:val="TableText"/>
              <w:keepLines/>
              <w:jc w:val="center"/>
              <w:rPr>
                <w:szCs w:val="20"/>
              </w:rPr>
            </w:pPr>
            <w:r w:rsidRPr="003771DB">
              <w:rPr>
                <w:szCs w:val="20"/>
              </w:rPr>
              <w:t>4.3 per year (2 every 24 weeks)</w:t>
            </w:r>
          </w:p>
        </w:tc>
        <w:tc>
          <w:tcPr>
            <w:tcW w:w="1675" w:type="dxa"/>
            <w:gridSpan w:val="2"/>
            <w:vAlign w:val="center"/>
          </w:tcPr>
          <w:p w14:paraId="749E8E7A"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4</w:t>
            </w:r>
          </w:p>
        </w:tc>
        <w:tc>
          <w:tcPr>
            <w:tcW w:w="1676" w:type="dxa"/>
            <w:vAlign w:val="center"/>
          </w:tcPr>
          <w:p w14:paraId="01CCE5DF"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2.8</w:t>
            </w:r>
          </w:p>
        </w:tc>
      </w:tr>
      <w:tr w:rsidR="00B57103" w:rsidRPr="003771DB" w14:paraId="2881E372" w14:textId="77777777" w:rsidTr="00076B84">
        <w:tc>
          <w:tcPr>
            <w:tcW w:w="2263" w:type="dxa"/>
            <w:vAlign w:val="center"/>
          </w:tcPr>
          <w:p w14:paraId="5AE99B3E" w14:textId="77777777" w:rsidR="00B57103" w:rsidRPr="003771DB" w:rsidRDefault="00B57103" w:rsidP="00287215">
            <w:pPr>
              <w:keepNext/>
              <w:keepLines/>
              <w:contextualSpacing/>
              <w:jc w:val="left"/>
              <w:rPr>
                <w:rFonts w:ascii="Arial Narrow" w:hAnsi="Arial Narrow"/>
                <w:sz w:val="20"/>
                <w:szCs w:val="20"/>
              </w:rPr>
            </w:pPr>
            <w:r w:rsidRPr="003771DB">
              <w:rPr>
                <w:rFonts w:ascii="Arial Narrow" w:hAnsi="Arial Narrow"/>
                <w:sz w:val="20"/>
                <w:szCs w:val="20"/>
              </w:rPr>
              <w:t>Proportion of patients on treatment</w:t>
            </w:r>
            <w:r w:rsidRPr="003771DB">
              <w:rPr>
                <w:rFonts w:ascii="Arial Narrow" w:hAnsi="Arial Narrow"/>
                <w:sz w:val="20"/>
                <w:szCs w:val="20"/>
                <w:vertAlign w:val="superscript"/>
              </w:rPr>
              <w:t>a</w:t>
            </w:r>
          </w:p>
        </w:tc>
        <w:tc>
          <w:tcPr>
            <w:tcW w:w="1701" w:type="dxa"/>
            <w:gridSpan w:val="2"/>
            <w:vAlign w:val="center"/>
          </w:tcPr>
          <w:p w14:paraId="4EF578FB" w14:textId="77777777" w:rsidR="00B57103" w:rsidRPr="003771DB" w:rsidRDefault="00B57103" w:rsidP="00287215">
            <w:pPr>
              <w:pStyle w:val="TableText"/>
              <w:keepLines/>
              <w:jc w:val="center"/>
              <w:rPr>
                <w:szCs w:val="20"/>
              </w:rPr>
            </w:pPr>
            <w:r w:rsidRPr="003771DB">
              <w:rPr>
                <w:szCs w:val="20"/>
              </w:rPr>
              <w:t>Year 1: 85.8%</w:t>
            </w:r>
          </w:p>
          <w:p w14:paraId="3A2F1EC2" w14:textId="77777777" w:rsidR="00B57103" w:rsidRPr="003771DB" w:rsidRDefault="00B57103" w:rsidP="00287215">
            <w:pPr>
              <w:pStyle w:val="TableText"/>
              <w:keepLines/>
              <w:jc w:val="center"/>
              <w:rPr>
                <w:szCs w:val="20"/>
              </w:rPr>
            </w:pPr>
            <w:r w:rsidRPr="003771DB">
              <w:rPr>
                <w:szCs w:val="20"/>
              </w:rPr>
              <w:t>Year 2: 55.8%</w:t>
            </w:r>
          </w:p>
          <w:p w14:paraId="3CBBCFB2" w14:textId="77777777" w:rsidR="00B57103" w:rsidRPr="003771DB" w:rsidRDefault="00B57103" w:rsidP="00287215">
            <w:pPr>
              <w:pStyle w:val="TableText"/>
              <w:keepLines/>
              <w:jc w:val="center"/>
              <w:rPr>
                <w:szCs w:val="20"/>
              </w:rPr>
            </w:pPr>
            <w:r w:rsidRPr="003771DB">
              <w:rPr>
                <w:szCs w:val="20"/>
              </w:rPr>
              <w:t>Year 3: 53.0%</w:t>
            </w:r>
          </w:p>
          <w:p w14:paraId="0C1BA3A1" w14:textId="77777777" w:rsidR="00B57103" w:rsidRPr="003771DB" w:rsidRDefault="00B57103" w:rsidP="00287215">
            <w:pPr>
              <w:pStyle w:val="TableText"/>
              <w:keepLines/>
              <w:jc w:val="center"/>
              <w:rPr>
                <w:szCs w:val="20"/>
              </w:rPr>
            </w:pPr>
            <w:r w:rsidRPr="003771DB">
              <w:rPr>
                <w:szCs w:val="20"/>
              </w:rPr>
              <w:t>Year 4: 50.4%</w:t>
            </w:r>
          </w:p>
          <w:p w14:paraId="1B61014D" w14:textId="77777777" w:rsidR="00B57103" w:rsidRPr="003771DB" w:rsidRDefault="00B57103" w:rsidP="00287215">
            <w:pPr>
              <w:pStyle w:val="TableText"/>
              <w:keepLines/>
              <w:jc w:val="center"/>
              <w:rPr>
                <w:szCs w:val="20"/>
              </w:rPr>
            </w:pPr>
            <w:r w:rsidRPr="003771DB">
              <w:rPr>
                <w:szCs w:val="20"/>
              </w:rPr>
              <w:t>Year 5: 47.9%</w:t>
            </w:r>
          </w:p>
          <w:p w14:paraId="737BA815"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Year 6: NA</w:t>
            </w:r>
          </w:p>
        </w:tc>
        <w:tc>
          <w:tcPr>
            <w:tcW w:w="1701" w:type="dxa"/>
            <w:gridSpan w:val="2"/>
          </w:tcPr>
          <w:p w14:paraId="69EC27E9" w14:textId="77777777" w:rsidR="00B57103" w:rsidRPr="003771DB" w:rsidRDefault="00B57103" w:rsidP="00287215">
            <w:pPr>
              <w:pStyle w:val="TableText"/>
              <w:keepLines/>
              <w:jc w:val="center"/>
              <w:rPr>
                <w:szCs w:val="20"/>
              </w:rPr>
            </w:pPr>
            <w:r w:rsidRPr="003771DB">
              <w:rPr>
                <w:szCs w:val="20"/>
              </w:rPr>
              <w:t>Year 1: 80.6%</w:t>
            </w:r>
          </w:p>
          <w:p w14:paraId="23C40045" w14:textId="77777777" w:rsidR="00B57103" w:rsidRPr="003771DB" w:rsidRDefault="00B57103" w:rsidP="00287215">
            <w:pPr>
              <w:pStyle w:val="TableText"/>
              <w:keepLines/>
              <w:jc w:val="center"/>
              <w:rPr>
                <w:szCs w:val="20"/>
              </w:rPr>
            </w:pPr>
            <w:r w:rsidRPr="003771DB">
              <w:rPr>
                <w:szCs w:val="20"/>
              </w:rPr>
              <w:t>Year 2: 11.8%</w:t>
            </w:r>
          </w:p>
          <w:p w14:paraId="314B1CC0" w14:textId="77777777" w:rsidR="00B57103" w:rsidRPr="003771DB" w:rsidRDefault="00B57103" w:rsidP="00287215">
            <w:pPr>
              <w:pStyle w:val="TableText"/>
              <w:keepLines/>
              <w:jc w:val="center"/>
              <w:rPr>
                <w:szCs w:val="20"/>
              </w:rPr>
            </w:pPr>
            <w:r w:rsidRPr="003771DB">
              <w:rPr>
                <w:szCs w:val="20"/>
              </w:rPr>
              <w:t>Year 3: 11.2%</w:t>
            </w:r>
          </w:p>
          <w:p w14:paraId="299AC8BE" w14:textId="77777777" w:rsidR="00B57103" w:rsidRPr="003771DB" w:rsidRDefault="00B57103" w:rsidP="00287215">
            <w:pPr>
              <w:pStyle w:val="TableText"/>
              <w:keepLines/>
              <w:jc w:val="center"/>
              <w:rPr>
                <w:szCs w:val="20"/>
              </w:rPr>
            </w:pPr>
            <w:r w:rsidRPr="003771DB">
              <w:rPr>
                <w:szCs w:val="20"/>
              </w:rPr>
              <w:t>Year 4: 10.6%</w:t>
            </w:r>
          </w:p>
          <w:p w14:paraId="3213F671" w14:textId="77777777" w:rsidR="00B57103" w:rsidRPr="003771DB" w:rsidRDefault="00B57103" w:rsidP="00287215">
            <w:pPr>
              <w:pStyle w:val="TableText"/>
              <w:keepLines/>
              <w:jc w:val="center"/>
              <w:rPr>
                <w:szCs w:val="20"/>
              </w:rPr>
            </w:pPr>
            <w:r w:rsidRPr="003771DB">
              <w:rPr>
                <w:szCs w:val="20"/>
              </w:rPr>
              <w:t>Year 5: 10.1%</w:t>
            </w:r>
          </w:p>
          <w:p w14:paraId="42E22996"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Year 6: NA</w:t>
            </w:r>
          </w:p>
        </w:tc>
        <w:tc>
          <w:tcPr>
            <w:tcW w:w="1675" w:type="dxa"/>
            <w:gridSpan w:val="2"/>
            <w:vAlign w:val="center"/>
          </w:tcPr>
          <w:p w14:paraId="796245D7" w14:textId="77777777" w:rsidR="00B57103" w:rsidRPr="003771DB" w:rsidRDefault="00B57103" w:rsidP="00287215">
            <w:pPr>
              <w:pStyle w:val="TableText"/>
              <w:keepLines/>
              <w:jc w:val="center"/>
              <w:rPr>
                <w:szCs w:val="20"/>
              </w:rPr>
            </w:pPr>
            <w:r w:rsidRPr="003771DB">
              <w:rPr>
                <w:szCs w:val="20"/>
              </w:rPr>
              <w:t>Year 1: 100%</w:t>
            </w:r>
          </w:p>
          <w:p w14:paraId="4A1E4DF4" w14:textId="77777777" w:rsidR="00B57103" w:rsidRPr="003771DB" w:rsidRDefault="00B57103" w:rsidP="00287215">
            <w:pPr>
              <w:pStyle w:val="TableText"/>
              <w:keepLines/>
              <w:jc w:val="center"/>
              <w:rPr>
                <w:szCs w:val="20"/>
              </w:rPr>
            </w:pPr>
            <w:r w:rsidRPr="003771DB">
              <w:rPr>
                <w:szCs w:val="20"/>
              </w:rPr>
              <w:t>Year 2: 58.0%</w:t>
            </w:r>
          </w:p>
          <w:p w14:paraId="07A1656E" w14:textId="77777777" w:rsidR="00B57103" w:rsidRPr="003771DB" w:rsidRDefault="00B57103" w:rsidP="00287215">
            <w:pPr>
              <w:pStyle w:val="TableText"/>
              <w:keepLines/>
              <w:jc w:val="center"/>
              <w:rPr>
                <w:szCs w:val="20"/>
              </w:rPr>
            </w:pPr>
            <w:r w:rsidRPr="003771DB">
              <w:rPr>
                <w:szCs w:val="20"/>
              </w:rPr>
              <w:t>Year 3: 55.1%</w:t>
            </w:r>
          </w:p>
          <w:p w14:paraId="55BCF3FE" w14:textId="77777777" w:rsidR="00B57103" w:rsidRPr="003771DB" w:rsidRDefault="00B57103" w:rsidP="00287215">
            <w:pPr>
              <w:pStyle w:val="TableText"/>
              <w:keepLines/>
              <w:jc w:val="center"/>
              <w:rPr>
                <w:szCs w:val="20"/>
              </w:rPr>
            </w:pPr>
            <w:r w:rsidRPr="003771DB">
              <w:rPr>
                <w:szCs w:val="20"/>
              </w:rPr>
              <w:t>Year 4: 52.3%</w:t>
            </w:r>
          </w:p>
          <w:p w14:paraId="4CE9389B" w14:textId="77777777" w:rsidR="00B57103" w:rsidRPr="003771DB" w:rsidRDefault="00B57103" w:rsidP="00287215">
            <w:pPr>
              <w:pStyle w:val="TableText"/>
              <w:keepLines/>
              <w:jc w:val="center"/>
              <w:rPr>
                <w:szCs w:val="20"/>
              </w:rPr>
            </w:pPr>
            <w:r w:rsidRPr="003771DB">
              <w:rPr>
                <w:szCs w:val="20"/>
              </w:rPr>
              <w:t>Year 5: 49.7%</w:t>
            </w:r>
          </w:p>
          <w:p w14:paraId="2A2D6A47"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Year 6: 47.2%</w:t>
            </w:r>
          </w:p>
        </w:tc>
        <w:tc>
          <w:tcPr>
            <w:tcW w:w="1676" w:type="dxa"/>
            <w:vAlign w:val="center"/>
          </w:tcPr>
          <w:p w14:paraId="2B52E2B6" w14:textId="77777777" w:rsidR="00B57103" w:rsidRPr="003771DB" w:rsidRDefault="00B57103" w:rsidP="00287215">
            <w:pPr>
              <w:pStyle w:val="TableText"/>
              <w:keepLines/>
              <w:jc w:val="center"/>
              <w:rPr>
                <w:szCs w:val="20"/>
              </w:rPr>
            </w:pPr>
            <w:r w:rsidRPr="003771DB">
              <w:rPr>
                <w:szCs w:val="20"/>
              </w:rPr>
              <w:t>Year 1: 100%</w:t>
            </w:r>
          </w:p>
          <w:p w14:paraId="25D02D72" w14:textId="77777777" w:rsidR="00B57103" w:rsidRPr="003771DB" w:rsidRDefault="00B57103" w:rsidP="00287215">
            <w:pPr>
              <w:pStyle w:val="TableText"/>
              <w:keepLines/>
              <w:jc w:val="center"/>
              <w:rPr>
                <w:szCs w:val="20"/>
              </w:rPr>
            </w:pPr>
            <w:r w:rsidRPr="003771DB">
              <w:rPr>
                <w:szCs w:val="20"/>
              </w:rPr>
              <w:t>Year 2: 58.0%</w:t>
            </w:r>
          </w:p>
          <w:p w14:paraId="3E6C3346" w14:textId="77777777" w:rsidR="00B57103" w:rsidRPr="003771DB" w:rsidRDefault="00B57103" w:rsidP="00287215">
            <w:pPr>
              <w:pStyle w:val="TableText"/>
              <w:keepLines/>
              <w:jc w:val="center"/>
              <w:rPr>
                <w:szCs w:val="20"/>
              </w:rPr>
            </w:pPr>
            <w:r w:rsidRPr="003771DB">
              <w:rPr>
                <w:szCs w:val="20"/>
              </w:rPr>
              <w:t>Year 3: 55.1%</w:t>
            </w:r>
          </w:p>
          <w:p w14:paraId="57F7DB7F" w14:textId="77777777" w:rsidR="00B57103" w:rsidRPr="003771DB" w:rsidRDefault="00B57103" w:rsidP="00287215">
            <w:pPr>
              <w:pStyle w:val="TableText"/>
              <w:keepLines/>
              <w:jc w:val="center"/>
              <w:rPr>
                <w:szCs w:val="20"/>
              </w:rPr>
            </w:pPr>
            <w:r w:rsidRPr="003771DB">
              <w:rPr>
                <w:szCs w:val="20"/>
              </w:rPr>
              <w:t>Year 4: 52.3%</w:t>
            </w:r>
          </w:p>
          <w:p w14:paraId="5AAC7386" w14:textId="77777777" w:rsidR="00B57103" w:rsidRPr="003771DB" w:rsidRDefault="00B57103" w:rsidP="00287215">
            <w:pPr>
              <w:pStyle w:val="TableText"/>
              <w:keepLines/>
              <w:jc w:val="center"/>
              <w:rPr>
                <w:szCs w:val="20"/>
              </w:rPr>
            </w:pPr>
            <w:r w:rsidRPr="003771DB">
              <w:rPr>
                <w:szCs w:val="20"/>
              </w:rPr>
              <w:t>Year 5: 49.7%</w:t>
            </w:r>
          </w:p>
          <w:p w14:paraId="24D8B419" w14:textId="77777777" w:rsidR="00B57103" w:rsidRPr="003771DB" w:rsidRDefault="00B57103" w:rsidP="00287215">
            <w:pPr>
              <w:keepNext/>
              <w:keepLines/>
              <w:contextualSpacing/>
              <w:jc w:val="center"/>
              <w:rPr>
                <w:rFonts w:ascii="Arial Narrow" w:hAnsi="Arial Narrow"/>
                <w:sz w:val="20"/>
                <w:szCs w:val="20"/>
              </w:rPr>
            </w:pPr>
            <w:r w:rsidRPr="003771DB">
              <w:rPr>
                <w:rFonts w:ascii="Arial Narrow" w:hAnsi="Arial Narrow"/>
                <w:sz w:val="20"/>
                <w:szCs w:val="20"/>
              </w:rPr>
              <w:t>Year 6: 47.2%</w:t>
            </w:r>
          </w:p>
        </w:tc>
      </w:tr>
    </w:tbl>
    <w:p w14:paraId="19FF6761" w14:textId="77777777" w:rsidR="00B57103" w:rsidRPr="003771DB" w:rsidRDefault="00B57103" w:rsidP="00B57103">
      <w:pPr>
        <w:spacing w:after="120"/>
        <w:contextualSpacing/>
        <w:rPr>
          <w:rFonts w:ascii="Arial Narrow" w:hAnsi="Arial Narrow"/>
          <w:sz w:val="18"/>
          <w:szCs w:val="18"/>
        </w:rPr>
      </w:pPr>
      <w:r w:rsidRPr="003771DB">
        <w:rPr>
          <w:rFonts w:ascii="Arial Narrow" w:hAnsi="Arial Narrow"/>
          <w:sz w:val="18"/>
          <w:szCs w:val="18"/>
        </w:rPr>
        <w:t>Source: constructed during the evaluation using Section 3 Workbook (July 2023) and Section 4 Workbook (July 2023) Excel spreadsheets</w:t>
      </w:r>
    </w:p>
    <w:p w14:paraId="56F977B8" w14:textId="63AA2508" w:rsidR="00D65B6F" w:rsidRPr="003771DB" w:rsidRDefault="00D65B6F" w:rsidP="00B57103">
      <w:pPr>
        <w:spacing w:after="120"/>
        <w:contextualSpacing/>
        <w:rPr>
          <w:rFonts w:ascii="Arial Narrow" w:hAnsi="Arial Narrow"/>
          <w:sz w:val="18"/>
          <w:szCs w:val="18"/>
        </w:rPr>
      </w:pPr>
      <w:r w:rsidRPr="003771DB">
        <w:rPr>
          <w:rFonts w:ascii="Arial Narrow" w:hAnsi="Arial Narrow"/>
          <w:sz w:val="18"/>
          <w:szCs w:val="18"/>
        </w:rPr>
        <w:t>Abb</w:t>
      </w:r>
      <w:r w:rsidR="00334A5F" w:rsidRPr="003771DB">
        <w:rPr>
          <w:rFonts w:ascii="Arial Narrow" w:hAnsi="Arial Narrow"/>
          <w:sz w:val="18"/>
          <w:szCs w:val="18"/>
        </w:rPr>
        <w:t>reviations: GP, general practitioner; NA, not applicable; TCA, team care arrangements</w:t>
      </w:r>
    </w:p>
    <w:p w14:paraId="762DBB58" w14:textId="77777777" w:rsidR="00B57103" w:rsidRPr="003771DB" w:rsidRDefault="00B57103" w:rsidP="00B57103">
      <w:pPr>
        <w:spacing w:after="120"/>
        <w:contextualSpacing/>
        <w:rPr>
          <w:rFonts w:ascii="Arial Narrow" w:hAnsi="Arial Narrow"/>
          <w:sz w:val="18"/>
          <w:szCs w:val="18"/>
        </w:rPr>
      </w:pPr>
      <w:r w:rsidRPr="003771DB">
        <w:rPr>
          <w:rFonts w:ascii="Arial Narrow" w:hAnsi="Arial Narrow"/>
          <w:sz w:val="18"/>
          <w:szCs w:val="18"/>
          <w:vertAlign w:val="superscript"/>
        </w:rPr>
        <w:t xml:space="preserve">a </w:t>
      </w:r>
      <w:r w:rsidRPr="003771DB">
        <w:rPr>
          <w:rFonts w:ascii="Arial Narrow" w:hAnsi="Arial Narrow"/>
          <w:sz w:val="18"/>
          <w:szCs w:val="18"/>
        </w:rPr>
        <w:t>Based on the proportion on treatment at the end of each year. For the economic model, estimates incorporate discontinuation due to death. For the financial estimates, estimates are based on a fixed cohort from Year 1.</w:t>
      </w:r>
    </w:p>
    <w:p w14:paraId="3DBFE151" w14:textId="79566619" w:rsidR="00494207" w:rsidRPr="003771DB" w:rsidRDefault="00C71282" w:rsidP="004E2228">
      <w:pPr>
        <w:pStyle w:val="COMexecsumnumberedpara"/>
        <w:rPr>
          <w:snapToGrid/>
        </w:rPr>
      </w:pPr>
      <w:r w:rsidRPr="003771DB">
        <w:rPr>
          <w:snapToGrid/>
        </w:rPr>
        <w:t>E</w:t>
      </w:r>
      <w:r w:rsidR="00B57103" w:rsidRPr="003771DB">
        <w:rPr>
          <w:snapToGrid/>
        </w:rPr>
        <w:t xml:space="preserve">stimates </w:t>
      </w:r>
      <w:r w:rsidRPr="003771DB">
        <w:rPr>
          <w:snapToGrid/>
        </w:rPr>
        <w:t xml:space="preserve">of utilisation of MBS services </w:t>
      </w:r>
      <w:r w:rsidR="00B57103" w:rsidRPr="003771DB">
        <w:rPr>
          <w:snapToGrid/>
        </w:rPr>
        <w:t>were not consistent between the economic model and the budget impact model due to differences in the initial treatment period (68 weeks in the economic model versus 1 year in the financial estimates) and differences in the ongoing review of continuing patients (alternati</w:t>
      </w:r>
      <w:r w:rsidR="00026FAB" w:rsidRPr="003771DB">
        <w:rPr>
          <w:snapToGrid/>
        </w:rPr>
        <w:t>ng</w:t>
      </w:r>
      <w:r w:rsidR="00B57103" w:rsidRPr="003771DB">
        <w:rPr>
          <w:snapToGrid/>
        </w:rPr>
        <w:t xml:space="preserve"> team care reviews and GP consultations in the economic model versus team care reviews only in financial estimates).</w:t>
      </w:r>
      <w:r w:rsidR="007D57B5" w:rsidRPr="003771DB">
        <w:rPr>
          <w:snapToGrid/>
        </w:rPr>
        <w:t xml:space="preserve"> </w:t>
      </w:r>
      <w:r w:rsidRPr="003771DB">
        <w:rPr>
          <w:snapToGrid/>
        </w:rPr>
        <w:t>The estimates are inappropriate as they do not account for limitations to the use of some MBS items (i.e. maximum 5 visits per year shared between allied health providers) and assumed that the semaglutide-specific circumstances of use (e.g. treatment response) also apply to adjunctive weight management</w:t>
      </w:r>
      <w:r w:rsidR="00857E54" w:rsidRPr="003771DB">
        <w:rPr>
          <w:snapToGrid/>
        </w:rPr>
        <w:t>.</w:t>
      </w:r>
    </w:p>
    <w:p w14:paraId="268768EF" w14:textId="223D5E48" w:rsidR="00B60939" w:rsidRPr="003771DB" w:rsidRDefault="00B60939" w:rsidP="002B05A1">
      <w:pPr>
        <w:pStyle w:val="COMH2-non-numbered"/>
      </w:pPr>
      <w:bookmarkStart w:id="61" w:name="_Toc22897647"/>
      <w:bookmarkStart w:id="62" w:name="_Toc144899330"/>
      <w:bookmarkEnd w:id="58"/>
      <w:r w:rsidRPr="003771DB">
        <w:t>Estimated PBS usage &amp; financial implications</w:t>
      </w:r>
      <w:bookmarkEnd w:id="61"/>
      <w:bookmarkEnd w:id="62"/>
    </w:p>
    <w:p w14:paraId="736FEDAE" w14:textId="15C91380" w:rsidR="00BB53E8" w:rsidRPr="003771DB" w:rsidRDefault="00BB53E8" w:rsidP="00BB53E8">
      <w:pPr>
        <w:pStyle w:val="COMexecsumnumberedpara"/>
      </w:pPr>
      <w:r w:rsidRPr="003771DB">
        <w:t>The resubmission used an epidemiological approach to estimate the utilisation and financial impact of listing semaglutide for patients with BMI ≥</w:t>
      </w:r>
      <w:r w:rsidR="00876C1C">
        <w:t> </w:t>
      </w:r>
      <w:r w:rsidRPr="003771DB">
        <w:t>40</w:t>
      </w:r>
      <w:r w:rsidR="00876C1C">
        <w:t> </w:t>
      </w:r>
      <w:r w:rsidRPr="003771DB">
        <w:t>kg/m</w:t>
      </w:r>
      <w:r w:rsidRPr="003771DB">
        <w:rPr>
          <w:vertAlign w:val="superscript"/>
        </w:rPr>
        <w:t>2</w:t>
      </w:r>
      <w:r w:rsidRPr="003771DB">
        <w:t xml:space="preserve"> and ≥</w:t>
      </w:r>
      <w:r w:rsidR="00876C1C">
        <w:t> </w:t>
      </w:r>
      <w:r w:rsidRPr="003771DB">
        <w:t xml:space="preserve">2 weight-related comorbidities with obstructive sleep apnoea, knee osteoarthritis or pre-diabetes. Key inputs relied on in the financial estimates are summarised in </w:t>
      </w:r>
      <w:r w:rsidR="009E7049" w:rsidRPr="003771DB">
        <w:fldChar w:fldCharType="begin" w:fldLock="1"/>
      </w:r>
      <w:r w:rsidR="009E7049" w:rsidRPr="003771DB">
        <w:instrText xml:space="preserve"> REF _Ref152252899 \h </w:instrText>
      </w:r>
      <w:r w:rsidR="009E7049" w:rsidRPr="003771DB">
        <w:fldChar w:fldCharType="separate"/>
      </w:r>
      <w:r w:rsidR="009E7049" w:rsidRPr="003771DB">
        <w:t>Table</w:t>
      </w:r>
      <w:r w:rsidR="00876C1C">
        <w:t> </w:t>
      </w:r>
      <w:r w:rsidR="009E7049" w:rsidRPr="00F7478B">
        <w:t>19</w:t>
      </w:r>
      <w:r w:rsidR="009E7049" w:rsidRPr="003771DB">
        <w:fldChar w:fldCharType="end"/>
      </w:r>
      <w:r w:rsidR="009E7049" w:rsidRPr="003771DB">
        <w:t xml:space="preserve"> </w:t>
      </w:r>
      <w:r w:rsidRPr="003771DB">
        <w:t xml:space="preserve">below. </w:t>
      </w:r>
    </w:p>
    <w:p w14:paraId="796D8D16" w14:textId="244FC990" w:rsidR="00BB53E8" w:rsidRPr="003771DB" w:rsidRDefault="00BB53E8" w:rsidP="00886A85">
      <w:pPr>
        <w:pStyle w:val="Caption"/>
        <w:keepLines/>
        <w:rPr>
          <w:b w:val="0"/>
          <w:szCs w:val="20"/>
        </w:rPr>
      </w:pPr>
      <w:bookmarkStart w:id="63" w:name="_Ref152252899"/>
      <w:r w:rsidRPr="003771DB">
        <w:t xml:space="preserve">Table </w:t>
      </w:r>
      <w:fldSimple w:instr=" SEQ Table \* ARABIC " w:fldLock="1">
        <w:r w:rsidR="00AD487C" w:rsidRPr="00F7478B">
          <w:t>19</w:t>
        </w:r>
      </w:fldSimple>
      <w:bookmarkEnd w:id="63"/>
      <w:r w:rsidRPr="003771DB">
        <w:t>:</w:t>
      </w:r>
      <w:r w:rsidRPr="003771DB">
        <w:rPr>
          <w:rStyle w:val="CommentReference"/>
          <w:sz w:val="20"/>
          <w:szCs w:val="20"/>
        </w:rPr>
        <w:t xml:space="preserve"> 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Data sources and parameter values applied in the utilisation and financial estimates"/>
        <w:tblDescription w:val="Table 19: Data sources and parameter values applied in the utilisation and financial estimates"/>
      </w:tblPr>
      <w:tblGrid>
        <w:gridCol w:w="1297"/>
        <w:gridCol w:w="2222"/>
        <w:gridCol w:w="3281"/>
        <w:gridCol w:w="2217"/>
      </w:tblGrid>
      <w:tr w:rsidR="00BB53E8" w:rsidRPr="003771DB" w14:paraId="7CB036AF" w14:textId="77777777" w:rsidTr="00D50C48">
        <w:trPr>
          <w:cantSplit/>
          <w:tblHeader/>
        </w:trPr>
        <w:tc>
          <w:tcPr>
            <w:tcW w:w="1296" w:type="dxa"/>
            <w:vAlign w:val="center"/>
          </w:tcPr>
          <w:p w14:paraId="7ACA802C" w14:textId="77777777" w:rsidR="00BB53E8" w:rsidRPr="003771DB" w:rsidRDefault="00BB53E8" w:rsidP="00886A85">
            <w:pPr>
              <w:keepNext/>
              <w:keepLines/>
              <w:jc w:val="center"/>
              <w:rPr>
                <w:rFonts w:ascii="Arial Narrow" w:eastAsiaTheme="majorEastAsia" w:hAnsi="Arial Narrow" w:cs="Times New Roman"/>
                <w:b/>
                <w:sz w:val="20"/>
              </w:rPr>
            </w:pPr>
            <w:r w:rsidRPr="003771DB">
              <w:rPr>
                <w:rFonts w:ascii="Arial Narrow" w:eastAsiaTheme="majorEastAsia" w:hAnsi="Arial Narrow" w:cs="Times New Roman"/>
                <w:b/>
                <w:sz w:val="20"/>
              </w:rPr>
              <w:t>Data</w:t>
            </w:r>
          </w:p>
        </w:tc>
        <w:tc>
          <w:tcPr>
            <w:tcW w:w="2222" w:type="dxa"/>
            <w:vAlign w:val="center"/>
          </w:tcPr>
          <w:p w14:paraId="45A40980" w14:textId="77777777" w:rsidR="00BB53E8" w:rsidRPr="003771DB" w:rsidRDefault="00BB53E8" w:rsidP="00886A85">
            <w:pPr>
              <w:keepNext/>
              <w:keepLines/>
              <w:jc w:val="center"/>
              <w:rPr>
                <w:rFonts w:ascii="Arial Narrow" w:eastAsiaTheme="majorEastAsia" w:hAnsi="Arial Narrow" w:cs="Times New Roman"/>
                <w:b/>
                <w:sz w:val="20"/>
              </w:rPr>
            </w:pPr>
            <w:r w:rsidRPr="003771DB">
              <w:rPr>
                <w:rFonts w:ascii="Arial Narrow" w:eastAsiaTheme="majorEastAsia" w:hAnsi="Arial Narrow" w:cs="Times New Roman"/>
                <w:b/>
                <w:sz w:val="20"/>
              </w:rPr>
              <w:t>Value applied and source</w:t>
            </w:r>
          </w:p>
        </w:tc>
        <w:tc>
          <w:tcPr>
            <w:tcW w:w="3281" w:type="dxa"/>
            <w:vAlign w:val="center"/>
          </w:tcPr>
          <w:p w14:paraId="410D5488" w14:textId="77777777" w:rsidR="00BB53E8" w:rsidRPr="003771DB" w:rsidRDefault="00BB53E8" w:rsidP="00886A85">
            <w:pPr>
              <w:keepNext/>
              <w:keepLines/>
              <w:jc w:val="center"/>
              <w:rPr>
                <w:rFonts w:ascii="Arial Narrow" w:eastAsiaTheme="majorEastAsia" w:hAnsi="Arial Narrow" w:cs="Times New Roman"/>
                <w:b/>
                <w:sz w:val="20"/>
              </w:rPr>
            </w:pPr>
            <w:r w:rsidRPr="003771DB">
              <w:rPr>
                <w:rFonts w:ascii="Arial Narrow" w:eastAsiaTheme="majorEastAsia" w:hAnsi="Arial Narrow" w:cs="Times New Roman"/>
                <w:b/>
                <w:sz w:val="20"/>
              </w:rPr>
              <w:t>Commentary on the resubmission</w:t>
            </w:r>
          </w:p>
        </w:tc>
        <w:tc>
          <w:tcPr>
            <w:tcW w:w="2217" w:type="dxa"/>
          </w:tcPr>
          <w:p w14:paraId="3770C7DD" w14:textId="77777777" w:rsidR="00BB53E8" w:rsidRPr="003771DB" w:rsidRDefault="00BB53E8" w:rsidP="00886A85">
            <w:pPr>
              <w:keepNext/>
              <w:keepLines/>
              <w:jc w:val="center"/>
              <w:rPr>
                <w:rFonts w:ascii="Arial Narrow" w:eastAsiaTheme="majorEastAsia" w:hAnsi="Arial Narrow" w:cs="Times New Roman"/>
                <w:b/>
                <w:sz w:val="20"/>
              </w:rPr>
            </w:pPr>
            <w:r w:rsidRPr="003771DB">
              <w:rPr>
                <w:rFonts w:ascii="Arial Narrow" w:eastAsiaTheme="majorEastAsia" w:hAnsi="Arial Narrow" w:cs="Times New Roman"/>
                <w:b/>
                <w:sz w:val="20"/>
              </w:rPr>
              <w:t>DUSC comments</w:t>
            </w:r>
          </w:p>
        </w:tc>
      </w:tr>
      <w:tr w:rsidR="00BB53E8" w:rsidRPr="003771DB" w14:paraId="29F38991" w14:textId="77777777" w:rsidTr="00D50C48">
        <w:trPr>
          <w:cantSplit/>
        </w:trPr>
        <w:tc>
          <w:tcPr>
            <w:tcW w:w="6799" w:type="dxa"/>
            <w:gridSpan w:val="3"/>
            <w:vAlign w:val="center"/>
          </w:tcPr>
          <w:p w14:paraId="0F2EC9C5" w14:textId="77777777" w:rsidR="00BB53E8" w:rsidRPr="003771DB" w:rsidRDefault="00BB53E8" w:rsidP="00886A85">
            <w:pPr>
              <w:keepNext/>
              <w:keepLines/>
              <w:jc w:val="left"/>
              <w:rPr>
                <w:rFonts w:ascii="Arial Narrow" w:eastAsiaTheme="majorEastAsia" w:hAnsi="Arial Narrow" w:cs="Times New Roman"/>
                <w:b/>
                <w:sz w:val="20"/>
              </w:rPr>
            </w:pPr>
            <w:r w:rsidRPr="003771DB">
              <w:rPr>
                <w:rFonts w:ascii="Arial Narrow" w:eastAsiaTheme="majorEastAsia" w:hAnsi="Arial Narrow" w:cs="Times New Roman"/>
                <w:b/>
                <w:sz w:val="20"/>
              </w:rPr>
              <w:t>Eligible population</w:t>
            </w:r>
          </w:p>
        </w:tc>
        <w:tc>
          <w:tcPr>
            <w:tcW w:w="2217" w:type="dxa"/>
          </w:tcPr>
          <w:p w14:paraId="10FF3727" w14:textId="77777777" w:rsidR="00BB53E8" w:rsidRPr="003771DB" w:rsidRDefault="00BB53E8" w:rsidP="00886A85">
            <w:pPr>
              <w:keepNext/>
              <w:keepLines/>
              <w:jc w:val="left"/>
              <w:rPr>
                <w:rFonts w:ascii="Arial Narrow" w:eastAsiaTheme="majorEastAsia" w:hAnsi="Arial Narrow" w:cs="Times New Roman"/>
                <w:b/>
                <w:sz w:val="20"/>
              </w:rPr>
            </w:pPr>
          </w:p>
        </w:tc>
      </w:tr>
      <w:tr w:rsidR="00BB53E8" w:rsidRPr="003771DB" w14:paraId="51E38475" w14:textId="77777777" w:rsidTr="00A36EB1">
        <w:tc>
          <w:tcPr>
            <w:tcW w:w="1296" w:type="dxa"/>
          </w:tcPr>
          <w:p w14:paraId="7EF15491" w14:textId="77777777" w:rsidR="00BB53E8" w:rsidRPr="003771DB" w:rsidRDefault="00BB53E8" w:rsidP="00886A85">
            <w:pPr>
              <w:keepNext/>
              <w:keepLines/>
              <w:jc w:val="left"/>
              <w:rPr>
                <w:rFonts w:ascii="Arial Narrow" w:eastAsiaTheme="majorEastAsia" w:hAnsi="Arial Narrow" w:cstheme="majorBidi"/>
                <w:bCs/>
                <w:sz w:val="20"/>
              </w:rPr>
            </w:pPr>
            <w:r w:rsidRPr="003771DB">
              <w:rPr>
                <w:rFonts w:ascii="Arial Narrow" w:eastAsiaTheme="majorEastAsia" w:hAnsi="Arial Narrow" w:cstheme="majorBidi"/>
                <w:bCs/>
                <w:sz w:val="20"/>
              </w:rPr>
              <w:t>Australian adult population with BMI ≥40 kg/m</w:t>
            </w:r>
            <w:r w:rsidRPr="003771DB">
              <w:rPr>
                <w:rFonts w:ascii="Arial Narrow" w:eastAsiaTheme="majorEastAsia" w:hAnsi="Arial Narrow" w:cstheme="majorBidi"/>
                <w:bCs/>
                <w:sz w:val="20"/>
                <w:vertAlign w:val="superscript"/>
              </w:rPr>
              <w:t>2</w:t>
            </w:r>
          </w:p>
        </w:tc>
        <w:tc>
          <w:tcPr>
            <w:tcW w:w="2222" w:type="dxa"/>
          </w:tcPr>
          <w:p w14:paraId="0B46372A" w14:textId="77777777" w:rsidR="00BB53E8" w:rsidRPr="003771DB" w:rsidRDefault="00BB53E8" w:rsidP="00886A85">
            <w:pPr>
              <w:keepNext/>
              <w:keepLines/>
              <w:jc w:val="left"/>
              <w:rPr>
                <w:rFonts w:ascii="Arial Narrow" w:eastAsiaTheme="majorEastAsia" w:hAnsi="Arial Narrow" w:cstheme="majorBidi"/>
                <w:bCs/>
                <w:sz w:val="20"/>
              </w:rPr>
            </w:pPr>
            <w:r w:rsidRPr="003771DB">
              <w:rPr>
                <w:rFonts w:ascii="Arial Narrow" w:eastAsiaTheme="majorEastAsia" w:hAnsi="Arial Narrow" w:cstheme="majorBidi"/>
                <w:bCs/>
                <w:sz w:val="20"/>
              </w:rPr>
              <w:t xml:space="preserve">From 832,310 in Year 1 to 892,213 in Year 6. Based on the Australian National </w:t>
            </w:r>
            <w:r w:rsidRPr="003771DB">
              <w:rPr>
                <w:rFonts w:ascii="Arial Narrow" w:eastAsiaTheme="majorEastAsia" w:hAnsi="Arial Narrow" w:cstheme="majorBidi"/>
                <w:bCs/>
                <w:sz w:val="20"/>
              </w:rPr>
              <w:lastRenderedPageBreak/>
              <w:t>Health Survey 2017-2018 with estimates based on Australian adult population projections.</w:t>
            </w:r>
          </w:p>
        </w:tc>
        <w:tc>
          <w:tcPr>
            <w:tcW w:w="3281" w:type="dxa"/>
          </w:tcPr>
          <w:p w14:paraId="1FBEFCBC" w14:textId="77777777" w:rsidR="00BB53E8" w:rsidRPr="003771DB" w:rsidRDefault="00BB53E8" w:rsidP="00886A85">
            <w:pPr>
              <w:keepNext/>
              <w:keepLines/>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lastRenderedPageBreak/>
              <w:t xml:space="preserve">DUSC previously noted that growth in the Australian obese population is increasing beyond population growth, based on </w:t>
            </w:r>
            <w:r w:rsidRPr="003771DB">
              <w:rPr>
                <w:rFonts w:ascii="Arial Narrow" w:eastAsiaTheme="majorEastAsia" w:hAnsi="Arial Narrow" w:cstheme="majorBidi"/>
                <w:bCs/>
                <w:iCs/>
                <w:sz w:val="20"/>
              </w:rPr>
              <w:lastRenderedPageBreak/>
              <w:t>National Health Survey data indicating the proportion of Australian adults categorised as obese increased from 27.9% in 2014-15 to 31.3% in 2017-18.</w:t>
            </w:r>
          </w:p>
          <w:p w14:paraId="7CF26DCB" w14:textId="77777777" w:rsidR="00BB53E8" w:rsidRPr="003771DB" w:rsidRDefault="00BB53E8" w:rsidP="00886A85">
            <w:pPr>
              <w:keepNext/>
              <w:keepLines/>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population estimates do not account for lower BMI thresholds in Asian or Aboriginal or Torres Strait Islander populations.</w:t>
            </w:r>
          </w:p>
        </w:tc>
        <w:tc>
          <w:tcPr>
            <w:tcW w:w="2217" w:type="dxa"/>
          </w:tcPr>
          <w:p w14:paraId="7B6AF91B" w14:textId="77777777" w:rsidR="00BB53E8" w:rsidRPr="003771DB" w:rsidRDefault="00BB53E8" w:rsidP="00886A85">
            <w:pPr>
              <w:keepNext/>
              <w:keepLines/>
              <w:spacing w:after="60"/>
              <w:jc w:val="left"/>
              <w:rPr>
                <w:rFonts w:ascii="Arial Narrow" w:eastAsiaTheme="majorEastAsia" w:hAnsi="Arial Narrow" w:cstheme="majorBidi"/>
                <w:bCs/>
                <w:sz w:val="20"/>
              </w:rPr>
            </w:pPr>
            <w:r w:rsidRPr="00F7478B">
              <w:rPr>
                <w:rFonts w:ascii="Arial Narrow" w:eastAsiaTheme="majorEastAsia" w:hAnsi="Arial Narrow" w:cstheme="majorBidi"/>
                <w:bCs/>
                <w:sz w:val="20"/>
              </w:rPr>
              <w:lastRenderedPageBreak/>
              <w:t>DUSC considered the assumption of adults with a BMI ≥40 kg/m</w:t>
            </w:r>
            <w:r w:rsidRPr="00F7478B">
              <w:rPr>
                <w:rFonts w:ascii="Arial Narrow" w:eastAsiaTheme="majorEastAsia" w:hAnsi="Arial Narrow" w:cstheme="majorBidi"/>
                <w:bCs/>
                <w:sz w:val="20"/>
                <w:vertAlign w:val="superscript"/>
              </w:rPr>
              <w:t xml:space="preserve">2 </w:t>
            </w:r>
            <w:r w:rsidRPr="00F7478B">
              <w:rPr>
                <w:rFonts w:ascii="Arial Narrow" w:eastAsiaTheme="majorEastAsia" w:hAnsi="Arial Narrow" w:cstheme="majorBidi"/>
                <w:bCs/>
                <w:sz w:val="20"/>
              </w:rPr>
              <w:t xml:space="preserve">based only on </w:t>
            </w:r>
            <w:r w:rsidRPr="00F7478B">
              <w:rPr>
                <w:rFonts w:ascii="Arial Narrow" w:eastAsiaTheme="majorEastAsia" w:hAnsi="Arial Narrow" w:cstheme="majorBidi"/>
                <w:bCs/>
                <w:sz w:val="20"/>
              </w:rPr>
              <w:lastRenderedPageBreak/>
              <w:t xml:space="preserve">population growth to be conservative. DUSC noted the increasing prevalence of obesity and cardiovascular disease were not accounted for in this parameter. </w:t>
            </w:r>
          </w:p>
        </w:tc>
      </w:tr>
      <w:tr w:rsidR="00BB53E8" w:rsidRPr="003771DB" w14:paraId="410ABECF" w14:textId="77777777" w:rsidTr="00A36EB1">
        <w:trPr>
          <w:trHeight w:val="6575"/>
        </w:trPr>
        <w:tc>
          <w:tcPr>
            <w:tcW w:w="1296" w:type="dxa"/>
          </w:tcPr>
          <w:p w14:paraId="205D5BE4"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lastRenderedPageBreak/>
              <w:t>Obese patients</w:t>
            </w:r>
            <w:r w:rsidRPr="003771DB">
              <w:rPr>
                <w:rFonts w:ascii="Arial Narrow" w:eastAsiaTheme="majorEastAsia" w:hAnsi="Arial Narrow" w:cstheme="majorBidi"/>
                <w:bCs/>
                <w:sz w:val="20"/>
                <w:vertAlign w:val="superscript"/>
              </w:rPr>
              <w:t xml:space="preserve"> </w:t>
            </w:r>
            <w:r w:rsidRPr="003771DB">
              <w:rPr>
                <w:rFonts w:ascii="Arial Narrow" w:eastAsiaTheme="majorEastAsia" w:hAnsi="Arial Narrow" w:cstheme="majorBidi"/>
                <w:bCs/>
                <w:sz w:val="20"/>
              </w:rPr>
              <w:t>with multiple comorbidities without diabetes</w:t>
            </w:r>
          </w:p>
        </w:tc>
        <w:tc>
          <w:tcPr>
            <w:tcW w:w="2222" w:type="dxa"/>
          </w:tcPr>
          <w:p w14:paraId="389AF612" w14:textId="1280276C"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30.3% based on the Australian National Health Survey 2017-2018</w:t>
            </w:r>
            <w:r w:rsidR="003771DB">
              <w:rPr>
                <w:rFonts w:ascii="Arial Narrow" w:eastAsiaTheme="majorEastAsia" w:hAnsi="Arial Narrow" w:cstheme="majorBidi"/>
                <w:bCs/>
                <w:sz w:val="20"/>
              </w:rPr>
              <w:t xml:space="preserve">. </w:t>
            </w:r>
            <w:r w:rsidRPr="003771DB">
              <w:rPr>
                <w:rFonts w:ascii="Arial Narrow" w:eastAsiaTheme="majorEastAsia" w:hAnsi="Arial Narrow" w:cstheme="majorBidi"/>
                <w:bCs/>
                <w:sz w:val="20"/>
              </w:rPr>
              <w:t>Based on 44.2% with BMI ≥40 kg/m</w:t>
            </w:r>
            <w:r w:rsidRPr="003771DB">
              <w:rPr>
                <w:rFonts w:ascii="Arial Narrow" w:eastAsiaTheme="majorEastAsia" w:hAnsi="Arial Narrow" w:cstheme="majorBidi"/>
                <w:bCs/>
                <w:sz w:val="20"/>
                <w:vertAlign w:val="superscript"/>
              </w:rPr>
              <w:t>2</w:t>
            </w:r>
            <w:r w:rsidRPr="003771DB">
              <w:rPr>
                <w:rFonts w:ascii="Arial Narrow" w:eastAsiaTheme="majorEastAsia" w:hAnsi="Arial Narrow" w:cstheme="majorBidi"/>
                <w:bCs/>
                <w:sz w:val="20"/>
              </w:rPr>
              <w:t xml:space="preserve"> who have at least two long term health conditions (including arthritis; asthma; back problems; cancer; chronic obstructive pulmonary disease; diabetes; hay fever and allergic rhinitis; heart, stroke and vascular disease; hypertension; kidney disease; mental and behavioural conditions; and osteoporosis). The resubmission then subtracted the 13.9% of patients with BMI ≥40 kg/m</w:t>
            </w:r>
            <w:r w:rsidRPr="003771DB">
              <w:rPr>
                <w:rFonts w:ascii="Arial Narrow" w:eastAsiaTheme="majorEastAsia" w:hAnsi="Arial Narrow" w:cstheme="majorBidi"/>
                <w:bCs/>
                <w:sz w:val="20"/>
                <w:vertAlign w:val="superscript"/>
              </w:rPr>
              <w:t>2</w:t>
            </w:r>
            <w:r w:rsidRPr="003771DB">
              <w:rPr>
                <w:rFonts w:ascii="Arial Narrow" w:eastAsiaTheme="majorEastAsia" w:hAnsi="Arial Narrow" w:cstheme="majorBidi"/>
                <w:bCs/>
                <w:sz w:val="20"/>
              </w:rPr>
              <w:t xml:space="preserve"> who have diabetes.</w:t>
            </w:r>
          </w:p>
        </w:tc>
        <w:tc>
          <w:tcPr>
            <w:tcW w:w="3281" w:type="dxa"/>
          </w:tcPr>
          <w:p w14:paraId="2BDEEBE1" w14:textId="77777777" w:rsidR="00BB53E8" w:rsidRPr="003771DB" w:rsidRDefault="00BB53E8" w:rsidP="00D50C48">
            <w:pPr>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long-term health conditions in the ABS data do not match the weight-related comorbidities in the requested restriction (dyslipidaemia, hypertension, coronary artery disease, cerebrovascular disease, obstructive sleep apnoea, impaired glucose tolerance, impaired fasting glucose, elevated HbA1c, menstrual disorder, polycystic ovarian syndrome, involuntary impaired fertility, non-alcoholic fatty liver disease, non-alcoholic steatohepatitis, kidney disease, symptomatic osteoarthritis of the hip or knee, hyperuricaemia or gout, thyroid disease, asthma or chronic obstructive pulmonary disease).</w:t>
            </w:r>
          </w:p>
          <w:p w14:paraId="220BDA53" w14:textId="77777777" w:rsidR="00BB53E8" w:rsidRPr="003771DB" w:rsidRDefault="00BB53E8" w:rsidP="00D50C48">
            <w:pPr>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In particular, the ABS estimates do not include pre-diabetes and dyslipidaemia which are likely to be highly prevalent conditions in this population and is also confounded by the inclusion of other health issues such as mental and behavioural conditions which are not components of the requested restriction.</w:t>
            </w:r>
          </w:p>
          <w:p w14:paraId="3BC375D9" w14:textId="77777777" w:rsidR="00BB53E8"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Subtracting the diabetes estimate from the obese population with multiple comorbidities estimate inappropriately assumes that all patients with diabetes have multiple comorbidities.</w:t>
            </w:r>
          </w:p>
        </w:tc>
        <w:tc>
          <w:tcPr>
            <w:tcW w:w="2217" w:type="dxa"/>
          </w:tcPr>
          <w:p w14:paraId="548CDB8D" w14:textId="7B6507BC" w:rsidR="00BB53E8" w:rsidRPr="00F7478B" w:rsidRDefault="00BB53E8" w:rsidP="00D50C48">
            <w:pPr>
              <w:spacing w:after="60"/>
              <w:jc w:val="left"/>
              <w:rPr>
                <w:rFonts w:ascii="Arial Narrow" w:eastAsiaTheme="majorEastAsia" w:hAnsi="Arial Narrow" w:cstheme="majorBidi"/>
                <w:bCs/>
                <w:sz w:val="20"/>
              </w:rPr>
            </w:pPr>
            <w:r w:rsidRPr="00F7478B">
              <w:rPr>
                <w:rFonts w:ascii="Arial Narrow" w:eastAsiaTheme="majorEastAsia" w:hAnsi="Arial Narrow" w:cstheme="majorBidi"/>
                <w:bCs/>
                <w:sz w:val="20"/>
              </w:rPr>
              <w:t>DUSC considered this assumption to be highly uncertain. DUSC considered this parameter could be underestimated as patients with pre-diabetes were excluded from the ABS estimates. DUSC noted mental health was not listed as a weight related comorbidity in the proposed PBS restriction</w:t>
            </w:r>
            <w:r w:rsidR="003771DB">
              <w:rPr>
                <w:rFonts w:ascii="Arial Narrow" w:eastAsiaTheme="majorEastAsia" w:hAnsi="Arial Narrow" w:cstheme="majorBidi"/>
                <w:bCs/>
                <w:sz w:val="20"/>
              </w:rPr>
              <w:t xml:space="preserve">. </w:t>
            </w:r>
            <w:r w:rsidRPr="00F7478B">
              <w:rPr>
                <w:rFonts w:ascii="Arial Narrow" w:eastAsiaTheme="majorEastAsia" w:hAnsi="Arial Narrow" w:cstheme="majorBidi"/>
                <w:bCs/>
                <w:sz w:val="20"/>
              </w:rPr>
              <w:t xml:space="preserve">DUSC </w:t>
            </w:r>
            <w:r w:rsidR="004E5B48" w:rsidRPr="00F7478B">
              <w:rPr>
                <w:rFonts w:ascii="Arial Narrow" w:eastAsiaTheme="majorEastAsia" w:hAnsi="Arial Narrow" w:cstheme="majorBidi"/>
                <w:bCs/>
                <w:sz w:val="20"/>
              </w:rPr>
              <w:t xml:space="preserve">considered </w:t>
            </w:r>
            <w:r w:rsidRPr="00F7478B">
              <w:rPr>
                <w:rFonts w:ascii="Arial Narrow" w:eastAsiaTheme="majorEastAsia" w:hAnsi="Arial Narrow" w:cstheme="majorBidi"/>
                <w:bCs/>
                <w:sz w:val="20"/>
              </w:rPr>
              <w:t xml:space="preserve">that comorbidities in the restriction including menstrual disorder, involuntary impaired infertility, asthma, </w:t>
            </w:r>
            <w:r w:rsidRPr="003771DB">
              <w:rPr>
                <w:rFonts w:ascii="Arial Narrow" w:eastAsiaTheme="majorEastAsia" w:hAnsi="Arial Narrow" w:cstheme="majorBidi"/>
                <w:sz w:val="20"/>
              </w:rPr>
              <w:t>chronic obstructive pulmonary disease</w:t>
            </w:r>
            <w:r w:rsidRPr="00F7478B">
              <w:rPr>
                <w:rFonts w:ascii="Arial Narrow" w:eastAsiaTheme="majorEastAsia" w:hAnsi="Arial Narrow" w:cstheme="majorBidi"/>
                <w:bCs/>
                <w:sz w:val="20"/>
              </w:rPr>
              <w:t>, hyperuricaemia or gout may not be appropriate and may add significant uncertainty to the estimates</w:t>
            </w:r>
            <w:r w:rsidR="003771DB">
              <w:rPr>
                <w:rFonts w:ascii="Arial Narrow" w:eastAsiaTheme="majorEastAsia" w:hAnsi="Arial Narrow" w:cstheme="majorBidi"/>
                <w:bCs/>
                <w:sz w:val="20"/>
              </w:rPr>
              <w:t xml:space="preserve">. </w:t>
            </w:r>
            <w:r w:rsidRPr="00F7478B">
              <w:rPr>
                <w:rFonts w:ascii="Arial Narrow" w:eastAsiaTheme="majorEastAsia" w:hAnsi="Arial Narrow" w:cstheme="majorBidi"/>
                <w:bCs/>
                <w:sz w:val="20"/>
              </w:rPr>
              <w:t xml:space="preserve">DUSC </w:t>
            </w:r>
            <w:r w:rsidR="004E5B48" w:rsidRPr="00F7478B">
              <w:rPr>
                <w:rFonts w:ascii="Arial Narrow" w:eastAsiaTheme="majorEastAsia" w:hAnsi="Arial Narrow" w:cstheme="majorBidi"/>
                <w:bCs/>
                <w:sz w:val="20"/>
              </w:rPr>
              <w:t>considered</w:t>
            </w:r>
            <w:r w:rsidRPr="00F7478B">
              <w:rPr>
                <w:rFonts w:ascii="Arial Narrow" w:eastAsiaTheme="majorEastAsia" w:hAnsi="Arial Narrow" w:cstheme="majorBidi"/>
                <w:bCs/>
                <w:sz w:val="20"/>
              </w:rPr>
              <w:t xml:space="preserve"> that fewer comorbidities which were better targeted to the population and better defined would reduce the uncertainty.</w:t>
            </w:r>
          </w:p>
          <w:p w14:paraId="3ACF8245" w14:textId="77777777" w:rsidR="00BB53E8" w:rsidRPr="00F7478B" w:rsidRDefault="00BB53E8" w:rsidP="00D50C48">
            <w:pPr>
              <w:spacing w:after="60"/>
              <w:jc w:val="left"/>
              <w:rPr>
                <w:rFonts w:ascii="Arial Narrow" w:eastAsiaTheme="majorEastAsia" w:hAnsi="Arial Narrow" w:cstheme="majorBidi"/>
                <w:bCs/>
                <w:sz w:val="20"/>
              </w:rPr>
            </w:pPr>
          </w:p>
          <w:p w14:paraId="45C566EF" w14:textId="77777777" w:rsidR="00BB53E8" w:rsidRPr="00F7478B" w:rsidRDefault="00BB53E8" w:rsidP="00D50C48">
            <w:pPr>
              <w:jc w:val="left"/>
              <w:rPr>
                <w:rFonts w:ascii="Arial Narrow" w:eastAsiaTheme="majorEastAsia" w:hAnsi="Arial Narrow" w:cstheme="majorBidi"/>
                <w:bCs/>
                <w:sz w:val="20"/>
              </w:rPr>
            </w:pPr>
            <w:r w:rsidRPr="00F7478B">
              <w:rPr>
                <w:rFonts w:ascii="Arial Narrow" w:eastAsiaTheme="majorEastAsia" w:hAnsi="Arial Narrow" w:cstheme="majorBidi"/>
                <w:bCs/>
                <w:sz w:val="20"/>
              </w:rPr>
              <w:t xml:space="preserve">DUSC noted the financial estimates were sensitive to this assumption. </w:t>
            </w:r>
          </w:p>
        </w:tc>
      </w:tr>
      <w:tr w:rsidR="00BB53E8" w:rsidRPr="003771DB" w14:paraId="18D32D0C" w14:textId="77777777" w:rsidTr="00A36EB1">
        <w:tc>
          <w:tcPr>
            <w:tcW w:w="1296" w:type="dxa"/>
          </w:tcPr>
          <w:p w14:paraId="5446D8D3"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Obese, nondiabetic patients with multiple comorbidities including OSA, KOA or PD</w:t>
            </w:r>
          </w:p>
        </w:tc>
        <w:tc>
          <w:tcPr>
            <w:tcW w:w="2222" w:type="dxa"/>
          </w:tcPr>
          <w:p w14:paraId="3CF8F763"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84.5% based on the STEP-1 trial. Based on the proportion of patients with BMI ≥40 kg/m</w:t>
            </w:r>
            <w:r w:rsidRPr="003771DB">
              <w:rPr>
                <w:rFonts w:ascii="Arial Narrow" w:eastAsiaTheme="majorEastAsia" w:hAnsi="Arial Narrow" w:cstheme="majorBidi"/>
                <w:bCs/>
                <w:sz w:val="20"/>
                <w:vertAlign w:val="superscript"/>
              </w:rPr>
              <w:t>2</w:t>
            </w:r>
            <w:r w:rsidRPr="003771DB">
              <w:rPr>
                <w:rFonts w:ascii="Arial Narrow" w:eastAsiaTheme="majorEastAsia" w:hAnsi="Arial Narrow" w:cstheme="majorBidi"/>
                <w:bCs/>
                <w:sz w:val="20"/>
              </w:rPr>
              <w:t xml:space="preserve"> and ≥2 comorbidities who have any of the three specified conditions (obstructive sleep apnoea, knee osteoarthritis, pre-diabetes).</w:t>
            </w:r>
          </w:p>
        </w:tc>
        <w:tc>
          <w:tcPr>
            <w:tcW w:w="3281" w:type="dxa"/>
          </w:tcPr>
          <w:p w14:paraId="3637578C" w14:textId="77777777" w:rsidR="00BB53E8"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applicability of this estimate to the Australian population was unclear but there are unlikely to be any other relevant data sources to inform this estimate given the highly defined population proposed in the resubmission.</w:t>
            </w:r>
          </w:p>
        </w:tc>
        <w:tc>
          <w:tcPr>
            <w:tcW w:w="2217" w:type="dxa"/>
          </w:tcPr>
          <w:p w14:paraId="042673C0" w14:textId="77777777" w:rsidR="00BB53E8" w:rsidRPr="00F7478B" w:rsidRDefault="00BB53E8" w:rsidP="00D50C48">
            <w:pPr>
              <w:jc w:val="left"/>
              <w:rPr>
                <w:rFonts w:ascii="Arial Narrow" w:eastAsiaTheme="majorEastAsia" w:hAnsi="Arial Narrow" w:cstheme="majorBidi"/>
                <w:bCs/>
                <w:sz w:val="20"/>
              </w:rPr>
            </w:pPr>
            <w:r w:rsidRPr="00F7478B">
              <w:rPr>
                <w:rFonts w:ascii="Arial Narrow" w:eastAsiaTheme="majorEastAsia" w:hAnsi="Arial Narrow" w:cstheme="majorBidi"/>
                <w:bCs/>
                <w:sz w:val="20"/>
              </w:rPr>
              <w:t>DUSC considered this assumption to be reasonable given the lack of alternative data sources; but subject to the above-noted poorly defined co-morbidity list.</w:t>
            </w:r>
          </w:p>
          <w:p w14:paraId="10E0BD84" w14:textId="6DFF4AC0" w:rsidR="00BB53E8" w:rsidRPr="003771DB" w:rsidRDefault="00BB53E8" w:rsidP="00D50C48">
            <w:pPr>
              <w:jc w:val="left"/>
              <w:rPr>
                <w:rFonts w:ascii="Arial Narrow" w:eastAsiaTheme="majorEastAsia" w:hAnsi="Arial Narrow" w:cstheme="majorBidi"/>
                <w:bCs/>
                <w:sz w:val="20"/>
              </w:rPr>
            </w:pPr>
            <w:r w:rsidRPr="00F7478B">
              <w:rPr>
                <w:rFonts w:ascii="Arial Narrow" w:eastAsiaTheme="majorEastAsia" w:hAnsi="Arial Narrow" w:cstheme="majorBidi"/>
                <w:bCs/>
                <w:sz w:val="20"/>
              </w:rPr>
              <w:br/>
              <w:t xml:space="preserve">DUSC noted the financial estimates were sensitive to this assumption. </w:t>
            </w:r>
          </w:p>
        </w:tc>
      </w:tr>
      <w:tr w:rsidR="00BB53E8" w:rsidRPr="003771DB" w14:paraId="1E49853C" w14:textId="77777777" w:rsidTr="00A36EB1">
        <w:tc>
          <w:tcPr>
            <w:tcW w:w="1296" w:type="dxa"/>
          </w:tcPr>
          <w:p w14:paraId="7873F2C2"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Initiation rate</w:t>
            </w:r>
          </w:p>
        </w:tc>
        <w:tc>
          <w:tcPr>
            <w:tcW w:w="2222" w:type="dxa"/>
          </w:tcPr>
          <w:p w14:paraId="1334EEAC"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 xml:space="preserve">From 80% in Year 1 to 50% in Years 4-6. Initial uptake rates were assumed based on market experience in the </w:t>
            </w:r>
            <w:r w:rsidRPr="003771DB">
              <w:rPr>
                <w:rFonts w:ascii="Arial Narrow" w:eastAsiaTheme="majorEastAsia" w:hAnsi="Arial Narrow" w:cstheme="majorBidi"/>
                <w:bCs/>
                <w:sz w:val="20"/>
              </w:rPr>
              <w:lastRenderedPageBreak/>
              <w:t>US and factoring in the severity of the target population, limited subsidised weight management care and substantial (social) media attention. The resubmission assumed a declining initiation rate over time.</w:t>
            </w:r>
          </w:p>
        </w:tc>
        <w:tc>
          <w:tcPr>
            <w:tcW w:w="3281" w:type="dxa"/>
          </w:tcPr>
          <w:p w14:paraId="70B4E910" w14:textId="77777777" w:rsidR="00BB53E8"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lastRenderedPageBreak/>
              <w:t xml:space="preserve">The estimated initiation rate is inherently uncertain although it appears reasonable to assume a very high initial uptake. There are </w:t>
            </w:r>
            <w:r w:rsidRPr="003771DB">
              <w:rPr>
                <w:rFonts w:ascii="Arial Narrow" w:eastAsiaTheme="majorEastAsia" w:hAnsi="Arial Narrow" w:cstheme="majorBidi"/>
                <w:bCs/>
                <w:iCs/>
                <w:sz w:val="20"/>
              </w:rPr>
              <w:lastRenderedPageBreak/>
              <w:t>currently no data to suggest a waning in demand over time.</w:t>
            </w:r>
          </w:p>
        </w:tc>
        <w:tc>
          <w:tcPr>
            <w:tcW w:w="2217" w:type="dxa"/>
          </w:tcPr>
          <w:p w14:paraId="675E0DEF" w14:textId="6DE6A31E" w:rsidR="00BB53E8" w:rsidRPr="00F7478B" w:rsidRDefault="00BB53E8" w:rsidP="00D50C48">
            <w:pPr>
              <w:jc w:val="left"/>
              <w:rPr>
                <w:rFonts w:ascii="Arial Narrow" w:eastAsiaTheme="majorEastAsia" w:hAnsi="Arial Narrow" w:cstheme="majorBidi"/>
                <w:bCs/>
                <w:sz w:val="20"/>
              </w:rPr>
            </w:pPr>
            <w:r w:rsidRPr="00F7478B">
              <w:rPr>
                <w:rFonts w:ascii="Arial Narrow" w:eastAsiaTheme="majorEastAsia" w:hAnsi="Arial Narrow" w:cstheme="majorBidi"/>
                <w:bCs/>
                <w:sz w:val="20"/>
              </w:rPr>
              <w:lastRenderedPageBreak/>
              <w:t xml:space="preserve">DUSC noted no data was provided to support the submission’s assumptions regarding treatment uptake </w:t>
            </w:r>
            <w:r w:rsidRPr="00F7478B">
              <w:rPr>
                <w:rFonts w:ascii="Arial Narrow" w:eastAsiaTheme="majorEastAsia" w:hAnsi="Arial Narrow" w:cstheme="majorBidi"/>
                <w:bCs/>
                <w:sz w:val="20"/>
              </w:rPr>
              <w:lastRenderedPageBreak/>
              <w:t>rates. DUSC agreed with the commentary that there would likely be high initial uptake of semaglutide due to the high unmet demand. DUSC considered the assumption of the waning demand over time to be uncertain</w:t>
            </w:r>
            <w:r w:rsidR="003771DB">
              <w:rPr>
                <w:rFonts w:ascii="Arial Narrow" w:eastAsiaTheme="majorEastAsia" w:hAnsi="Arial Narrow" w:cstheme="majorBidi"/>
                <w:bCs/>
                <w:sz w:val="20"/>
              </w:rPr>
              <w:t xml:space="preserve">. </w:t>
            </w:r>
            <w:r w:rsidRPr="00F7478B">
              <w:rPr>
                <w:rFonts w:ascii="Arial Narrow" w:eastAsiaTheme="majorEastAsia" w:hAnsi="Arial Narrow" w:cstheme="majorBidi"/>
                <w:bCs/>
                <w:sz w:val="20"/>
              </w:rPr>
              <w:t xml:space="preserve">DUSC </w:t>
            </w:r>
            <w:r w:rsidR="00973AE7" w:rsidRPr="00F7478B">
              <w:rPr>
                <w:rFonts w:ascii="Arial Narrow" w:eastAsiaTheme="majorEastAsia" w:hAnsi="Arial Narrow" w:cstheme="majorBidi"/>
                <w:bCs/>
                <w:sz w:val="20"/>
              </w:rPr>
              <w:t xml:space="preserve">considered </w:t>
            </w:r>
            <w:r w:rsidRPr="00F7478B">
              <w:rPr>
                <w:rFonts w:ascii="Arial Narrow" w:eastAsiaTheme="majorEastAsia" w:hAnsi="Arial Narrow" w:cstheme="majorBidi"/>
                <w:bCs/>
                <w:sz w:val="20"/>
              </w:rPr>
              <w:t>that a grandfather clause would add significant uncertainty to the initiation rates.</w:t>
            </w:r>
          </w:p>
        </w:tc>
      </w:tr>
      <w:tr w:rsidR="00BB53E8" w:rsidRPr="003771DB" w14:paraId="66FF2779" w14:textId="77777777" w:rsidTr="00A36EB1">
        <w:tc>
          <w:tcPr>
            <w:tcW w:w="1296" w:type="dxa"/>
          </w:tcPr>
          <w:p w14:paraId="0589087F"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lastRenderedPageBreak/>
              <w:t>Response rate at Week 68</w:t>
            </w:r>
          </w:p>
        </w:tc>
        <w:tc>
          <w:tcPr>
            <w:tcW w:w="2222" w:type="dxa"/>
          </w:tcPr>
          <w:p w14:paraId="75179E5D"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58% based on the STEP-1 trial. Based on the proportion of patients achieving ≥10% weight loss at Week 68 in the patient subgroup with BMI ≥40 kg/m</w:t>
            </w:r>
            <w:r w:rsidRPr="003771DB">
              <w:rPr>
                <w:rFonts w:ascii="Arial Narrow" w:eastAsiaTheme="majorEastAsia" w:hAnsi="Arial Narrow" w:cstheme="majorBidi"/>
                <w:bCs/>
                <w:sz w:val="20"/>
                <w:vertAlign w:val="superscript"/>
              </w:rPr>
              <w:t>2</w:t>
            </w:r>
            <w:r w:rsidRPr="003771DB">
              <w:rPr>
                <w:rFonts w:ascii="Arial Narrow" w:eastAsiaTheme="majorEastAsia" w:hAnsi="Arial Narrow" w:cstheme="majorBidi"/>
                <w:bCs/>
                <w:sz w:val="20"/>
              </w:rPr>
              <w:t xml:space="preserve"> and ≥2 weight-related comorbidities with obstructive sleep apnoea, knee osteoarthritis or pre-diabetes</w:t>
            </w:r>
          </w:p>
        </w:tc>
        <w:tc>
          <w:tcPr>
            <w:tcW w:w="3281" w:type="dxa"/>
          </w:tcPr>
          <w:p w14:paraId="262358C3" w14:textId="77777777" w:rsidR="00BB53E8"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real-world effectiveness of semaglutide in clinical practice compared to the reported efficacy in clinical trial settings is unclear given the potential for differences in circumstances of use (e.g. suboptimal compliance to semaglutide and/or adjunctive weight management).</w:t>
            </w:r>
          </w:p>
        </w:tc>
        <w:tc>
          <w:tcPr>
            <w:tcW w:w="2217" w:type="dxa"/>
          </w:tcPr>
          <w:p w14:paraId="3510F7CC" w14:textId="77777777" w:rsidR="00BB53E8" w:rsidRPr="00F7478B" w:rsidRDefault="00BB53E8" w:rsidP="00D50C48">
            <w:pPr>
              <w:jc w:val="left"/>
              <w:rPr>
                <w:rFonts w:ascii="Arial Narrow" w:eastAsiaTheme="majorEastAsia" w:hAnsi="Arial Narrow" w:cstheme="majorBidi"/>
                <w:bCs/>
                <w:sz w:val="20"/>
              </w:rPr>
            </w:pPr>
            <w:r w:rsidRPr="00F7478B">
              <w:rPr>
                <w:rFonts w:ascii="Arial Narrow" w:eastAsiaTheme="majorEastAsia" w:hAnsi="Arial Narrow" w:cstheme="majorBidi"/>
                <w:bCs/>
                <w:sz w:val="20"/>
              </w:rPr>
              <w:t xml:space="preserve">DUSC considered the effectiveness of semaglutide would likely be less in clinical practice compared to clinical trials. However, DUSC considered the threshold for which clinicians decide to cease treatment may be different in clinical practice. </w:t>
            </w:r>
          </w:p>
        </w:tc>
      </w:tr>
      <w:tr w:rsidR="00BB53E8" w:rsidRPr="003771DB" w14:paraId="1F6493D6" w14:textId="77777777" w:rsidTr="00A36EB1">
        <w:trPr>
          <w:trHeight w:val="3114"/>
        </w:trPr>
        <w:tc>
          <w:tcPr>
            <w:tcW w:w="1296" w:type="dxa"/>
          </w:tcPr>
          <w:p w14:paraId="659A290B"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Treatment persistence</w:t>
            </w:r>
          </w:p>
        </w:tc>
        <w:tc>
          <w:tcPr>
            <w:tcW w:w="2222" w:type="dxa"/>
          </w:tcPr>
          <w:p w14:paraId="66256DE6"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Assumed 100% in first 2 years with no justification, assumed 95% in subsequent years on the basis that it was reasonable to expect high levels of persistence in patients achieving a clinical response to treatment.</w:t>
            </w:r>
          </w:p>
        </w:tc>
        <w:tc>
          <w:tcPr>
            <w:tcW w:w="3281" w:type="dxa"/>
          </w:tcPr>
          <w:p w14:paraId="44F607C4" w14:textId="77777777" w:rsidR="00BB53E8"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first and second year persistence estimates were inconsistent with the economic model, which allowed patients to discontinue therapy during this period.</w:t>
            </w:r>
          </w:p>
          <w:p w14:paraId="2D94C3AB" w14:textId="77777777" w:rsidR="00BB53E8" w:rsidRPr="003771DB" w:rsidRDefault="00BB53E8" w:rsidP="00D50C48">
            <w:pPr>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treatment persistence assumptions were substantially higher than observed in the STEP-1 clinical trial (annual discontinuation rate of 15.2% in the semaglutide arm).</w:t>
            </w:r>
          </w:p>
          <w:p w14:paraId="3F234C51" w14:textId="42A412C1" w:rsidR="00A36EB1"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Evidence from observational studies of treatment persistence with semaglutide in type 2 diabetes (</w:t>
            </w:r>
            <w:proofErr w:type="spellStart"/>
            <w:r w:rsidRPr="003771DB">
              <w:rPr>
                <w:rFonts w:ascii="Arial Narrow" w:eastAsiaTheme="majorEastAsia" w:hAnsi="Arial Narrow" w:cstheme="majorBidi"/>
                <w:bCs/>
                <w:iCs/>
                <w:sz w:val="20"/>
              </w:rPr>
              <w:t>Uzoigwe</w:t>
            </w:r>
            <w:proofErr w:type="spellEnd"/>
            <w:r w:rsidRPr="003771DB">
              <w:rPr>
                <w:rFonts w:ascii="Arial Narrow" w:eastAsiaTheme="majorEastAsia" w:hAnsi="Arial Narrow" w:cstheme="majorBidi"/>
                <w:bCs/>
                <w:iCs/>
                <w:sz w:val="20"/>
              </w:rPr>
              <w:t xml:space="preserve"> 2021, </w:t>
            </w:r>
            <w:proofErr w:type="spellStart"/>
            <w:r w:rsidRPr="003771DB">
              <w:rPr>
                <w:rFonts w:ascii="Arial Narrow" w:eastAsiaTheme="majorEastAsia" w:hAnsi="Arial Narrow" w:cstheme="majorBidi"/>
                <w:bCs/>
                <w:iCs/>
                <w:sz w:val="20"/>
              </w:rPr>
              <w:t>Mody</w:t>
            </w:r>
            <w:proofErr w:type="spellEnd"/>
            <w:r w:rsidRPr="003771DB">
              <w:rPr>
                <w:rFonts w:ascii="Arial Narrow" w:eastAsiaTheme="majorEastAsia" w:hAnsi="Arial Narrow" w:cstheme="majorBidi"/>
                <w:bCs/>
                <w:iCs/>
                <w:sz w:val="20"/>
              </w:rPr>
              <w:t xml:space="preserve"> 2022) as well as other medications for the management of obesity (Ganguly 2018, Ahmad 2021) suggest substantially lower treatment persistence estimates in clinical practice.</w:t>
            </w:r>
          </w:p>
        </w:tc>
        <w:tc>
          <w:tcPr>
            <w:tcW w:w="2217" w:type="dxa"/>
          </w:tcPr>
          <w:p w14:paraId="4833870F" w14:textId="77777777" w:rsidR="00BB53E8" w:rsidRPr="00F7478B" w:rsidRDefault="00BB53E8" w:rsidP="00D50C48">
            <w:pPr>
              <w:jc w:val="left"/>
              <w:rPr>
                <w:rFonts w:ascii="Arial Narrow" w:eastAsiaTheme="majorEastAsia" w:hAnsi="Arial Narrow" w:cstheme="majorBidi"/>
                <w:bCs/>
                <w:sz w:val="20"/>
              </w:rPr>
            </w:pPr>
            <w:r w:rsidRPr="00F7478B">
              <w:rPr>
                <w:rFonts w:ascii="Arial Narrow" w:eastAsiaTheme="majorEastAsia" w:hAnsi="Arial Narrow" w:cstheme="majorBidi"/>
                <w:bCs/>
                <w:sz w:val="20"/>
              </w:rPr>
              <w:t xml:space="preserve">DUSC considered treatment persistence may be overestimated, however patients would be more likely to re-initiate treatment in clinical practice compared to in clinical trials. </w:t>
            </w:r>
          </w:p>
          <w:p w14:paraId="7BD116CC" w14:textId="440C9E6C" w:rsidR="00BB53E8" w:rsidRPr="00F7478B" w:rsidRDefault="00BB53E8" w:rsidP="00D50C48">
            <w:pPr>
              <w:jc w:val="left"/>
              <w:rPr>
                <w:rFonts w:ascii="Arial Narrow" w:eastAsiaTheme="majorEastAsia" w:hAnsi="Arial Narrow" w:cstheme="majorBidi"/>
                <w:bCs/>
                <w:sz w:val="20"/>
              </w:rPr>
            </w:pPr>
            <w:r w:rsidRPr="00F7478B">
              <w:rPr>
                <w:rFonts w:ascii="Arial Narrow" w:eastAsiaTheme="majorEastAsia" w:hAnsi="Arial Narrow" w:cstheme="majorBidi"/>
                <w:bCs/>
                <w:sz w:val="20"/>
              </w:rPr>
              <w:t xml:space="preserve">DUSC also </w:t>
            </w:r>
            <w:r w:rsidR="00973AE7" w:rsidRPr="00F7478B">
              <w:rPr>
                <w:rFonts w:ascii="Arial Narrow" w:eastAsiaTheme="majorEastAsia" w:hAnsi="Arial Narrow" w:cstheme="majorBidi"/>
                <w:bCs/>
                <w:sz w:val="20"/>
              </w:rPr>
              <w:t xml:space="preserve">commented </w:t>
            </w:r>
            <w:r w:rsidRPr="00F7478B">
              <w:rPr>
                <w:rFonts w:ascii="Arial Narrow" w:eastAsiaTheme="majorEastAsia" w:hAnsi="Arial Narrow" w:cstheme="majorBidi"/>
                <w:bCs/>
                <w:sz w:val="20"/>
              </w:rPr>
              <w:t xml:space="preserve">that the </w:t>
            </w:r>
            <w:r w:rsidR="007368F1" w:rsidRPr="00F7478B">
              <w:rPr>
                <w:rFonts w:ascii="Arial Narrow" w:eastAsiaTheme="majorEastAsia" w:hAnsi="Arial Narrow" w:cstheme="majorBidi"/>
                <w:bCs/>
                <w:sz w:val="20"/>
              </w:rPr>
              <w:t>2-year</w:t>
            </w:r>
            <w:r w:rsidRPr="00F7478B">
              <w:rPr>
                <w:rFonts w:ascii="Arial Narrow" w:eastAsiaTheme="majorEastAsia" w:hAnsi="Arial Narrow" w:cstheme="majorBidi"/>
                <w:bCs/>
                <w:sz w:val="20"/>
              </w:rPr>
              <w:t xml:space="preserve"> discontinuation rule would be likely to increase persistence and may lead to inappropriate prescribing and potential usage of semaglutide in patients who would not otherwise qualify for the therapy</w:t>
            </w:r>
            <w:r w:rsidR="003771DB">
              <w:rPr>
                <w:rFonts w:ascii="Arial Narrow" w:eastAsiaTheme="majorEastAsia" w:hAnsi="Arial Narrow" w:cstheme="majorBidi"/>
                <w:bCs/>
                <w:sz w:val="20"/>
              </w:rPr>
              <w:t xml:space="preserve">. </w:t>
            </w:r>
          </w:p>
        </w:tc>
      </w:tr>
      <w:tr w:rsidR="00BB53E8" w:rsidRPr="003771DB" w14:paraId="2D621AA0" w14:textId="77777777" w:rsidTr="00A36EB1">
        <w:tc>
          <w:tcPr>
            <w:tcW w:w="6799" w:type="dxa"/>
            <w:gridSpan w:val="3"/>
            <w:vAlign w:val="center"/>
          </w:tcPr>
          <w:p w14:paraId="708838CE" w14:textId="77777777" w:rsidR="00BB53E8" w:rsidRPr="003771DB" w:rsidRDefault="00BB53E8" w:rsidP="00D50C48">
            <w:pPr>
              <w:jc w:val="left"/>
              <w:rPr>
                <w:rFonts w:ascii="Arial Narrow" w:eastAsiaTheme="majorEastAsia" w:hAnsi="Arial Narrow" w:cstheme="majorBidi"/>
                <w:b/>
                <w:bCs/>
                <w:iCs/>
                <w:sz w:val="20"/>
              </w:rPr>
            </w:pPr>
            <w:r w:rsidRPr="003771DB">
              <w:rPr>
                <w:rFonts w:ascii="Arial Narrow" w:eastAsiaTheme="majorEastAsia" w:hAnsi="Arial Narrow" w:cstheme="majorBidi"/>
                <w:b/>
                <w:bCs/>
                <w:iCs/>
                <w:sz w:val="20"/>
              </w:rPr>
              <w:t>Treatment utilisation</w:t>
            </w:r>
          </w:p>
        </w:tc>
        <w:tc>
          <w:tcPr>
            <w:tcW w:w="2217" w:type="dxa"/>
          </w:tcPr>
          <w:p w14:paraId="34F81C4A" w14:textId="77777777" w:rsidR="00BB53E8" w:rsidRPr="003771DB" w:rsidRDefault="00BB53E8" w:rsidP="00D50C48">
            <w:pPr>
              <w:jc w:val="left"/>
              <w:rPr>
                <w:rFonts w:ascii="Arial Narrow" w:eastAsiaTheme="majorEastAsia" w:hAnsi="Arial Narrow" w:cstheme="majorBidi"/>
                <w:b/>
                <w:bCs/>
                <w:sz w:val="20"/>
              </w:rPr>
            </w:pPr>
          </w:p>
        </w:tc>
      </w:tr>
      <w:tr w:rsidR="00BB53E8" w:rsidRPr="003771DB" w14:paraId="339621FD" w14:textId="77777777" w:rsidTr="00A36EB1">
        <w:tc>
          <w:tcPr>
            <w:tcW w:w="1296" w:type="dxa"/>
          </w:tcPr>
          <w:p w14:paraId="27A43A80"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 xml:space="preserve">Treatment adherence </w:t>
            </w:r>
          </w:p>
        </w:tc>
        <w:tc>
          <w:tcPr>
            <w:tcW w:w="2222" w:type="dxa"/>
          </w:tcPr>
          <w:p w14:paraId="62651A30"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100%. Assumed</w:t>
            </w:r>
          </w:p>
        </w:tc>
        <w:tc>
          <w:tcPr>
            <w:tcW w:w="3281" w:type="dxa"/>
          </w:tcPr>
          <w:p w14:paraId="5BAA8D89" w14:textId="77777777" w:rsidR="00BB53E8" w:rsidRPr="003771DB" w:rsidRDefault="00BB53E8" w:rsidP="00D50C48">
            <w:pPr>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assumption that all patients would titrate to the highest dose was inconsistent with data from the STEP-1 trial which indicated that 16.5% of patients had not achieved the maximum dose at the end of the titration period.</w:t>
            </w:r>
          </w:p>
          <w:p w14:paraId="3904A267" w14:textId="77777777" w:rsidR="00BB53E8"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assumption that all patients would be fully adherent with therapy is unlikely to be representative of clinical practice.</w:t>
            </w:r>
          </w:p>
        </w:tc>
        <w:tc>
          <w:tcPr>
            <w:tcW w:w="2217" w:type="dxa"/>
          </w:tcPr>
          <w:p w14:paraId="01D716E6" w14:textId="77777777" w:rsidR="00BB53E8" w:rsidRPr="003771DB" w:rsidRDefault="00BB53E8" w:rsidP="00D50C48">
            <w:pPr>
              <w:spacing w:after="60"/>
              <w:jc w:val="left"/>
              <w:rPr>
                <w:rFonts w:ascii="Arial Narrow" w:eastAsiaTheme="majorEastAsia" w:hAnsi="Arial Narrow" w:cstheme="majorBidi"/>
                <w:bCs/>
                <w:sz w:val="20"/>
              </w:rPr>
            </w:pPr>
            <w:r w:rsidRPr="003771DB">
              <w:rPr>
                <w:rFonts w:ascii="Arial Narrow" w:eastAsiaTheme="majorEastAsia" w:hAnsi="Arial Narrow" w:cstheme="majorBidi"/>
                <w:bCs/>
                <w:sz w:val="20"/>
              </w:rPr>
              <w:t>DUSC commented that achieving target doses with medications requiring up titration of doses is almost always higher in clinical trials than clinical practice and noted the gastrointestinal events associated with semaglutide.</w:t>
            </w:r>
          </w:p>
        </w:tc>
      </w:tr>
      <w:tr w:rsidR="00BB53E8" w:rsidRPr="003771DB" w14:paraId="2FEC4E54" w14:textId="77777777" w:rsidTr="00A36EB1">
        <w:tc>
          <w:tcPr>
            <w:tcW w:w="1296" w:type="dxa"/>
          </w:tcPr>
          <w:p w14:paraId="21A2B5BD"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Distribution of continuing scripts</w:t>
            </w:r>
          </w:p>
        </w:tc>
        <w:tc>
          <w:tcPr>
            <w:tcW w:w="2222" w:type="dxa"/>
          </w:tcPr>
          <w:p w14:paraId="7A22E16F"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Distribution of continuing scripts was assumed. 1.7 mg: 5% 2.4 mg: 95%.</w:t>
            </w:r>
          </w:p>
        </w:tc>
        <w:tc>
          <w:tcPr>
            <w:tcW w:w="3281" w:type="dxa"/>
          </w:tcPr>
          <w:p w14:paraId="272F4DFF" w14:textId="77777777" w:rsidR="00BB53E8" w:rsidRPr="003771DB" w:rsidRDefault="00BB53E8" w:rsidP="00D50C48">
            <w:pPr>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This assumption was inconsistent with data from the STEP-1 trial that indicated that 10.4% were using less than the maximum dose at the end of the trial.</w:t>
            </w:r>
          </w:p>
        </w:tc>
        <w:tc>
          <w:tcPr>
            <w:tcW w:w="2217" w:type="dxa"/>
          </w:tcPr>
          <w:p w14:paraId="5CCFEE0D"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 xml:space="preserve">DUSC considered the assumption that 2.4 mg dose would account for 95% of </w:t>
            </w:r>
            <w:r w:rsidRPr="003771DB">
              <w:rPr>
                <w:rFonts w:ascii="Arial Narrow" w:eastAsiaTheme="majorEastAsia" w:hAnsi="Arial Narrow" w:cstheme="majorBidi"/>
                <w:bCs/>
                <w:sz w:val="20"/>
              </w:rPr>
              <w:lastRenderedPageBreak/>
              <w:t>prescriptions to be significantly overestimated.</w:t>
            </w:r>
          </w:p>
        </w:tc>
      </w:tr>
      <w:tr w:rsidR="00BB53E8" w:rsidRPr="003771DB" w14:paraId="7C48383E" w14:textId="77777777" w:rsidTr="00A36EB1">
        <w:tc>
          <w:tcPr>
            <w:tcW w:w="6799" w:type="dxa"/>
            <w:gridSpan w:val="3"/>
            <w:vAlign w:val="center"/>
          </w:tcPr>
          <w:p w14:paraId="1785ABAF" w14:textId="77777777" w:rsidR="00BB53E8" w:rsidRPr="003771DB" w:rsidRDefault="00BB53E8" w:rsidP="00D50C48">
            <w:pPr>
              <w:keepNext/>
              <w:jc w:val="left"/>
              <w:rPr>
                <w:rFonts w:ascii="Arial Narrow" w:eastAsiaTheme="majorEastAsia" w:hAnsi="Arial Narrow" w:cstheme="majorBidi"/>
                <w:b/>
                <w:bCs/>
                <w:iCs/>
                <w:sz w:val="20"/>
              </w:rPr>
            </w:pPr>
            <w:r w:rsidRPr="003771DB">
              <w:rPr>
                <w:rFonts w:ascii="Arial Narrow" w:eastAsiaTheme="majorEastAsia" w:hAnsi="Arial Narrow" w:cstheme="majorBidi"/>
                <w:b/>
                <w:bCs/>
                <w:iCs/>
                <w:sz w:val="20"/>
              </w:rPr>
              <w:lastRenderedPageBreak/>
              <w:t>MBS services</w:t>
            </w:r>
          </w:p>
        </w:tc>
        <w:tc>
          <w:tcPr>
            <w:tcW w:w="2217" w:type="dxa"/>
          </w:tcPr>
          <w:p w14:paraId="7E1810C4" w14:textId="77777777" w:rsidR="00BB53E8" w:rsidRPr="003771DB" w:rsidRDefault="00BB53E8" w:rsidP="00D50C48">
            <w:pPr>
              <w:keepNext/>
              <w:jc w:val="left"/>
              <w:rPr>
                <w:rFonts w:ascii="Arial Narrow" w:eastAsiaTheme="majorEastAsia" w:hAnsi="Arial Narrow" w:cstheme="majorBidi"/>
                <w:b/>
                <w:bCs/>
                <w:sz w:val="20"/>
              </w:rPr>
            </w:pPr>
          </w:p>
        </w:tc>
      </w:tr>
      <w:tr w:rsidR="00BB53E8" w:rsidRPr="003771DB" w14:paraId="660840B2" w14:textId="77777777" w:rsidTr="00A36EB1">
        <w:tc>
          <w:tcPr>
            <w:tcW w:w="1296" w:type="dxa"/>
          </w:tcPr>
          <w:p w14:paraId="79A2AB44" w14:textId="77777777" w:rsidR="00BB53E8" w:rsidRPr="003771DB" w:rsidRDefault="00BB53E8" w:rsidP="00D50C48">
            <w:pPr>
              <w:keepNext/>
              <w:jc w:val="left"/>
              <w:rPr>
                <w:rFonts w:ascii="Arial Narrow" w:eastAsiaTheme="majorEastAsia" w:hAnsi="Arial Narrow" w:cstheme="majorBidi"/>
                <w:bCs/>
                <w:sz w:val="20"/>
              </w:rPr>
            </w:pPr>
            <w:r w:rsidRPr="003771DB">
              <w:rPr>
                <w:rFonts w:ascii="Arial Narrow" w:eastAsiaTheme="majorEastAsia" w:hAnsi="Arial Narrow" w:cstheme="majorBidi"/>
                <w:bCs/>
                <w:sz w:val="20"/>
              </w:rPr>
              <w:t>MBS services per semaglutide patient</w:t>
            </w:r>
          </w:p>
        </w:tc>
        <w:tc>
          <w:tcPr>
            <w:tcW w:w="2222" w:type="dxa"/>
          </w:tcPr>
          <w:p w14:paraId="70913C92" w14:textId="77777777" w:rsidR="00BB53E8" w:rsidRPr="003771DB" w:rsidRDefault="00BB53E8" w:rsidP="00D50C48">
            <w:pPr>
              <w:keepNext/>
              <w:jc w:val="left"/>
              <w:rPr>
                <w:rFonts w:ascii="Arial Narrow" w:eastAsiaTheme="majorEastAsia" w:hAnsi="Arial Narrow" w:cstheme="majorBidi"/>
                <w:bCs/>
                <w:sz w:val="20"/>
              </w:rPr>
            </w:pPr>
            <w:r w:rsidRPr="003771DB">
              <w:rPr>
                <w:rFonts w:ascii="Arial Narrow" w:eastAsiaTheme="majorEastAsia" w:hAnsi="Arial Narrow" w:cstheme="majorBidi"/>
                <w:bCs/>
                <w:sz w:val="20"/>
              </w:rPr>
              <w:t>Assumption. Assumed all semaglutide patients would be subject to a team care arrangement (MBS 723) that would be regularly reviewed with 3 visits in the first year and then 2 visits per year in subsequent years (MBS 732). Assumed 3 additional GP visits (MBS 23) for dose titration. Assumed 16 allied health visits (10953/10954) in the first year, based on the STEP-1 trial protocol (which was based on 68 weeks), and 4 visits per year in subsequent years.</w:t>
            </w:r>
          </w:p>
        </w:tc>
        <w:tc>
          <w:tcPr>
            <w:tcW w:w="3281" w:type="dxa"/>
            <w:vMerge w:val="restart"/>
          </w:tcPr>
          <w:p w14:paraId="0ECDAA66" w14:textId="77777777" w:rsidR="00BB53E8" w:rsidRPr="003771DB" w:rsidRDefault="00BB53E8" w:rsidP="00D50C48">
            <w:pPr>
              <w:keepNext/>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Estimates of MBS services were not consistent between the economic model and the budget impact model due to differences in the initial treatment period (68 weeks vs 1 year) and differences in the ongoing review of continuing patients (alternating team care reviews and GP consults vs. team care reviews only).</w:t>
            </w:r>
          </w:p>
          <w:p w14:paraId="030EBA30" w14:textId="77777777" w:rsidR="00BB53E8" w:rsidRPr="003771DB" w:rsidRDefault="00BB53E8" w:rsidP="00D50C48">
            <w:pPr>
              <w:keepNext/>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assumption that all patients would be subject to a team care arrangement was inconsistent with the proposed restriction which specifically does not include a requirement for patients to be managed through a team care arrangement in order to allow for flexibility in delivery.</w:t>
            </w:r>
          </w:p>
          <w:p w14:paraId="67098094" w14:textId="77777777" w:rsidR="00BB53E8" w:rsidRPr="003771DB" w:rsidRDefault="00BB53E8" w:rsidP="00D50C48">
            <w:pPr>
              <w:keepNext/>
              <w:spacing w:after="60"/>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 resubmission did not account for the limit of 5 allied health visits (e.g. 10953/10954) per year under team care arrangements. The utilisation of MBS items 10953 (exercise physiology) and 10954 (dietetics services) for the narrow target population in the budget impact analysis exceeds the current utilisation of these items for the whole Australian population (including other higher risk groups such as cardiovascular disease, diabetes and the broader obesity population).</w:t>
            </w:r>
          </w:p>
          <w:p w14:paraId="72968FFF" w14:textId="77777777" w:rsidR="00BB53E8" w:rsidRPr="003771DB" w:rsidRDefault="00BB53E8" w:rsidP="00D50C48">
            <w:pPr>
              <w:keepNext/>
              <w:jc w:val="left"/>
              <w:rPr>
                <w:rFonts w:ascii="Arial Narrow" w:eastAsiaTheme="majorEastAsia" w:hAnsi="Arial Narrow" w:cstheme="majorBidi"/>
                <w:bCs/>
                <w:iCs/>
                <w:sz w:val="20"/>
              </w:rPr>
            </w:pPr>
            <w:r w:rsidRPr="003771DB">
              <w:rPr>
                <w:rFonts w:ascii="Arial Narrow" w:eastAsiaTheme="majorEastAsia" w:hAnsi="Arial Narrow" w:cstheme="majorBidi"/>
                <w:bCs/>
                <w:iCs/>
                <w:sz w:val="20"/>
              </w:rPr>
              <w:t>There are no data to support the level of adjunctive weight management care required with longer-term semaglutide treatment.</w:t>
            </w:r>
          </w:p>
        </w:tc>
        <w:tc>
          <w:tcPr>
            <w:tcW w:w="2217" w:type="dxa"/>
            <w:vMerge w:val="restart"/>
          </w:tcPr>
          <w:p w14:paraId="151F1F80" w14:textId="77777777" w:rsidR="00BB53E8" w:rsidRPr="003771DB" w:rsidRDefault="00BB53E8" w:rsidP="00D50C48">
            <w:pPr>
              <w:keepNext/>
              <w:spacing w:after="60"/>
              <w:jc w:val="left"/>
              <w:rPr>
                <w:rFonts w:ascii="Arial Narrow" w:eastAsiaTheme="majorEastAsia" w:hAnsi="Arial Narrow" w:cstheme="majorBidi"/>
                <w:bCs/>
                <w:sz w:val="20"/>
              </w:rPr>
            </w:pPr>
            <w:r w:rsidRPr="003771DB">
              <w:rPr>
                <w:rFonts w:ascii="Arial Narrow" w:eastAsiaTheme="majorEastAsia" w:hAnsi="Arial Narrow" w:cstheme="majorBidi"/>
                <w:bCs/>
                <w:sz w:val="20"/>
              </w:rPr>
              <w:t>DUSC noted that these estimates would overwhelm existing service availability and thus are uncertain.</w:t>
            </w:r>
          </w:p>
        </w:tc>
      </w:tr>
      <w:tr w:rsidR="00BB53E8" w:rsidRPr="003771DB" w14:paraId="0DC67BD6" w14:textId="77777777" w:rsidTr="00D50C48">
        <w:trPr>
          <w:cantSplit/>
        </w:trPr>
        <w:tc>
          <w:tcPr>
            <w:tcW w:w="1296" w:type="dxa"/>
          </w:tcPr>
          <w:p w14:paraId="65A6ECA4"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MBS services per standard care patient</w:t>
            </w:r>
          </w:p>
        </w:tc>
        <w:tc>
          <w:tcPr>
            <w:tcW w:w="2222" w:type="dxa"/>
          </w:tcPr>
          <w:p w14:paraId="4FD132B5" w14:textId="77777777" w:rsidR="00BB53E8" w:rsidRPr="003771DB" w:rsidRDefault="00BB53E8" w:rsidP="00D50C48">
            <w:pPr>
              <w:jc w:val="left"/>
              <w:rPr>
                <w:rFonts w:ascii="Arial Narrow" w:eastAsiaTheme="majorEastAsia" w:hAnsi="Arial Narrow" w:cstheme="majorBidi"/>
                <w:bCs/>
                <w:sz w:val="20"/>
              </w:rPr>
            </w:pPr>
            <w:r w:rsidRPr="003771DB">
              <w:rPr>
                <w:rFonts w:ascii="Arial Narrow" w:eastAsiaTheme="majorEastAsia" w:hAnsi="Arial Narrow" w:cstheme="majorBidi"/>
                <w:bCs/>
                <w:sz w:val="20"/>
              </w:rPr>
              <w:t>Assumption. The resubmission noted that standard care may be sub-optimal in practice and estimated use of team care arrangements based on 70% of the level estimated for semaglutide and estimated allied health use based on 70-85% of the level estimated for semaglutide.</w:t>
            </w:r>
          </w:p>
        </w:tc>
        <w:tc>
          <w:tcPr>
            <w:tcW w:w="3281" w:type="dxa"/>
            <w:vMerge/>
          </w:tcPr>
          <w:p w14:paraId="27932F82" w14:textId="77777777" w:rsidR="00BB53E8" w:rsidRPr="003771DB" w:rsidRDefault="00BB53E8" w:rsidP="00D50C48">
            <w:pPr>
              <w:jc w:val="left"/>
              <w:rPr>
                <w:rFonts w:ascii="Arial Narrow" w:eastAsiaTheme="majorEastAsia" w:hAnsi="Arial Narrow" w:cstheme="majorBidi"/>
                <w:bCs/>
                <w:sz w:val="20"/>
              </w:rPr>
            </w:pPr>
          </w:p>
        </w:tc>
        <w:tc>
          <w:tcPr>
            <w:tcW w:w="2217" w:type="dxa"/>
            <w:vMerge/>
          </w:tcPr>
          <w:p w14:paraId="54925B54" w14:textId="77777777" w:rsidR="00BB53E8" w:rsidRPr="003771DB" w:rsidRDefault="00BB53E8" w:rsidP="00D50C48">
            <w:pPr>
              <w:jc w:val="left"/>
              <w:rPr>
                <w:rFonts w:ascii="Arial Narrow" w:eastAsiaTheme="majorEastAsia" w:hAnsi="Arial Narrow" w:cstheme="majorBidi"/>
                <w:bCs/>
                <w:sz w:val="20"/>
              </w:rPr>
            </w:pPr>
          </w:p>
        </w:tc>
      </w:tr>
    </w:tbl>
    <w:p w14:paraId="12897DD0" w14:textId="77777777" w:rsidR="00BB53E8" w:rsidRPr="003771DB" w:rsidRDefault="00BB53E8" w:rsidP="00BB53E8">
      <w:pPr>
        <w:spacing w:after="120"/>
        <w:contextualSpacing/>
        <w:rPr>
          <w:rFonts w:ascii="Arial Narrow" w:hAnsi="Arial Narrow"/>
          <w:sz w:val="18"/>
          <w:szCs w:val="22"/>
        </w:rPr>
      </w:pPr>
      <w:r w:rsidRPr="003771DB">
        <w:rPr>
          <w:rFonts w:ascii="Arial Narrow" w:hAnsi="Arial Narrow"/>
          <w:sz w:val="18"/>
          <w:szCs w:val="22"/>
        </w:rPr>
        <w:t xml:space="preserve">Source: Table 18, pp32-34 of the commentary on the resubmission. </w:t>
      </w:r>
    </w:p>
    <w:p w14:paraId="4F8B16D9" w14:textId="0311762B" w:rsidR="00BB53E8" w:rsidRPr="00876C1C" w:rsidRDefault="00BB53E8" w:rsidP="00876C1C">
      <w:pPr>
        <w:spacing w:after="120"/>
        <w:rPr>
          <w:rFonts w:ascii="Arial Narrow" w:hAnsi="Arial Narrow"/>
          <w:sz w:val="18"/>
          <w:szCs w:val="18"/>
        </w:rPr>
      </w:pPr>
      <w:r w:rsidRPr="003771DB">
        <w:rPr>
          <w:rFonts w:ascii="Arial Narrow" w:hAnsi="Arial Narrow"/>
          <w:sz w:val="18"/>
          <w:szCs w:val="18"/>
        </w:rPr>
        <w:t>Abbreviations: ABS, Australian Bureau of Statistics; AEMP, approved ex-manufacturer price; BMI, body mass index; DPMQ, dispensed price for maximum quantity; DUSC, Drug Utilisation Sub-Committee; KOA, knee osteoarthritis; MBS, Medicare Benefits Schedule; OSA, obstructive sleep apnoea; PBS, Pharmaceutical Benefits Scheme; PD, pre-diabetes; RPBS, Repatriation Pharmaceutical Benefits Scheme</w:t>
      </w:r>
    </w:p>
    <w:p w14:paraId="04A353A9" w14:textId="4AD45477" w:rsidR="00876C1C" w:rsidRDefault="00876C1C" w:rsidP="007368F1">
      <w:pPr>
        <w:pStyle w:val="COMexecsumnumberedpara"/>
      </w:pPr>
      <w:r w:rsidRPr="00876C1C">
        <w:t xml:space="preserve">The estimated utilisation and financial implications (using the effective DPMQ) of a PBS listing of semaglutide for severe obesity is summarised in </w:t>
      </w:r>
      <w:r>
        <w:fldChar w:fldCharType="begin" w:fldLock="1"/>
      </w:r>
      <w:r>
        <w:instrText xml:space="preserve"> REF _Ref152253096 \h </w:instrText>
      </w:r>
      <w:r>
        <w:fldChar w:fldCharType="separate"/>
      </w:r>
      <w:r w:rsidRPr="003771DB">
        <w:t xml:space="preserve">Table </w:t>
      </w:r>
      <w:r w:rsidRPr="00F7478B">
        <w:t>20</w:t>
      </w:r>
      <w:r>
        <w:fldChar w:fldCharType="end"/>
      </w:r>
      <w:r>
        <w:t xml:space="preserve"> </w:t>
      </w:r>
      <w:r w:rsidRPr="00876C1C">
        <w:t>below.</w:t>
      </w:r>
    </w:p>
    <w:p w14:paraId="11187484" w14:textId="680AE295" w:rsidR="007368F1" w:rsidRPr="003771DB" w:rsidRDefault="007368F1" w:rsidP="007368F1">
      <w:pPr>
        <w:pStyle w:val="COMexecsumnumberedpara"/>
      </w:pPr>
      <w:r w:rsidRPr="003771DB">
        <w:t>During the evaluation, a major calculation error was identified in the estimated number of scripts for treatment initiators, which was based on 4.43 scripts per patient rather than 13 scripts per patient (e.g. 170,647 treatment initiators in Year 1 used a total of 24,378 scripts of the initial 0.25 mg semaglutide dose) due to the incorrect application of population split estimates in the Excel spreadsheet. This error was corrected during the evaluation.</w:t>
      </w:r>
    </w:p>
    <w:p w14:paraId="43BA67A6" w14:textId="27527184" w:rsidR="00BB53E8" w:rsidRPr="003771DB" w:rsidRDefault="007368F1" w:rsidP="00BB53E8">
      <w:pPr>
        <w:pStyle w:val="COMexecsumnumberedpara"/>
      </w:pPr>
      <w:r w:rsidRPr="003771DB">
        <w:t>A number of other smaller calculation errors were also corrected during the evaluation.</w:t>
      </w:r>
    </w:p>
    <w:p w14:paraId="65EA7428" w14:textId="11403966" w:rsidR="00BB53E8" w:rsidRPr="003771DB" w:rsidRDefault="00AD487C" w:rsidP="00AD487C">
      <w:pPr>
        <w:pStyle w:val="Caption"/>
        <w:rPr>
          <w:b w:val="0"/>
          <w:bCs w:val="0"/>
        </w:rPr>
      </w:pPr>
      <w:bookmarkStart w:id="64" w:name="_Ref152253096"/>
      <w:r w:rsidRPr="003771DB">
        <w:lastRenderedPageBreak/>
        <w:t xml:space="preserve">Table </w:t>
      </w:r>
      <w:fldSimple w:instr=" SEQ Table \* ARABIC " w:fldLock="1">
        <w:r w:rsidRPr="00F7478B">
          <w:t>20</w:t>
        </w:r>
      </w:fldSimple>
      <w:bookmarkEnd w:id="64"/>
      <w:r w:rsidR="00BB53E8" w:rsidRPr="003771DB">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Estimated use and financial implications"/>
        <w:tblDescription w:val="Table 20: Estimated use and financial implications"/>
      </w:tblPr>
      <w:tblGrid>
        <w:gridCol w:w="1591"/>
        <w:gridCol w:w="1237"/>
        <w:gridCol w:w="1237"/>
        <w:gridCol w:w="1237"/>
        <w:gridCol w:w="1237"/>
        <w:gridCol w:w="1237"/>
        <w:gridCol w:w="1241"/>
      </w:tblGrid>
      <w:tr w:rsidR="00BB53E8" w:rsidRPr="003771DB" w14:paraId="35495A7A" w14:textId="77777777" w:rsidTr="00D50C48">
        <w:trPr>
          <w:tblHeader/>
        </w:trPr>
        <w:tc>
          <w:tcPr>
            <w:tcW w:w="882" w:type="pct"/>
            <w:shd w:val="clear" w:color="auto" w:fill="auto"/>
            <w:vAlign w:val="center"/>
          </w:tcPr>
          <w:p w14:paraId="6E7701C3" w14:textId="77777777" w:rsidR="00BB53E8" w:rsidRPr="003771DB" w:rsidRDefault="00BB53E8" w:rsidP="00D50C48">
            <w:pPr>
              <w:keepNext/>
              <w:jc w:val="center"/>
              <w:rPr>
                <w:rFonts w:ascii="Arial Narrow" w:eastAsiaTheme="majorEastAsia" w:hAnsi="Arial Narrow" w:cs="Times New Roman"/>
                <w:b/>
                <w:sz w:val="20"/>
              </w:rPr>
            </w:pPr>
          </w:p>
        </w:tc>
        <w:tc>
          <w:tcPr>
            <w:tcW w:w="686" w:type="pct"/>
            <w:shd w:val="clear" w:color="auto" w:fill="auto"/>
            <w:vAlign w:val="center"/>
          </w:tcPr>
          <w:p w14:paraId="668B90DF" w14:textId="77777777" w:rsidR="00BB53E8" w:rsidRPr="003771DB" w:rsidRDefault="00BB53E8" w:rsidP="00D50C48">
            <w:pPr>
              <w:keepNext/>
              <w:jc w:val="center"/>
              <w:rPr>
                <w:rFonts w:ascii="Arial Narrow" w:eastAsiaTheme="majorEastAsia" w:hAnsi="Arial Narrow" w:cs="Times New Roman"/>
                <w:b/>
                <w:sz w:val="20"/>
              </w:rPr>
            </w:pPr>
            <w:r w:rsidRPr="003771DB">
              <w:rPr>
                <w:rFonts w:ascii="Arial Narrow" w:eastAsiaTheme="majorEastAsia" w:hAnsi="Arial Narrow" w:cs="Times New Roman"/>
                <w:b/>
                <w:sz w:val="20"/>
              </w:rPr>
              <w:t>Year 1</w:t>
            </w:r>
          </w:p>
        </w:tc>
        <w:tc>
          <w:tcPr>
            <w:tcW w:w="686" w:type="pct"/>
            <w:shd w:val="clear" w:color="auto" w:fill="auto"/>
            <w:vAlign w:val="center"/>
          </w:tcPr>
          <w:p w14:paraId="13419EBF" w14:textId="77777777" w:rsidR="00BB53E8" w:rsidRPr="003771DB" w:rsidRDefault="00BB53E8" w:rsidP="00D50C48">
            <w:pPr>
              <w:keepNext/>
              <w:jc w:val="center"/>
              <w:rPr>
                <w:rFonts w:ascii="Arial Narrow" w:eastAsiaTheme="majorEastAsia" w:hAnsi="Arial Narrow" w:cs="Times New Roman"/>
                <w:b/>
                <w:sz w:val="20"/>
              </w:rPr>
            </w:pPr>
            <w:r w:rsidRPr="003771DB">
              <w:rPr>
                <w:rFonts w:ascii="Arial Narrow" w:eastAsiaTheme="majorEastAsia" w:hAnsi="Arial Narrow" w:cs="Times New Roman"/>
                <w:b/>
                <w:sz w:val="20"/>
              </w:rPr>
              <w:t>Year 2</w:t>
            </w:r>
          </w:p>
        </w:tc>
        <w:tc>
          <w:tcPr>
            <w:tcW w:w="686" w:type="pct"/>
            <w:shd w:val="clear" w:color="auto" w:fill="auto"/>
            <w:vAlign w:val="center"/>
          </w:tcPr>
          <w:p w14:paraId="5773AFCC" w14:textId="77777777" w:rsidR="00BB53E8" w:rsidRPr="003771DB" w:rsidRDefault="00BB53E8" w:rsidP="00D50C48">
            <w:pPr>
              <w:keepNext/>
              <w:jc w:val="center"/>
              <w:rPr>
                <w:rFonts w:ascii="Arial Narrow" w:eastAsiaTheme="majorEastAsia" w:hAnsi="Arial Narrow" w:cs="Times New Roman"/>
                <w:b/>
                <w:sz w:val="20"/>
              </w:rPr>
            </w:pPr>
            <w:r w:rsidRPr="003771DB">
              <w:rPr>
                <w:rFonts w:ascii="Arial Narrow" w:eastAsiaTheme="majorEastAsia" w:hAnsi="Arial Narrow" w:cs="Times New Roman"/>
                <w:b/>
                <w:sz w:val="20"/>
              </w:rPr>
              <w:t>Year 3</w:t>
            </w:r>
          </w:p>
        </w:tc>
        <w:tc>
          <w:tcPr>
            <w:tcW w:w="686" w:type="pct"/>
            <w:shd w:val="clear" w:color="auto" w:fill="auto"/>
            <w:vAlign w:val="center"/>
          </w:tcPr>
          <w:p w14:paraId="0C2BF79C" w14:textId="77777777" w:rsidR="00BB53E8" w:rsidRPr="003771DB" w:rsidRDefault="00BB53E8" w:rsidP="00D50C48">
            <w:pPr>
              <w:keepNext/>
              <w:jc w:val="center"/>
              <w:rPr>
                <w:rFonts w:ascii="Arial Narrow" w:eastAsiaTheme="majorEastAsia" w:hAnsi="Arial Narrow" w:cs="Times New Roman"/>
                <w:b/>
                <w:sz w:val="20"/>
              </w:rPr>
            </w:pPr>
            <w:r w:rsidRPr="003771DB">
              <w:rPr>
                <w:rFonts w:ascii="Arial Narrow" w:eastAsiaTheme="majorEastAsia" w:hAnsi="Arial Narrow" w:cs="Times New Roman"/>
                <w:b/>
                <w:sz w:val="20"/>
              </w:rPr>
              <w:t>Year 4</w:t>
            </w:r>
          </w:p>
        </w:tc>
        <w:tc>
          <w:tcPr>
            <w:tcW w:w="686" w:type="pct"/>
            <w:shd w:val="clear" w:color="auto" w:fill="auto"/>
            <w:vAlign w:val="center"/>
          </w:tcPr>
          <w:p w14:paraId="0DC6CEA0" w14:textId="77777777" w:rsidR="00BB53E8" w:rsidRPr="003771DB" w:rsidRDefault="00BB53E8" w:rsidP="00D50C48">
            <w:pPr>
              <w:keepNext/>
              <w:jc w:val="center"/>
              <w:rPr>
                <w:rFonts w:ascii="Arial Narrow" w:eastAsiaTheme="majorEastAsia" w:hAnsi="Arial Narrow" w:cs="Times New Roman"/>
                <w:b/>
                <w:sz w:val="20"/>
              </w:rPr>
            </w:pPr>
            <w:r w:rsidRPr="003771DB">
              <w:rPr>
                <w:rFonts w:ascii="Arial Narrow" w:eastAsiaTheme="majorEastAsia" w:hAnsi="Arial Narrow" w:cs="Times New Roman"/>
                <w:b/>
                <w:sz w:val="20"/>
              </w:rPr>
              <w:t>Year 5</w:t>
            </w:r>
          </w:p>
        </w:tc>
        <w:tc>
          <w:tcPr>
            <w:tcW w:w="688" w:type="pct"/>
          </w:tcPr>
          <w:p w14:paraId="1EF19762" w14:textId="77777777" w:rsidR="00BB53E8" w:rsidRPr="003771DB" w:rsidRDefault="00BB53E8" w:rsidP="00D50C48">
            <w:pPr>
              <w:keepNext/>
              <w:jc w:val="center"/>
              <w:rPr>
                <w:rFonts w:ascii="Arial Narrow" w:eastAsiaTheme="majorEastAsia" w:hAnsi="Arial Narrow" w:cs="Times New Roman"/>
                <w:b/>
                <w:sz w:val="20"/>
              </w:rPr>
            </w:pPr>
            <w:r w:rsidRPr="003771DB">
              <w:rPr>
                <w:rFonts w:ascii="Arial Narrow" w:eastAsiaTheme="majorEastAsia" w:hAnsi="Arial Narrow" w:cs="Times New Roman"/>
                <w:b/>
                <w:sz w:val="20"/>
              </w:rPr>
              <w:t>Year 6</w:t>
            </w:r>
          </w:p>
        </w:tc>
      </w:tr>
      <w:tr w:rsidR="00BB53E8" w:rsidRPr="003771DB" w14:paraId="3655D324" w14:textId="77777777" w:rsidTr="00D50C48">
        <w:tc>
          <w:tcPr>
            <w:tcW w:w="5000" w:type="pct"/>
            <w:gridSpan w:val="7"/>
            <w:shd w:val="clear" w:color="auto" w:fill="auto"/>
            <w:vAlign w:val="center"/>
          </w:tcPr>
          <w:p w14:paraId="5A20C5EC" w14:textId="77777777" w:rsidR="00BB53E8" w:rsidRPr="003771DB" w:rsidRDefault="00BB53E8" w:rsidP="00D50C48">
            <w:pPr>
              <w:keepNext/>
              <w:jc w:val="left"/>
              <w:rPr>
                <w:rFonts w:ascii="Arial Narrow" w:eastAsiaTheme="majorEastAsia" w:hAnsi="Arial Narrow" w:cs="Times New Roman"/>
                <w:b/>
                <w:bCs/>
                <w:color w:val="000000"/>
                <w:sz w:val="20"/>
              </w:rPr>
            </w:pPr>
            <w:r w:rsidRPr="003771DB">
              <w:rPr>
                <w:rFonts w:ascii="Arial Narrow" w:eastAsiaTheme="majorEastAsia" w:hAnsi="Arial Narrow" w:cs="Times New Roman"/>
                <w:b/>
                <w:bCs/>
                <w:color w:val="000000"/>
                <w:sz w:val="20"/>
              </w:rPr>
              <w:t>Estimated extent of use</w:t>
            </w:r>
          </w:p>
        </w:tc>
      </w:tr>
      <w:tr w:rsidR="00BB53E8" w:rsidRPr="003771DB" w14:paraId="6E7F825D" w14:textId="77777777" w:rsidTr="00D50C48">
        <w:tc>
          <w:tcPr>
            <w:tcW w:w="882" w:type="pct"/>
            <w:shd w:val="clear" w:color="auto" w:fill="auto"/>
            <w:vAlign w:val="center"/>
          </w:tcPr>
          <w:p w14:paraId="1591CED8" w14:textId="77777777" w:rsidR="00BB53E8" w:rsidRPr="003771DB" w:rsidRDefault="00BB53E8" w:rsidP="00D50C48">
            <w:pPr>
              <w:keepNext/>
              <w:jc w:val="left"/>
              <w:rPr>
                <w:rFonts w:ascii="Times" w:eastAsiaTheme="majorEastAsia" w:hAnsi="Times" w:cstheme="majorBidi"/>
                <w:bCs/>
                <w:sz w:val="20"/>
              </w:rPr>
            </w:pPr>
            <w:r w:rsidRPr="003771DB">
              <w:rPr>
                <w:rFonts w:ascii="Arial Narrow" w:eastAsiaTheme="majorEastAsia" w:hAnsi="Arial Narrow" w:cstheme="majorBidi"/>
                <w:bCs/>
                <w:sz w:val="20"/>
              </w:rPr>
              <w:t>Number of patients treated</w:t>
            </w:r>
          </w:p>
        </w:tc>
        <w:tc>
          <w:tcPr>
            <w:tcW w:w="686" w:type="pct"/>
            <w:shd w:val="clear" w:color="auto" w:fill="auto"/>
            <w:vAlign w:val="center"/>
          </w:tcPr>
          <w:p w14:paraId="15B8E1E1" w14:textId="32705300"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7"/>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7"/>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7"/>
                <w14:textFill>
                  <w14:solidFill>
                    <w14:srgbClr w14:val="000000">
                      <w14:alpha w14:val="100000"/>
                    </w14:srgbClr>
                  </w14:solidFill>
                </w14:textFill>
              </w:rPr>
              <w:t xml:space="preserve">　</w:t>
            </w:r>
            <w:r w:rsidR="00956D1C" w:rsidRPr="0023515E">
              <w:rPr>
                <w:rFonts w:ascii="Arial Narrow" w:eastAsiaTheme="majorEastAsia" w:hAnsi="Arial Narrow" w:cstheme="majorBidi"/>
                <w:bCs/>
                <w:sz w:val="20"/>
                <w:vertAlign w:val="superscript"/>
              </w:rPr>
              <w:t>1</w:t>
            </w:r>
          </w:p>
        </w:tc>
        <w:tc>
          <w:tcPr>
            <w:tcW w:w="686" w:type="pct"/>
            <w:shd w:val="clear" w:color="auto" w:fill="auto"/>
            <w:vAlign w:val="center"/>
          </w:tcPr>
          <w:p w14:paraId="70BE2B0F" w14:textId="03FDB179"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6"/>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6"/>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6"/>
                <w14:textFill>
                  <w14:solidFill>
                    <w14:srgbClr w14:val="000000">
                      <w14:alpha w14:val="100000"/>
                    </w14:srgbClr>
                  </w14:solidFill>
                </w14:textFill>
              </w:rPr>
              <w:t xml:space="preserve">　</w:t>
            </w:r>
            <w:r w:rsidR="00956D1C" w:rsidRPr="0023515E">
              <w:rPr>
                <w:rFonts w:ascii="Arial Narrow" w:eastAsiaTheme="majorEastAsia" w:hAnsi="Arial Narrow" w:cstheme="majorBidi"/>
                <w:bCs/>
                <w:sz w:val="20"/>
                <w:vertAlign w:val="superscript"/>
              </w:rPr>
              <w:t>2</w:t>
            </w:r>
          </w:p>
        </w:tc>
        <w:tc>
          <w:tcPr>
            <w:tcW w:w="686" w:type="pct"/>
            <w:shd w:val="clear" w:color="auto" w:fill="auto"/>
            <w:vAlign w:val="center"/>
          </w:tcPr>
          <w:p w14:paraId="4A86D2BD" w14:textId="74463C96"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5"/>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5"/>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5"/>
                <w14:textFill>
                  <w14:solidFill>
                    <w14:srgbClr w14:val="000000">
                      <w14:alpha w14:val="100000"/>
                    </w14:srgbClr>
                  </w14:solidFill>
                </w14:textFill>
              </w:rPr>
              <w:t xml:space="preserve">　</w:t>
            </w:r>
            <w:r w:rsidR="00956D1C" w:rsidRPr="00D95954">
              <w:rPr>
                <w:rFonts w:ascii="Arial Narrow" w:eastAsiaTheme="majorEastAsia" w:hAnsi="Arial Narrow" w:cstheme="majorBidi"/>
                <w:bCs/>
                <w:sz w:val="20"/>
                <w:vertAlign w:val="superscript"/>
              </w:rPr>
              <w:t>1</w:t>
            </w:r>
          </w:p>
        </w:tc>
        <w:tc>
          <w:tcPr>
            <w:tcW w:w="686" w:type="pct"/>
            <w:shd w:val="clear" w:color="auto" w:fill="auto"/>
            <w:vAlign w:val="center"/>
          </w:tcPr>
          <w:p w14:paraId="314F72E7" w14:textId="6608E33A"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4"/>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4"/>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4"/>
                <w14:textFill>
                  <w14:solidFill>
                    <w14:srgbClr w14:val="000000">
                      <w14:alpha w14:val="100000"/>
                    </w14:srgbClr>
                  </w14:solidFill>
                </w14:textFill>
              </w:rPr>
              <w:t xml:space="preserve">　</w:t>
            </w:r>
            <w:r w:rsidR="00956D1C" w:rsidRPr="00D95954">
              <w:rPr>
                <w:rFonts w:ascii="Arial Narrow" w:eastAsiaTheme="majorEastAsia" w:hAnsi="Arial Narrow" w:cstheme="majorBidi"/>
                <w:bCs/>
                <w:sz w:val="20"/>
                <w:vertAlign w:val="superscript"/>
              </w:rPr>
              <w:t>1</w:t>
            </w:r>
          </w:p>
        </w:tc>
        <w:tc>
          <w:tcPr>
            <w:tcW w:w="686" w:type="pct"/>
            <w:shd w:val="clear" w:color="auto" w:fill="auto"/>
            <w:vAlign w:val="center"/>
          </w:tcPr>
          <w:p w14:paraId="4FF7E461" w14:textId="15954539" w:rsidR="00BB53E8" w:rsidRPr="0023515E" w:rsidRDefault="00427AAD" w:rsidP="00D50C48">
            <w:pPr>
              <w:keepNext/>
              <w:jc w:val="center"/>
              <w:rPr>
                <w:rFonts w:ascii="Arial Narrow" w:eastAsiaTheme="majorEastAsia" w:hAnsi="Arial Narrow" w:cstheme="majorBidi"/>
                <w:bCs/>
                <w:iCs/>
                <w:color w:val="000000"/>
                <w:sz w:val="20"/>
                <w:highlight w:val="darkGray"/>
              </w:rPr>
            </w:pPr>
            <w:r>
              <w:rPr>
                <w:rFonts w:ascii="Arial Narrow" w:eastAsiaTheme="majorEastAsia" w:hAnsi="Arial Narrow" w:cstheme="majorBidi"/>
                <w:bCs/>
                <w:iCs/>
                <w:sz w:val="20"/>
              </w:rPr>
              <w:t xml:space="preserve"> </w:t>
            </w:r>
            <w:r w:rsidRPr="00EE4281">
              <w:rPr>
                <w:rFonts w:ascii="Arial Narrow" w:eastAsiaTheme="majorEastAsia" w:hAnsi="Arial Narrow" w:cstheme="majorBidi" w:hint="eastAsia"/>
                <w:bCs/>
                <w:iCs/>
                <w:color w:val="000000"/>
                <w:w w:val="15"/>
                <w:sz w:val="20"/>
                <w:shd w:val="solid" w:color="000000" w:fill="000000"/>
                <w:fitText w:val="10" w:id="-1032062193"/>
                <w14:textFill>
                  <w14:solidFill>
                    <w14:srgbClr w14:val="000000">
                      <w14:alpha w14:val="100000"/>
                    </w14:srgbClr>
                  </w14:solidFill>
                </w14:textFill>
              </w:rPr>
              <w:t xml:space="preserve">　</w:t>
            </w:r>
            <w:r w:rsidRPr="00EE4281">
              <w:rPr>
                <w:rFonts w:ascii="Arial Narrow" w:eastAsiaTheme="majorEastAsia" w:hAnsi="Arial Narrow" w:cstheme="majorBidi"/>
                <w:bCs/>
                <w:iCs/>
                <w:color w:val="000000"/>
                <w:w w:val="15"/>
                <w:sz w:val="20"/>
                <w:shd w:val="solid" w:color="000000" w:fill="000000"/>
                <w:fitText w:val="10" w:id="-1032062193"/>
                <w14:textFill>
                  <w14:solidFill>
                    <w14:srgbClr w14:val="000000">
                      <w14:alpha w14:val="100000"/>
                    </w14:srgbClr>
                  </w14:solidFill>
                </w14:textFill>
              </w:rPr>
              <w:t>|</w:t>
            </w:r>
            <w:r w:rsidRPr="00EE4281">
              <w:rPr>
                <w:rFonts w:ascii="Arial Narrow" w:eastAsiaTheme="majorEastAsia" w:hAnsi="Arial Narrow" w:cstheme="majorBidi" w:hint="eastAsia"/>
                <w:bCs/>
                <w:iCs/>
                <w:color w:val="000000"/>
                <w:spacing w:val="-56"/>
                <w:w w:val="15"/>
                <w:sz w:val="20"/>
                <w:shd w:val="solid" w:color="000000" w:fill="000000"/>
                <w:fitText w:val="10" w:id="-1032062193"/>
                <w14:textFill>
                  <w14:solidFill>
                    <w14:srgbClr w14:val="000000">
                      <w14:alpha w14:val="100000"/>
                    </w14:srgbClr>
                  </w14:solidFill>
                </w14:textFill>
              </w:rPr>
              <w:t xml:space="preserve">　</w:t>
            </w:r>
            <w:r w:rsidR="00956D1C" w:rsidRPr="00D95954">
              <w:rPr>
                <w:rFonts w:ascii="Arial Narrow" w:eastAsiaTheme="majorEastAsia" w:hAnsi="Arial Narrow" w:cstheme="majorBidi"/>
                <w:bCs/>
                <w:sz w:val="20"/>
                <w:vertAlign w:val="superscript"/>
              </w:rPr>
              <w:t>1</w:t>
            </w:r>
          </w:p>
        </w:tc>
        <w:tc>
          <w:tcPr>
            <w:tcW w:w="688" w:type="pct"/>
            <w:vAlign w:val="center"/>
          </w:tcPr>
          <w:p w14:paraId="74013C9F" w14:textId="4138EA2A" w:rsidR="00BB53E8" w:rsidRPr="0023515E" w:rsidRDefault="00427AAD" w:rsidP="00D50C48">
            <w:pPr>
              <w:keepNext/>
              <w:jc w:val="center"/>
              <w:rPr>
                <w:rFonts w:ascii="Arial Narrow" w:eastAsiaTheme="majorEastAsia" w:hAnsi="Arial Narrow" w:cstheme="majorBidi"/>
                <w:bCs/>
                <w:iCs/>
                <w:color w:val="000000"/>
                <w:sz w:val="20"/>
                <w:highlight w:val="darkGray"/>
              </w:rPr>
            </w:pPr>
            <w:r>
              <w:rPr>
                <w:rFonts w:ascii="Arial Narrow" w:eastAsiaTheme="majorEastAsia" w:hAnsi="Arial Narrow" w:cstheme="majorBidi"/>
                <w:bCs/>
                <w:iCs/>
                <w:sz w:val="20"/>
              </w:rPr>
              <w:t xml:space="preserve"> </w:t>
            </w:r>
            <w:r w:rsidRPr="00427AAD">
              <w:rPr>
                <w:rFonts w:ascii="Arial Narrow" w:eastAsiaTheme="majorEastAsia" w:hAnsi="Arial Narrow" w:cstheme="majorBidi"/>
                <w:bCs/>
                <w:iCs/>
                <w:color w:val="000000"/>
                <w:sz w:val="20"/>
                <w:shd w:val="solid" w:color="000000" w:fill="000000"/>
                <w14:textFill>
                  <w14:solidFill>
                    <w14:srgbClr w14:val="000000">
                      <w14:alpha w14:val="100000"/>
                    </w14:srgbClr>
                  </w14:solidFill>
                </w14:textFill>
              </w:rPr>
              <w:t>|</w:t>
            </w:r>
            <w:r w:rsidR="00956D1C" w:rsidRPr="00D95954">
              <w:rPr>
                <w:rFonts w:ascii="Arial Narrow" w:eastAsiaTheme="majorEastAsia" w:hAnsi="Arial Narrow" w:cstheme="majorBidi"/>
                <w:bCs/>
                <w:sz w:val="20"/>
                <w:vertAlign w:val="superscript"/>
              </w:rPr>
              <w:t>1</w:t>
            </w:r>
          </w:p>
        </w:tc>
      </w:tr>
      <w:tr w:rsidR="00BB53E8" w:rsidRPr="003771DB" w14:paraId="04E3F4C8" w14:textId="77777777" w:rsidTr="00D50C48">
        <w:tc>
          <w:tcPr>
            <w:tcW w:w="882" w:type="pct"/>
            <w:shd w:val="clear" w:color="auto" w:fill="auto"/>
            <w:vAlign w:val="center"/>
          </w:tcPr>
          <w:p w14:paraId="2CB92B7D" w14:textId="77777777" w:rsidR="00BB53E8" w:rsidRPr="003771DB" w:rsidRDefault="00BB53E8" w:rsidP="00D50C48">
            <w:pPr>
              <w:keepNext/>
              <w:jc w:val="left"/>
              <w:rPr>
                <w:rFonts w:ascii="Times" w:eastAsiaTheme="majorEastAsia" w:hAnsi="Times" w:cstheme="majorBidi"/>
                <w:bCs/>
                <w:sz w:val="20"/>
              </w:rPr>
            </w:pPr>
            <w:r w:rsidRPr="003771DB">
              <w:rPr>
                <w:rFonts w:ascii="Arial Narrow" w:eastAsiaTheme="majorEastAsia" w:hAnsi="Arial Narrow" w:cstheme="majorBidi"/>
                <w:bCs/>
                <w:sz w:val="20"/>
              </w:rPr>
              <w:t>Number of scripts dispensed</w:t>
            </w:r>
          </w:p>
        </w:tc>
        <w:tc>
          <w:tcPr>
            <w:tcW w:w="686" w:type="pct"/>
            <w:shd w:val="clear" w:color="auto" w:fill="auto"/>
            <w:vAlign w:val="center"/>
          </w:tcPr>
          <w:p w14:paraId="56C61E12" w14:textId="4937979B"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2"/>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2"/>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2"/>
                <w14:textFill>
                  <w14:solidFill>
                    <w14:srgbClr w14:val="000000">
                      <w14:alpha w14:val="100000"/>
                    </w14:srgbClr>
                  </w14:solidFill>
                </w14:textFill>
              </w:rPr>
              <w:t xml:space="preserve">　</w:t>
            </w:r>
            <w:r w:rsidR="00D94F92" w:rsidRPr="0023515E">
              <w:rPr>
                <w:rFonts w:ascii="Arial Narrow" w:eastAsiaTheme="majorEastAsia" w:hAnsi="Arial Narrow" w:cstheme="majorBidi"/>
                <w:bCs/>
                <w:sz w:val="20"/>
                <w:vertAlign w:val="superscript"/>
              </w:rPr>
              <w:t>3</w:t>
            </w:r>
          </w:p>
        </w:tc>
        <w:tc>
          <w:tcPr>
            <w:tcW w:w="686" w:type="pct"/>
            <w:shd w:val="clear" w:color="auto" w:fill="auto"/>
            <w:vAlign w:val="center"/>
          </w:tcPr>
          <w:p w14:paraId="097C7335" w14:textId="71222AFC"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208"/>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208"/>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208"/>
                <w14:textFill>
                  <w14:solidFill>
                    <w14:srgbClr w14:val="000000">
                      <w14:alpha w14:val="100000"/>
                    </w14:srgbClr>
                  </w14:solidFill>
                </w14:textFill>
              </w:rPr>
              <w:t xml:space="preserve">　</w:t>
            </w:r>
            <w:r w:rsidR="006A39F5" w:rsidRPr="0023515E">
              <w:rPr>
                <w:rFonts w:ascii="Arial Narrow" w:eastAsiaTheme="majorEastAsia" w:hAnsi="Arial Narrow" w:cstheme="majorBidi"/>
                <w:bCs/>
                <w:sz w:val="20"/>
                <w:vertAlign w:val="superscript"/>
              </w:rPr>
              <w:t>4</w:t>
            </w:r>
          </w:p>
        </w:tc>
        <w:tc>
          <w:tcPr>
            <w:tcW w:w="686" w:type="pct"/>
            <w:shd w:val="clear" w:color="auto" w:fill="auto"/>
            <w:vAlign w:val="center"/>
          </w:tcPr>
          <w:p w14:paraId="065C637E" w14:textId="5C88F5B0"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207"/>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207"/>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207"/>
                <w14:textFill>
                  <w14:solidFill>
                    <w14:srgbClr w14:val="000000">
                      <w14:alpha w14:val="100000"/>
                    </w14:srgbClr>
                  </w14:solidFill>
                </w14:textFill>
              </w:rPr>
              <w:t xml:space="preserve">　</w:t>
            </w:r>
            <w:r w:rsidR="006A39F5" w:rsidRPr="00F83466">
              <w:rPr>
                <w:rFonts w:ascii="Arial Narrow" w:eastAsiaTheme="majorEastAsia" w:hAnsi="Arial Narrow" w:cstheme="majorBidi"/>
                <w:bCs/>
                <w:sz w:val="20"/>
                <w:vertAlign w:val="superscript"/>
              </w:rPr>
              <w:t>4</w:t>
            </w:r>
          </w:p>
        </w:tc>
        <w:tc>
          <w:tcPr>
            <w:tcW w:w="686" w:type="pct"/>
            <w:shd w:val="clear" w:color="auto" w:fill="auto"/>
            <w:vAlign w:val="center"/>
          </w:tcPr>
          <w:p w14:paraId="216184D5" w14:textId="50325BD0"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206"/>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206"/>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206"/>
                <w14:textFill>
                  <w14:solidFill>
                    <w14:srgbClr w14:val="000000">
                      <w14:alpha w14:val="100000"/>
                    </w14:srgbClr>
                  </w14:solidFill>
                </w14:textFill>
              </w:rPr>
              <w:t xml:space="preserve">　</w:t>
            </w:r>
            <w:r w:rsidR="006A39F5" w:rsidRPr="00F83466">
              <w:rPr>
                <w:rFonts w:ascii="Arial Narrow" w:eastAsiaTheme="majorEastAsia" w:hAnsi="Arial Narrow" w:cstheme="majorBidi"/>
                <w:bCs/>
                <w:sz w:val="20"/>
                <w:vertAlign w:val="superscript"/>
              </w:rPr>
              <w:t>4</w:t>
            </w:r>
          </w:p>
        </w:tc>
        <w:tc>
          <w:tcPr>
            <w:tcW w:w="686" w:type="pct"/>
            <w:shd w:val="clear" w:color="auto" w:fill="auto"/>
            <w:vAlign w:val="center"/>
          </w:tcPr>
          <w:p w14:paraId="3531B1BA" w14:textId="0FA324B6"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205"/>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205"/>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205"/>
                <w14:textFill>
                  <w14:solidFill>
                    <w14:srgbClr w14:val="000000">
                      <w14:alpha w14:val="100000"/>
                    </w14:srgbClr>
                  </w14:solidFill>
                </w14:textFill>
              </w:rPr>
              <w:t xml:space="preserve">　</w:t>
            </w:r>
            <w:r w:rsidR="006A39F5" w:rsidRPr="00F83466">
              <w:rPr>
                <w:rFonts w:ascii="Arial Narrow" w:eastAsiaTheme="majorEastAsia" w:hAnsi="Arial Narrow" w:cstheme="majorBidi"/>
                <w:bCs/>
                <w:sz w:val="20"/>
                <w:vertAlign w:val="superscript"/>
              </w:rPr>
              <w:t>4</w:t>
            </w:r>
          </w:p>
        </w:tc>
        <w:tc>
          <w:tcPr>
            <w:tcW w:w="688" w:type="pct"/>
            <w:vAlign w:val="center"/>
          </w:tcPr>
          <w:p w14:paraId="4E7BF7F3" w14:textId="4B68A712" w:rsidR="00BB53E8" w:rsidRPr="0023515E" w:rsidRDefault="00427AAD" w:rsidP="00D50C48">
            <w:pPr>
              <w:keepNext/>
              <w:jc w:val="center"/>
              <w:rPr>
                <w:rFonts w:ascii="Arial Narrow" w:eastAsiaTheme="majorEastAsia" w:hAnsi="Arial Narrow" w:cstheme="majorBidi"/>
                <w:bCs/>
                <w:color w:val="000000"/>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D2179E" w:rsidRPr="0023515E">
              <w:rPr>
                <w:rFonts w:ascii="Arial Narrow" w:eastAsiaTheme="majorEastAsia" w:hAnsi="Arial Narrow" w:cstheme="majorBidi"/>
                <w:bCs/>
                <w:sz w:val="20"/>
                <w:vertAlign w:val="superscript"/>
              </w:rPr>
              <w:t>3</w:t>
            </w:r>
          </w:p>
        </w:tc>
      </w:tr>
      <w:tr w:rsidR="00BB53E8" w:rsidRPr="003771DB" w14:paraId="2297A522" w14:textId="77777777" w:rsidTr="00D50C48">
        <w:tc>
          <w:tcPr>
            <w:tcW w:w="882" w:type="pct"/>
            <w:shd w:val="clear" w:color="auto" w:fill="auto"/>
            <w:vAlign w:val="center"/>
          </w:tcPr>
          <w:p w14:paraId="3832456B" w14:textId="3B4E99EB" w:rsidR="00BB53E8" w:rsidRPr="003771DB" w:rsidRDefault="00BB53E8" w:rsidP="00D50C48">
            <w:pPr>
              <w:keepNext/>
              <w:jc w:val="left"/>
              <w:rPr>
                <w:rFonts w:ascii="Arial Narrow" w:eastAsiaTheme="majorEastAsia" w:hAnsi="Arial Narrow" w:cstheme="majorBidi"/>
                <w:b/>
                <w:sz w:val="19"/>
                <w:szCs w:val="19"/>
              </w:rPr>
            </w:pPr>
            <w:r w:rsidRPr="003771DB">
              <w:rPr>
                <w:rFonts w:ascii="Arial Narrow" w:eastAsiaTheme="majorEastAsia" w:hAnsi="Arial Narrow" w:cstheme="majorBidi"/>
                <w:b/>
                <w:sz w:val="19"/>
                <w:szCs w:val="19"/>
              </w:rPr>
              <w:t xml:space="preserve">Cost to PBS/RPBS less </w:t>
            </w:r>
            <w:r w:rsidR="00FF2017" w:rsidRPr="003771DB">
              <w:rPr>
                <w:rFonts w:ascii="Arial Narrow" w:eastAsiaTheme="majorEastAsia" w:hAnsi="Arial Narrow" w:cstheme="majorBidi"/>
                <w:b/>
                <w:sz w:val="19"/>
                <w:szCs w:val="19"/>
              </w:rPr>
              <w:t>co-payments</w:t>
            </w:r>
          </w:p>
        </w:tc>
        <w:tc>
          <w:tcPr>
            <w:tcW w:w="686" w:type="pct"/>
            <w:shd w:val="clear" w:color="auto" w:fill="auto"/>
            <w:vAlign w:val="center"/>
          </w:tcPr>
          <w:p w14:paraId="7B9DEC84" w14:textId="7149BCE7"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4"/>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4"/>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4"/>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c>
          <w:tcPr>
            <w:tcW w:w="686" w:type="pct"/>
            <w:shd w:val="clear" w:color="auto" w:fill="auto"/>
            <w:vAlign w:val="center"/>
          </w:tcPr>
          <w:p w14:paraId="74876B34" w14:textId="4C107B74"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3"/>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3"/>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3"/>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c>
          <w:tcPr>
            <w:tcW w:w="686" w:type="pct"/>
            <w:shd w:val="clear" w:color="auto" w:fill="auto"/>
            <w:vAlign w:val="center"/>
          </w:tcPr>
          <w:p w14:paraId="0A288F6C" w14:textId="27B2A7C6"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2"/>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2"/>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2"/>
                <w14:textFill>
                  <w14:solidFill>
                    <w14:srgbClr w14:val="000000">
                      <w14:alpha w14:val="100000"/>
                    </w14:srgbClr>
                  </w14:solidFill>
                </w14:textFill>
              </w:rPr>
              <w:t xml:space="preserve">　</w:t>
            </w:r>
            <w:r w:rsidR="006524FF">
              <w:rPr>
                <w:rFonts w:ascii="Arial Narrow" w:eastAsiaTheme="majorEastAsia" w:hAnsi="Arial Narrow" w:cstheme="majorBidi"/>
                <w:b/>
                <w:sz w:val="20"/>
                <w:vertAlign w:val="superscript"/>
              </w:rPr>
              <w:t>5</w:t>
            </w:r>
          </w:p>
        </w:tc>
        <w:tc>
          <w:tcPr>
            <w:tcW w:w="686" w:type="pct"/>
            <w:shd w:val="clear" w:color="auto" w:fill="auto"/>
            <w:vAlign w:val="center"/>
          </w:tcPr>
          <w:p w14:paraId="5112DA81" w14:textId="2C85A74F"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1"/>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1"/>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1"/>
                <w14:textFill>
                  <w14:solidFill>
                    <w14:srgbClr w14:val="000000">
                      <w14:alpha w14:val="100000"/>
                    </w14:srgbClr>
                  </w14:solidFill>
                </w14:textFill>
              </w:rPr>
              <w:t xml:space="preserve">　</w:t>
            </w:r>
            <w:r w:rsidR="006524FF">
              <w:rPr>
                <w:rFonts w:ascii="Arial Narrow" w:eastAsiaTheme="majorEastAsia" w:hAnsi="Arial Narrow" w:cstheme="majorBidi"/>
                <w:b/>
                <w:sz w:val="20"/>
                <w:vertAlign w:val="superscript"/>
              </w:rPr>
              <w:t>5</w:t>
            </w:r>
          </w:p>
        </w:tc>
        <w:tc>
          <w:tcPr>
            <w:tcW w:w="686" w:type="pct"/>
            <w:shd w:val="clear" w:color="auto" w:fill="auto"/>
            <w:vAlign w:val="center"/>
          </w:tcPr>
          <w:p w14:paraId="5B557083" w14:textId="01AB116C"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0"/>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0"/>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0"/>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c>
          <w:tcPr>
            <w:tcW w:w="688" w:type="pct"/>
            <w:vAlign w:val="center"/>
          </w:tcPr>
          <w:p w14:paraId="77CA2FC6" w14:textId="6CB53811"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199"/>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199"/>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199"/>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r>
      <w:tr w:rsidR="00BB53E8" w:rsidRPr="003771DB" w14:paraId="43A52CF6" w14:textId="77777777" w:rsidTr="00D50C48">
        <w:tc>
          <w:tcPr>
            <w:tcW w:w="882" w:type="pct"/>
            <w:shd w:val="clear" w:color="auto" w:fill="auto"/>
            <w:vAlign w:val="center"/>
          </w:tcPr>
          <w:p w14:paraId="2EA6D9E7" w14:textId="77777777" w:rsidR="00BB53E8" w:rsidRPr="003771DB" w:rsidRDefault="00BB53E8" w:rsidP="00D50C48">
            <w:pPr>
              <w:keepNext/>
              <w:jc w:val="left"/>
              <w:rPr>
                <w:rFonts w:ascii="Times" w:eastAsiaTheme="majorEastAsia" w:hAnsi="Times" w:cstheme="majorBidi"/>
                <w:bCs/>
                <w:sz w:val="20"/>
              </w:rPr>
            </w:pPr>
            <w:r w:rsidRPr="003771DB">
              <w:rPr>
                <w:rFonts w:ascii="Arial Narrow" w:eastAsiaTheme="majorEastAsia" w:hAnsi="Arial Narrow" w:cstheme="majorBidi"/>
                <w:bCs/>
                <w:sz w:val="20"/>
              </w:rPr>
              <w:t>Cost to MBS</w:t>
            </w:r>
          </w:p>
        </w:tc>
        <w:tc>
          <w:tcPr>
            <w:tcW w:w="686" w:type="pct"/>
            <w:shd w:val="clear" w:color="auto" w:fill="auto"/>
            <w:vAlign w:val="center"/>
          </w:tcPr>
          <w:p w14:paraId="52023082" w14:textId="33975059"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8"/>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8"/>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8"/>
                <w14:textFill>
                  <w14:solidFill>
                    <w14:srgbClr w14:val="000000">
                      <w14:alpha w14:val="100000"/>
                    </w14:srgbClr>
                  </w14:solidFill>
                </w14:textFill>
              </w:rPr>
              <w:t xml:space="preserve">　</w:t>
            </w:r>
            <w:r w:rsidR="006D642D" w:rsidRPr="0023515E">
              <w:rPr>
                <w:rFonts w:ascii="Arial Narrow" w:eastAsiaTheme="majorEastAsia" w:hAnsi="Arial Narrow" w:cstheme="majorBidi"/>
                <w:bCs/>
                <w:sz w:val="20"/>
                <w:vertAlign w:val="superscript"/>
              </w:rPr>
              <w:t>6</w:t>
            </w:r>
          </w:p>
        </w:tc>
        <w:tc>
          <w:tcPr>
            <w:tcW w:w="686" w:type="pct"/>
            <w:shd w:val="clear" w:color="auto" w:fill="auto"/>
            <w:vAlign w:val="center"/>
          </w:tcPr>
          <w:p w14:paraId="390BD0E8" w14:textId="1FF07DA2" w:rsidR="00BB53E8" w:rsidRPr="0023515E" w:rsidRDefault="00427AAD" w:rsidP="00D50C48">
            <w:pPr>
              <w:keepNext/>
              <w:jc w:val="center"/>
              <w:rPr>
                <w:rFonts w:ascii="Arial Narrow" w:eastAsiaTheme="majorEastAsia" w:hAnsi="Arial Narrow" w:cstheme="majorBidi"/>
                <w:bCs/>
                <w:sz w:val="20"/>
                <w:highlight w:val="darkGray"/>
                <w:vertAlign w:val="superscript"/>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30" w:id="-1032062197"/>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30" w:id="-1032062197"/>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35"/>
                <w:w w:val="15"/>
                <w:sz w:val="20"/>
                <w:shd w:val="solid" w:color="000000" w:fill="000000"/>
                <w:fitText w:val="30" w:id="-1032062197"/>
                <w14:textFill>
                  <w14:solidFill>
                    <w14:srgbClr w14:val="000000">
                      <w14:alpha w14:val="100000"/>
                    </w14:srgbClr>
                  </w14:solidFill>
                </w14:textFill>
              </w:rPr>
              <w:t xml:space="preserve">　</w:t>
            </w:r>
            <w:r w:rsidR="006D642D">
              <w:rPr>
                <w:rFonts w:ascii="Arial Narrow" w:eastAsiaTheme="majorEastAsia" w:hAnsi="Arial Narrow" w:cstheme="majorBidi"/>
                <w:bCs/>
                <w:sz w:val="20"/>
                <w:vertAlign w:val="superscript"/>
              </w:rPr>
              <w:t xml:space="preserve"> 7</w:t>
            </w:r>
          </w:p>
        </w:tc>
        <w:tc>
          <w:tcPr>
            <w:tcW w:w="686" w:type="pct"/>
            <w:shd w:val="clear" w:color="auto" w:fill="auto"/>
            <w:vAlign w:val="center"/>
          </w:tcPr>
          <w:p w14:paraId="155A1A6B" w14:textId="14B11A31"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6"/>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6"/>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6"/>
                <w14:textFill>
                  <w14:solidFill>
                    <w14:srgbClr w14:val="000000">
                      <w14:alpha w14:val="100000"/>
                    </w14:srgbClr>
                  </w14:solidFill>
                </w14:textFill>
              </w:rPr>
              <w:t xml:space="preserve">　</w:t>
            </w:r>
            <w:r w:rsidR="00E93318" w:rsidRPr="0023515E">
              <w:rPr>
                <w:rFonts w:ascii="Arial Narrow" w:eastAsiaTheme="majorEastAsia" w:hAnsi="Arial Narrow" w:cstheme="majorBidi"/>
                <w:bCs/>
                <w:sz w:val="20"/>
                <w:vertAlign w:val="superscript"/>
              </w:rPr>
              <w:t>8</w:t>
            </w:r>
          </w:p>
        </w:tc>
        <w:tc>
          <w:tcPr>
            <w:tcW w:w="686" w:type="pct"/>
            <w:shd w:val="clear" w:color="auto" w:fill="auto"/>
            <w:vAlign w:val="center"/>
          </w:tcPr>
          <w:p w14:paraId="3CB42EF2" w14:textId="3FB83851"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5"/>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5"/>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5"/>
                <w14:textFill>
                  <w14:solidFill>
                    <w14:srgbClr w14:val="000000">
                      <w14:alpha w14:val="100000"/>
                    </w14:srgbClr>
                  </w14:solidFill>
                </w14:textFill>
              </w:rPr>
              <w:t xml:space="preserve">　</w:t>
            </w:r>
            <w:r w:rsidR="004D5A8F" w:rsidRPr="00F83466">
              <w:rPr>
                <w:rFonts w:ascii="Arial Narrow" w:eastAsiaTheme="majorEastAsia" w:hAnsi="Arial Narrow" w:cstheme="majorBidi"/>
                <w:bCs/>
                <w:sz w:val="20"/>
                <w:vertAlign w:val="superscript"/>
              </w:rPr>
              <w:t>8</w:t>
            </w:r>
          </w:p>
        </w:tc>
        <w:tc>
          <w:tcPr>
            <w:tcW w:w="686" w:type="pct"/>
            <w:shd w:val="clear" w:color="auto" w:fill="auto"/>
            <w:vAlign w:val="center"/>
          </w:tcPr>
          <w:p w14:paraId="6779DCF8" w14:textId="4CC6A446"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4"/>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4"/>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4"/>
                <w14:textFill>
                  <w14:solidFill>
                    <w14:srgbClr w14:val="000000">
                      <w14:alpha w14:val="100000"/>
                    </w14:srgbClr>
                  </w14:solidFill>
                </w14:textFill>
              </w:rPr>
              <w:t xml:space="preserve">　</w:t>
            </w:r>
            <w:r w:rsidR="00E93318">
              <w:rPr>
                <w:rFonts w:ascii="Arial Narrow" w:eastAsiaTheme="majorEastAsia" w:hAnsi="Arial Narrow" w:cstheme="majorBidi"/>
                <w:bCs/>
                <w:sz w:val="20"/>
                <w:vertAlign w:val="superscript"/>
              </w:rPr>
              <w:t>7</w:t>
            </w:r>
          </w:p>
        </w:tc>
        <w:tc>
          <w:tcPr>
            <w:tcW w:w="688" w:type="pct"/>
            <w:vAlign w:val="center"/>
          </w:tcPr>
          <w:p w14:paraId="491EF4E1" w14:textId="36BC48FB"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bCs/>
                <w:color w:val="000000"/>
                <w:sz w:val="20"/>
                <w:shd w:val="solid" w:color="000000" w:fill="000000"/>
                <w14:textFill>
                  <w14:solidFill>
                    <w14:srgbClr w14:val="000000">
                      <w14:alpha w14:val="100000"/>
                    </w14:srgbClr>
                  </w14:solidFill>
                </w14:textFill>
              </w:rPr>
              <w:t>|</w:t>
            </w:r>
            <w:r w:rsidR="00E93318">
              <w:rPr>
                <w:rFonts w:ascii="Arial Narrow" w:eastAsiaTheme="majorEastAsia" w:hAnsi="Arial Narrow" w:cstheme="majorBidi"/>
                <w:bCs/>
                <w:sz w:val="20"/>
                <w:vertAlign w:val="superscript"/>
              </w:rPr>
              <w:t>7</w:t>
            </w:r>
          </w:p>
        </w:tc>
      </w:tr>
      <w:tr w:rsidR="00BB53E8" w:rsidRPr="003771DB" w14:paraId="78DF1BD3" w14:textId="77777777" w:rsidTr="00D50C48">
        <w:tc>
          <w:tcPr>
            <w:tcW w:w="882" w:type="pct"/>
            <w:shd w:val="clear" w:color="auto" w:fill="auto"/>
            <w:vAlign w:val="center"/>
          </w:tcPr>
          <w:p w14:paraId="32BAAF50" w14:textId="77777777" w:rsidR="00BB53E8" w:rsidRPr="003771DB" w:rsidRDefault="00BB53E8" w:rsidP="00D50C48">
            <w:pPr>
              <w:keepNext/>
              <w:jc w:val="left"/>
              <w:rPr>
                <w:rFonts w:ascii="Arial Narrow" w:eastAsiaTheme="majorEastAsia" w:hAnsi="Arial Narrow" w:cstheme="majorBidi"/>
                <w:b/>
                <w:sz w:val="19"/>
                <w:szCs w:val="19"/>
              </w:rPr>
            </w:pPr>
            <w:r w:rsidRPr="003771DB">
              <w:rPr>
                <w:rFonts w:ascii="Arial Narrow" w:eastAsiaTheme="majorEastAsia" w:hAnsi="Arial Narrow" w:cstheme="majorBidi"/>
                <w:b/>
                <w:sz w:val="19"/>
                <w:szCs w:val="19"/>
              </w:rPr>
              <w:t>Net cost to PBS/RPBS/MBS</w:t>
            </w:r>
          </w:p>
        </w:tc>
        <w:tc>
          <w:tcPr>
            <w:tcW w:w="686" w:type="pct"/>
            <w:shd w:val="clear" w:color="auto" w:fill="auto"/>
            <w:vAlign w:val="center"/>
          </w:tcPr>
          <w:p w14:paraId="3EE450A7" w14:textId="5B420018"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193"/>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193"/>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193"/>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c>
          <w:tcPr>
            <w:tcW w:w="686" w:type="pct"/>
            <w:shd w:val="clear" w:color="auto" w:fill="auto"/>
            <w:vAlign w:val="center"/>
          </w:tcPr>
          <w:p w14:paraId="57F6E02C" w14:textId="24915425"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192"/>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192"/>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192"/>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c>
          <w:tcPr>
            <w:tcW w:w="686" w:type="pct"/>
            <w:shd w:val="clear" w:color="auto" w:fill="auto"/>
            <w:vAlign w:val="center"/>
          </w:tcPr>
          <w:p w14:paraId="3502D918" w14:textId="68184B50"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8"/>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8"/>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8"/>
                <w14:textFill>
                  <w14:solidFill>
                    <w14:srgbClr w14:val="000000">
                      <w14:alpha w14:val="100000"/>
                    </w14:srgbClr>
                  </w14:solidFill>
                </w14:textFill>
              </w:rPr>
              <w:t xml:space="preserve">　</w:t>
            </w:r>
            <w:r w:rsidR="006524FF">
              <w:rPr>
                <w:rFonts w:ascii="Arial Narrow" w:eastAsiaTheme="majorEastAsia" w:hAnsi="Arial Narrow" w:cstheme="majorBidi"/>
                <w:b/>
                <w:sz w:val="20"/>
                <w:vertAlign w:val="superscript"/>
              </w:rPr>
              <w:t>5</w:t>
            </w:r>
          </w:p>
        </w:tc>
        <w:tc>
          <w:tcPr>
            <w:tcW w:w="686" w:type="pct"/>
            <w:shd w:val="clear" w:color="auto" w:fill="auto"/>
            <w:vAlign w:val="center"/>
          </w:tcPr>
          <w:p w14:paraId="494F30C8" w14:textId="3C4B7885"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7"/>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7"/>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7"/>
                <w14:textFill>
                  <w14:solidFill>
                    <w14:srgbClr w14:val="000000">
                      <w14:alpha w14:val="100000"/>
                    </w14:srgbClr>
                  </w14:solidFill>
                </w14:textFill>
              </w:rPr>
              <w:t xml:space="preserve">　</w:t>
            </w:r>
            <w:r w:rsidR="006524FF">
              <w:rPr>
                <w:rFonts w:ascii="Arial Narrow" w:eastAsiaTheme="majorEastAsia" w:hAnsi="Arial Narrow" w:cstheme="majorBidi"/>
                <w:b/>
                <w:sz w:val="20"/>
                <w:vertAlign w:val="superscript"/>
              </w:rPr>
              <w:t>5</w:t>
            </w:r>
          </w:p>
        </w:tc>
        <w:tc>
          <w:tcPr>
            <w:tcW w:w="686" w:type="pct"/>
            <w:shd w:val="clear" w:color="auto" w:fill="auto"/>
            <w:vAlign w:val="center"/>
          </w:tcPr>
          <w:p w14:paraId="7E0F31EF" w14:textId="0C95962A"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6"/>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6"/>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6"/>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c>
          <w:tcPr>
            <w:tcW w:w="688" w:type="pct"/>
            <w:vAlign w:val="center"/>
          </w:tcPr>
          <w:p w14:paraId="27FB9064" w14:textId="0D14F4F4" w:rsidR="00BB53E8" w:rsidRPr="0023515E" w:rsidRDefault="00427AAD" w:rsidP="00D50C48">
            <w:pPr>
              <w:keepNext/>
              <w:jc w:val="center"/>
              <w:rPr>
                <w:rFonts w:ascii="Arial Narrow" w:eastAsiaTheme="majorEastAsia" w:hAnsi="Arial Narrow" w:cstheme="majorBidi"/>
                <w:b/>
                <w:sz w:val="20"/>
                <w:highlight w:val="darkGray"/>
              </w:rPr>
            </w:pPr>
            <w:r>
              <w:rPr>
                <w:rFonts w:ascii="Arial Narrow" w:eastAsiaTheme="majorEastAsia" w:hAnsi="Arial Narrow" w:cstheme="majorBidi"/>
                <w:b/>
                <w:sz w:val="20"/>
              </w:rPr>
              <w:t xml:space="preserve"> </w:t>
            </w:r>
            <w:r w:rsidRPr="00427AAD">
              <w:rPr>
                <w:rFonts w:ascii="Arial Narrow" w:eastAsiaTheme="majorEastAsia" w:hAnsi="Arial Narrow" w:cstheme="majorBidi" w:hint="eastAsia"/>
                <w:b/>
                <w:color w:val="000000"/>
                <w:w w:val="15"/>
                <w:sz w:val="20"/>
                <w:shd w:val="solid" w:color="000000" w:fill="000000"/>
                <w:fitText w:val="50" w:id="-1032062205"/>
                <w14:textFill>
                  <w14:solidFill>
                    <w14:srgbClr w14:val="000000">
                      <w14:alpha w14:val="100000"/>
                    </w14:srgbClr>
                  </w14:solidFill>
                </w14:textFill>
              </w:rPr>
              <w:t xml:space="preserve">　</w:t>
            </w:r>
            <w:r w:rsidRPr="00427AAD">
              <w:rPr>
                <w:rFonts w:ascii="Arial Narrow" w:eastAsiaTheme="majorEastAsia" w:hAnsi="Arial Narrow" w:cstheme="majorBidi"/>
                <w:b/>
                <w:color w:val="000000"/>
                <w:w w:val="15"/>
                <w:sz w:val="20"/>
                <w:shd w:val="solid" w:color="000000" w:fill="000000"/>
                <w:fitText w:val="50" w:id="-1032062205"/>
                <w14:textFill>
                  <w14:solidFill>
                    <w14:srgbClr w14:val="000000">
                      <w14:alpha w14:val="100000"/>
                    </w14:srgbClr>
                  </w14:solidFill>
                </w14:textFill>
              </w:rPr>
              <w:t>|</w:t>
            </w:r>
            <w:r w:rsidRPr="00427AAD">
              <w:rPr>
                <w:rFonts w:ascii="Arial Narrow" w:eastAsiaTheme="majorEastAsia" w:hAnsi="Arial Narrow" w:cstheme="majorBidi" w:hint="eastAsia"/>
                <w:b/>
                <w:color w:val="000000"/>
                <w:spacing w:val="-16"/>
                <w:w w:val="15"/>
                <w:sz w:val="20"/>
                <w:shd w:val="solid" w:color="000000" w:fill="000000"/>
                <w:fitText w:val="50" w:id="-1032062205"/>
                <w14:textFill>
                  <w14:solidFill>
                    <w14:srgbClr w14:val="000000">
                      <w14:alpha w14:val="100000"/>
                    </w14:srgbClr>
                  </w14:solidFill>
                </w14:textFill>
              </w:rPr>
              <w:t xml:space="preserve">　</w:t>
            </w:r>
            <w:r w:rsidR="00C172BF" w:rsidRPr="00F83466">
              <w:rPr>
                <w:rFonts w:ascii="Arial Narrow" w:eastAsiaTheme="majorEastAsia" w:hAnsi="Arial Narrow" w:cstheme="majorBidi"/>
                <w:bCs/>
                <w:sz w:val="20"/>
                <w:vertAlign w:val="superscript"/>
              </w:rPr>
              <w:t>4</w:t>
            </w:r>
          </w:p>
        </w:tc>
      </w:tr>
      <w:tr w:rsidR="00BB53E8" w:rsidRPr="003771DB" w14:paraId="5B572EB9" w14:textId="77777777" w:rsidTr="00D50C48">
        <w:tc>
          <w:tcPr>
            <w:tcW w:w="5000" w:type="pct"/>
            <w:gridSpan w:val="7"/>
            <w:shd w:val="clear" w:color="auto" w:fill="auto"/>
            <w:vAlign w:val="center"/>
          </w:tcPr>
          <w:p w14:paraId="223B6324" w14:textId="77777777" w:rsidR="00BB53E8" w:rsidRPr="003771DB" w:rsidRDefault="00BB53E8" w:rsidP="00D50C48">
            <w:pPr>
              <w:keepNext/>
              <w:jc w:val="left"/>
              <w:rPr>
                <w:rFonts w:ascii="Arial Narrow" w:eastAsiaTheme="majorEastAsia" w:hAnsi="Arial Narrow" w:cs="Times New Roman"/>
                <w:b/>
                <w:sz w:val="20"/>
              </w:rPr>
            </w:pPr>
            <w:r w:rsidRPr="003771DB">
              <w:rPr>
                <w:rFonts w:ascii="Arial Narrow" w:eastAsiaTheme="majorEastAsia" w:hAnsi="Arial Narrow" w:cs="Times New Roman"/>
                <w:b/>
                <w:sz w:val="20"/>
              </w:rPr>
              <w:t>Previous submission (March 2022)</w:t>
            </w:r>
          </w:p>
        </w:tc>
      </w:tr>
      <w:tr w:rsidR="00BB53E8" w:rsidRPr="003771DB" w14:paraId="098B18D5" w14:textId="77777777" w:rsidTr="00D50C48">
        <w:tc>
          <w:tcPr>
            <w:tcW w:w="882" w:type="pct"/>
            <w:shd w:val="clear" w:color="auto" w:fill="auto"/>
            <w:vAlign w:val="center"/>
          </w:tcPr>
          <w:p w14:paraId="3AA85675" w14:textId="77777777" w:rsidR="00BB53E8" w:rsidRPr="003771DB" w:rsidRDefault="00BB53E8" w:rsidP="00D50C48">
            <w:pPr>
              <w:keepNext/>
              <w:jc w:val="left"/>
              <w:rPr>
                <w:rFonts w:ascii="Arial Narrow" w:eastAsiaTheme="majorEastAsia" w:hAnsi="Arial Narrow" w:cstheme="majorBidi"/>
                <w:bCs/>
                <w:sz w:val="19"/>
                <w:szCs w:val="19"/>
              </w:rPr>
            </w:pPr>
            <w:r w:rsidRPr="003771DB">
              <w:rPr>
                <w:rFonts w:ascii="Arial Narrow" w:eastAsiaTheme="majorEastAsia" w:hAnsi="Arial Narrow" w:cstheme="majorBidi"/>
                <w:bCs/>
                <w:sz w:val="20"/>
              </w:rPr>
              <w:t>Number of patients treated</w:t>
            </w:r>
          </w:p>
        </w:tc>
        <w:tc>
          <w:tcPr>
            <w:tcW w:w="686" w:type="pct"/>
            <w:shd w:val="clear" w:color="auto" w:fill="auto"/>
            <w:vAlign w:val="center"/>
          </w:tcPr>
          <w:p w14:paraId="6709ABE1" w14:textId="782CD3B6"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204"/>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204"/>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204"/>
                <w14:textFill>
                  <w14:solidFill>
                    <w14:srgbClr w14:val="000000">
                      <w14:alpha w14:val="100000"/>
                    </w14:srgbClr>
                  </w14:solidFill>
                </w14:textFill>
              </w:rPr>
              <w:t xml:space="preserve">　</w:t>
            </w:r>
            <w:r w:rsidR="00956D1C" w:rsidRPr="00D95954">
              <w:rPr>
                <w:rFonts w:ascii="Arial Narrow" w:eastAsiaTheme="majorEastAsia" w:hAnsi="Arial Narrow" w:cstheme="majorBidi"/>
                <w:bCs/>
                <w:sz w:val="20"/>
                <w:vertAlign w:val="superscript"/>
              </w:rPr>
              <w:t>2</w:t>
            </w:r>
          </w:p>
        </w:tc>
        <w:tc>
          <w:tcPr>
            <w:tcW w:w="686" w:type="pct"/>
            <w:shd w:val="clear" w:color="auto" w:fill="auto"/>
            <w:vAlign w:val="center"/>
          </w:tcPr>
          <w:p w14:paraId="7913CDB9" w14:textId="44BB5C22"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203"/>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203"/>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203"/>
                <w14:textFill>
                  <w14:solidFill>
                    <w14:srgbClr w14:val="000000">
                      <w14:alpha w14:val="100000"/>
                    </w14:srgbClr>
                  </w14:solidFill>
                </w14:textFill>
              </w:rPr>
              <w:t xml:space="preserve">　</w:t>
            </w:r>
            <w:r w:rsidR="004B1D3C" w:rsidRPr="0023515E">
              <w:rPr>
                <w:rFonts w:ascii="Arial Narrow" w:eastAsiaTheme="majorEastAsia" w:hAnsi="Arial Narrow" w:cstheme="majorBidi"/>
                <w:bCs/>
                <w:sz w:val="20"/>
                <w:vertAlign w:val="superscript"/>
              </w:rPr>
              <w:t>9</w:t>
            </w:r>
          </w:p>
        </w:tc>
        <w:tc>
          <w:tcPr>
            <w:tcW w:w="686" w:type="pct"/>
            <w:shd w:val="clear" w:color="auto" w:fill="auto"/>
            <w:vAlign w:val="center"/>
          </w:tcPr>
          <w:p w14:paraId="07C81D22" w14:textId="407EC35B"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40" w:id="-1032062202"/>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40" w:id="-1032062202"/>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25"/>
                <w:w w:val="15"/>
                <w:sz w:val="20"/>
                <w:shd w:val="solid" w:color="000000" w:fill="000000"/>
                <w:fitText w:val="40" w:id="-1032062202"/>
                <w14:textFill>
                  <w14:solidFill>
                    <w14:srgbClr w14:val="000000">
                      <w14:alpha w14:val="100000"/>
                    </w14:srgbClr>
                  </w14:solidFill>
                </w14:textFill>
              </w:rPr>
              <w:t xml:space="preserve">　</w:t>
            </w:r>
            <w:r w:rsidR="00612DEC" w:rsidRPr="0023515E">
              <w:rPr>
                <w:rFonts w:ascii="Arial Narrow" w:eastAsiaTheme="majorEastAsia" w:hAnsi="Arial Narrow" w:cstheme="majorBidi"/>
                <w:bCs/>
                <w:sz w:val="20"/>
                <w:vertAlign w:val="superscript"/>
              </w:rPr>
              <w:t>10</w:t>
            </w:r>
          </w:p>
        </w:tc>
        <w:tc>
          <w:tcPr>
            <w:tcW w:w="686" w:type="pct"/>
            <w:shd w:val="clear" w:color="auto" w:fill="auto"/>
            <w:vAlign w:val="center"/>
          </w:tcPr>
          <w:p w14:paraId="23125C9F" w14:textId="623B68A7"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40" w:id="-1032062201"/>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40" w:id="-1032062201"/>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25"/>
                <w:w w:val="15"/>
                <w:sz w:val="20"/>
                <w:shd w:val="solid" w:color="000000" w:fill="000000"/>
                <w:fitText w:val="40" w:id="-1032062201"/>
                <w14:textFill>
                  <w14:solidFill>
                    <w14:srgbClr w14:val="000000">
                      <w14:alpha w14:val="100000"/>
                    </w14:srgbClr>
                  </w14:solidFill>
                </w14:textFill>
              </w:rPr>
              <w:t xml:space="preserve">　</w:t>
            </w:r>
            <w:r w:rsidR="00B62790" w:rsidRPr="0023515E">
              <w:rPr>
                <w:rFonts w:ascii="Arial Narrow" w:eastAsiaTheme="majorEastAsia" w:hAnsi="Arial Narrow" w:cstheme="majorBidi"/>
                <w:bCs/>
                <w:sz w:val="20"/>
                <w:vertAlign w:val="superscript"/>
              </w:rPr>
              <w:t>11</w:t>
            </w:r>
          </w:p>
        </w:tc>
        <w:tc>
          <w:tcPr>
            <w:tcW w:w="686" w:type="pct"/>
            <w:shd w:val="clear" w:color="auto" w:fill="auto"/>
            <w:vAlign w:val="center"/>
          </w:tcPr>
          <w:p w14:paraId="12780D3E" w14:textId="4AE2BE28"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40" w:id="-1032062200"/>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40" w:id="-1032062200"/>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25"/>
                <w:w w:val="15"/>
                <w:sz w:val="20"/>
                <w:shd w:val="solid" w:color="000000" w:fill="000000"/>
                <w:fitText w:val="40" w:id="-1032062200"/>
                <w14:textFill>
                  <w14:solidFill>
                    <w14:srgbClr w14:val="000000">
                      <w14:alpha w14:val="100000"/>
                    </w14:srgbClr>
                  </w14:solidFill>
                </w14:textFill>
              </w:rPr>
              <w:t xml:space="preserve">　</w:t>
            </w:r>
            <w:r w:rsidR="00434137" w:rsidRPr="0023515E">
              <w:rPr>
                <w:rFonts w:ascii="Arial Narrow" w:eastAsiaTheme="majorEastAsia" w:hAnsi="Arial Narrow" w:cstheme="majorBidi"/>
                <w:bCs/>
                <w:sz w:val="20"/>
                <w:vertAlign w:val="superscript"/>
              </w:rPr>
              <w:t>12</w:t>
            </w:r>
          </w:p>
        </w:tc>
        <w:tc>
          <w:tcPr>
            <w:tcW w:w="686" w:type="pct"/>
            <w:shd w:val="clear" w:color="auto" w:fill="auto"/>
            <w:vAlign w:val="center"/>
          </w:tcPr>
          <w:p w14:paraId="22A0AFF5" w14:textId="5AEF782A"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30" w:id="-1032062199"/>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30" w:id="-1032062199"/>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35"/>
                <w:w w:val="15"/>
                <w:sz w:val="20"/>
                <w:shd w:val="solid" w:color="000000" w:fill="000000"/>
                <w:fitText w:val="30" w:id="-1032062199"/>
                <w14:textFill>
                  <w14:solidFill>
                    <w14:srgbClr w14:val="000000">
                      <w14:alpha w14:val="100000"/>
                    </w14:srgbClr>
                  </w14:solidFill>
                </w14:textFill>
              </w:rPr>
              <w:t xml:space="preserve">　</w:t>
            </w:r>
            <w:r w:rsidR="00434137" w:rsidRPr="0023515E">
              <w:rPr>
                <w:rFonts w:ascii="Arial Narrow" w:eastAsiaTheme="majorEastAsia" w:hAnsi="Arial Narrow" w:cstheme="majorBidi"/>
                <w:bCs/>
                <w:sz w:val="20"/>
                <w:vertAlign w:val="superscript"/>
              </w:rPr>
              <w:t>13</w:t>
            </w:r>
          </w:p>
        </w:tc>
      </w:tr>
      <w:tr w:rsidR="00BB53E8" w:rsidRPr="003771DB" w14:paraId="2A5A05FF" w14:textId="77777777" w:rsidTr="00D50C48">
        <w:tc>
          <w:tcPr>
            <w:tcW w:w="882" w:type="pct"/>
            <w:shd w:val="clear" w:color="auto" w:fill="auto"/>
            <w:vAlign w:val="center"/>
          </w:tcPr>
          <w:p w14:paraId="38445A27" w14:textId="77777777" w:rsidR="00BB53E8" w:rsidRPr="003771DB" w:rsidRDefault="00BB53E8" w:rsidP="00D50C48">
            <w:pPr>
              <w:keepNext/>
              <w:jc w:val="left"/>
              <w:rPr>
                <w:rFonts w:ascii="Arial Narrow" w:eastAsiaTheme="majorEastAsia" w:hAnsi="Arial Narrow" w:cstheme="majorBidi"/>
                <w:bCs/>
                <w:sz w:val="19"/>
                <w:szCs w:val="19"/>
              </w:rPr>
            </w:pPr>
            <w:r w:rsidRPr="003771DB">
              <w:rPr>
                <w:rFonts w:ascii="Arial Narrow" w:eastAsiaTheme="majorEastAsia" w:hAnsi="Arial Narrow" w:cstheme="majorBidi"/>
                <w:bCs/>
                <w:sz w:val="20"/>
              </w:rPr>
              <w:t>Number of scripts dispensed</w:t>
            </w:r>
          </w:p>
        </w:tc>
        <w:tc>
          <w:tcPr>
            <w:tcW w:w="686" w:type="pct"/>
            <w:shd w:val="clear" w:color="auto" w:fill="auto"/>
            <w:vAlign w:val="center"/>
          </w:tcPr>
          <w:p w14:paraId="31435B8B" w14:textId="6B35D63B"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EE4281">
              <w:rPr>
                <w:rFonts w:ascii="Arial Narrow" w:eastAsiaTheme="majorEastAsia" w:hAnsi="Arial Narrow" w:cstheme="majorBidi" w:hint="eastAsia"/>
                <w:bCs/>
                <w:color w:val="000000"/>
                <w:w w:val="15"/>
                <w:sz w:val="20"/>
                <w:shd w:val="solid" w:color="000000" w:fill="000000"/>
                <w:fitText w:val="10" w:id="-1032062198"/>
                <w14:textFill>
                  <w14:solidFill>
                    <w14:srgbClr w14:val="000000">
                      <w14:alpha w14:val="100000"/>
                    </w14:srgbClr>
                  </w14:solidFill>
                </w14:textFill>
              </w:rPr>
              <w:t xml:space="preserve">　</w:t>
            </w:r>
            <w:r w:rsidRPr="00EE4281">
              <w:rPr>
                <w:rFonts w:ascii="Arial Narrow" w:eastAsiaTheme="majorEastAsia" w:hAnsi="Arial Narrow" w:cstheme="majorBidi"/>
                <w:bCs/>
                <w:color w:val="000000"/>
                <w:w w:val="15"/>
                <w:sz w:val="20"/>
                <w:shd w:val="solid" w:color="000000" w:fill="000000"/>
                <w:fitText w:val="10" w:id="-1032062198"/>
                <w14:textFill>
                  <w14:solidFill>
                    <w14:srgbClr w14:val="000000">
                      <w14:alpha w14:val="100000"/>
                    </w14:srgbClr>
                  </w14:solidFill>
                </w14:textFill>
              </w:rPr>
              <w:t>|</w:t>
            </w:r>
            <w:r w:rsidRPr="00EE4281">
              <w:rPr>
                <w:rFonts w:ascii="Arial Narrow" w:eastAsiaTheme="majorEastAsia" w:hAnsi="Arial Narrow" w:cstheme="majorBidi" w:hint="eastAsia"/>
                <w:bCs/>
                <w:color w:val="000000"/>
                <w:spacing w:val="-56"/>
                <w:w w:val="15"/>
                <w:sz w:val="20"/>
                <w:shd w:val="solid" w:color="000000" w:fill="000000"/>
                <w:fitText w:val="10" w:id="-1032062198"/>
                <w14:textFill>
                  <w14:solidFill>
                    <w14:srgbClr w14:val="000000">
                      <w14:alpha w14:val="100000"/>
                    </w14:srgbClr>
                  </w14:solidFill>
                </w14:textFill>
              </w:rPr>
              <w:t xml:space="preserve">　</w:t>
            </w:r>
            <w:r w:rsidR="00060C63" w:rsidRPr="0023515E">
              <w:rPr>
                <w:rFonts w:ascii="Arial Narrow" w:eastAsiaTheme="majorEastAsia" w:hAnsi="Arial Narrow" w:cstheme="majorBidi"/>
                <w:bCs/>
                <w:sz w:val="20"/>
                <w:vertAlign w:val="superscript"/>
              </w:rPr>
              <w:t>3</w:t>
            </w:r>
          </w:p>
        </w:tc>
        <w:tc>
          <w:tcPr>
            <w:tcW w:w="686" w:type="pct"/>
            <w:shd w:val="clear" w:color="auto" w:fill="auto"/>
            <w:vAlign w:val="center"/>
          </w:tcPr>
          <w:p w14:paraId="001BA104" w14:textId="613BB9B1"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40" w:id="-1032062197"/>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40" w:id="-1032062197"/>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25"/>
                <w:w w:val="15"/>
                <w:sz w:val="20"/>
                <w:shd w:val="solid" w:color="000000" w:fill="000000"/>
                <w:fitText w:val="40" w:id="-1032062197"/>
                <w14:textFill>
                  <w14:solidFill>
                    <w14:srgbClr w14:val="000000">
                      <w14:alpha w14:val="100000"/>
                    </w14:srgbClr>
                  </w14:solidFill>
                </w14:textFill>
              </w:rPr>
              <w:t xml:space="preserve">　</w:t>
            </w:r>
            <w:r w:rsidR="00EC17D4" w:rsidRPr="0023515E">
              <w:rPr>
                <w:rFonts w:ascii="Arial Narrow" w:eastAsiaTheme="majorEastAsia" w:hAnsi="Arial Narrow" w:cstheme="majorBidi"/>
                <w:bCs/>
                <w:sz w:val="20"/>
                <w:vertAlign w:val="superscript"/>
              </w:rPr>
              <w:t>14</w:t>
            </w:r>
          </w:p>
        </w:tc>
        <w:tc>
          <w:tcPr>
            <w:tcW w:w="686" w:type="pct"/>
            <w:shd w:val="clear" w:color="auto" w:fill="auto"/>
            <w:vAlign w:val="center"/>
          </w:tcPr>
          <w:p w14:paraId="3EFCCECD" w14:textId="24883385"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40" w:id="-1032062196"/>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40" w:id="-1032062196"/>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25"/>
                <w:w w:val="15"/>
                <w:sz w:val="20"/>
                <w:shd w:val="solid" w:color="000000" w:fill="000000"/>
                <w:fitText w:val="40" w:id="-1032062196"/>
                <w14:textFill>
                  <w14:solidFill>
                    <w14:srgbClr w14:val="000000">
                      <w14:alpha w14:val="100000"/>
                    </w14:srgbClr>
                  </w14:solidFill>
                </w14:textFill>
              </w:rPr>
              <w:t xml:space="preserve">　</w:t>
            </w:r>
            <w:r w:rsidR="00D71D8B">
              <w:rPr>
                <w:rFonts w:ascii="Arial Narrow" w:eastAsiaTheme="majorEastAsia" w:hAnsi="Arial Narrow" w:cstheme="majorBidi"/>
                <w:bCs/>
                <w:sz w:val="20"/>
                <w:vertAlign w:val="superscript"/>
              </w:rPr>
              <w:t>15</w:t>
            </w:r>
          </w:p>
        </w:tc>
        <w:tc>
          <w:tcPr>
            <w:tcW w:w="686" w:type="pct"/>
            <w:shd w:val="clear" w:color="auto" w:fill="auto"/>
            <w:vAlign w:val="center"/>
          </w:tcPr>
          <w:p w14:paraId="039658BB" w14:textId="186267FC"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40" w:id="-1032062195"/>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40" w:id="-1032062195"/>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25"/>
                <w:w w:val="15"/>
                <w:sz w:val="20"/>
                <w:shd w:val="solid" w:color="000000" w:fill="000000"/>
                <w:fitText w:val="40" w:id="-1032062195"/>
                <w14:textFill>
                  <w14:solidFill>
                    <w14:srgbClr w14:val="000000">
                      <w14:alpha w14:val="100000"/>
                    </w14:srgbClr>
                  </w14:solidFill>
                </w14:textFill>
              </w:rPr>
              <w:t xml:space="preserve">　</w:t>
            </w:r>
            <w:r w:rsidR="00D71D8B">
              <w:rPr>
                <w:rFonts w:ascii="Arial Narrow" w:eastAsiaTheme="majorEastAsia" w:hAnsi="Arial Narrow" w:cstheme="majorBidi"/>
                <w:bCs/>
                <w:sz w:val="20"/>
                <w:vertAlign w:val="superscript"/>
              </w:rPr>
              <w:t>16</w:t>
            </w:r>
          </w:p>
        </w:tc>
        <w:tc>
          <w:tcPr>
            <w:tcW w:w="686" w:type="pct"/>
            <w:shd w:val="clear" w:color="auto" w:fill="auto"/>
            <w:vAlign w:val="center"/>
          </w:tcPr>
          <w:p w14:paraId="39D6C005" w14:textId="798D29C5"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40" w:id="-1032062194"/>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40" w:id="-1032062194"/>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25"/>
                <w:w w:val="15"/>
                <w:sz w:val="20"/>
                <w:shd w:val="solid" w:color="000000" w:fill="000000"/>
                <w:fitText w:val="40" w:id="-1032062194"/>
                <w14:textFill>
                  <w14:solidFill>
                    <w14:srgbClr w14:val="000000">
                      <w14:alpha w14:val="100000"/>
                    </w14:srgbClr>
                  </w14:solidFill>
                </w14:textFill>
              </w:rPr>
              <w:t xml:space="preserve">　</w:t>
            </w:r>
            <w:r w:rsidR="00D71D8B" w:rsidRPr="0023515E">
              <w:rPr>
                <w:rFonts w:ascii="Arial Narrow" w:eastAsiaTheme="majorEastAsia" w:hAnsi="Arial Narrow" w:cstheme="majorBidi"/>
                <w:bCs/>
                <w:sz w:val="20"/>
                <w:vertAlign w:val="superscript"/>
              </w:rPr>
              <w:t>17</w:t>
            </w:r>
          </w:p>
        </w:tc>
        <w:tc>
          <w:tcPr>
            <w:tcW w:w="686" w:type="pct"/>
            <w:shd w:val="clear" w:color="auto" w:fill="auto"/>
            <w:vAlign w:val="center"/>
          </w:tcPr>
          <w:p w14:paraId="7E916198" w14:textId="2AD79AB9" w:rsidR="00BB53E8" w:rsidRPr="0023515E" w:rsidRDefault="00427AAD" w:rsidP="00D50C48">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427AAD">
              <w:rPr>
                <w:rFonts w:ascii="Arial Narrow" w:eastAsiaTheme="majorEastAsia" w:hAnsi="Arial Narrow" w:cstheme="majorBidi" w:hint="eastAsia"/>
                <w:bCs/>
                <w:color w:val="000000"/>
                <w:w w:val="15"/>
                <w:sz w:val="20"/>
                <w:shd w:val="solid" w:color="000000" w:fill="000000"/>
                <w:fitText w:val="30" w:id="-1032062193"/>
                <w14:textFill>
                  <w14:solidFill>
                    <w14:srgbClr w14:val="000000">
                      <w14:alpha w14:val="100000"/>
                    </w14:srgbClr>
                  </w14:solidFill>
                </w14:textFill>
              </w:rPr>
              <w:t xml:space="preserve">　</w:t>
            </w:r>
            <w:r w:rsidRPr="00427AAD">
              <w:rPr>
                <w:rFonts w:ascii="Arial Narrow" w:eastAsiaTheme="majorEastAsia" w:hAnsi="Arial Narrow" w:cstheme="majorBidi"/>
                <w:bCs/>
                <w:color w:val="000000"/>
                <w:w w:val="15"/>
                <w:sz w:val="20"/>
                <w:shd w:val="solid" w:color="000000" w:fill="000000"/>
                <w:fitText w:val="30" w:id="-1032062193"/>
                <w14:textFill>
                  <w14:solidFill>
                    <w14:srgbClr w14:val="000000">
                      <w14:alpha w14:val="100000"/>
                    </w14:srgbClr>
                  </w14:solidFill>
                </w14:textFill>
              </w:rPr>
              <w:t>|</w:t>
            </w:r>
            <w:r w:rsidRPr="00427AAD">
              <w:rPr>
                <w:rFonts w:ascii="Arial Narrow" w:eastAsiaTheme="majorEastAsia" w:hAnsi="Arial Narrow" w:cstheme="majorBidi" w:hint="eastAsia"/>
                <w:bCs/>
                <w:color w:val="000000"/>
                <w:spacing w:val="-35"/>
                <w:w w:val="15"/>
                <w:sz w:val="20"/>
                <w:shd w:val="solid" w:color="000000" w:fill="000000"/>
                <w:fitText w:val="30" w:id="-1032062193"/>
                <w14:textFill>
                  <w14:solidFill>
                    <w14:srgbClr w14:val="000000">
                      <w14:alpha w14:val="100000"/>
                    </w14:srgbClr>
                  </w14:solidFill>
                </w14:textFill>
              </w:rPr>
              <w:t xml:space="preserve">　</w:t>
            </w:r>
            <w:r w:rsidR="00D71D8B">
              <w:rPr>
                <w:rFonts w:ascii="Arial Narrow" w:eastAsiaTheme="majorEastAsia" w:hAnsi="Arial Narrow" w:cstheme="majorBidi"/>
                <w:bCs/>
                <w:sz w:val="20"/>
                <w:vertAlign w:val="superscript"/>
              </w:rPr>
              <w:t>18</w:t>
            </w:r>
          </w:p>
        </w:tc>
      </w:tr>
      <w:tr w:rsidR="00BB53E8" w:rsidRPr="003771DB" w14:paraId="1AC9AD09" w14:textId="77777777" w:rsidTr="00D50C48">
        <w:tc>
          <w:tcPr>
            <w:tcW w:w="882" w:type="pct"/>
            <w:shd w:val="clear" w:color="auto" w:fill="auto"/>
            <w:vAlign w:val="center"/>
          </w:tcPr>
          <w:p w14:paraId="5AA4D230" w14:textId="5173A90F" w:rsidR="00BB53E8" w:rsidRPr="003771DB" w:rsidRDefault="00BB53E8" w:rsidP="00D50C48">
            <w:pPr>
              <w:keepNext/>
              <w:jc w:val="left"/>
              <w:rPr>
                <w:rFonts w:ascii="Arial Narrow" w:eastAsiaTheme="majorEastAsia" w:hAnsi="Arial Narrow" w:cstheme="majorBidi"/>
                <w:b/>
                <w:sz w:val="19"/>
                <w:szCs w:val="19"/>
              </w:rPr>
            </w:pPr>
            <w:r w:rsidRPr="003771DB">
              <w:rPr>
                <w:rFonts w:ascii="Arial Narrow" w:eastAsiaTheme="majorEastAsia" w:hAnsi="Arial Narrow" w:cstheme="majorBidi"/>
                <w:b/>
                <w:sz w:val="19"/>
                <w:szCs w:val="19"/>
              </w:rPr>
              <w:t xml:space="preserve">Cost to PBS/RPBS less </w:t>
            </w:r>
            <w:r w:rsidR="00FF2017" w:rsidRPr="003771DB">
              <w:rPr>
                <w:rFonts w:ascii="Arial Narrow" w:eastAsiaTheme="majorEastAsia" w:hAnsi="Arial Narrow" w:cstheme="majorBidi"/>
                <w:b/>
                <w:sz w:val="19"/>
                <w:szCs w:val="19"/>
              </w:rPr>
              <w:t>co-payments</w:t>
            </w:r>
          </w:p>
        </w:tc>
        <w:tc>
          <w:tcPr>
            <w:tcW w:w="686" w:type="pct"/>
            <w:shd w:val="clear" w:color="auto" w:fill="auto"/>
            <w:vAlign w:val="center"/>
          </w:tcPr>
          <w:p w14:paraId="00207161" w14:textId="68AD2120" w:rsidR="00BB53E8" w:rsidRPr="0023515E" w:rsidRDefault="00427AAD" w:rsidP="00D50C48">
            <w:pPr>
              <w:keepNext/>
              <w:jc w:val="center"/>
              <w:rPr>
                <w:rFonts w:ascii="Arial Narrow" w:eastAsiaTheme="majorEastAsia" w:hAnsi="Arial Narrow" w:cstheme="majorBidi"/>
                <w:b/>
                <w:iCs/>
                <w:sz w:val="20"/>
                <w:highlight w:val="darkGray"/>
              </w:rPr>
            </w:pPr>
            <w:r>
              <w:rPr>
                <w:rFonts w:ascii="Arial Narrow" w:eastAsiaTheme="majorEastAsia" w:hAnsi="Arial Narrow" w:cstheme="majorBidi"/>
                <w:b/>
                <w:iCs/>
                <w:sz w:val="20"/>
              </w:rPr>
              <w:t xml:space="preserve"> </w:t>
            </w:r>
            <w:r w:rsidRPr="00427AAD">
              <w:rPr>
                <w:rFonts w:ascii="Arial Narrow" w:eastAsiaTheme="majorEastAsia" w:hAnsi="Arial Narrow" w:cstheme="majorBidi" w:hint="eastAsia"/>
                <w:b/>
                <w:iCs/>
                <w:color w:val="000000"/>
                <w:w w:val="17"/>
                <w:sz w:val="20"/>
                <w:shd w:val="solid" w:color="000000" w:fill="000000"/>
                <w:fitText w:val="80" w:id="-1032062192"/>
                <w14:textFill>
                  <w14:solidFill>
                    <w14:srgbClr w14:val="000000">
                      <w14:alpha w14:val="100000"/>
                    </w14:srgbClr>
                  </w14:solidFill>
                </w14:textFill>
              </w:rPr>
              <w:t xml:space="preserve">　</w:t>
            </w:r>
            <w:r w:rsidRPr="00427AAD">
              <w:rPr>
                <w:rFonts w:ascii="Arial Narrow" w:eastAsiaTheme="majorEastAsia" w:hAnsi="Arial Narrow" w:cstheme="majorBidi"/>
                <w:b/>
                <w:iCs/>
                <w:color w:val="000000"/>
                <w:w w:val="17"/>
                <w:sz w:val="20"/>
                <w:shd w:val="solid" w:color="000000" w:fill="000000"/>
                <w:fitText w:val="80" w:id="-1032062192"/>
                <w14:textFill>
                  <w14:solidFill>
                    <w14:srgbClr w14:val="000000">
                      <w14:alpha w14:val="100000"/>
                    </w14:srgbClr>
                  </w14:solidFill>
                </w14:textFill>
              </w:rPr>
              <w:t>|</w:t>
            </w:r>
            <w:r w:rsidRPr="00427AAD">
              <w:rPr>
                <w:rFonts w:ascii="Arial Narrow" w:eastAsiaTheme="majorEastAsia" w:hAnsi="Arial Narrow" w:cstheme="majorBidi" w:hint="eastAsia"/>
                <w:b/>
                <w:iCs/>
                <w:color w:val="000000"/>
                <w:spacing w:val="6"/>
                <w:w w:val="17"/>
                <w:sz w:val="20"/>
                <w:shd w:val="solid" w:color="000000" w:fill="000000"/>
                <w:fitText w:val="80" w:id="-1032062192"/>
                <w14:textFill>
                  <w14:solidFill>
                    <w14:srgbClr w14:val="000000">
                      <w14:alpha w14:val="100000"/>
                    </w14:srgbClr>
                  </w14:solidFill>
                </w14:textFill>
              </w:rPr>
              <w:t xml:space="preserve">　</w:t>
            </w:r>
            <w:r w:rsidR="0024654D" w:rsidRPr="0023515E">
              <w:rPr>
                <w:rFonts w:ascii="Arial Narrow" w:eastAsiaTheme="majorEastAsia" w:hAnsi="Arial Narrow" w:cstheme="majorBidi"/>
                <w:b/>
                <w:iCs/>
                <w:sz w:val="20"/>
                <w:vertAlign w:val="superscript"/>
              </w:rPr>
              <w:t>19</w:t>
            </w:r>
          </w:p>
        </w:tc>
        <w:tc>
          <w:tcPr>
            <w:tcW w:w="686" w:type="pct"/>
            <w:shd w:val="clear" w:color="auto" w:fill="auto"/>
            <w:vAlign w:val="center"/>
          </w:tcPr>
          <w:p w14:paraId="77AA45F7" w14:textId="7AB798F2" w:rsidR="00BB53E8" w:rsidRPr="0023515E" w:rsidRDefault="00427AAD" w:rsidP="00D50C48">
            <w:pPr>
              <w:keepNext/>
              <w:jc w:val="center"/>
              <w:rPr>
                <w:rFonts w:ascii="Arial Narrow" w:eastAsiaTheme="majorEastAsia" w:hAnsi="Arial Narrow" w:cstheme="majorBidi"/>
                <w:b/>
                <w:iCs/>
                <w:sz w:val="20"/>
                <w:highlight w:val="darkGray"/>
              </w:rPr>
            </w:pPr>
            <w:r>
              <w:rPr>
                <w:rFonts w:ascii="Arial Narrow" w:eastAsiaTheme="majorEastAsia" w:hAnsi="Arial Narrow" w:cstheme="majorBidi"/>
                <w:b/>
                <w:iCs/>
                <w:sz w:val="20"/>
              </w:rPr>
              <w:t xml:space="preserve"> </w:t>
            </w:r>
            <w:r w:rsidRPr="00427AAD">
              <w:rPr>
                <w:rFonts w:ascii="Arial Narrow" w:eastAsiaTheme="majorEastAsia" w:hAnsi="Arial Narrow" w:cstheme="majorBidi" w:hint="eastAsia"/>
                <w:b/>
                <w:iCs/>
                <w:color w:val="000000"/>
                <w:w w:val="17"/>
                <w:sz w:val="20"/>
                <w:shd w:val="solid" w:color="000000" w:fill="000000"/>
                <w:fitText w:val="80" w:id="-1032062208"/>
                <w14:textFill>
                  <w14:solidFill>
                    <w14:srgbClr w14:val="000000">
                      <w14:alpha w14:val="100000"/>
                    </w14:srgbClr>
                  </w14:solidFill>
                </w14:textFill>
              </w:rPr>
              <w:t xml:space="preserve">　</w:t>
            </w:r>
            <w:r w:rsidRPr="00427AAD">
              <w:rPr>
                <w:rFonts w:ascii="Arial Narrow" w:eastAsiaTheme="majorEastAsia" w:hAnsi="Arial Narrow" w:cstheme="majorBidi"/>
                <w:b/>
                <w:iCs/>
                <w:color w:val="000000"/>
                <w:w w:val="17"/>
                <w:sz w:val="20"/>
                <w:shd w:val="solid" w:color="000000" w:fill="000000"/>
                <w:fitText w:val="80" w:id="-1032062208"/>
                <w14:textFill>
                  <w14:solidFill>
                    <w14:srgbClr w14:val="000000">
                      <w14:alpha w14:val="100000"/>
                    </w14:srgbClr>
                  </w14:solidFill>
                </w14:textFill>
              </w:rPr>
              <w:t>|</w:t>
            </w:r>
            <w:r w:rsidRPr="00427AAD">
              <w:rPr>
                <w:rFonts w:ascii="Arial Narrow" w:eastAsiaTheme="majorEastAsia" w:hAnsi="Arial Narrow" w:cstheme="majorBidi" w:hint="eastAsia"/>
                <w:b/>
                <w:iCs/>
                <w:color w:val="000000"/>
                <w:spacing w:val="6"/>
                <w:w w:val="17"/>
                <w:sz w:val="20"/>
                <w:shd w:val="solid" w:color="000000" w:fill="000000"/>
                <w:fitText w:val="80" w:id="-1032062208"/>
                <w14:textFill>
                  <w14:solidFill>
                    <w14:srgbClr w14:val="000000">
                      <w14:alpha w14:val="100000"/>
                    </w14:srgbClr>
                  </w14:solidFill>
                </w14:textFill>
              </w:rPr>
              <w:t xml:space="preserve">　</w:t>
            </w:r>
            <w:r w:rsidR="00E6769F" w:rsidRPr="0023515E">
              <w:rPr>
                <w:rFonts w:ascii="Arial Narrow" w:eastAsiaTheme="majorEastAsia" w:hAnsi="Arial Narrow" w:cstheme="majorBidi"/>
                <w:b/>
                <w:iCs/>
                <w:sz w:val="20"/>
                <w:vertAlign w:val="superscript"/>
              </w:rPr>
              <w:t>20</w:t>
            </w:r>
          </w:p>
        </w:tc>
        <w:tc>
          <w:tcPr>
            <w:tcW w:w="686" w:type="pct"/>
            <w:shd w:val="clear" w:color="auto" w:fill="auto"/>
            <w:vAlign w:val="center"/>
          </w:tcPr>
          <w:p w14:paraId="5A4B099E" w14:textId="5A608E77" w:rsidR="00BB53E8" w:rsidRPr="0023515E" w:rsidRDefault="00427AAD" w:rsidP="00D50C48">
            <w:pPr>
              <w:keepNext/>
              <w:jc w:val="center"/>
              <w:rPr>
                <w:rFonts w:ascii="Arial Narrow" w:eastAsiaTheme="majorEastAsia" w:hAnsi="Arial Narrow" w:cstheme="majorBidi"/>
                <w:b/>
                <w:iCs/>
                <w:sz w:val="20"/>
                <w:highlight w:val="darkGray"/>
              </w:rPr>
            </w:pPr>
            <w:r>
              <w:rPr>
                <w:rFonts w:ascii="Arial Narrow" w:eastAsiaTheme="majorEastAsia" w:hAnsi="Arial Narrow" w:cstheme="majorBidi"/>
                <w:b/>
                <w:iCs/>
                <w:sz w:val="20"/>
              </w:rPr>
              <w:t xml:space="preserve"> </w:t>
            </w:r>
            <w:r w:rsidRPr="00427AAD">
              <w:rPr>
                <w:rFonts w:ascii="Arial Narrow" w:eastAsiaTheme="majorEastAsia" w:hAnsi="Arial Narrow" w:cstheme="majorBidi" w:hint="eastAsia"/>
                <w:b/>
                <w:iCs/>
                <w:color w:val="000000"/>
                <w:w w:val="17"/>
                <w:sz w:val="20"/>
                <w:shd w:val="solid" w:color="000000" w:fill="000000"/>
                <w:fitText w:val="80" w:id="-1032062207"/>
                <w14:textFill>
                  <w14:solidFill>
                    <w14:srgbClr w14:val="000000">
                      <w14:alpha w14:val="100000"/>
                    </w14:srgbClr>
                  </w14:solidFill>
                </w14:textFill>
              </w:rPr>
              <w:t xml:space="preserve">　</w:t>
            </w:r>
            <w:r w:rsidRPr="00427AAD">
              <w:rPr>
                <w:rFonts w:ascii="Arial Narrow" w:eastAsiaTheme="majorEastAsia" w:hAnsi="Arial Narrow" w:cstheme="majorBidi"/>
                <w:b/>
                <w:iCs/>
                <w:color w:val="000000"/>
                <w:w w:val="17"/>
                <w:sz w:val="20"/>
                <w:shd w:val="solid" w:color="000000" w:fill="000000"/>
                <w:fitText w:val="80" w:id="-1032062207"/>
                <w14:textFill>
                  <w14:solidFill>
                    <w14:srgbClr w14:val="000000">
                      <w14:alpha w14:val="100000"/>
                    </w14:srgbClr>
                  </w14:solidFill>
                </w14:textFill>
              </w:rPr>
              <w:t>|</w:t>
            </w:r>
            <w:r w:rsidRPr="00427AAD">
              <w:rPr>
                <w:rFonts w:ascii="Arial Narrow" w:eastAsiaTheme="majorEastAsia" w:hAnsi="Arial Narrow" w:cstheme="majorBidi" w:hint="eastAsia"/>
                <w:b/>
                <w:iCs/>
                <w:color w:val="000000"/>
                <w:spacing w:val="6"/>
                <w:w w:val="17"/>
                <w:sz w:val="20"/>
                <w:shd w:val="solid" w:color="000000" w:fill="000000"/>
                <w:fitText w:val="80" w:id="-1032062207"/>
                <w14:textFill>
                  <w14:solidFill>
                    <w14:srgbClr w14:val="000000">
                      <w14:alpha w14:val="100000"/>
                    </w14:srgbClr>
                  </w14:solidFill>
                </w14:textFill>
              </w:rPr>
              <w:t xml:space="preserve">　</w:t>
            </w:r>
            <w:r w:rsidR="00E6769F" w:rsidRPr="00F83466">
              <w:rPr>
                <w:rFonts w:ascii="Arial Narrow" w:eastAsiaTheme="majorEastAsia" w:hAnsi="Arial Narrow" w:cstheme="majorBidi"/>
                <w:b/>
                <w:iCs/>
                <w:sz w:val="20"/>
                <w:vertAlign w:val="superscript"/>
              </w:rPr>
              <w:t>20</w:t>
            </w:r>
          </w:p>
        </w:tc>
        <w:tc>
          <w:tcPr>
            <w:tcW w:w="686" w:type="pct"/>
            <w:shd w:val="clear" w:color="auto" w:fill="auto"/>
            <w:vAlign w:val="center"/>
          </w:tcPr>
          <w:p w14:paraId="0BBCE86A" w14:textId="69C83728" w:rsidR="00BB53E8" w:rsidRPr="0023515E" w:rsidRDefault="00427AAD" w:rsidP="00D50C48">
            <w:pPr>
              <w:keepNext/>
              <w:jc w:val="center"/>
              <w:rPr>
                <w:rFonts w:ascii="Arial Narrow" w:eastAsiaTheme="majorEastAsia" w:hAnsi="Arial Narrow" w:cstheme="majorBidi"/>
                <w:b/>
                <w:iCs/>
                <w:sz w:val="20"/>
                <w:highlight w:val="darkGray"/>
              </w:rPr>
            </w:pPr>
            <w:r>
              <w:rPr>
                <w:rFonts w:ascii="Arial Narrow" w:eastAsiaTheme="majorEastAsia" w:hAnsi="Arial Narrow" w:cstheme="majorBidi"/>
                <w:b/>
                <w:iCs/>
                <w:sz w:val="20"/>
              </w:rPr>
              <w:t xml:space="preserve"> </w:t>
            </w:r>
            <w:r w:rsidRPr="00427AAD">
              <w:rPr>
                <w:rFonts w:ascii="Arial Narrow" w:eastAsiaTheme="majorEastAsia" w:hAnsi="Arial Narrow" w:cstheme="majorBidi" w:hint="eastAsia"/>
                <w:b/>
                <w:iCs/>
                <w:color w:val="000000"/>
                <w:w w:val="17"/>
                <w:sz w:val="20"/>
                <w:shd w:val="solid" w:color="000000" w:fill="000000"/>
                <w:fitText w:val="80" w:id="-1032062206"/>
                <w14:textFill>
                  <w14:solidFill>
                    <w14:srgbClr w14:val="000000">
                      <w14:alpha w14:val="100000"/>
                    </w14:srgbClr>
                  </w14:solidFill>
                </w14:textFill>
              </w:rPr>
              <w:t xml:space="preserve">　</w:t>
            </w:r>
            <w:r w:rsidRPr="00427AAD">
              <w:rPr>
                <w:rFonts w:ascii="Arial Narrow" w:eastAsiaTheme="majorEastAsia" w:hAnsi="Arial Narrow" w:cstheme="majorBidi"/>
                <w:b/>
                <w:iCs/>
                <w:color w:val="000000"/>
                <w:w w:val="17"/>
                <w:sz w:val="20"/>
                <w:shd w:val="solid" w:color="000000" w:fill="000000"/>
                <w:fitText w:val="80" w:id="-1032062206"/>
                <w14:textFill>
                  <w14:solidFill>
                    <w14:srgbClr w14:val="000000">
                      <w14:alpha w14:val="100000"/>
                    </w14:srgbClr>
                  </w14:solidFill>
                </w14:textFill>
              </w:rPr>
              <w:t>|</w:t>
            </w:r>
            <w:r w:rsidRPr="00427AAD">
              <w:rPr>
                <w:rFonts w:ascii="Arial Narrow" w:eastAsiaTheme="majorEastAsia" w:hAnsi="Arial Narrow" w:cstheme="majorBidi" w:hint="eastAsia"/>
                <w:b/>
                <w:iCs/>
                <w:color w:val="000000"/>
                <w:spacing w:val="6"/>
                <w:w w:val="17"/>
                <w:sz w:val="20"/>
                <w:shd w:val="solid" w:color="000000" w:fill="000000"/>
                <w:fitText w:val="80" w:id="-1032062206"/>
                <w14:textFill>
                  <w14:solidFill>
                    <w14:srgbClr w14:val="000000">
                      <w14:alpha w14:val="100000"/>
                    </w14:srgbClr>
                  </w14:solidFill>
                </w14:textFill>
              </w:rPr>
              <w:t xml:space="preserve">　</w:t>
            </w:r>
            <w:r w:rsidR="00E6769F" w:rsidRPr="00F83466">
              <w:rPr>
                <w:rFonts w:ascii="Arial Narrow" w:eastAsiaTheme="majorEastAsia" w:hAnsi="Arial Narrow" w:cstheme="majorBidi"/>
                <w:b/>
                <w:iCs/>
                <w:sz w:val="20"/>
                <w:vertAlign w:val="superscript"/>
              </w:rPr>
              <w:t>20</w:t>
            </w:r>
          </w:p>
        </w:tc>
        <w:tc>
          <w:tcPr>
            <w:tcW w:w="686" w:type="pct"/>
            <w:shd w:val="clear" w:color="auto" w:fill="auto"/>
            <w:vAlign w:val="center"/>
          </w:tcPr>
          <w:p w14:paraId="692CE134" w14:textId="521EB5D2" w:rsidR="00BB53E8" w:rsidRPr="0023515E" w:rsidRDefault="00427AAD" w:rsidP="00D50C48">
            <w:pPr>
              <w:keepNext/>
              <w:jc w:val="center"/>
              <w:rPr>
                <w:rFonts w:ascii="Arial Narrow" w:eastAsiaTheme="majorEastAsia" w:hAnsi="Arial Narrow" w:cstheme="majorBidi"/>
                <w:b/>
                <w:iCs/>
                <w:sz w:val="20"/>
                <w:highlight w:val="darkGray"/>
              </w:rPr>
            </w:pPr>
            <w:r>
              <w:rPr>
                <w:rFonts w:ascii="Arial Narrow" w:eastAsiaTheme="majorEastAsia" w:hAnsi="Arial Narrow" w:cstheme="majorBidi"/>
                <w:b/>
                <w:iCs/>
                <w:sz w:val="20"/>
              </w:rPr>
              <w:t xml:space="preserve"> </w:t>
            </w:r>
            <w:r w:rsidRPr="00427AAD">
              <w:rPr>
                <w:rFonts w:ascii="Arial Narrow" w:eastAsiaTheme="majorEastAsia" w:hAnsi="Arial Narrow" w:cstheme="majorBidi" w:hint="eastAsia"/>
                <w:b/>
                <w:iCs/>
                <w:color w:val="000000"/>
                <w:w w:val="17"/>
                <w:sz w:val="20"/>
                <w:shd w:val="solid" w:color="000000" w:fill="000000"/>
                <w:fitText w:val="80" w:id="-1032062205"/>
                <w14:textFill>
                  <w14:solidFill>
                    <w14:srgbClr w14:val="000000">
                      <w14:alpha w14:val="100000"/>
                    </w14:srgbClr>
                  </w14:solidFill>
                </w14:textFill>
              </w:rPr>
              <w:t xml:space="preserve">　</w:t>
            </w:r>
            <w:r w:rsidRPr="00427AAD">
              <w:rPr>
                <w:rFonts w:ascii="Arial Narrow" w:eastAsiaTheme="majorEastAsia" w:hAnsi="Arial Narrow" w:cstheme="majorBidi"/>
                <w:b/>
                <w:iCs/>
                <w:color w:val="000000"/>
                <w:w w:val="17"/>
                <w:sz w:val="20"/>
                <w:shd w:val="solid" w:color="000000" w:fill="000000"/>
                <w:fitText w:val="80" w:id="-1032062205"/>
                <w14:textFill>
                  <w14:solidFill>
                    <w14:srgbClr w14:val="000000">
                      <w14:alpha w14:val="100000"/>
                    </w14:srgbClr>
                  </w14:solidFill>
                </w14:textFill>
              </w:rPr>
              <w:t>|</w:t>
            </w:r>
            <w:r w:rsidRPr="00427AAD">
              <w:rPr>
                <w:rFonts w:ascii="Arial Narrow" w:eastAsiaTheme="majorEastAsia" w:hAnsi="Arial Narrow" w:cstheme="majorBidi" w:hint="eastAsia"/>
                <w:b/>
                <w:iCs/>
                <w:color w:val="000000"/>
                <w:spacing w:val="6"/>
                <w:w w:val="17"/>
                <w:sz w:val="20"/>
                <w:shd w:val="solid" w:color="000000" w:fill="000000"/>
                <w:fitText w:val="80" w:id="-1032062205"/>
                <w14:textFill>
                  <w14:solidFill>
                    <w14:srgbClr w14:val="000000">
                      <w14:alpha w14:val="100000"/>
                    </w14:srgbClr>
                  </w14:solidFill>
                </w14:textFill>
              </w:rPr>
              <w:t xml:space="preserve">　</w:t>
            </w:r>
            <w:r w:rsidR="00E6769F" w:rsidRPr="00F83466">
              <w:rPr>
                <w:rFonts w:ascii="Arial Narrow" w:eastAsiaTheme="majorEastAsia" w:hAnsi="Arial Narrow" w:cstheme="majorBidi"/>
                <w:b/>
                <w:iCs/>
                <w:sz w:val="20"/>
                <w:vertAlign w:val="superscript"/>
              </w:rPr>
              <w:t>20</w:t>
            </w:r>
          </w:p>
        </w:tc>
        <w:tc>
          <w:tcPr>
            <w:tcW w:w="686" w:type="pct"/>
            <w:shd w:val="clear" w:color="auto" w:fill="auto"/>
            <w:vAlign w:val="center"/>
          </w:tcPr>
          <w:p w14:paraId="79C878A8" w14:textId="39BEEF2C" w:rsidR="00BB53E8" w:rsidRPr="0023515E" w:rsidRDefault="00427AAD" w:rsidP="00D50C48">
            <w:pPr>
              <w:keepNext/>
              <w:jc w:val="center"/>
              <w:rPr>
                <w:rFonts w:ascii="Arial Narrow" w:eastAsiaTheme="majorEastAsia" w:hAnsi="Arial Narrow" w:cstheme="majorBidi"/>
                <w:b/>
                <w:iCs/>
                <w:sz w:val="20"/>
                <w:highlight w:val="darkGray"/>
              </w:rPr>
            </w:pPr>
            <w:r>
              <w:rPr>
                <w:rFonts w:ascii="Arial Narrow" w:eastAsiaTheme="majorEastAsia" w:hAnsi="Arial Narrow" w:cstheme="majorBidi"/>
                <w:b/>
                <w:iCs/>
                <w:sz w:val="20"/>
              </w:rPr>
              <w:t xml:space="preserve"> </w:t>
            </w:r>
            <w:r w:rsidRPr="00427AAD">
              <w:rPr>
                <w:rFonts w:ascii="Arial Narrow" w:eastAsiaTheme="majorEastAsia" w:hAnsi="Arial Narrow" w:cstheme="majorBidi" w:hint="eastAsia"/>
                <w:b/>
                <w:iCs/>
                <w:color w:val="000000"/>
                <w:w w:val="17"/>
                <w:sz w:val="20"/>
                <w:shd w:val="solid" w:color="000000" w:fill="000000"/>
                <w:fitText w:val="80" w:id="-1032062204"/>
                <w14:textFill>
                  <w14:solidFill>
                    <w14:srgbClr w14:val="000000">
                      <w14:alpha w14:val="100000"/>
                    </w14:srgbClr>
                  </w14:solidFill>
                </w14:textFill>
              </w:rPr>
              <w:t xml:space="preserve">　</w:t>
            </w:r>
            <w:r w:rsidRPr="00427AAD">
              <w:rPr>
                <w:rFonts w:ascii="Arial Narrow" w:eastAsiaTheme="majorEastAsia" w:hAnsi="Arial Narrow" w:cstheme="majorBidi"/>
                <w:b/>
                <w:iCs/>
                <w:color w:val="000000"/>
                <w:w w:val="17"/>
                <w:sz w:val="20"/>
                <w:shd w:val="solid" w:color="000000" w:fill="000000"/>
                <w:fitText w:val="80" w:id="-1032062204"/>
                <w14:textFill>
                  <w14:solidFill>
                    <w14:srgbClr w14:val="000000">
                      <w14:alpha w14:val="100000"/>
                    </w14:srgbClr>
                  </w14:solidFill>
                </w14:textFill>
              </w:rPr>
              <w:t>|</w:t>
            </w:r>
            <w:r w:rsidRPr="00427AAD">
              <w:rPr>
                <w:rFonts w:ascii="Arial Narrow" w:eastAsiaTheme="majorEastAsia" w:hAnsi="Arial Narrow" w:cstheme="majorBidi" w:hint="eastAsia"/>
                <w:b/>
                <w:iCs/>
                <w:color w:val="000000"/>
                <w:spacing w:val="6"/>
                <w:w w:val="17"/>
                <w:sz w:val="20"/>
                <w:shd w:val="solid" w:color="000000" w:fill="000000"/>
                <w:fitText w:val="80" w:id="-1032062204"/>
                <w14:textFill>
                  <w14:solidFill>
                    <w14:srgbClr w14:val="000000">
                      <w14:alpha w14:val="100000"/>
                    </w14:srgbClr>
                  </w14:solidFill>
                </w14:textFill>
              </w:rPr>
              <w:t xml:space="preserve">　</w:t>
            </w:r>
            <w:r w:rsidR="00035A6C" w:rsidRPr="00F83466">
              <w:rPr>
                <w:rFonts w:ascii="Arial Narrow" w:eastAsiaTheme="majorEastAsia" w:hAnsi="Arial Narrow" w:cstheme="majorBidi"/>
                <w:b/>
                <w:iCs/>
                <w:sz w:val="20"/>
                <w:vertAlign w:val="superscript"/>
              </w:rPr>
              <w:t>20</w:t>
            </w:r>
          </w:p>
        </w:tc>
      </w:tr>
    </w:tbl>
    <w:p w14:paraId="45FFEA3E" w14:textId="77777777" w:rsidR="00BB53E8" w:rsidRPr="003771DB" w:rsidRDefault="00BB53E8" w:rsidP="00BB53E8">
      <w:pPr>
        <w:spacing w:after="120"/>
        <w:contextualSpacing/>
        <w:rPr>
          <w:rFonts w:ascii="Arial Narrow" w:hAnsi="Arial Narrow"/>
          <w:sz w:val="18"/>
          <w:szCs w:val="22"/>
        </w:rPr>
      </w:pPr>
      <w:r w:rsidRPr="003771DB">
        <w:rPr>
          <w:rFonts w:ascii="Arial Narrow" w:hAnsi="Arial Narrow"/>
          <w:sz w:val="18"/>
          <w:szCs w:val="22"/>
        </w:rPr>
        <w:t xml:space="preserve">Source: Table 19, p35 of the commentary on the resubmission. </w:t>
      </w:r>
    </w:p>
    <w:p w14:paraId="05CA1A4E" w14:textId="0A13913B" w:rsidR="00BB53E8" w:rsidRDefault="00BB53E8" w:rsidP="00BB53E8">
      <w:pPr>
        <w:spacing w:after="120"/>
        <w:contextualSpacing/>
        <w:rPr>
          <w:rFonts w:ascii="Arial Narrow" w:hAnsi="Arial Narrow"/>
          <w:sz w:val="18"/>
          <w:szCs w:val="22"/>
        </w:rPr>
      </w:pPr>
      <w:r w:rsidRPr="003771DB">
        <w:rPr>
          <w:rFonts w:ascii="Arial Narrow" w:hAnsi="Arial Narrow"/>
          <w:sz w:val="18"/>
          <w:szCs w:val="22"/>
        </w:rPr>
        <w:t>Note: The resubmission used a non-standard method of calculating effective DPMQs from effective AEMPs which did not account for the differences in fees and markups for the published and effective DPMQs. During the evaluation the effective DPMQs were recalculated using standard methods.</w:t>
      </w:r>
    </w:p>
    <w:p w14:paraId="2BB72D6C" w14:textId="26386D46" w:rsidR="00506FF9" w:rsidRDefault="00506FF9" w:rsidP="00BB53E8">
      <w:pPr>
        <w:spacing w:after="120"/>
        <w:contextualSpacing/>
        <w:rPr>
          <w:rFonts w:ascii="Arial Narrow" w:hAnsi="Arial Narrow"/>
          <w:sz w:val="18"/>
          <w:szCs w:val="22"/>
        </w:rPr>
      </w:pPr>
      <w:r w:rsidRPr="00506FF9">
        <w:rPr>
          <w:rFonts w:ascii="Arial Narrow" w:hAnsi="Arial Narrow"/>
          <w:i/>
          <w:iCs/>
          <w:sz w:val="18"/>
          <w:szCs w:val="22"/>
        </w:rPr>
        <w:t>The redacted values correspond to the following ranges</w:t>
      </w:r>
    </w:p>
    <w:p w14:paraId="39CE63C3" w14:textId="3A1CC1CD" w:rsidR="00506FF9" w:rsidRPr="0023515E" w:rsidRDefault="00956D1C" w:rsidP="00506FF9">
      <w:pPr>
        <w:spacing w:after="120"/>
        <w:contextualSpacing/>
        <w:rPr>
          <w:rFonts w:ascii="Arial Narrow" w:hAnsi="Arial Narrow"/>
          <w:i/>
          <w:iCs/>
          <w:sz w:val="18"/>
          <w:szCs w:val="22"/>
        </w:rPr>
      </w:pPr>
      <w:r w:rsidRPr="0023515E">
        <w:rPr>
          <w:rFonts w:ascii="Arial Narrow" w:hAnsi="Arial Narrow"/>
          <w:i/>
          <w:iCs/>
          <w:sz w:val="18"/>
          <w:szCs w:val="22"/>
          <w:vertAlign w:val="superscript"/>
        </w:rPr>
        <w:t>1</w:t>
      </w:r>
      <w:r>
        <w:rPr>
          <w:rFonts w:ascii="Arial Narrow" w:hAnsi="Arial Narrow"/>
          <w:i/>
          <w:iCs/>
          <w:sz w:val="18"/>
          <w:szCs w:val="22"/>
        </w:rPr>
        <w:t xml:space="preserve"> </w:t>
      </w:r>
      <w:r w:rsidR="00506FF9" w:rsidRPr="0023515E">
        <w:rPr>
          <w:rFonts w:ascii="Arial Narrow" w:hAnsi="Arial Narrow"/>
          <w:i/>
          <w:iCs/>
          <w:sz w:val="18"/>
          <w:szCs w:val="22"/>
        </w:rPr>
        <w:t>100,000 to &lt; 200,000</w:t>
      </w:r>
    </w:p>
    <w:p w14:paraId="3EA952DD" w14:textId="3532550E" w:rsidR="00506FF9" w:rsidRDefault="00956D1C" w:rsidP="00506FF9">
      <w:pPr>
        <w:spacing w:after="120"/>
        <w:contextualSpacing/>
        <w:rPr>
          <w:rFonts w:ascii="Arial Narrow" w:hAnsi="Arial Narrow"/>
          <w:i/>
          <w:iCs/>
          <w:sz w:val="18"/>
          <w:szCs w:val="22"/>
        </w:rPr>
      </w:pPr>
      <w:r w:rsidRPr="0023515E">
        <w:rPr>
          <w:rFonts w:ascii="Arial Narrow" w:hAnsi="Arial Narrow"/>
          <w:i/>
          <w:iCs/>
          <w:sz w:val="18"/>
          <w:szCs w:val="22"/>
          <w:vertAlign w:val="superscript"/>
        </w:rPr>
        <w:t xml:space="preserve">2 </w:t>
      </w:r>
      <w:r w:rsidR="00506FF9" w:rsidRPr="0023515E">
        <w:rPr>
          <w:rFonts w:ascii="Arial Narrow" w:hAnsi="Arial Narrow"/>
          <w:i/>
          <w:iCs/>
          <w:sz w:val="18"/>
          <w:szCs w:val="22"/>
        </w:rPr>
        <w:t>200,000 to &lt; 300,000</w:t>
      </w:r>
    </w:p>
    <w:p w14:paraId="7DF2EBB4" w14:textId="350ED4C0" w:rsidR="00D94F92" w:rsidRDefault="00D94F92" w:rsidP="00D94F92">
      <w:pPr>
        <w:spacing w:after="120"/>
        <w:contextualSpacing/>
        <w:rPr>
          <w:rFonts w:ascii="Arial Narrow" w:hAnsi="Arial Narrow"/>
          <w:i/>
          <w:iCs/>
          <w:sz w:val="18"/>
          <w:szCs w:val="22"/>
        </w:rPr>
      </w:pPr>
      <w:r>
        <w:rPr>
          <w:rFonts w:ascii="Arial Narrow" w:hAnsi="Arial Narrow"/>
          <w:i/>
          <w:iCs/>
          <w:sz w:val="18"/>
          <w:szCs w:val="22"/>
          <w:vertAlign w:val="superscript"/>
        </w:rPr>
        <w:t>3</w:t>
      </w:r>
      <w:r>
        <w:rPr>
          <w:rFonts w:ascii="Arial Narrow" w:hAnsi="Arial Narrow"/>
          <w:i/>
          <w:iCs/>
          <w:sz w:val="18"/>
          <w:szCs w:val="22"/>
        </w:rPr>
        <w:t xml:space="preserve"> </w:t>
      </w:r>
      <w:r w:rsidRPr="00F83466">
        <w:rPr>
          <w:rFonts w:ascii="Arial Narrow" w:hAnsi="Arial Narrow"/>
          <w:i/>
          <w:iCs/>
          <w:sz w:val="18"/>
          <w:szCs w:val="22"/>
        </w:rPr>
        <w:t>2,000,000 to &lt; 3,000,000</w:t>
      </w:r>
    </w:p>
    <w:p w14:paraId="6AD8D82C" w14:textId="009C42AB" w:rsidR="00F56E26" w:rsidRPr="0085702F" w:rsidRDefault="00F56E26" w:rsidP="00F56E26">
      <w:pPr>
        <w:spacing w:after="120"/>
        <w:contextualSpacing/>
        <w:rPr>
          <w:rFonts w:ascii="Arial Narrow" w:hAnsi="Arial Narrow"/>
          <w:i/>
          <w:iCs/>
          <w:sz w:val="18"/>
          <w:szCs w:val="22"/>
        </w:rPr>
      </w:pPr>
      <w:r>
        <w:rPr>
          <w:rFonts w:ascii="Arial Narrow" w:hAnsi="Arial Narrow"/>
          <w:i/>
          <w:iCs/>
          <w:sz w:val="18"/>
          <w:szCs w:val="22"/>
          <w:vertAlign w:val="superscript"/>
        </w:rPr>
        <w:t>4</w:t>
      </w:r>
      <w:r>
        <w:rPr>
          <w:rFonts w:ascii="Arial Narrow" w:hAnsi="Arial Narrow"/>
          <w:i/>
          <w:iCs/>
          <w:sz w:val="18"/>
          <w:szCs w:val="22"/>
        </w:rPr>
        <w:t xml:space="preserve"> </w:t>
      </w:r>
      <w:r w:rsidRPr="0085702F">
        <w:rPr>
          <w:rFonts w:ascii="Arial Narrow" w:hAnsi="Arial Narrow"/>
          <w:i/>
          <w:iCs/>
          <w:sz w:val="18"/>
          <w:szCs w:val="22"/>
        </w:rPr>
        <w:t>$400 million to &lt; $500 million</w:t>
      </w:r>
    </w:p>
    <w:p w14:paraId="0A1AE4A2" w14:textId="56F23028" w:rsidR="006B68CE" w:rsidRPr="0085702F" w:rsidRDefault="006B68CE" w:rsidP="006B68CE">
      <w:pPr>
        <w:spacing w:after="120"/>
        <w:contextualSpacing/>
        <w:rPr>
          <w:rFonts w:ascii="Arial Narrow" w:hAnsi="Arial Narrow"/>
          <w:i/>
          <w:iCs/>
          <w:sz w:val="18"/>
          <w:szCs w:val="22"/>
        </w:rPr>
      </w:pPr>
      <w:r>
        <w:rPr>
          <w:rFonts w:ascii="Arial Narrow" w:hAnsi="Arial Narrow"/>
          <w:i/>
          <w:iCs/>
          <w:sz w:val="18"/>
          <w:szCs w:val="22"/>
          <w:vertAlign w:val="superscript"/>
        </w:rPr>
        <w:t>5</w:t>
      </w:r>
      <w:r>
        <w:rPr>
          <w:rFonts w:ascii="Arial Narrow" w:hAnsi="Arial Narrow"/>
          <w:i/>
          <w:iCs/>
          <w:sz w:val="18"/>
          <w:szCs w:val="22"/>
        </w:rPr>
        <w:t xml:space="preserve"> </w:t>
      </w:r>
      <w:r w:rsidRPr="0085702F">
        <w:rPr>
          <w:rFonts w:ascii="Arial Narrow" w:hAnsi="Arial Narrow"/>
          <w:i/>
          <w:iCs/>
          <w:sz w:val="18"/>
          <w:szCs w:val="22"/>
        </w:rPr>
        <w:t>$300 million to &lt; $400 million</w:t>
      </w:r>
    </w:p>
    <w:p w14:paraId="68058E12" w14:textId="629ABF3E" w:rsidR="00D94F92" w:rsidRDefault="00C43F5B" w:rsidP="00506FF9">
      <w:pPr>
        <w:spacing w:after="120"/>
        <w:contextualSpacing/>
        <w:rPr>
          <w:rFonts w:ascii="Arial Narrow" w:hAnsi="Arial Narrow"/>
          <w:i/>
          <w:iCs/>
          <w:sz w:val="18"/>
          <w:szCs w:val="22"/>
        </w:rPr>
      </w:pPr>
      <w:r>
        <w:rPr>
          <w:rFonts w:ascii="Arial Narrow" w:hAnsi="Arial Narrow"/>
          <w:i/>
          <w:iCs/>
          <w:sz w:val="18"/>
          <w:szCs w:val="22"/>
          <w:vertAlign w:val="superscript"/>
        </w:rPr>
        <w:t>6</w:t>
      </w:r>
      <w:r w:rsidRPr="00F83466">
        <w:rPr>
          <w:rFonts w:ascii="Arial Narrow" w:hAnsi="Arial Narrow"/>
          <w:i/>
          <w:iCs/>
          <w:sz w:val="18"/>
          <w:szCs w:val="22"/>
          <w:vertAlign w:val="superscript"/>
        </w:rPr>
        <w:t xml:space="preserve"> </w:t>
      </w:r>
      <w:r w:rsidRPr="0085702F">
        <w:rPr>
          <w:rFonts w:ascii="Arial Narrow" w:hAnsi="Arial Narrow"/>
          <w:i/>
          <w:iCs/>
          <w:sz w:val="18"/>
          <w:szCs w:val="22"/>
        </w:rPr>
        <w:t>$50 million to &lt; $60 million</w:t>
      </w:r>
    </w:p>
    <w:p w14:paraId="60ACCD0B" w14:textId="18B565AD" w:rsidR="004D5A8F" w:rsidRPr="0085702F" w:rsidRDefault="004D5A8F" w:rsidP="004D5A8F">
      <w:pPr>
        <w:spacing w:after="120"/>
        <w:contextualSpacing/>
        <w:rPr>
          <w:rFonts w:ascii="Arial Narrow" w:hAnsi="Arial Narrow"/>
          <w:i/>
          <w:iCs/>
          <w:sz w:val="18"/>
          <w:szCs w:val="22"/>
        </w:rPr>
      </w:pPr>
      <w:r>
        <w:rPr>
          <w:rFonts w:ascii="Arial Narrow" w:hAnsi="Arial Narrow"/>
          <w:i/>
          <w:iCs/>
          <w:sz w:val="18"/>
          <w:szCs w:val="22"/>
          <w:vertAlign w:val="superscript"/>
        </w:rPr>
        <w:t>7</w:t>
      </w:r>
      <w:r>
        <w:rPr>
          <w:rFonts w:ascii="Arial Narrow" w:hAnsi="Arial Narrow"/>
          <w:i/>
          <w:iCs/>
          <w:sz w:val="18"/>
          <w:szCs w:val="22"/>
        </w:rPr>
        <w:t xml:space="preserve"> </w:t>
      </w:r>
      <w:r w:rsidRPr="0085702F">
        <w:rPr>
          <w:rFonts w:ascii="Arial Narrow" w:hAnsi="Arial Narrow"/>
          <w:i/>
          <w:iCs/>
          <w:sz w:val="18"/>
          <w:szCs w:val="22"/>
        </w:rPr>
        <w:t>$20 million to &lt; $30 million</w:t>
      </w:r>
    </w:p>
    <w:p w14:paraId="681E4007" w14:textId="3D3E479B" w:rsidR="004D5A8F" w:rsidRPr="0085702F" w:rsidRDefault="004D5A8F" w:rsidP="004D5A8F">
      <w:pPr>
        <w:spacing w:after="120"/>
        <w:contextualSpacing/>
        <w:rPr>
          <w:rFonts w:ascii="Arial Narrow" w:hAnsi="Arial Narrow"/>
          <w:i/>
          <w:iCs/>
          <w:sz w:val="18"/>
          <w:szCs w:val="22"/>
        </w:rPr>
      </w:pPr>
      <w:r>
        <w:rPr>
          <w:rFonts w:ascii="Arial Narrow" w:hAnsi="Arial Narrow"/>
          <w:i/>
          <w:iCs/>
          <w:sz w:val="18"/>
          <w:szCs w:val="22"/>
          <w:vertAlign w:val="superscript"/>
        </w:rPr>
        <w:t>8</w:t>
      </w:r>
      <w:r>
        <w:rPr>
          <w:rFonts w:ascii="Arial Narrow" w:hAnsi="Arial Narrow"/>
          <w:i/>
          <w:iCs/>
          <w:sz w:val="18"/>
          <w:szCs w:val="22"/>
        </w:rPr>
        <w:t xml:space="preserve"> </w:t>
      </w:r>
      <w:r w:rsidRPr="0085702F">
        <w:rPr>
          <w:rFonts w:ascii="Arial Narrow" w:hAnsi="Arial Narrow"/>
          <w:i/>
          <w:iCs/>
          <w:sz w:val="18"/>
          <w:szCs w:val="22"/>
        </w:rPr>
        <w:t>$10 million to &lt; $20 million</w:t>
      </w:r>
    </w:p>
    <w:p w14:paraId="00DCB8C3" w14:textId="39DC4268" w:rsidR="00506FF9" w:rsidRDefault="004B1D3C" w:rsidP="00506FF9">
      <w:pPr>
        <w:spacing w:after="120"/>
        <w:contextualSpacing/>
        <w:rPr>
          <w:rFonts w:ascii="Arial Narrow" w:hAnsi="Arial Narrow"/>
          <w:i/>
          <w:iCs/>
          <w:sz w:val="18"/>
          <w:szCs w:val="22"/>
        </w:rPr>
      </w:pPr>
      <w:r>
        <w:rPr>
          <w:rFonts w:ascii="Arial Narrow" w:hAnsi="Arial Narrow"/>
          <w:i/>
          <w:iCs/>
          <w:sz w:val="18"/>
          <w:szCs w:val="22"/>
          <w:vertAlign w:val="superscript"/>
        </w:rPr>
        <w:t>9</w:t>
      </w:r>
      <w:r w:rsidR="00956D1C">
        <w:rPr>
          <w:rFonts w:ascii="Arial Narrow" w:hAnsi="Arial Narrow"/>
          <w:i/>
          <w:iCs/>
          <w:sz w:val="18"/>
          <w:szCs w:val="22"/>
        </w:rPr>
        <w:t xml:space="preserve"> </w:t>
      </w:r>
      <w:r w:rsidR="00506FF9" w:rsidRPr="0023515E">
        <w:rPr>
          <w:rFonts w:ascii="Arial Narrow" w:hAnsi="Arial Narrow"/>
          <w:i/>
          <w:iCs/>
          <w:sz w:val="18"/>
          <w:szCs w:val="22"/>
        </w:rPr>
        <w:t>300,000 to &lt; 400,000</w:t>
      </w:r>
    </w:p>
    <w:p w14:paraId="2EA8C777" w14:textId="726FA5BF" w:rsidR="00506FF9" w:rsidRPr="0023515E" w:rsidRDefault="00B62790" w:rsidP="00506FF9">
      <w:pPr>
        <w:spacing w:after="120"/>
        <w:contextualSpacing/>
        <w:rPr>
          <w:rFonts w:ascii="Arial Narrow" w:hAnsi="Arial Narrow"/>
          <w:i/>
          <w:iCs/>
          <w:sz w:val="18"/>
          <w:szCs w:val="22"/>
        </w:rPr>
      </w:pPr>
      <w:r>
        <w:rPr>
          <w:rFonts w:ascii="Arial Narrow" w:hAnsi="Arial Narrow"/>
          <w:i/>
          <w:iCs/>
          <w:sz w:val="18"/>
          <w:szCs w:val="22"/>
          <w:vertAlign w:val="superscript"/>
        </w:rPr>
        <w:t>10</w:t>
      </w:r>
      <w:r w:rsidR="00956D1C" w:rsidRPr="0023515E">
        <w:rPr>
          <w:rFonts w:ascii="Arial Narrow" w:hAnsi="Arial Narrow"/>
          <w:i/>
          <w:iCs/>
          <w:sz w:val="18"/>
          <w:szCs w:val="22"/>
          <w:vertAlign w:val="superscript"/>
        </w:rPr>
        <w:t xml:space="preserve"> </w:t>
      </w:r>
      <w:r w:rsidR="00506FF9" w:rsidRPr="0023515E">
        <w:rPr>
          <w:rFonts w:ascii="Arial Narrow" w:hAnsi="Arial Narrow"/>
          <w:i/>
          <w:iCs/>
          <w:sz w:val="18"/>
          <w:szCs w:val="22"/>
        </w:rPr>
        <w:t>400,000 to &lt; 500,000</w:t>
      </w:r>
    </w:p>
    <w:p w14:paraId="1BF8E3AB" w14:textId="35254F5A" w:rsidR="00506FF9" w:rsidRPr="0023515E" w:rsidRDefault="00434137" w:rsidP="00506FF9">
      <w:pPr>
        <w:spacing w:after="120"/>
        <w:contextualSpacing/>
        <w:rPr>
          <w:rFonts w:ascii="Arial Narrow" w:hAnsi="Arial Narrow"/>
          <w:i/>
          <w:iCs/>
          <w:sz w:val="18"/>
          <w:szCs w:val="22"/>
        </w:rPr>
      </w:pPr>
      <w:r>
        <w:rPr>
          <w:rFonts w:ascii="Arial Narrow" w:hAnsi="Arial Narrow"/>
          <w:i/>
          <w:iCs/>
          <w:sz w:val="18"/>
          <w:szCs w:val="22"/>
          <w:vertAlign w:val="superscript"/>
        </w:rPr>
        <w:t>11</w:t>
      </w:r>
      <w:r w:rsidR="00956D1C">
        <w:rPr>
          <w:rFonts w:ascii="Arial Narrow" w:hAnsi="Arial Narrow"/>
          <w:i/>
          <w:iCs/>
          <w:sz w:val="18"/>
          <w:szCs w:val="22"/>
        </w:rPr>
        <w:t xml:space="preserve"> </w:t>
      </w:r>
      <w:r w:rsidR="00506FF9" w:rsidRPr="0023515E">
        <w:rPr>
          <w:rFonts w:ascii="Arial Narrow" w:hAnsi="Arial Narrow"/>
          <w:i/>
          <w:iCs/>
          <w:sz w:val="18"/>
          <w:szCs w:val="22"/>
        </w:rPr>
        <w:t>500,000 to &lt; 600,000</w:t>
      </w:r>
    </w:p>
    <w:p w14:paraId="3642E862" w14:textId="05F8A2B5" w:rsidR="00506FF9" w:rsidRPr="0023515E" w:rsidRDefault="00434137" w:rsidP="00506FF9">
      <w:pPr>
        <w:spacing w:after="120"/>
        <w:contextualSpacing/>
        <w:rPr>
          <w:rFonts w:ascii="Arial Narrow" w:hAnsi="Arial Narrow"/>
          <w:i/>
          <w:iCs/>
          <w:sz w:val="18"/>
          <w:szCs w:val="22"/>
        </w:rPr>
      </w:pPr>
      <w:r>
        <w:rPr>
          <w:rFonts w:ascii="Arial Narrow" w:hAnsi="Arial Narrow"/>
          <w:i/>
          <w:iCs/>
          <w:sz w:val="18"/>
          <w:szCs w:val="22"/>
          <w:vertAlign w:val="superscript"/>
        </w:rPr>
        <w:t>12</w:t>
      </w:r>
      <w:r w:rsidR="00956D1C">
        <w:rPr>
          <w:rFonts w:ascii="Arial Narrow" w:hAnsi="Arial Narrow"/>
          <w:i/>
          <w:iCs/>
          <w:sz w:val="18"/>
          <w:szCs w:val="22"/>
        </w:rPr>
        <w:t xml:space="preserve"> </w:t>
      </w:r>
      <w:r w:rsidR="00506FF9" w:rsidRPr="0023515E">
        <w:rPr>
          <w:rFonts w:ascii="Arial Narrow" w:hAnsi="Arial Narrow"/>
          <w:i/>
          <w:iCs/>
          <w:sz w:val="18"/>
          <w:szCs w:val="22"/>
        </w:rPr>
        <w:t>600,000 to &lt; 700,000</w:t>
      </w:r>
    </w:p>
    <w:p w14:paraId="3FD9BDD9" w14:textId="36F3AA42" w:rsidR="00506FF9" w:rsidRPr="0023515E" w:rsidRDefault="00434137" w:rsidP="00506FF9">
      <w:pPr>
        <w:spacing w:after="120"/>
        <w:contextualSpacing/>
        <w:rPr>
          <w:rFonts w:ascii="Arial Narrow" w:hAnsi="Arial Narrow"/>
          <w:i/>
          <w:iCs/>
          <w:sz w:val="18"/>
          <w:szCs w:val="22"/>
        </w:rPr>
      </w:pPr>
      <w:r>
        <w:rPr>
          <w:rFonts w:ascii="Arial Narrow" w:hAnsi="Arial Narrow"/>
          <w:i/>
          <w:iCs/>
          <w:sz w:val="18"/>
          <w:szCs w:val="22"/>
          <w:vertAlign w:val="superscript"/>
        </w:rPr>
        <w:t>13</w:t>
      </w:r>
      <w:r w:rsidR="00956D1C">
        <w:rPr>
          <w:rFonts w:ascii="Arial Narrow" w:hAnsi="Arial Narrow"/>
          <w:i/>
          <w:iCs/>
          <w:sz w:val="18"/>
          <w:szCs w:val="22"/>
        </w:rPr>
        <w:t xml:space="preserve"> </w:t>
      </w:r>
      <w:r w:rsidR="00506FF9" w:rsidRPr="0023515E">
        <w:rPr>
          <w:rFonts w:ascii="Arial Narrow" w:hAnsi="Arial Narrow"/>
          <w:i/>
          <w:iCs/>
          <w:sz w:val="18"/>
          <w:szCs w:val="22"/>
        </w:rPr>
        <w:t>700,000 to &lt; 800,000</w:t>
      </w:r>
    </w:p>
    <w:p w14:paraId="1A4F7D5E" w14:textId="28C004BD" w:rsidR="00EC17D4" w:rsidRPr="00956D1C" w:rsidRDefault="00993F7E" w:rsidP="00EC17D4">
      <w:pPr>
        <w:spacing w:after="120"/>
        <w:contextualSpacing/>
        <w:rPr>
          <w:rFonts w:ascii="Arial Narrow" w:hAnsi="Arial Narrow"/>
          <w:i/>
          <w:iCs/>
          <w:sz w:val="18"/>
          <w:szCs w:val="22"/>
        </w:rPr>
      </w:pPr>
      <w:r>
        <w:rPr>
          <w:rFonts w:ascii="Arial Narrow" w:hAnsi="Arial Narrow"/>
          <w:i/>
          <w:iCs/>
          <w:sz w:val="18"/>
          <w:szCs w:val="22"/>
          <w:vertAlign w:val="superscript"/>
        </w:rPr>
        <w:t>14</w:t>
      </w:r>
      <w:r w:rsidR="00EC17D4">
        <w:rPr>
          <w:rFonts w:ascii="Arial Narrow" w:hAnsi="Arial Narrow"/>
          <w:i/>
          <w:iCs/>
          <w:sz w:val="18"/>
          <w:szCs w:val="22"/>
        </w:rPr>
        <w:t xml:space="preserve"> </w:t>
      </w:r>
      <w:r w:rsidR="00EC17D4" w:rsidRPr="00956D1C">
        <w:rPr>
          <w:rFonts w:ascii="Arial Narrow" w:hAnsi="Arial Narrow"/>
          <w:i/>
          <w:iCs/>
          <w:sz w:val="18"/>
          <w:szCs w:val="22"/>
        </w:rPr>
        <w:t>4,000,000 to &lt; 5,000,000</w:t>
      </w:r>
    </w:p>
    <w:p w14:paraId="0CF9975F" w14:textId="5C2A5725" w:rsidR="0085702F" w:rsidRPr="0085702F" w:rsidRDefault="00993F7E" w:rsidP="0085702F">
      <w:pPr>
        <w:spacing w:after="120"/>
        <w:contextualSpacing/>
        <w:rPr>
          <w:rFonts w:ascii="Arial Narrow" w:hAnsi="Arial Narrow"/>
          <w:i/>
          <w:iCs/>
          <w:sz w:val="18"/>
          <w:szCs w:val="22"/>
        </w:rPr>
      </w:pPr>
      <w:r>
        <w:rPr>
          <w:rFonts w:ascii="Arial Narrow" w:hAnsi="Arial Narrow"/>
          <w:i/>
          <w:iCs/>
          <w:sz w:val="18"/>
          <w:szCs w:val="22"/>
          <w:vertAlign w:val="superscript"/>
        </w:rPr>
        <w:t>15</w:t>
      </w:r>
      <w:r w:rsidR="0085702F" w:rsidRPr="0023515E">
        <w:rPr>
          <w:rFonts w:ascii="Arial Narrow" w:hAnsi="Arial Narrow"/>
          <w:i/>
          <w:iCs/>
          <w:sz w:val="18"/>
          <w:szCs w:val="22"/>
          <w:vertAlign w:val="superscript"/>
        </w:rPr>
        <w:t xml:space="preserve"> </w:t>
      </w:r>
      <w:r w:rsidR="0085702F" w:rsidRPr="0085702F">
        <w:rPr>
          <w:rFonts w:ascii="Arial Narrow" w:hAnsi="Arial Narrow"/>
          <w:i/>
          <w:iCs/>
          <w:sz w:val="18"/>
          <w:szCs w:val="22"/>
        </w:rPr>
        <w:t>6,000,000 to &lt; 7,000,000</w:t>
      </w:r>
    </w:p>
    <w:p w14:paraId="5E30DC25" w14:textId="00CD7597" w:rsidR="0085702F" w:rsidRPr="0085702F" w:rsidRDefault="00D71D8B" w:rsidP="0085702F">
      <w:pPr>
        <w:spacing w:after="120"/>
        <w:contextualSpacing/>
        <w:rPr>
          <w:rFonts w:ascii="Arial Narrow" w:hAnsi="Arial Narrow"/>
          <w:i/>
          <w:iCs/>
          <w:sz w:val="18"/>
          <w:szCs w:val="22"/>
        </w:rPr>
      </w:pPr>
      <w:r>
        <w:rPr>
          <w:rFonts w:ascii="Arial Narrow" w:hAnsi="Arial Narrow"/>
          <w:i/>
          <w:iCs/>
          <w:sz w:val="18"/>
          <w:szCs w:val="22"/>
          <w:vertAlign w:val="superscript"/>
        </w:rPr>
        <w:t>16</w:t>
      </w:r>
      <w:r w:rsidR="0085702F" w:rsidRPr="0023515E">
        <w:rPr>
          <w:rFonts w:ascii="Arial Narrow" w:hAnsi="Arial Narrow"/>
          <w:i/>
          <w:iCs/>
          <w:sz w:val="18"/>
          <w:szCs w:val="22"/>
          <w:vertAlign w:val="superscript"/>
        </w:rPr>
        <w:t xml:space="preserve"> </w:t>
      </w:r>
      <w:r w:rsidR="0085702F" w:rsidRPr="0085702F">
        <w:rPr>
          <w:rFonts w:ascii="Arial Narrow" w:hAnsi="Arial Narrow"/>
          <w:i/>
          <w:iCs/>
          <w:sz w:val="18"/>
          <w:szCs w:val="22"/>
        </w:rPr>
        <w:t>7,000,000 to &lt; 8,000,000</w:t>
      </w:r>
    </w:p>
    <w:p w14:paraId="137A5FF8" w14:textId="6A7711A9" w:rsidR="0085702F" w:rsidRPr="0085702F" w:rsidRDefault="00D71D8B" w:rsidP="0085702F">
      <w:pPr>
        <w:spacing w:after="120"/>
        <w:contextualSpacing/>
        <w:rPr>
          <w:rFonts w:ascii="Arial Narrow" w:hAnsi="Arial Narrow"/>
          <w:i/>
          <w:iCs/>
          <w:sz w:val="18"/>
          <w:szCs w:val="22"/>
        </w:rPr>
      </w:pPr>
      <w:r>
        <w:rPr>
          <w:rFonts w:ascii="Arial Narrow" w:hAnsi="Arial Narrow"/>
          <w:i/>
          <w:iCs/>
          <w:sz w:val="18"/>
          <w:szCs w:val="22"/>
          <w:vertAlign w:val="superscript"/>
        </w:rPr>
        <w:t>17</w:t>
      </w:r>
      <w:r w:rsidR="0085702F">
        <w:rPr>
          <w:rFonts w:ascii="Arial Narrow" w:hAnsi="Arial Narrow"/>
          <w:i/>
          <w:iCs/>
          <w:sz w:val="18"/>
          <w:szCs w:val="22"/>
        </w:rPr>
        <w:t xml:space="preserve"> </w:t>
      </w:r>
      <w:r w:rsidR="0085702F" w:rsidRPr="0085702F">
        <w:rPr>
          <w:rFonts w:ascii="Arial Narrow" w:hAnsi="Arial Narrow"/>
          <w:i/>
          <w:iCs/>
          <w:sz w:val="18"/>
          <w:szCs w:val="22"/>
        </w:rPr>
        <w:t>8,000,000 to &lt; 9,000,000</w:t>
      </w:r>
    </w:p>
    <w:p w14:paraId="58C06F7B" w14:textId="0FE302D0" w:rsidR="0085702F" w:rsidRDefault="00591EA3" w:rsidP="0085702F">
      <w:pPr>
        <w:spacing w:after="120"/>
        <w:contextualSpacing/>
        <w:rPr>
          <w:rFonts w:ascii="Arial Narrow" w:hAnsi="Arial Narrow"/>
          <w:i/>
          <w:iCs/>
          <w:sz w:val="18"/>
          <w:szCs w:val="22"/>
        </w:rPr>
      </w:pPr>
      <w:r>
        <w:rPr>
          <w:rFonts w:ascii="Arial Narrow" w:hAnsi="Arial Narrow"/>
          <w:i/>
          <w:iCs/>
          <w:sz w:val="18"/>
          <w:szCs w:val="22"/>
          <w:vertAlign w:val="superscript"/>
        </w:rPr>
        <w:t>18</w:t>
      </w:r>
      <w:r w:rsidR="0085702F">
        <w:rPr>
          <w:rFonts w:ascii="Arial Narrow" w:hAnsi="Arial Narrow"/>
          <w:i/>
          <w:iCs/>
          <w:sz w:val="18"/>
          <w:szCs w:val="22"/>
        </w:rPr>
        <w:t xml:space="preserve"> </w:t>
      </w:r>
      <w:r w:rsidR="0085702F" w:rsidRPr="0085702F">
        <w:rPr>
          <w:rFonts w:ascii="Arial Narrow" w:hAnsi="Arial Narrow"/>
          <w:i/>
          <w:iCs/>
          <w:sz w:val="18"/>
          <w:szCs w:val="22"/>
        </w:rPr>
        <w:t>9,000,000 to &lt; 10,000,000</w:t>
      </w:r>
    </w:p>
    <w:p w14:paraId="4B6B4B17" w14:textId="5F9527A1" w:rsidR="00CA45EC" w:rsidRPr="0085702F" w:rsidRDefault="00A06EEE" w:rsidP="00CA45EC">
      <w:pPr>
        <w:spacing w:after="120"/>
        <w:contextualSpacing/>
        <w:rPr>
          <w:rFonts w:ascii="Arial Narrow" w:hAnsi="Arial Narrow"/>
          <w:i/>
          <w:iCs/>
          <w:sz w:val="18"/>
          <w:szCs w:val="22"/>
        </w:rPr>
      </w:pPr>
      <w:r>
        <w:rPr>
          <w:rFonts w:ascii="Arial Narrow" w:hAnsi="Arial Narrow"/>
          <w:i/>
          <w:iCs/>
          <w:sz w:val="18"/>
          <w:szCs w:val="22"/>
          <w:vertAlign w:val="superscript"/>
        </w:rPr>
        <w:t>19</w:t>
      </w:r>
      <w:r w:rsidR="00CA45EC">
        <w:rPr>
          <w:rFonts w:ascii="Arial Narrow" w:hAnsi="Arial Narrow"/>
          <w:i/>
          <w:iCs/>
          <w:sz w:val="18"/>
          <w:szCs w:val="22"/>
        </w:rPr>
        <w:t xml:space="preserve"> </w:t>
      </w:r>
      <w:r w:rsidR="00CA45EC" w:rsidRPr="0085702F">
        <w:rPr>
          <w:rFonts w:ascii="Arial Narrow" w:hAnsi="Arial Narrow"/>
          <w:i/>
          <w:iCs/>
          <w:sz w:val="18"/>
          <w:szCs w:val="22"/>
        </w:rPr>
        <w:t>$800 million to &lt; $900 million</w:t>
      </w:r>
    </w:p>
    <w:p w14:paraId="0416E698" w14:textId="3C4EF2EE" w:rsidR="00506FF9" w:rsidRPr="00594D68" w:rsidRDefault="00A06EEE" w:rsidP="00BB53E8">
      <w:pPr>
        <w:spacing w:after="120"/>
        <w:contextualSpacing/>
        <w:rPr>
          <w:rFonts w:ascii="Arial Narrow" w:hAnsi="Arial Narrow"/>
          <w:i/>
          <w:iCs/>
          <w:sz w:val="18"/>
          <w:szCs w:val="22"/>
        </w:rPr>
      </w:pPr>
      <w:r>
        <w:rPr>
          <w:rFonts w:ascii="Arial Narrow" w:hAnsi="Arial Narrow"/>
          <w:i/>
          <w:iCs/>
          <w:sz w:val="18"/>
          <w:szCs w:val="22"/>
          <w:vertAlign w:val="superscript"/>
        </w:rPr>
        <w:t>20</w:t>
      </w:r>
      <w:r w:rsidR="00942ED1" w:rsidRPr="0023515E">
        <w:rPr>
          <w:rFonts w:ascii="Arial Narrow" w:hAnsi="Arial Narrow"/>
          <w:i/>
          <w:iCs/>
          <w:sz w:val="18"/>
          <w:szCs w:val="22"/>
          <w:vertAlign w:val="superscript"/>
        </w:rPr>
        <w:t xml:space="preserve"> </w:t>
      </w:r>
      <w:r w:rsidR="0085702F" w:rsidRPr="0085702F">
        <w:rPr>
          <w:rFonts w:ascii="Arial Narrow" w:hAnsi="Arial Narrow"/>
          <w:i/>
          <w:iCs/>
          <w:sz w:val="18"/>
          <w:szCs w:val="22"/>
        </w:rPr>
        <w:t>&gt; $1 billion</w:t>
      </w:r>
    </w:p>
    <w:p w14:paraId="32C22A33" w14:textId="58028CFB" w:rsidR="007368F1" w:rsidRPr="003771DB" w:rsidRDefault="007368F1" w:rsidP="007368F1">
      <w:pPr>
        <w:pStyle w:val="COMexecsumnumberedpara"/>
      </w:pPr>
      <w:r w:rsidRPr="003771DB">
        <w:t>The estimated cost to the PBS/RPBS of listing semaglutide for obesity ranged from $</w:t>
      </w:r>
      <w:r w:rsidR="005575FB" w:rsidRPr="005575FB">
        <w:t>300</w:t>
      </w:r>
      <w:r w:rsidR="00886A85">
        <w:t> </w:t>
      </w:r>
      <w:r w:rsidR="005575FB" w:rsidRPr="005575FB">
        <w:t>million to &lt;</w:t>
      </w:r>
      <w:r w:rsidR="00886A85">
        <w:t> </w:t>
      </w:r>
      <w:r w:rsidR="005575FB" w:rsidRPr="005575FB">
        <w:t>$400</w:t>
      </w:r>
      <w:r w:rsidR="00886A85">
        <w:t> </w:t>
      </w:r>
      <w:r w:rsidR="005575FB" w:rsidRPr="005575FB">
        <w:t xml:space="preserve">million </w:t>
      </w:r>
      <w:r w:rsidRPr="003771DB">
        <w:t>to $</w:t>
      </w:r>
      <w:r w:rsidR="005575FB" w:rsidRPr="005575FB">
        <w:t>400</w:t>
      </w:r>
      <w:r w:rsidR="00886A85">
        <w:t> </w:t>
      </w:r>
      <w:r w:rsidR="005575FB" w:rsidRPr="005575FB">
        <w:t>million to &lt;</w:t>
      </w:r>
      <w:r w:rsidR="00886A85">
        <w:t> </w:t>
      </w:r>
      <w:r w:rsidR="005575FB" w:rsidRPr="005575FB">
        <w:t>$500</w:t>
      </w:r>
      <w:r w:rsidR="00886A85">
        <w:t> </w:t>
      </w:r>
      <w:r w:rsidRPr="003771DB">
        <w:t xml:space="preserve">million per year, with a cumulative total of </w:t>
      </w:r>
      <w:r w:rsidR="005575FB" w:rsidRPr="005575FB">
        <w:t>&gt; $1 </w:t>
      </w:r>
      <w:r w:rsidRPr="003771DB">
        <w:t xml:space="preserve"> billion over the first 6</w:t>
      </w:r>
      <w:r w:rsidR="00876C1C">
        <w:t> </w:t>
      </w:r>
      <w:r w:rsidRPr="003771DB">
        <w:t xml:space="preserve">years of listing (uncorrected estimate </w:t>
      </w:r>
      <w:r w:rsidR="005575FB" w:rsidRPr="005575FB">
        <w:t>&gt; $1 </w:t>
      </w:r>
      <w:r w:rsidRPr="003771DB">
        <w:t xml:space="preserve"> billion over the first 6 years).</w:t>
      </w:r>
    </w:p>
    <w:p w14:paraId="5DD9AD68" w14:textId="7481D664" w:rsidR="007368F1" w:rsidRPr="003771DB" w:rsidRDefault="007368F1" w:rsidP="007368F1">
      <w:pPr>
        <w:pStyle w:val="COMexecsumnumberedpara"/>
      </w:pPr>
      <w:r w:rsidRPr="003771DB">
        <w:t>The estimated MBS costs associated with listing semaglutide for obesity ranged from $</w:t>
      </w:r>
      <w:r w:rsidR="005575FB" w:rsidRPr="005575FB">
        <w:t xml:space="preserve">10 million to &lt; $20 million </w:t>
      </w:r>
      <w:r w:rsidRPr="003771DB">
        <w:t>to $</w:t>
      </w:r>
      <w:r w:rsidR="005575FB" w:rsidRPr="005575FB">
        <w:t>50 million to &lt; $60 </w:t>
      </w:r>
      <w:r w:rsidRPr="003771DB">
        <w:t>million per year, with a cumulative total of $</w:t>
      </w:r>
      <w:r w:rsidR="005575FB" w:rsidRPr="005575FB">
        <w:t>100 million to &lt; $200 </w:t>
      </w:r>
      <w:r w:rsidRPr="003771DB">
        <w:t>million over the first 6</w:t>
      </w:r>
      <w:r w:rsidR="00876C1C">
        <w:t> </w:t>
      </w:r>
      <w:r w:rsidRPr="003771DB">
        <w:t>years of listing (uncorrected estimate $</w:t>
      </w:r>
      <w:r w:rsidR="005575FB" w:rsidRPr="005575FB">
        <w:t>100 million to &lt; $200 </w:t>
      </w:r>
      <w:r w:rsidRPr="003771DB">
        <w:t>million over the first 6 years).</w:t>
      </w:r>
    </w:p>
    <w:p w14:paraId="0CBA22F7" w14:textId="7482608A" w:rsidR="007368F1" w:rsidRPr="003771DB" w:rsidRDefault="007368F1" w:rsidP="00517411">
      <w:pPr>
        <w:pStyle w:val="COMexecsumnumberedpara"/>
        <w:rPr>
          <w:i/>
          <w:iCs/>
        </w:rPr>
      </w:pPr>
      <w:r w:rsidRPr="003771DB">
        <w:lastRenderedPageBreak/>
        <w:t xml:space="preserve">The estimated PBS/RPBS cost in the current resubmission was substantially lower than in the March 2022 submission (previously </w:t>
      </w:r>
      <w:r w:rsidR="005575FB">
        <w:t>&gt;</w:t>
      </w:r>
      <w:r w:rsidRPr="003771DB">
        <w:t>$</w:t>
      </w:r>
      <w:r w:rsidR="005575FB">
        <w:t>1</w:t>
      </w:r>
      <w:r w:rsidRPr="003771DB">
        <w:t xml:space="preserve"> billion over 6 years) primarily due to the smaller treated population as well as a reduction in the effective price of semaglutide (previously </w:t>
      </w:r>
      <w:r w:rsidR="00886A85">
        <w:t>$</w:t>
      </w:r>
      <w:r w:rsidR="00427AAD" w:rsidRPr="00EE4281">
        <w:rPr>
          <w:color w:val="000000"/>
          <w:w w:val="15"/>
          <w:shd w:val="solid" w:color="000000" w:fill="000000"/>
          <w:fitText w:val="-20" w:id="-1032062203"/>
          <w14:textFill>
            <w14:solidFill>
              <w14:srgbClr w14:val="000000">
                <w14:alpha w14:val="100000"/>
              </w14:srgbClr>
            </w14:solidFill>
          </w14:textFill>
        </w:rPr>
        <w:t xml:space="preserve">|  </w:t>
      </w:r>
      <w:r w:rsidR="00427AAD" w:rsidRPr="00EE4281">
        <w:rPr>
          <w:color w:val="000000"/>
          <w:spacing w:val="-69"/>
          <w:w w:val="15"/>
          <w:shd w:val="solid" w:color="000000" w:fill="000000"/>
          <w:fitText w:val="-20" w:id="-1032062203"/>
          <w14:textFill>
            <w14:solidFill>
              <w14:srgbClr w14:val="000000">
                <w14:alpha w14:val="100000"/>
              </w14:srgbClr>
            </w14:solidFill>
          </w14:textFill>
        </w:rPr>
        <w:t>|</w:t>
      </w:r>
      <w:r w:rsidRPr="003771DB">
        <w:t xml:space="preserve"> per script for all dose strengths). The March 2022 submission assumed that the listing of semaglutide would not substantially affect the use of MBS items (i.e. dietician visits) for the management of obesity.</w:t>
      </w:r>
    </w:p>
    <w:p w14:paraId="25E2E8E0" w14:textId="0EB612AC" w:rsidR="007368F1" w:rsidRPr="003771DB" w:rsidRDefault="00BB53E8" w:rsidP="007C427C">
      <w:pPr>
        <w:pStyle w:val="COMexecsumnumberedpara"/>
        <w:rPr>
          <w:b/>
        </w:rPr>
      </w:pPr>
      <w:r w:rsidRPr="003771DB">
        <w:t>DUSC noted in Years 3 and 4 of listing the net cost to government decreased to $</w:t>
      </w:r>
      <w:r w:rsidR="00B52A7C" w:rsidRPr="00B52A7C">
        <w:t>300</w:t>
      </w:r>
      <w:r w:rsidR="00886A85">
        <w:t> </w:t>
      </w:r>
      <w:r w:rsidR="00B52A7C" w:rsidRPr="00B52A7C">
        <w:t>million to &lt;</w:t>
      </w:r>
      <w:r w:rsidR="00886A85">
        <w:t> </w:t>
      </w:r>
      <w:r w:rsidR="00B52A7C" w:rsidRPr="00B52A7C">
        <w:t>$400</w:t>
      </w:r>
      <w:r w:rsidR="00876C1C">
        <w:t> </w:t>
      </w:r>
      <w:r w:rsidRPr="003771DB">
        <w:t>million and $</w:t>
      </w:r>
      <w:r w:rsidR="00B52A7C" w:rsidRPr="00B52A7C">
        <w:t xml:space="preserve">300 million to &lt; $400 </w:t>
      </w:r>
      <w:r w:rsidRPr="003771DB">
        <w:t>million, respectively. DUSC noted this was likely due to the number of initiating patients decreasing, as well as the stopping rule in the continuing restriction</w:t>
      </w:r>
      <w:r w:rsidR="00D462E9">
        <w:t>.</w:t>
      </w:r>
      <w:r w:rsidRPr="003771DB">
        <w:t xml:space="preserve"> </w:t>
      </w:r>
      <w:r w:rsidR="00D462E9">
        <w:t>T</w:t>
      </w:r>
      <w:r w:rsidRPr="003771DB">
        <w:t xml:space="preserve">he financials lacked face validity due to fluctuating numbers. </w:t>
      </w:r>
    </w:p>
    <w:p w14:paraId="0247FDD7" w14:textId="22F24086" w:rsidR="00B532E0" w:rsidRPr="003771DB" w:rsidRDefault="00B532E0" w:rsidP="00686ECE">
      <w:pPr>
        <w:pStyle w:val="COMexecsumnumberedpara"/>
        <w:rPr>
          <w:bCs/>
        </w:rPr>
      </w:pPr>
      <w:r w:rsidRPr="003771DB">
        <w:rPr>
          <w:bCs/>
        </w:rPr>
        <w:t>DUSC consider</w:t>
      </w:r>
      <w:r w:rsidR="00BB53E8" w:rsidRPr="003771DB">
        <w:rPr>
          <w:bCs/>
        </w:rPr>
        <w:t>ed</w:t>
      </w:r>
      <w:r w:rsidRPr="003771DB">
        <w:rPr>
          <w:bCs/>
        </w:rPr>
        <w:t xml:space="preserve"> the estimates presented in the </w:t>
      </w:r>
      <w:r w:rsidR="00BB53E8" w:rsidRPr="003771DB">
        <w:rPr>
          <w:bCs/>
        </w:rPr>
        <w:t>re</w:t>
      </w:r>
      <w:r w:rsidRPr="003771DB">
        <w:rPr>
          <w:bCs/>
        </w:rPr>
        <w:t xml:space="preserve">submission to be uncertain. The main issues </w:t>
      </w:r>
      <w:r w:rsidR="00BB53E8" w:rsidRPr="003771DB">
        <w:rPr>
          <w:bCs/>
        </w:rPr>
        <w:t>we</w:t>
      </w:r>
      <w:r w:rsidRPr="003771DB">
        <w:rPr>
          <w:bCs/>
        </w:rPr>
        <w:t>re:</w:t>
      </w:r>
    </w:p>
    <w:p w14:paraId="56AE206F" w14:textId="61F05A70" w:rsidR="00B532E0" w:rsidRPr="003771DB" w:rsidRDefault="00B532E0" w:rsidP="0042771B">
      <w:pPr>
        <w:pStyle w:val="COMexecsummmainissuesbullets"/>
        <w:numPr>
          <w:ilvl w:val="0"/>
          <w:numId w:val="11"/>
        </w:numPr>
        <w:tabs>
          <w:tab w:val="clear" w:pos="720"/>
        </w:tabs>
        <w:ind w:left="1134"/>
        <w:rPr>
          <w:iCs/>
          <w:color w:val="auto"/>
        </w:rPr>
      </w:pPr>
      <w:r w:rsidRPr="003771DB">
        <w:rPr>
          <w:iCs/>
          <w:color w:val="auto"/>
        </w:rPr>
        <w:t>There were significant uncertainties regarding the size of the obese population with BMI &gt;</w:t>
      </w:r>
      <w:r w:rsidR="00876C1C">
        <w:rPr>
          <w:iCs/>
          <w:color w:val="auto"/>
        </w:rPr>
        <w:t> </w:t>
      </w:r>
      <w:r w:rsidRPr="003771DB">
        <w:rPr>
          <w:iCs/>
          <w:color w:val="auto"/>
        </w:rPr>
        <w:t xml:space="preserve">40 </w:t>
      </w:r>
      <w:r w:rsidR="00876C1C">
        <w:rPr>
          <w:iCs/>
          <w:color w:val="auto"/>
        </w:rPr>
        <w:t> </w:t>
      </w:r>
      <w:r w:rsidRPr="003771DB">
        <w:rPr>
          <w:iCs/>
          <w:color w:val="auto"/>
        </w:rPr>
        <w:t>g/m</w:t>
      </w:r>
      <w:r w:rsidRPr="003771DB">
        <w:rPr>
          <w:iCs/>
          <w:color w:val="auto"/>
          <w:vertAlign w:val="superscript"/>
        </w:rPr>
        <w:t>2</w:t>
      </w:r>
      <w:r w:rsidRPr="003771DB">
        <w:rPr>
          <w:iCs/>
          <w:color w:val="auto"/>
        </w:rPr>
        <w:t>, the proportion of those patients meeting the additional comorbidity criteria, the expected initiation rate as well as treatment persistence and treatment effectiveness in clinical practice.</w:t>
      </w:r>
    </w:p>
    <w:p w14:paraId="711F2AFF" w14:textId="30A370E5" w:rsidR="00B532E0" w:rsidRPr="003771DB" w:rsidRDefault="00B532E0" w:rsidP="0042771B">
      <w:pPr>
        <w:pStyle w:val="COMexecsummmainissuesbullets"/>
        <w:numPr>
          <w:ilvl w:val="0"/>
          <w:numId w:val="11"/>
        </w:numPr>
        <w:tabs>
          <w:tab w:val="clear" w:pos="720"/>
        </w:tabs>
        <w:ind w:left="1134"/>
        <w:rPr>
          <w:iCs/>
          <w:color w:val="auto"/>
        </w:rPr>
      </w:pPr>
      <w:r w:rsidRPr="003771DB">
        <w:rPr>
          <w:iCs/>
          <w:color w:val="auto"/>
        </w:rPr>
        <w:t>The comorbidities in the restriction, based on the STEP</w:t>
      </w:r>
      <w:r w:rsidR="00BB53E8" w:rsidRPr="003771DB">
        <w:rPr>
          <w:iCs/>
          <w:color w:val="auto"/>
        </w:rPr>
        <w:t>-1</w:t>
      </w:r>
      <w:r w:rsidRPr="003771DB">
        <w:rPr>
          <w:iCs/>
          <w:color w:val="auto"/>
        </w:rPr>
        <w:t xml:space="preserve"> clinical trial and seemingly selected based upon response rates to quality of life questionnaire, were considered too diverse and ill-defined and may not ensure either optimal targeting of the patient group most likely to benefit and being so broad would add significant uncertainty in the financial estimates</w:t>
      </w:r>
      <w:r w:rsidR="003771DB">
        <w:rPr>
          <w:iCs/>
          <w:color w:val="auto"/>
        </w:rPr>
        <w:t>.</w:t>
      </w:r>
      <w:r w:rsidRPr="003771DB">
        <w:rPr>
          <w:iCs/>
          <w:color w:val="auto"/>
        </w:rPr>
        <w:t xml:space="preserve"> </w:t>
      </w:r>
    </w:p>
    <w:p w14:paraId="53C16F52" w14:textId="6AC1E035" w:rsidR="00B532E0" w:rsidRPr="003771DB" w:rsidRDefault="00B532E0" w:rsidP="0042771B">
      <w:pPr>
        <w:pStyle w:val="COMexecsummmainissuesbullets"/>
        <w:numPr>
          <w:ilvl w:val="0"/>
          <w:numId w:val="11"/>
        </w:numPr>
        <w:tabs>
          <w:tab w:val="clear" w:pos="720"/>
        </w:tabs>
        <w:ind w:left="1134"/>
        <w:rPr>
          <w:iCs/>
          <w:color w:val="auto"/>
        </w:rPr>
      </w:pPr>
      <w:r w:rsidRPr="003771DB">
        <w:rPr>
          <w:iCs/>
          <w:color w:val="auto"/>
        </w:rPr>
        <w:t>The inclusion in the proposed PBS restriction of a discontinuation requirement for 2 years after cessation of semaglutide was not considered to be appropriate. Findings from the STEP</w:t>
      </w:r>
      <w:r w:rsidR="00B00718" w:rsidRPr="003771DB">
        <w:rPr>
          <w:iCs/>
          <w:color w:val="auto"/>
        </w:rPr>
        <w:t>-</w:t>
      </w:r>
      <w:r w:rsidRPr="003771DB">
        <w:rPr>
          <w:iCs/>
          <w:color w:val="auto"/>
        </w:rPr>
        <w:t xml:space="preserve">1 extension trial has shown weight regression following cessation of semaglutide treatment and this would adversely affect both the health-related quality of life (HRQoL) benefits and the downstream benefits (including potential effects on cardiovascular outcomes) associated with weight loss. </w:t>
      </w:r>
    </w:p>
    <w:p w14:paraId="3ED89234" w14:textId="0DE8A9AD" w:rsidR="00B532E0" w:rsidRPr="003771DB" w:rsidRDefault="00B532E0" w:rsidP="0042771B">
      <w:pPr>
        <w:pStyle w:val="COMexecsummmainissuesbullets"/>
        <w:numPr>
          <w:ilvl w:val="0"/>
          <w:numId w:val="11"/>
        </w:numPr>
        <w:tabs>
          <w:tab w:val="clear" w:pos="720"/>
        </w:tabs>
        <w:ind w:left="1134"/>
        <w:rPr>
          <w:iCs/>
          <w:color w:val="auto"/>
        </w:rPr>
      </w:pPr>
      <w:r w:rsidRPr="003771DB">
        <w:rPr>
          <w:iCs/>
          <w:color w:val="auto"/>
        </w:rPr>
        <w:t xml:space="preserve">The inclusion of a </w:t>
      </w:r>
      <w:r w:rsidR="00BB53E8" w:rsidRPr="003771DB">
        <w:rPr>
          <w:iCs/>
          <w:color w:val="auto"/>
        </w:rPr>
        <w:t>2-year</w:t>
      </w:r>
      <w:r w:rsidRPr="003771DB">
        <w:rPr>
          <w:iCs/>
          <w:color w:val="auto"/>
        </w:rPr>
        <w:t xml:space="preserve"> discontinuation requirement would also have a significant impact on the financial estimates and would also increase the likelihood of inappropriate prescribing and utilisation.</w:t>
      </w:r>
    </w:p>
    <w:p w14:paraId="156DA092" w14:textId="7C054ACD" w:rsidR="00B532E0" w:rsidRPr="003771DB" w:rsidRDefault="00B532E0" w:rsidP="0042771B">
      <w:pPr>
        <w:pStyle w:val="COMexecsummmainissuesbullets"/>
        <w:numPr>
          <w:ilvl w:val="0"/>
          <w:numId w:val="11"/>
        </w:numPr>
        <w:tabs>
          <w:tab w:val="clear" w:pos="720"/>
        </w:tabs>
        <w:ind w:left="1134"/>
        <w:rPr>
          <w:iCs/>
          <w:color w:val="auto"/>
        </w:rPr>
      </w:pPr>
      <w:r w:rsidRPr="003771DB">
        <w:rPr>
          <w:iCs/>
          <w:color w:val="auto"/>
        </w:rPr>
        <w:t xml:space="preserve">The likelihood of utilisation outside the requested PBS population is estimated to be high, given that the clinical trial evidence and treatment guidelines support use in broader populations and the widespread publicity and interest in weight loss pharmacotherapy especially the GLP-I RAs. </w:t>
      </w:r>
    </w:p>
    <w:p w14:paraId="48107E23" w14:textId="17984760" w:rsidR="00BB53E8" w:rsidRPr="003771DB" w:rsidRDefault="00BB53E8" w:rsidP="0042771B">
      <w:pPr>
        <w:pStyle w:val="ListParagraph"/>
        <w:numPr>
          <w:ilvl w:val="0"/>
          <w:numId w:val="11"/>
        </w:numPr>
        <w:tabs>
          <w:tab w:val="clear" w:pos="720"/>
        </w:tabs>
        <w:ind w:left="1134"/>
        <w:contextualSpacing/>
        <w:rPr>
          <w:rFonts w:eastAsia="SimSun"/>
          <w:b/>
        </w:rPr>
      </w:pPr>
      <w:r w:rsidRPr="003771DB">
        <w:rPr>
          <w:rFonts w:eastAsia="SimSun"/>
          <w:bCs/>
          <w:iCs/>
        </w:rPr>
        <w:t xml:space="preserve">A </w:t>
      </w:r>
      <w:r w:rsidR="00FF2017">
        <w:rPr>
          <w:rFonts w:eastAsia="SimSun"/>
          <w:bCs/>
          <w:iCs/>
        </w:rPr>
        <w:t>R</w:t>
      </w:r>
      <w:r w:rsidR="00FF2017" w:rsidRPr="003771DB">
        <w:rPr>
          <w:rFonts w:eastAsia="SimSun"/>
          <w:bCs/>
          <w:iCs/>
        </w:rPr>
        <w:t xml:space="preserve">isk </w:t>
      </w:r>
      <w:r w:rsidR="00FF2017">
        <w:rPr>
          <w:rFonts w:eastAsia="SimSun"/>
          <w:bCs/>
          <w:iCs/>
        </w:rPr>
        <w:t>S</w:t>
      </w:r>
      <w:r w:rsidR="00FF2017" w:rsidRPr="003771DB">
        <w:rPr>
          <w:rFonts w:eastAsia="SimSun"/>
          <w:bCs/>
          <w:iCs/>
        </w:rPr>
        <w:t xml:space="preserve">haring </w:t>
      </w:r>
      <w:r w:rsidR="00FF2017">
        <w:rPr>
          <w:rFonts w:eastAsia="SimSun"/>
          <w:bCs/>
          <w:iCs/>
        </w:rPr>
        <w:t>A</w:t>
      </w:r>
      <w:r w:rsidR="00FF2017" w:rsidRPr="003771DB">
        <w:rPr>
          <w:rFonts w:eastAsia="SimSun"/>
          <w:bCs/>
          <w:iCs/>
        </w:rPr>
        <w:t xml:space="preserve">rrangement </w:t>
      </w:r>
      <w:r w:rsidRPr="003771DB">
        <w:rPr>
          <w:rFonts w:eastAsia="SimSun"/>
          <w:bCs/>
          <w:iCs/>
        </w:rPr>
        <w:t xml:space="preserve">would be necessary given the uncertainties in estimating the utilisation and financial implications of the requested PBS listing of semaglutide for severe obesity. </w:t>
      </w:r>
    </w:p>
    <w:p w14:paraId="2238DEE9" w14:textId="2CAFEA44" w:rsidR="00576972" w:rsidRPr="003771DB" w:rsidRDefault="00576972" w:rsidP="00606FBA">
      <w:pPr>
        <w:pStyle w:val="COMH2-non-numbered"/>
      </w:pPr>
      <w:bookmarkStart w:id="65" w:name="_Toc22897648"/>
      <w:bookmarkStart w:id="66" w:name="_Toc144899331"/>
      <w:r w:rsidRPr="003771DB">
        <w:lastRenderedPageBreak/>
        <w:t>Quality Use of Medicines</w:t>
      </w:r>
      <w:bookmarkEnd w:id="65"/>
      <w:bookmarkEnd w:id="66"/>
    </w:p>
    <w:p w14:paraId="49293F76" w14:textId="0B36F367" w:rsidR="001D3337" w:rsidRPr="003771DB" w:rsidRDefault="001D3337" w:rsidP="004E2228">
      <w:pPr>
        <w:pStyle w:val="COMexecsumnumberedpara"/>
      </w:pPr>
      <w:r w:rsidRPr="003771DB">
        <w:t>The resubmission stated that the sponsor will undertake pharmacovigilance activities and provide education support to patients, doctors, pharmacists and other healthcare professionals.</w:t>
      </w:r>
    </w:p>
    <w:p w14:paraId="40B5FE52" w14:textId="4E747093" w:rsidR="001D3337" w:rsidRPr="003771DB" w:rsidRDefault="001D3337" w:rsidP="004E2228">
      <w:pPr>
        <w:pStyle w:val="COMexecsumnumberedpara"/>
      </w:pPr>
      <w:r w:rsidRPr="003771DB">
        <w:t>The patient support program is still being developed but will include an online platform to support, educate and motivate patients and manage their expectations to help ensure a positive experience with semaglutide. The resubmission claimed that the patient support program is designed to empower patients so that they are better prepared to control their weight throughout their weight loss journey. It was unclear whether the proposed patient support program included individual counselling on diet and exercise.</w:t>
      </w:r>
    </w:p>
    <w:p w14:paraId="3E275D33" w14:textId="77777777" w:rsidR="00542F44" w:rsidRPr="003771DB" w:rsidRDefault="00670307" w:rsidP="00542F44">
      <w:pPr>
        <w:pStyle w:val="COMexecsumnumberedpara"/>
      </w:pPr>
      <w:r w:rsidRPr="003771DB">
        <w:t>There is a risk of diversion of semaglutide (e.g. patients on-selling their prescribed medications) given the high demand for semaglutide as a weight loss therapy, narrow proposed PBS restriction and potential for profiteering from the difference between the patient co-payment and private market price of semaglutide.</w:t>
      </w:r>
    </w:p>
    <w:p w14:paraId="405B852A" w14:textId="77777777" w:rsidR="00542F44" w:rsidRPr="003771DB" w:rsidRDefault="00106ECB" w:rsidP="00542F44">
      <w:pPr>
        <w:pStyle w:val="COMexecsumnumberedpara"/>
      </w:pPr>
      <w:r w:rsidRPr="003771DB">
        <w:rPr>
          <w:iCs/>
        </w:rPr>
        <w:t>The availability of semaglutide for obesity may exacerbate existing equity of access issues for patients accessing subsidised weight management care. The PSCR contented that as semaglutide is expected to be prescribed in primary care settings, it should result in reduced pressure on specialist weight services.</w:t>
      </w:r>
    </w:p>
    <w:p w14:paraId="5F42932E" w14:textId="5CC66F39" w:rsidR="00BB53E8" w:rsidRPr="003771DB" w:rsidRDefault="00542F44" w:rsidP="00542F44">
      <w:pPr>
        <w:pStyle w:val="COMexecsumnumberedpara"/>
      </w:pPr>
      <w:r w:rsidRPr="003771DB">
        <w:t xml:space="preserve">The </w:t>
      </w:r>
      <w:r w:rsidR="00BB53E8" w:rsidRPr="003771DB">
        <w:rPr>
          <w:iCs/>
        </w:rPr>
        <w:t>DUSC reemphasised prior comments in the consideration of the March</w:t>
      </w:r>
      <w:r w:rsidR="00876C1C">
        <w:rPr>
          <w:iCs/>
        </w:rPr>
        <w:t> </w:t>
      </w:r>
      <w:r w:rsidR="00BB53E8" w:rsidRPr="003771DB">
        <w:rPr>
          <w:iCs/>
        </w:rPr>
        <w:t xml:space="preserve">2022 submission regarding the limited details of a multimodal program for weight management as well as the potential costs and allied health capacity to support a multimodal program. </w:t>
      </w:r>
    </w:p>
    <w:p w14:paraId="6015A395" w14:textId="5AEF5072" w:rsidR="00576972" w:rsidRPr="003771DB" w:rsidRDefault="00576972" w:rsidP="00606FBA">
      <w:pPr>
        <w:pStyle w:val="COMH2-non-numbered"/>
      </w:pPr>
      <w:bookmarkStart w:id="67" w:name="_Toc22897649"/>
      <w:bookmarkStart w:id="68" w:name="_Toc144899332"/>
      <w:r w:rsidRPr="003771DB">
        <w:t>Financial Management – Risk Sharing Arrangements</w:t>
      </w:r>
      <w:bookmarkEnd w:id="67"/>
      <w:bookmarkEnd w:id="68"/>
    </w:p>
    <w:p w14:paraId="1EEA8686" w14:textId="008444A7" w:rsidR="001D3337" w:rsidRPr="003771DB" w:rsidRDefault="001D3337" w:rsidP="004E2228">
      <w:pPr>
        <w:pStyle w:val="COMexecsumnumberedpara"/>
        <w:rPr>
          <w:iCs/>
        </w:rPr>
      </w:pPr>
      <w:r w:rsidRPr="003771DB">
        <w:t xml:space="preserve">The resubmission did not propose a </w:t>
      </w:r>
      <w:r w:rsidR="00FF2017">
        <w:t>R</w:t>
      </w:r>
      <w:r w:rsidR="00FF2017" w:rsidRPr="003771DB">
        <w:t xml:space="preserve">isk </w:t>
      </w:r>
      <w:r w:rsidR="00FF2017">
        <w:t>S</w:t>
      </w:r>
      <w:r w:rsidR="00FF2017" w:rsidRPr="003771DB">
        <w:t xml:space="preserve">haring </w:t>
      </w:r>
      <w:r w:rsidR="00FF2017">
        <w:t>A</w:t>
      </w:r>
      <w:r w:rsidR="00FF2017" w:rsidRPr="003771DB">
        <w:t>rrangement</w:t>
      </w:r>
      <w:r w:rsidRPr="003771DB">
        <w:t>. However, the March</w:t>
      </w:r>
      <w:r w:rsidR="00876C1C">
        <w:t> </w:t>
      </w:r>
      <w:r w:rsidRPr="003771DB">
        <w:t xml:space="preserve">2022 submission acknowledged that the magnitude of expected financial impact and uncertainty around the total impact means that a </w:t>
      </w:r>
      <w:r w:rsidR="00FF2017">
        <w:t>R</w:t>
      </w:r>
      <w:r w:rsidR="00FF2017" w:rsidRPr="003771DB">
        <w:t xml:space="preserve">isk </w:t>
      </w:r>
      <w:r w:rsidR="00FF2017">
        <w:t>S</w:t>
      </w:r>
      <w:r w:rsidR="00FF2017" w:rsidRPr="003771DB">
        <w:t xml:space="preserve">haring </w:t>
      </w:r>
      <w:r w:rsidR="00FF2017">
        <w:t>A</w:t>
      </w:r>
      <w:r w:rsidR="00FF2017" w:rsidRPr="003771DB">
        <w:t xml:space="preserve">rrangement </w:t>
      </w:r>
      <w:r w:rsidRPr="003771DB">
        <w:t>will be necessary.</w:t>
      </w:r>
    </w:p>
    <w:p w14:paraId="7EEABCBD" w14:textId="77777777" w:rsidR="003A1B34" w:rsidRPr="003771DB" w:rsidRDefault="003A1B34" w:rsidP="003A1B34">
      <w:pPr>
        <w:pStyle w:val="ListParagraph"/>
        <w:numPr>
          <w:ilvl w:val="0"/>
          <w:numId w:val="0"/>
        </w:numPr>
        <w:ind w:left="720"/>
        <w:rPr>
          <w:i/>
        </w:rPr>
      </w:pPr>
      <w:r w:rsidRPr="003771DB">
        <w:rPr>
          <w:i/>
        </w:rPr>
        <w:t>For more detail on PBAC’s view, see section 7 PBAC outcome.</w:t>
      </w:r>
    </w:p>
    <w:p w14:paraId="068F87AB" w14:textId="77777777" w:rsidR="00FC566E" w:rsidRPr="003771DB" w:rsidRDefault="00FC566E" w:rsidP="00E45FFF">
      <w:pPr>
        <w:pStyle w:val="COMH1numbered"/>
        <w:numPr>
          <w:ilvl w:val="0"/>
          <w:numId w:val="1"/>
        </w:numPr>
      </w:pPr>
      <w:bookmarkStart w:id="69" w:name="_Hlk76381249"/>
      <w:bookmarkStart w:id="70" w:name="_Hlk76377955"/>
      <w:bookmarkStart w:id="71" w:name="_Toc144899334"/>
      <w:r w:rsidRPr="003771DB">
        <w:t>PBAC Outcome</w:t>
      </w:r>
    </w:p>
    <w:p w14:paraId="7D53D2B0" w14:textId="123E89B0" w:rsidR="00832FE2" w:rsidRPr="00D462E9" w:rsidRDefault="00832FE2" w:rsidP="00FC566E">
      <w:pPr>
        <w:widowControl w:val="0"/>
        <w:numPr>
          <w:ilvl w:val="1"/>
          <w:numId w:val="1"/>
        </w:numPr>
        <w:spacing w:after="120"/>
        <w:ind w:left="720"/>
        <w:rPr>
          <w:rFonts w:asciiTheme="minorHAnsi" w:hAnsiTheme="minorHAnsi"/>
          <w:snapToGrid w:val="0"/>
        </w:rPr>
      </w:pPr>
      <w:bookmarkStart w:id="72" w:name="_Hlk111543188"/>
      <w:r w:rsidRPr="00D462E9">
        <w:rPr>
          <w:rFonts w:asciiTheme="minorHAnsi" w:hAnsiTheme="minorHAnsi"/>
          <w:snapToGrid w:val="0"/>
        </w:rPr>
        <w:t xml:space="preserve">The PBAC did not recommend the listing of semaglutide for the treatment of severe obesity. </w:t>
      </w:r>
      <w:r w:rsidR="00520BC7" w:rsidRPr="00D462E9">
        <w:rPr>
          <w:rFonts w:asciiTheme="minorHAnsi" w:hAnsiTheme="minorHAnsi"/>
          <w:snapToGrid w:val="0"/>
        </w:rPr>
        <w:t>T</w:t>
      </w:r>
      <w:r w:rsidRPr="00D462E9">
        <w:rPr>
          <w:rFonts w:asciiTheme="minorHAnsi" w:hAnsiTheme="minorHAnsi"/>
          <w:snapToGrid w:val="0"/>
        </w:rPr>
        <w:t xml:space="preserve">he PBAC considered that the </w:t>
      </w:r>
      <w:r w:rsidR="004F0370" w:rsidRPr="00D462E9">
        <w:rPr>
          <w:rFonts w:asciiTheme="minorHAnsi" w:hAnsiTheme="minorHAnsi"/>
          <w:snapToGrid w:val="0"/>
        </w:rPr>
        <w:t>re</w:t>
      </w:r>
      <w:r w:rsidRPr="00D462E9">
        <w:rPr>
          <w:rFonts w:asciiTheme="minorHAnsi" w:hAnsiTheme="minorHAnsi"/>
          <w:snapToGrid w:val="0"/>
        </w:rPr>
        <w:t xml:space="preserve">submission did not adequately support access to semaglutide as defined in the proposed PBS population. </w:t>
      </w:r>
      <w:r w:rsidR="00D9784A" w:rsidRPr="00D462E9">
        <w:rPr>
          <w:rFonts w:asciiTheme="minorHAnsi" w:hAnsiTheme="minorHAnsi"/>
          <w:snapToGrid w:val="0"/>
        </w:rPr>
        <w:t>The</w:t>
      </w:r>
      <w:r w:rsidR="003A1339" w:rsidRPr="00D462E9">
        <w:rPr>
          <w:rFonts w:asciiTheme="minorHAnsi" w:hAnsiTheme="minorHAnsi"/>
          <w:snapToGrid w:val="0"/>
        </w:rPr>
        <w:t>re was no strong clinical rationale for the</w:t>
      </w:r>
      <w:r w:rsidR="00D9784A" w:rsidRPr="00D462E9">
        <w:rPr>
          <w:rFonts w:asciiTheme="minorHAnsi" w:hAnsiTheme="minorHAnsi"/>
          <w:snapToGrid w:val="0"/>
        </w:rPr>
        <w:t xml:space="preserve"> obesity comorbidities selected for inclusion in the </w:t>
      </w:r>
      <w:r w:rsidR="0013604F" w:rsidRPr="00D462E9">
        <w:rPr>
          <w:rFonts w:asciiTheme="minorHAnsi" w:hAnsiTheme="minorHAnsi"/>
          <w:snapToGrid w:val="0"/>
        </w:rPr>
        <w:t>proposed PBS listing</w:t>
      </w:r>
      <w:r w:rsidR="00D9784A" w:rsidRPr="00D462E9">
        <w:rPr>
          <w:rFonts w:asciiTheme="minorHAnsi" w:hAnsiTheme="minorHAnsi"/>
          <w:snapToGrid w:val="0"/>
        </w:rPr>
        <w:t xml:space="preserve"> </w:t>
      </w:r>
      <w:r w:rsidR="003A1339" w:rsidRPr="00D462E9">
        <w:rPr>
          <w:rFonts w:asciiTheme="minorHAnsi" w:hAnsiTheme="minorHAnsi"/>
          <w:snapToGrid w:val="0"/>
        </w:rPr>
        <w:t xml:space="preserve">and they </w:t>
      </w:r>
      <w:r w:rsidR="00D9784A" w:rsidRPr="00D462E9">
        <w:rPr>
          <w:rFonts w:asciiTheme="minorHAnsi" w:hAnsiTheme="minorHAnsi"/>
          <w:snapToGrid w:val="0"/>
        </w:rPr>
        <w:t>did not identify patients most likely to experience</w:t>
      </w:r>
      <w:r w:rsidR="00711B9E" w:rsidRPr="00D462E9">
        <w:rPr>
          <w:rFonts w:asciiTheme="minorHAnsi" w:hAnsiTheme="minorHAnsi"/>
          <w:snapToGrid w:val="0"/>
        </w:rPr>
        <w:t xml:space="preserve"> relatively large reductions in weight or</w:t>
      </w:r>
      <w:r w:rsidR="00D9784A" w:rsidRPr="00D462E9">
        <w:rPr>
          <w:rFonts w:asciiTheme="minorHAnsi" w:hAnsiTheme="minorHAnsi"/>
          <w:snapToGrid w:val="0"/>
        </w:rPr>
        <w:t xml:space="preserve"> </w:t>
      </w:r>
      <w:r w:rsidR="00FF2017" w:rsidRPr="00FF2017">
        <w:rPr>
          <w:rFonts w:asciiTheme="minorHAnsi" w:hAnsiTheme="minorHAnsi"/>
          <w:snapToGrid w:val="0"/>
        </w:rPr>
        <w:t>long-term</w:t>
      </w:r>
      <w:r w:rsidR="00D9784A" w:rsidRPr="00D462E9">
        <w:rPr>
          <w:rFonts w:asciiTheme="minorHAnsi" w:hAnsiTheme="minorHAnsi"/>
          <w:snapToGrid w:val="0"/>
        </w:rPr>
        <w:t xml:space="preserve"> benefits from weight los</w:t>
      </w:r>
      <w:r w:rsidR="003A1339" w:rsidRPr="00D462E9">
        <w:rPr>
          <w:rFonts w:asciiTheme="minorHAnsi" w:hAnsiTheme="minorHAnsi"/>
          <w:snapToGrid w:val="0"/>
        </w:rPr>
        <w:t>s</w:t>
      </w:r>
      <w:r w:rsidR="0013604F" w:rsidRPr="00D462E9">
        <w:rPr>
          <w:rFonts w:asciiTheme="minorHAnsi" w:hAnsiTheme="minorHAnsi"/>
          <w:snapToGrid w:val="0"/>
        </w:rPr>
        <w:t>.</w:t>
      </w:r>
      <w:r w:rsidR="00D9784A" w:rsidRPr="00D462E9">
        <w:rPr>
          <w:rFonts w:asciiTheme="minorHAnsi" w:hAnsiTheme="minorHAnsi"/>
          <w:snapToGrid w:val="0"/>
        </w:rPr>
        <w:t xml:space="preserve"> </w:t>
      </w:r>
      <w:r w:rsidRPr="00D462E9">
        <w:rPr>
          <w:rFonts w:asciiTheme="minorHAnsi" w:hAnsiTheme="minorHAnsi"/>
          <w:snapToGrid w:val="0"/>
        </w:rPr>
        <w:t xml:space="preserve">No new clinical trial evidence was presented in this resubmission to support benefits of </w:t>
      </w:r>
      <w:r w:rsidR="00FF2017" w:rsidRPr="00FF2017">
        <w:rPr>
          <w:rFonts w:asciiTheme="minorHAnsi" w:hAnsiTheme="minorHAnsi"/>
          <w:snapToGrid w:val="0"/>
        </w:rPr>
        <w:t>longer-term</w:t>
      </w:r>
      <w:r w:rsidRPr="00D462E9">
        <w:rPr>
          <w:rFonts w:asciiTheme="minorHAnsi" w:hAnsiTheme="minorHAnsi"/>
          <w:snapToGrid w:val="0"/>
        </w:rPr>
        <w:t xml:space="preserve"> use, although the Committee noted that new </w:t>
      </w:r>
      <w:r w:rsidR="00520BC7" w:rsidRPr="00D462E9">
        <w:rPr>
          <w:rFonts w:asciiTheme="minorHAnsi" w:hAnsiTheme="minorHAnsi"/>
          <w:snapToGrid w:val="0"/>
        </w:rPr>
        <w:t xml:space="preserve">randomised controlled </w:t>
      </w:r>
      <w:r w:rsidRPr="00D462E9">
        <w:rPr>
          <w:rFonts w:asciiTheme="minorHAnsi" w:hAnsiTheme="minorHAnsi"/>
          <w:snapToGrid w:val="0"/>
        </w:rPr>
        <w:t xml:space="preserve">trial data highlighting </w:t>
      </w:r>
      <w:r w:rsidRPr="00D462E9">
        <w:rPr>
          <w:rFonts w:asciiTheme="minorHAnsi" w:hAnsiTheme="minorHAnsi"/>
          <w:snapToGrid w:val="0"/>
        </w:rPr>
        <w:lastRenderedPageBreak/>
        <w:t xml:space="preserve">potential benefits in reducing cardiovascular events was announced by </w:t>
      </w:r>
      <w:r w:rsidR="008728A9" w:rsidRPr="00D462E9">
        <w:rPr>
          <w:rFonts w:asciiTheme="minorHAnsi" w:hAnsiTheme="minorHAnsi"/>
          <w:snapToGrid w:val="0"/>
        </w:rPr>
        <w:t>the sponsor</w:t>
      </w:r>
      <w:r w:rsidRPr="00D462E9">
        <w:rPr>
          <w:rFonts w:asciiTheme="minorHAnsi" w:hAnsiTheme="minorHAnsi"/>
          <w:snapToGrid w:val="0"/>
        </w:rPr>
        <w:t xml:space="preserve"> in a press release after the resubmission was received. The PBAC considered this information would be informative in defining eligible patients who would obtain downstream health benefits of weight loss. The PBAC also considered it would be unreasonable for patients currently eligible for semaglutide</w:t>
      </w:r>
      <w:r w:rsidR="00520BC7" w:rsidRPr="00D462E9">
        <w:rPr>
          <w:rFonts w:asciiTheme="minorHAnsi" w:hAnsiTheme="minorHAnsi"/>
          <w:snapToGrid w:val="0"/>
        </w:rPr>
        <w:t xml:space="preserve"> 1 mg once weekly</w:t>
      </w:r>
      <w:r w:rsidRPr="00D462E9">
        <w:rPr>
          <w:rFonts w:asciiTheme="minorHAnsi" w:hAnsiTheme="minorHAnsi"/>
          <w:snapToGrid w:val="0"/>
        </w:rPr>
        <w:t xml:space="preserve"> (Ozempic®) for Type 2 diabetes, who had severe obesity, to not be able to access the higher dose of semaglutide</w:t>
      </w:r>
      <w:r w:rsidR="00520BC7" w:rsidRPr="00D462E9">
        <w:rPr>
          <w:rFonts w:asciiTheme="minorHAnsi" w:hAnsiTheme="minorHAnsi"/>
          <w:snapToGrid w:val="0"/>
        </w:rPr>
        <w:t xml:space="preserve"> 2.4 mg once weekly (</w:t>
      </w:r>
      <w:proofErr w:type="spellStart"/>
      <w:r w:rsidR="00520BC7" w:rsidRPr="00D462E9">
        <w:rPr>
          <w:rFonts w:asciiTheme="minorHAnsi" w:hAnsiTheme="minorHAnsi"/>
          <w:snapToGrid w:val="0"/>
        </w:rPr>
        <w:t>Wegovy</w:t>
      </w:r>
      <w:proofErr w:type="spellEnd"/>
      <w:r w:rsidR="00520BC7" w:rsidRPr="00D462E9">
        <w:rPr>
          <w:rFonts w:asciiTheme="minorHAnsi" w:hAnsiTheme="minorHAnsi"/>
          <w:snapToGrid w:val="0"/>
        </w:rPr>
        <w:t>®)</w:t>
      </w:r>
      <w:r w:rsidRPr="00D462E9">
        <w:rPr>
          <w:rFonts w:asciiTheme="minorHAnsi" w:hAnsiTheme="minorHAnsi"/>
          <w:snapToGrid w:val="0"/>
        </w:rPr>
        <w:t xml:space="preserve"> and advised that this patient group be included for future consideration. The PBAC considered semaglutide was not cost effective at the price proposed</w:t>
      </w:r>
      <w:r w:rsidR="006C0B6D" w:rsidRPr="00D462E9">
        <w:rPr>
          <w:rFonts w:asciiTheme="minorHAnsi" w:hAnsiTheme="minorHAnsi"/>
          <w:snapToGrid w:val="0"/>
        </w:rPr>
        <w:t>, noting although only short-term weight loss benefits were modelled, there were multiple issues with the utility values applied</w:t>
      </w:r>
      <w:r w:rsidR="0013604F" w:rsidRPr="00D462E9">
        <w:rPr>
          <w:rFonts w:asciiTheme="minorHAnsi" w:hAnsiTheme="minorHAnsi"/>
          <w:snapToGrid w:val="0"/>
        </w:rPr>
        <w:t>.</w:t>
      </w:r>
      <w:r w:rsidRPr="00D462E9">
        <w:rPr>
          <w:rFonts w:asciiTheme="minorHAnsi" w:hAnsiTheme="minorHAnsi"/>
          <w:snapToGrid w:val="0"/>
        </w:rPr>
        <w:t xml:space="preserve"> </w:t>
      </w:r>
      <w:r w:rsidR="00560E8F" w:rsidRPr="003771DB">
        <w:t xml:space="preserve">The PBAC considered a </w:t>
      </w:r>
      <w:r w:rsidR="00FF2017">
        <w:t>R</w:t>
      </w:r>
      <w:r w:rsidR="00560E8F" w:rsidRPr="003771DB">
        <w:t xml:space="preserve">isk </w:t>
      </w:r>
      <w:r w:rsidR="00FF2017">
        <w:t>S</w:t>
      </w:r>
      <w:r w:rsidR="00560E8F" w:rsidRPr="003771DB">
        <w:t xml:space="preserve">haring </w:t>
      </w:r>
      <w:r w:rsidR="00FF2017">
        <w:t>A</w:t>
      </w:r>
      <w:r w:rsidR="00560E8F" w:rsidRPr="003771DB">
        <w:t xml:space="preserve">rrangement (RSA) would be required given the extremely high estimated expenditure and </w:t>
      </w:r>
      <w:r w:rsidR="00306090">
        <w:t xml:space="preserve">the </w:t>
      </w:r>
      <w:r w:rsidR="00560E8F" w:rsidRPr="003771DB">
        <w:t>criteria for defining the patient population</w:t>
      </w:r>
      <w:r w:rsidRPr="00D462E9">
        <w:rPr>
          <w:rFonts w:asciiTheme="minorHAnsi" w:hAnsiTheme="minorHAnsi"/>
          <w:snapToGrid w:val="0"/>
        </w:rPr>
        <w:t xml:space="preserve">. The PBAC advised a facilitated resolution pathway would be appropriate given the high added therapeutic value of </w:t>
      </w:r>
      <w:r w:rsidR="00E12524" w:rsidRPr="00D462E9">
        <w:rPr>
          <w:rFonts w:asciiTheme="minorHAnsi" w:hAnsiTheme="minorHAnsi"/>
          <w:snapToGrid w:val="0"/>
        </w:rPr>
        <w:t>semaglutide</w:t>
      </w:r>
      <w:r w:rsidRPr="00D462E9">
        <w:rPr>
          <w:rFonts w:asciiTheme="minorHAnsi" w:hAnsiTheme="minorHAnsi"/>
          <w:snapToGrid w:val="0"/>
        </w:rPr>
        <w:t xml:space="preserve"> and outstanding issues </w:t>
      </w:r>
      <w:r w:rsidR="004F0370" w:rsidRPr="00D462E9">
        <w:rPr>
          <w:rFonts w:asciiTheme="minorHAnsi" w:hAnsiTheme="minorHAnsi"/>
          <w:snapToGrid w:val="0"/>
        </w:rPr>
        <w:t xml:space="preserve">for resolution </w:t>
      </w:r>
      <w:r w:rsidRPr="00D462E9">
        <w:rPr>
          <w:rFonts w:asciiTheme="minorHAnsi" w:hAnsiTheme="minorHAnsi"/>
          <w:snapToGrid w:val="0"/>
        </w:rPr>
        <w:t>in defining the patients in whom treatment would reduce downstream consequences of obesity</w:t>
      </w:r>
      <w:r w:rsidR="00A0145B">
        <w:rPr>
          <w:rFonts w:asciiTheme="minorHAnsi" w:hAnsiTheme="minorHAnsi"/>
          <w:snapToGrid w:val="0"/>
        </w:rPr>
        <w:t>,</w:t>
      </w:r>
      <w:r w:rsidRPr="00D462E9">
        <w:rPr>
          <w:rFonts w:asciiTheme="minorHAnsi" w:hAnsiTheme="minorHAnsi"/>
          <w:snapToGrid w:val="0"/>
        </w:rPr>
        <w:t xml:space="preserve"> be cost-effective, and appropriate for the significant Government expenditure</w:t>
      </w:r>
      <w:r w:rsidR="003771DB">
        <w:rPr>
          <w:rFonts w:asciiTheme="minorHAnsi" w:hAnsiTheme="minorHAnsi"/>
          <w:snapToGrid w:val="0"/>
        </w:rPr>
        <w:t xml:space="preserve">. </w:t>
      </w:r>
    </w:p>
    <w:bookmarkEnd w:id="72"/>
    <w:p w14:paraId="7D38CE50" w14:textId="4013E26E" w:rsidR="007A5005" w:rsidRPr="00336C78" w:rsidRDefault="00520BC7" w:rsidP="00FC566E">
      <w:pPr>
        <w:widowControl w:val="0"/>
        <w:numPr>
          <w:ilvl w:val="1"/>
          <w:numId w:val="1"/>
        </w:numPr>
        <w:spacing w:after="120"/>
        <w:ind w:left="720"/>
        <w:rPr>
          <w:rFonts w:asciiTheme="minorHAnsi" w:hAnsiTheme="minorHAnsi"/>
          <w:snapToGrid w:val="0"/>
          <w:color w:val="00B0F0"/>
        </w:rPr>
      </w:pPr>
      <w:r w:rsidRPr="00336C78">
        <w:rPr>
          <w:rFonts w:asciiTheme="minorHAnsi" w:hAnsiTheme="minorHAnsi"/>
          <w:snapToGrid w:val="0"/>
        </w:rPr>
        <w:t>The PBAC recognised the high burden of disease in Australia</w:t>
      </w:r>
      <w:r w:rsidR="008D1A09" w:rsidRPr="00336C78">
        <w:rPr>
          <w:rFonts w:asciiTheme="minorHAnsi" w:hAnsiTheme="minorHAnsi"/>
          <w:snapToGrid w:val="0"/>
        </w:rPr>
        <w:t xml:space="preserve">, acknowledging the high </w:t>
      </w:r>
      <w:r w:rsidR="00EA2AAE" w:rsidRPr="00336C78">
        <w:rPr>
          <w:rFonts w:asciiTheme="minorHAnsi" w:hAnsiTheme="minorHAnsi"/>
          <w:snapToGrid w:val="0"/>
        </w:rPr>
        <w:t xml:space="preserve">and urgent unmet </w:t>
      </w:r>
      <w:r w:rsidR="008D1A09" w:rsidRPr="00336C78">
        <w:rPr>
          <w:rFonts w:asciiTheme="minorHAnsi" w:hAnsiTheme="minorHAnsi"/>
          <w:snapToGrid w:val="0"/>
        </w:rPr>
        <w:t>clinical need for effective weight loss strategies</w:t>
      </w:r>
      <w:r w:rsidR="006C0B5A" w:rsidRPr="00336C78">
        <w:rPr>
          <w:rFonts w:asciiTheme="minorHAnsi" w:hAnsiTheme="minorHAnsi"/>
          <w:snapToGrid w:val="0"/>
        </w:rPr>
        <w:t xml:space="preserve"> for severe obesity.</w:t>
      </w:r>
      <w:r w:rsidRPr="00336C78">
        <w:rPr>
          <w:rFonts w:asciiTheme="minorHAnsi" w:hAnsiTheme="minorHAnsi"/>
          <w:snapToGrid w:val="0"/>
        </w:rPr>
        <w:t xml:space="preserve"> </w:t>
      </w:r>
      <w:r w:rsidR="006C0B5A" w:rsidRPr="00336C78">
        <w:rPr>
          <w:rFonts w:asciiTheme="minorHAnsi" w:hAnsiTheme="minorHAnsi"/>
          <w:snapToGrid w:val="0"/>
        </w:rPr>
        <w:t>The PBAC</w:t>
      </w:r>
      <w:r w:rsidRPr="00336C78">
        <w:rPr>
          <w:rFonts w:asciiTheme="minorHAnsi" w:hAnsiTheme="minorHAnsi"/>
          <w:snapToGrid w:val="0"/>
        </w:rPr>
        <w:t xml:space="preserve"> welcomed the input from a large number of consumers and clinicians, as well as professional and patient organisations, that showed strong and consistent support for widespread use</w:t>
      </w:r>
      <w:r w:rsidR="00085DAC" w:rsidRPr="00336C78">
        <w:rPr>
          <w:rFonts w:asciiTheme="minorHAnsi" w:hAnsiTheme="minorHAnsi"/>
          <w:snapToGrid w:val="0"/>
        </w:rPr>
        <w:t xml:space="preserve"> of semaglutide</w:t>
      </w:r>
      <w:r w:rsidRPr="00336C78">
        <w:rPr>
          <w:rFonts w:asciiTheme="minorHAnsi" w:hAnsiTheme="minorHAnsi"/>
          <w:snapToGrid w:val="0"/>
        </w:rPr>
        <w:t xml:space="preserve">. </w:t>
      </w:r>
    </w:p>
    <w:p w14:paraId="4DF77D9F" w14:textId="0D2E305C" w:rsidR="006C0B5A" w:rsidRPr="00D462E9" w:rsidRDefault="00085DAC" w:rsidP="00FC566E">
      <w:pPr>
        <w:widowControl w:val="0"/>
        <w:numPr>
          <w:ilvl w:val="1"/>
          <w:numId w:val="1"/>
        </w:numPr>
        <w:spacing w:after="120"/>
        <w:ind w:left="720"/>
        <w:rPr>
          <w:rFonts w:asciiTheme="minorHAnsi" w:hAnsiTheme="minorHAnsi"/>
          <w:snapToGrid w:val="0"/>
          <w:color w:val="00B0F0"/>
        </w:rPr>
      </w:pPr>
      <w:r w:rsidRPr="00336C78">
        <w:rPr>
          <w:rFonts w:asciiTheme="minorHAnsi" w:hAnsiTheme="minorHAnsi"/>
          <w:snapToGrid w:val="0"/>
        </w:rPr>
        <w:t xml:space="preserve">The PBAC recalled its initial consideration of semaglutide </w:t>
      </w:r>
      <w:r w:rsidR="006C0B5A" w:rsidRPr="00336C78">
        <w:rPr>
          <w:rFonts w:asciiTheme="minorHAnsi" w:hAnsiTheme="minorHAnsi"/>
          <w:snapToGrid w:val="0"/>
        </w:rPr>
        <w:t xml:space="preserve">in March 2022 </w:t>
      </w:r>
      <w:r w:rsidRPr="00336C78">
        <w:rPr>
          <w:rFonts w:asciiTheme="minorHAnsi" w:hAnsiTheme="minorHAnsi"/>
          <w:snapToGrid w:val="0"/>
        </w:rPr>
        <w:t>was for a broad</w:t>
      </w:r>
      <w:r w:rsidR="00E12524" w:rsidRPr="00336C78">
        <w:rPr>
          <w:rFonts w:asciiTheme="minorHAnsi" w:hAnsiTheme="minorHAnsi"/>
          <w:snapToGrid w:val="0"/>
        </w:rPr>
        <w:t>er</w:t>
      </w:r>
      <w:r w:rsidRPr="00336C78">
        <w:rPr>
          <w:rFonts w:asciiTheme="minorHAnsi" w:hAnsiTheme="minorHAnsi"/>
          <w:snapToGrid w:val="0"/>
        </w:rPr>
        <w:t xml:space="preserve"> population</w:t>
      </w:r>
      <w:r w:rsidR="007E397C" w:rsidRPr="00336C78">
        <w:rPr>
          <w:rFonts w:asciiTheme="minorHAnsi" w:hAnsiTheme="minorHAnsi"/>
          <w:snapToGrid w:val="0"/>
        </w:rPr>
        <w:t xml:space="preserve">, with numerous </w:t>
      </w:r>
      <w:r w:rsidR="006C0B5A" w:rsidRPr="00336C78">
        <w:rPr>
          <w:rFonts w:asciiTheme="minorHAnsi" w:hAnsiTheme="minorHAnsi"/>
          <w:snapToGrid w:val="0"/>
        </w:rPr>
        <w:t xml:space="preserve">qualifying </w:t>
      </w:r>
      <w:r w:rsidR="002B7B86" w:rsidRPr="00336C78">
        <w:rPr>
          <w:rFonts w:asciiTheme="minorHAnsi" w:hAnsiTheme="minorHAnsi"/>
          <w:snapToGrid w:val="0"/>
        </w:rPr>
        <w:t>comorbiditie</w:t>
      </w:r>
      <w:r w:rsidR="007E397C" w:rsidRPr="00336C78">
        <w:rPr>
          <w:rFonts w:asciiTheme="minorHAnsi" w:hAnsiTheme="minorHAnsi"/>
          <w:snapToGrid w:val="0"/>
        </w:rPr>
        <w:t>s,</w:t>
      </w:r>
      <w:r w:rsidRPr="00336C78">
        <w:rPr>
          <w:rFonts w:asciiTheme="minorHAnsi" w:hAnsiTheme="minorHAnsi"/>
          <w:snapToGrid w:val="0"/>
        </w:rPr>
        <w:t xml:space="preserve"> and it </w:t>
      </w:r>
      <w:r w:rsidR="00114C8A" w:rsidRPr="00336C78">
        <w:rPr>
          <w:rFonts w:asciiTheme="minorHAnsi" w:hAnsiTheme="minorHAnsi"/>
          <w:snapToGrid w:val="0"/>
        </w:rPr>
        <w:t xml:space="preserve">had </w:t>
      </w:r>
      <w:r w:rsidRPr="00336C78">
        <w:rPr>
          <w:rFonts w:asciiTheme="minorHAnsi" w:hAnsiTheme="minorHAnsi"/>
          <w:snapToGrid w:val="0"/>
        </w:rPr>
        <w:t xml:space="preserve">advised a more targeted approach would be </w:t>
      </w:r>
      <w:r w:rsidRPr="003771DB">
        <w:t>necessary to assure cost-effectiveness based on the STEP trial</w:t>
      </w:r>
      <w:r w:rsidR="007E397C" w:rsidRPr="003771DB">
        <w:t>s (para 3.5, semaglutide PSD, March 2022 PBAC meeting)</w:t>
      </w:r>
      <w:r w:rsidRPr="003771DB">
        <w:t xml:space="preserve">. </w:t>
      </w:r>
      <w:r w:rsidR="00114C8A" w:rsidRPr="003771DB">
        <w:t>The PBAC acknowledged the approach taken in this resubmission was in line with its previous advice to focus on the short-term benefits of weight loss</w:t>
      </w:r>
      <w:r w:rsidR="006C0B5A" w:rsidRPr="003771DB">
        <w:t xml:space="preserve"> given the limitations of the data</w:t>
      </w:r>
      <w:r w:rsidR="00114C8A" w:rsidRPr="003771DB">
        <w:t xml:space="preserve"> (see paragraph </w:t>
      </w:r>
      <w:r w:rsidR="00114C8A" w:rsidRPr="003771DB">
        <w:fldChar w:fldCharType="begin" w:fldLock="1"/>
      </w:r>
      <w:r w:rsidR="00114C8A" w:rsidRPr="003771DB">
        <w:instrText xml:space="preserve"> REF _Ref151981052 \r \h </w:instrText>
      </w:r>
      <w:r w:rsidR="00114C8A" w:rsidRPr="003771DB">
        <w:fldChar w:fldCharType="separate"/>
      </w:r>
      <w:r w:rsidR="00D44FF6" w:rsidRPr="003771DB">
        <w:t>1.3</w:t>
      </w:r>
      <w:r w:rsidR="00114C8A" w:rsidRPr="003771DB">
        <w:fldChar w:fldCharType="end"/>
      </w:r>
      <w:r w:rsidR="00114C8A" w:rsidRPr="003771DB">
        <w:t xml:space="preserve">). </w:t>
      </w:r>
      <w:r w:rsidRPr="003771DB">
        <w:t>Although this resubmission selected a subgroup of patients from the STEP</w:t>
      </w:r>
      <w:r w:rsidR="005A1C47" w:rsidRPr="003771DB">
        <w:t>-</w:t>
      </w:r>
      <w:r w:rsidRPr="003771DB">
        <w:t xml:space="preserve">1 trial </w:t>
      </w:r>
      <w:r w:rsidR="00934477" w:rsidRPr="003771DB">
        <w:t>intending to identify patients who may be more likely to achieve quality of life improvements from weight loss over the short-term</w:t>
      </w:r>
      <w:r w:rsidRPr="003771DB">
        <w:t xml:space="preserve">, the analyses based on this approach did not provide a strong </w:t>
      </w:r>
      <w:r w:rsidR="00114C8A" w:rsidRPr="003771DB">
        <w:t xml:space="preserve">clinical </w:t>
      </w:r>
      <w:r w:rsidRPr="003771DB">
        <w:t xml:space="preserve">rationale for </w:t>
      </w:r>
      <w:r w:rsidR="007E397C" w:rsidRPr="003771DB">
        <w:t>the chosen comorbidities</w:t>
      </w:r>
      <w:r w:rsidR="00114C8A" w:rsidRPr="003771DB">
        <w:t xml:space="preserve"> for eligibility,</w:t>
      </w:r>
      <w:r w:rsidR="007E397C" w:rsidRPr="003771DB">
        <w:t xml:space="preserve"> </w:t>
      </w:r>
      <w:r w:rsidR="003A1339" w:rsidRPr="003771DB">
        <w:t>which</w:t>
      </w:r>
      <w:r w:rsidR="007E397C" w:rsidRPr="003771DB">
        <w:t xml:space="preserve"> </w:t>
      </w:r>
      <w:r w:rsidR="007A5005" w:rsidRPr="003771DB">
        <w:t>included two weight-related comorbidities, with at least</w:t>
      </w:r>
      <w:r w:rsidR="007E397C" w:rsidRPr="003771DB">
        <w:t xml:space="preserve"> </w:t>
      </w:r>
      <w:r w:rsidR="007E397C" w:rsidRPr="00D462E9">
        <w:rPr>
          <w:rFonts w:asciiTheme="minorHAnsi" w:hAnsiTheme="minorHAnsi"/>
          <w:snapToGrid w:val="0"/>
        </w:rPr>
        <w:t xml:space="preserve">one of </w:t>
      </w:r>
      <w:r w:rsidR="007E397C" w:rsidRPr="003771DB">
        <w:t>obstructive sleep apnoea, knee osteoarthritis or pre-diabetes</w:t>
      </w:r>
      <w:r w:rsidR="007E397C" w:rsidRPr="00D462E9">
        <w:rPr>
          <w:rFonts w:asciiTheme="minorHAnsi" w:hAnsiTheme="minorHAnsi"/>
          <w:snapToGrid w:val="0"/>
        </w:rPr>
        <w:t>.</w:t>
      </w:r>
      <w:r w:rsidR="00520BC7" w:rsidRPr="00D462E9">
        <w:rPr>
          <w:rFonts w:asciiTheme="minorHAnsi" w:hAnsiTheme="minorHAnsi"/>
          <w:snapToGrid w:val="0"/>
        </w:rPr>
        <w:t xml:space="preserve"> </w:t>
      </w:r>
      <w:r w:rsidR="007E397C" w:rsidRPr="00D462E9">
        <w:rPr>
          <w:rFonts w:asciiTheme="minorHAnsi" w:hAnsiTheme="minorHAnsi"/>
          <w:snapToGrid w:val="0"/>
        </w:rPr>
        <w:t xml:space="preserve">Moreover, given the time between submissions and the reporting of headline results from the SELECT trial, </w:t>
      </w:r>
      <w:r w:rsidR="006B4C64" w:rsidRPr="00D462E9">
        <w:rPr>
          <w:rFonts w:asciiTheme="minorHAnsi" w:hAnsiTheme="minorHAnsi"/>
          <w:snapToGrid w:val="0"/>
        </w:rPr>
        <w:t xml:space="preserve">the PBAC considered </w:t>
      </w:r>
      <w:r w:rsidR="007E397C" w:rsidRPr="00D462E9">
        <w:rPr>
          <w:rFonts w:asciiTheme="minorHAnsi" w:hAnsiTheme="minorHAnsi"/>
          <w:snapToGrid w:val="0"/>
        </w:rPr>
        <w:t xml:space="preserve">it has become clear that the </w:t>
      </w:r>
      <w:r w:rsidR="00306090">
        <w:rPr>
          <w:rFonts w:asciiTheme="minorHAnsi" w:hAnsiTheme="minorHAnsi"/>
          <w:snapToGrid w:val="0"/>
        </w:rPr>
        <w:t xml:space="preserve">added therapeutic value </w:t>
      </w:r>
      <w:r w:rsidR="007E397C" w:rsidRPr="00D462E9">
        <w:rPr>
          <w:rFonts w:asciiTheme="minorHAnsi" w:hAnsiTheme="minorHAnsi"/>
          <w:snapToGrid w:val="0"/>
        </w:rPr>
        <w:t>of sem</w:t>
      </w:r>
      <w:r w:rsidR="001A36CE" w:rsidRPr="00D462E9">
        <w:rPr>
          <w:rFonts w:asciiTheme="minorHAnsi" w:hAnsiTheme="minorHAnsi"/>
          <w:snapToGrid w:val="0"/>
        </w:rPr>
        <w:t>a</w:t>
      </w:r>
      <w:r w:rsidR="007E397C" w:rsidRPr="00D462E9">
        <w:rPr>
          <w:rFonts w:asciiTheme="minorHAnsi" w:hAnsiTheme="minorHAnsi"/>
          <w:snapToGrid w:val="0"/>
        </w:rPr>
        <w:t xml:space="preserve">glutide </w:t>
      </w:r>
      <w:r w:rsidR="00114C8A" w:rsidRPr="00D462E9">
        <w:rPr>
          <w:rFonts w:asciiTheme="minorHAnsi" w:hAnsiTheme="minorHAnsi"/>
          <w:snapToGrid w:val="0"/>
        </w:rPr>
        <w:t>therapy is for</w:t>
      </w:r>
      <w:r w:rsidR="007E397C" w:rsidRPr="00D462E9">
        <w:rPr>
          <w:rFonts w:asciiTheme="minorHAnsi" w:hAnsiTheme="minorHAnsi"/>
          <w:snapToGrid w:val="0"/>
        </w:rPr>
        <w:t xml:space="preserve"> </w:t>
      </w:r>
      <w:r w:rsidR="00114C8A" w:rsidRPr="00D462E9">
        <w:rPr>
          <w:rFonts w:asciiTheme="minorHAnsi" w:hAnsiTheme="minorHAnsi"/>
          <w:snapToGrid w:val="0"/>
        </w:rPr>
        <w:t xml:space="preserve">treating </w:t>
      </w:r>
      <w:r w:rsidR="003A1339" w:rsidRPr="00D462E9">
        <w:rPr>
          <w:rFonts w:asciiTheme="minorHAnsi" w:hAnsiTheme="minorHAnsi"/>
          <w:snapToGrid w:val="0"/>
        </w:rPr>
        <w:t>patients at high cardiometabolic risk who are most likely to achieve long term benefits from weight loss</w:t>
      </w:r>
      <w:r w:rsidR="001A36CE" w:rsidRPr="00D462E9">
        <w:rPr>
          <w:rFonts w:asciiTheme="minorHAnsi" w:hAnsiTheme="minorHAnsi"/>
          <w:snapToGrid w:val="0"/>
        </w:rPr>
        <w:t>.</w:t>
      </w:r>
      <w:r w:rsidR="00E4192F" w:rsidRPr="00D462E9">
        <w:rPr>
          <w:rFonts w:asciiTheme="minorHAnsi" w:hAnsiTheme="minorHAnsi"/>
          <w:snapToGrid w:val="0"/>
        </w:rPr>
        <w:t xml:space="preserve"> </w:t>
      </w:r>
    </w:p>
    <w:p w14:paraId="61068BE7" w14:textId="4367C4FC" w:rsidR="0007248C" w:rsidRPr="00D462E9" w:rsidRDefault="00306BCD" w:rsidP="000849CA">
      <w:pPr>
        <w:widowControl w:val="0"/>
        <w:numPr>
          <w:ilvl w:val="1"/>
          <w:numId w:val="1"/>
        </w:numPr>
        <w:spacing w:after="120"/>
        <w:ind w:left="720"/>
        <w:rPr>
          <w:rFonts w:asciiTheme="minorHAnsi" w:hAnsiTheme="minorHAnsi"/>
          <w:snapToGrid w:val="0"/>
          <w:color w:val="00B0F0"/>
        </w:rPr>
      </w:pPr>
      <w:bookmarkStart w:id="73" w:name="_Ref152079043"/>
      <w:r w:rsidRPr="00D462E9">
        <w:rPr>
          <w:rFonts w:asciiTheme="minorHAnsi" w:hAnsiTheme="minorHAnsi"/>
          <w:snapToGrid w:val="0"/>
        </w:rPr>
        <w:t xml:space="preserve">The PBAC noted and acknowledged the submission approach to defining a more targeted population, the ESC and DUSC advice which provided alternative approaches and raised opposing views to the submission, and the frustration in the pre-PBAC </w:t>
      </w:r>
      <w:r w:rsidRPr="00D462E9">
        <w:rPr>
          <w:rFonts w:asciiTheme="minorHAnsi" w:hAnsiTheme="minorHAnsi"/>
          <w:snapToGrid w:val="0"/>
        </w:rPr>
        <w:lastRenderedPageBreak/>
        <w:t xml:space="preserve">response regarding the unclear path forward to the optimal clinical place for semaglutide. </w:t>
      </w:r>
      <w:r w:rsidR="006C0B5A" w:rsidRPr="00D462E9">
        <w:rPr>
          <w:rFonts w:asciiTheme="minorHAnsi" w:hAnsiTheme="minorHAnsi"/>
          <w:snapToGrid w:val="0"/>
        </w:rPr>
        <w:t xml:space="preserve">The PBAC </w:t>
      </w:r>
      <w:r w:rsidRPr="00D462E9">
        <w:rPr>
          <w:rFonts w:asciiTheme="minorHAnsi" w:hAnsiTheme="minorHAnsi"/>
          <w:snapToGrid w:val="0"/>
        </w:rPr>
        <w:t xml:space="preserve">discussed the purpose of indications </w:t>
      </w:r>
      <w:r w:rsidR="00F32163" w:rsidRPr="00D462E9">
        <w:rPr>
          <w:rFonts w:asciiTheme="minorHAnsi" w:hAnsiTheme="minorHAnsi"/>
          <w:snapToGrid w:val="0"/>
        </w:rPr>
        <w:t xml:space="preserve">is </w:t>
      </w:r>
      <w:r w:rsidRPr="00D462E9">
        <w:rPr>
          <w:rFonts w:asciiTheme="minorHAnsi" w:hAnsiTheme="minorHAnsi"/>
          <w:snapToGrid w:val="0"/>
        </w:rPr>
        <w:t xml:space="preserve">to </w:t>
      </w:r>
      <w:r w:rsidR="000849CA" w:rsidRPr="00D462E9">
        <w:t>i</w:t>
      </w:r>
      <w:r w:rsidRPr="00D462E9">
        <w:t xml:space="preserve">dentify </w:t>
      </w:r>
      <w:r w:rsidR="002B7B86" w:rsidRPr="00D462E9">
        <w:t xml:space="preserve">the </w:t>
      </w:r>
      <w:r w:rsidRPr="00D462E9">
        <w:t xml:space="preserve">patient populations in whom the intervention is </w:t>
      </w:r>
      <w:r w:rsidR="00813D56" w:rsidRPr="00D462E9">
        <w:t>most</w:t>
      </w:r>
      <w:r w:rsidR="005B13A5" w:rsidRPr="00D462E9">
        <w:t xml:space="preserve"> like</w:t>
      </w:r>
      <w:r w:rsidR="00813D56" w:rsidRPr="00D462E9">
        <w:t xml:space="preserve">ly to benefit and be </w:t>
      </w:r>
      <w:r w:rsidRPr="00D462E9">
        <w:t>cost-effective</w:t>
      </w:r>
      <w:r w:rsidR="009B4B69">
        <w:t>. The Committee</w:t>
      </w:r>
      <w:r w:rsidR="005B13A5" w:rsidRPr="00D462E9">
        <w:t xml:space="preserve"> </w:t>
      </w:r>
      <w:r w:rsidR="000849CA" w:rsidRPr="00D462E9">
        <w:rPr>
          <w:rFonts w:asciiTheme="minorHAnsi" w:hAnsiTheme="minorHAnsi"/>
          <w:snapToGrid w:val="0"/>
        </w:rPr>
        <w:t>determined the appropriate</w:t>
      </w:r>
      <w:r w:rsidRPr="00D462E9">
        <w:rPr>
          <w:rFonts w:asciiTheme="minorHAnsi" w:hAnsiTheme="minorHAnsi"/>
          <w:snapToGrid w:val="0"/>
        </w:rPr>
        <w:t xml:space="preserve"> </w:t>
      </w:r>
      <w:r w:rsidR="006C0B5A" w:rsidRPr="00D462E9">
        <w:rPr>
          <w:rFonts w:asciiTheme="minorHAnsi" w:hAnsiTheme="minorHAnsi"/>
          <w:snapToGrid w:val="0"/>
        </w:rPr>
        <w:t xml:space="preserve">clinical place for semaglutide </w:t>
      </w:r>
      <w:r w:rsidR="005B13A5" w:rsidRPr="00D462E9">
        <w:rPr>
          <w:rFonts w:asciiTheme="minorHAnsi" w:hAnsiTheme="minorHAnsi"/>
          <w:snapToGrid w:val="0"/>
        </w:rPr>
        <w:t>c</w:t>
      </w:r>
      <w:r w:rsidR="000849CA" w:rsidRPr="00D462E9">
        <w:rPr>
          <w:rFonts w:asciiTheme="minorHAnsi" w:hAnsiTheme="minorHAnsi"/>
          <w:snapToGrid w:val="0"/>
        </w:rPr>
        <w:t xml:space="preserve">ould be </w:t>
      </w:r>
      <w:r w:rsidR="005B13A5" w:rsidRPr="00D462E9">
        <w:rPr>
          <w:rFonts w:asciiTheme="minorHAnsi" w:hAnsiTheme="minorHAnsi"/>
          <w:snapToGrid w:val="0"/>
        </w:rPr>
        <w:t>defin</w:t>
      </w:r>
      <w:r w:rsidR="000849CA" w:rsidRPr="00D462E9">
        <w:rPr>
          <w:rFonts w:asciiTheme="minorHAnsi" w:hAnsiTheme="minorHAnsi"/>
          <w:snapToGrid w:val="0"/>
        </w:rPr>
        <w:t>ed using</w:t>
      </w:r>
      <w:r w:rsidR="000849CA" w:rsidRPr="00D462E9">
        <w:t xml:space="preserve"> co-morbidities and other risk factors on the causal pathway of cardiometabolic disease, </w:t>
      </w:r>
      <w:r w:rsidR="00113A3C">
        <w:t xml:space="preserve">was broadly consistent with the SELECT trial inclusion criteria and endpoints evaluated, </w:t>
      </w:r>
      <w:r w:rsidR="000849CA" w:rsidRPr="00D462E9">
        <w:t xml:space="preserve">would be consistent with the intent of the submission, and address uncertainty in the incremental cost effectiveness. </w:t>
      </w:r>
      <w:r w:rsidR="00F00D55" w:rsidRPr="00D462E9">
        <w:t xml:space="preserve">A revised restriction </w:t>
      </w:r>
      <w:r w:rsidR="002B7B86" w:rsidRPr="00D462E9">
        <w:t>c</w:t>
      </w:r>
      <w:r w:rsidR="00F00D55" w:rsidRPr="00D462E9">
        <w:t>ould</w:t>
      </w:r>
      <w:r w:rsidR="000849CA" w:rsidRPr="00D462E9">
        <w:t xml:space="preserve"> include patients with </w:t>
      </w:r>
      <w:r w:rsidR="007A5005" w:rsidRPr="003771DB">
        <w:t>BMI ≥</w:t>
      </w:r>
      <w:r w:rsidR="00683733">
        <w:t> </w:t>
      </w:r>
      <w:r w:rsidR="007A5005" w:rsidRPr="003771DB">
        <w:t>40</w:t>
      </w:r>
      <w:r w:rsidR="00683733">
        <w:t> </w:t>
      </w:r>
      <w:r w:rsidR="007A5005" w:rsidRPr="003771DB">
        <w:t>kg/m</w:t>
      </w:r>
      <w:r w:rsidR="007A5005" w:rsidRPr="003771DB">
        <w:rPr>
          <w:vertAlign w:val="superscript"/>
        </w:rPr>
        <w:t>2</w:t>
      </w:r>
      <w:r w:rsidR="007A5005" w:rsidRPr="003771DB">
        <w:t xml:space="preserve"> (or 37</w:t>
      </w:r>
      <w:r w:rsidR="00683733">
        <w:t> </w:t>
      </w:r>
      <w:r w:rsidR="007A5005" w:rsidRPr="003771DB">
        <w:t>kg/m</w:t>
      </w:r>
      <w:r w:rsidR="007A5005" w:rsidRPr="003771DB">
        <w:rPr>
          <w:vertAlign w:val="superscript"/>
        </w:rPr>
        <w:t>2</w:t>
      </w:r>
      <w:r w:rsidR="007A5005" w:rsidRPr="003771DB">
        <w:t xml:space="preserve"> for patients with Asian or Aboriginal or Torres Strait Islander ethnicity) with </w:t>
      </w:r>
      <w:r w:rsidR="007A5005" w:rsidRPr="00D462E9">
        <w:t xml:space="preserve">either </w:t>
      </w:r>
      <w:r w:rsidR="000849CA" w:rsidRPr="00D462E9">
        <w:t>pre-existing cardiovascular disease</w:t>
      </w:r>
      <w:r w:rsidR="00813D56" w:rsidRPr="00D462E9">
        <w:t>,</w:t>
      </w:r>
      <w:r w:rsidR="000849CA" w:rsidRPr="00D462E9">
        <w:t xml:space="preserve"> </w:t>
      </w:r>
      <w:r w:rsidR="00E12524" w:rsidRPr="00D462E9">
        <w:t>t</w:t>
      </w:r>
      <w:r w:rsidR="000849CA" w:rsidRPr="00D462E9">
        <w:t>ype 2 diabetes</w:t>
      </w:r>
      <w:r w:rsidR="005B13A5" w:rsidRPr="00D462E9">
        <w:t>, or at least 2 weight-related comorbidities that characterise metabolic syndrome/high cardiometabolic risk (</w:t>
      </w:r>
      <w:r w:rsidR="005B13A5" w:rsidRPr="003771DB">
        <w:t xml:space="preserve">hypertension, </w:t>
      </w:r>
      <w:r w:rsidR="00683733" w:rsidRPr="003771DB">
        <w:t>dyslipidaemia</w:t>
      </w:r>
      <w:r w:rsidR="005B13A5" w:rsidRPr="003771DB">
        <w:t xml:space="preserve">, </w:t>
      </w:r>
      <w:r w:rsidR="002B7B86" w:rsidRPr="003771DB">
        <w:t>chronic kidney disease</w:t>
      </w:r>
      <w:r w:rsidR="005B13A5" w:rsidRPr="003771DB">
        <w:t>, fatty liver disease, pre-diabetes)</w:t>
      </w:r>
      <w:r w:rsidR="000849CA" w:rsidRPr="00D462E9">
        <w:t>.</w:t>
      </w:r>
      <w:bookmarkEnd w:id="73"/>
      <w:r w:rsidR="000849CA" w:rsidRPr="00D462E9">
        <w:t xml:space="preserve"> </w:t>
      </w:r>
    </w:p>
    <w:p w14:paraId="5C199209" w14:textId="0D1A7C76" w:rsidR="00520BC7" w:rsidRPr="00D462E9" w:rsidRDefault="00E4192F" w:rsidP="000849CA">
      <w:pPr>
        <w:widowControl w:val="0"/>
        <w:numPr>
          <w:ilvl w:val="1"/>
          <w:numId w:val="1"/>
        </w:numPr>
        <w:spacing w:after="120"/>
        <w:ind w:left="720"/>
        <w:rPr>
          <w:rFonts w:asciiTheme="minorHAnsi" w:hAnsiTheme="minorHAnsi"/>
          <w:snapToGrid w:val="0"/>
          <w:color w:val="00B0F0"/>
        </w:rPr>
      </w:pPr>
      <w:r w:rsidRPr="00D462E9">
        <w:rPr>
          <w:rFonts w:asciiTheme="minorHAnsi" w:hAnsiTheme="minorHAnsi"/>
          <w:snapToGrid w:val="0"/>
        </w:rPr>
        <w:t xml:space="preserve">In addition, the PBAC acknowledged the disproportionate burden of </w:t>
      </w:r>
      <w:r w:rsidR="005A1C47" w:rsidRPr="00D462E9">
        <w:rPr>
          <w:rFonts w:asciiTheme="minorHAnsi" w:hAnsiTheme="minorHAnsi"/>
          <w:snapToGrid w:val="0"/>
        </w:rPr>
        <w:t xml:space="preserve">chronic </w:t>
      </w:r>
      <w:r w:rsidRPr="00D462E9">
        <w:rPr>
          <w:rFonts w:asciiTheme="minorHAnsi" w:hAnsiTheme="minorHAnsi"/>
          <w:snapToGrid w:val="0"/>
        </w:rPr>
        <w:t xml:space="preserve">disease in </w:t>
      </w:r>
      <w:r w:rsidR="00D462E9">
        <w:rPr>
          <w:rFonts w:asciiTheme="minorHAnsi" w:hAnsiTheme="minorHAnsi"/>
          <w:snapToGrid w:val="0"/>
        </w:rPr>
        <w:t>the Aboriginal and/or Torres Strait Islander population</w:t>
      </w:r>
      <w:r w:rsidR="005A1C47" w:rsidRPr="00D462E9">
        <w:rPr>
          <w:rFonts w:asciiTheme="minorHAnsi" w:hAnsiTheme="minorHAnsi"/>
          <w:snapToGrid w:val="0"/>
        </w:rPr>
        <w:t xml:space="preserve"> and </w:t>
      </w:r>
      <w:r w:rsidRPr="00D462E9">
        <w:rPr>
          <w:rFonts w:asciiTheme="minorHAnsi" w:hAnsiTheme="minorHAnsi"/>
          <w:snapToGrid w:val="0"/>
        </w:rPr>
        <w:t xml:space="preserve">agreed with the ESC that identifying as an Aboriginal and/or Torres Strait Islander person could </w:t>
      </w:r>
      <w:r w:rsidR="000849CA" w:rsidRPr="00D462E9">
        <w:rPr>
          <w:rFonts w:asciiTheme="minorHAnsi" w:hAnsiTheme="minorHAnsi"/>
          <w:snapToGrid w:val="0"/>
        </w:rPr>
        <w:t xml:space="preserve">also </w:t>
      </w:r>
      <w:r w:rsidRPr="00D462E9">
        <w:rPr>
          <w:rFonts w:asciiTheme="minorHAnsi" w:hAnsiTheme="minorHAnsi"/>
          <w:snapToGrid w:val="0"/>
        </w:rPr>
        <w:t>be one of</w:t>
      </w:r>
      <w:r w:rsidR="009E4D1F">
        <w:rPr>
          <w:rFonts w:asciiTheme="minorHAnsi" w:hAnsiTheme="minorHAnsi"/>
          <w:snapToGrid w:val="0"/>
        </w:rPr>
        <w:t xml:space="preserve"> the</w:t>
      </w:r>
      <w:r w:rsidRPr="00D462E9">
        <w:rPr>
          <w:rFonts w:asciiTheme="minorHAnsi" w:hAnsiTheme="minorHAnsi"/>
          <w:snapToGrid w:val="0"/>
        </w:rPr>
        <w:t xml:space="preserve"> </w:t>
      </w:r>
      <w:r w:rsidR="00113A3C">
        <w:rPr>
          <w:rFonts w:asciiTheme="minorHAnsi" w:hAnsiTheme="minorHAnsi"/>
          <w:snapToGrid w:val="0"/>
        </w:rPr>
        <w:t xml:space="preserve">eligibility criteria </w:t>
      </w:r>
      <w:r w:rsidR="005A1C47" w:rsidRPr="00D462E9">
        <w:rPr>
          <w:rFonts w:asciiTheme="minorHAnsi" w:hAnsiTheme="minorHAnsi"/>
          <w:snapToGrid w:val="0"/>
        </w:rPr>
        <w:t>(see paragraph</w:t>
      </w:r>
      <w:r w:rsidRPr="00D462E9">
        <w:rPr>
          <w:rFonts w:asciiTheme="minorHAnsi" w:hAnsiTheme="minorHAnsi"/>
          <w:snapToGrid w:val="0"/>
        </w:rPr>
        <w:t xml:space="preserve"> </w:t>
      </w:r>
      <w:r w:rsidRPr="00D462E9">
        <w:rPr>
          <w:rFonts w:asciiTheme="minorHAnsi" w:hAnsiTheme="minorHAnsi"/>
          <w:snapToGrid w:val="0"/>
        </w:rPr>
        <w:fldChar w:fldCharType="begin" w:fldLock="1"/>
      </w:r>
      <w:r w:rsidRPr="00D462E9">
        <w:rPr>
          <w:rFonts w:asciiTheme="minorHAnsi" w:hAnsiTheme="minorHAnsi"/>
          <w:snapToGrid w:val="0"/>
        </w:rPr>
        <w:instrText xml:space="preserve"> REF _Ref151981664 \r \h </w:instrText>
      </w:r>
      <w:r w:rsidRPr="00D462E9">
        <w:rPr>
          <w:rFonts w:asciiTheme="minorHAnsi" w:hAnsiTheme="minorHAnsi"/>
          <w:snapToGrid w:val="0"/>
        </w:rPr>
      </w:r>
      <w:r w:rsidRPr="00D462E9">
        <w:rPr>
          <w:rFonts w:asciiTheme="minorHAnsi" w:hAnsiTheme="minorHAnsi"/>
          <w:snapToGrid w:val="0"/>
        </w:rPr>
        <w:fldChar w:fldCharType="separate"/>
      </w:r>
      <w:r w:rsidR="00D44FF6" w:rsidRPr="00D462E9">
        <w:rPr>
          <w:rFonts w:asciiTheme="minorHAnsi" w:hAnsiTheme="minorHAnsi"/>
          <w:snapToGrid w:val="0"/>
        </w:rPr>
        <w:t>3.10</w:t>
      </w:r>
      <w:r w:rsidRPr="00D462E9">
        <w:rPr>
          <w:rFonts w:asciiTheme="minorHAnsi" w:hAnsiTheme="minorHAnsi"/>
          <w:snapToGrid w:val="0"/>
        </w:rPr>
        <w:fldChar w:fldCharType="end"/>
      </w:r>
      <w:r w:rsidR="005A1C47" w:rsidRPr="00D462E9">
        <w:rPr>
          <w:rFonts w:asciiTheme="minorHAnsi" w:hAnsiTheme="minorHAnsi"/>
          <w:snapToGrid w:val="0"/>
        </w:rPr>
        <w:t>)</w:t>
      </w:r>
      <w:r w:rsidRPr="00D462E9">
        <w:rPr>
          <w:rFonts w:asciiTheme="minorHAnsi" w:hAnsiTheme="minorHAnsi"/>
          <w:snapToGrid w:val="0"/>
        </w:rPr>
        <w:t xml:space="preserve">. </w:t>
      </w:r>
    </w:p>
    <w:p w14:paraId="5F921D9C" w14:textId="4C258220" w:rsidR="0007248C" w:rsidRPr="00D462E9" w:rsidRDefault="0007248C" w:rsidP="000849CA">
      <w:pPr>
        <w:widowControl w:val="0"/>
        <w:numPr>
          <w:ilvl w:val="1"/>
          <w:numId w:val="1"/>
        </w:numPr>
        <w:spacing w:after="120"/>
        <w:ind w:left="720"/>
        <w:rPr>
          <w:rFonts w:asciiTheme="minorHAnsi" w:hAnsiTheme="minorHAnsi"/>
          <w:snapToGrid w:val="0"/>
          <w:color w:val="00B0F0"/>
        </w:rPr>
      </w:pPr>
      <w:r w:rsidRPr="00D462E9">
        <w:rPr>
          <w:rFonts w:asciiTheme="minorHAnsi" w:hAnsiTheme="minorHAnsi"/>
          <w:snapToGrid w:val="0"/>
        </w:rPr>
        <w:t xml:space="preserve">The PBAC </w:t>
      </w:r>
      <w:r w:rsidR="000B239A" w:rsidRPr="00D462E9">
        <w:rPr>
          <w:rFonts w:asciiTheme="minorHAnsi" w:hAnsiTheme="minorHAnsi"/>
          <w:snapToGrid w:val="0"/>
        </w:rPr>
        <w:t xml:space="preserve">advised the assessment of weight loss for continuing therapy should be done at 52 weeks, </w:t>
      </w:r>
      <w:r w:rsidR="00F32163" w:rsidRPr="00D462E9">
        <w:rPr>
          <w:rFonts w:asciiTheme="minorHAnsi" w:hAnsiTheme="minorHAnsi"/>
          <w:snapToGrid w:val="0"/>
        </w:rPr>
        <w:t xml:space="preserve">rather than 68 weeks as proposed in the resubmission. The PBAC </w:t>
      </w:r>
      <w:r w:rsidR="000B239A" w:rsidRPr="00D462E9">
        <w:rPr>
          <w:rFonts w:asciiTheme="minorHAnsi" w:hAnsiTheme="minorHAnsi"/>
          <w:snapToGrid w:val="0"/>
        </w:rPr>
        <w:t>not</w:t>
      </w:r>
      <w:r w:rsidR="00F32163" w:rsidRPr="00D462E9">
        <w:rPr>
          <w:rFonts w:asciiTheme="minorHAnsi" w:hAnsiTheme="minorHAnsi"/>
          <w:snapToGrid w:val="0"/>
        </w:rPr>
        <w:t>ed</w:t>
      </w:r>
      <w:r w:rsidR="000B239A" w:rsidRPr="00D462E9">
        <w:rPr>
          <w:rFonts w:asciiTheme="minorHAnsi" w:hAnsiTheme="minorHAnsi"/>
          <w:snapToGrid w:val="0"/>
        </w:rPr>
        <w:t xml:space="preserve"> the change in body weight </w:t>
      </w:r>
      <w:r w:rsidR="0072383E" w:rsidRPr="00D462E9">
        <w:rPr>
          <w:rFonts w:asciiTheme="minorHAnsi" w:hAnsiTheme="minorHAnsi"/>
          <w:snapToGrid w:val="0"/>
        </w:rPr>
        <w:t xml:space="preserve">over time </w:t>
      </w:r>
      <w:r w:rsidR="0072383E" w:rsidRPr="003771DB">
        <w:rPr>
          <w:iCs/>
        </w:rPr>
        <w:t xml:space="preserve">with and without treatment in the STEP-1 extension study </w:t>
      </w:r>
      <w:r w:rsidR="000B239A" w:rsidRPr="00D462E9">
        <w:rPr>
          <w:rFonts w:asciiTheme="minorHAnsi" w:hAnsiTheme="minorHAnsi"/>
          <w:snapToGrid w:val="0"/>
        </w:rPr>
        <w:t>show</w:t>
      </w:r>
      <w:r w:rsidR="0072383E" w:rsidRPr="00D462E9">
        <w:rPr>
          <w:rFonts w:asciiTheme="minorHAnsi" w:hAnsiTheme="minorHAnsi"/>
          <w:snapToGrid w:val="0"/>
        </w:rPr>
        <w:t>ed</w:t>
      </w:r>
      <w:r w:rsidR="000B239A" w:rsidRPr="00D462E9">
        <w:rPr>
          <w:rFonts w:asciiTheme="minorHAnsi" w:hAnsiTheme="minorHAnsi"/>
          <w:snapToGrid w:val="0"/>
        </w:rPr>
        <w:t xml:space="preserve"> that the difference between weeks 52 and 68 </w:t>
      </w:r>
      <w:r w:rsidR="00113A3C">
        <w:rPr>
          <w:rFonts w:asciiTheme="minorHAnsi" w:hAnsiTheme="minorHAnsi"/>
          <w:snapToGrid w:val="0"/>
        </w:rPr>
        <w:t>appeared negligible</w:t>
      </w:r>
      <w:r w:rsidR="000B239A" w:rsidRPr="00D462E9">
        <w:rPr>
          <w:rFonts w:asciiTheme="minorHAnsi" w:hAnsiTheme="minorHAnsi"/>
          <w:snapToGrid w:val="0"/>
        </w:rPr>
        <w:t xml:space="preserve"> and the cost of an additional 16 weeks treatment would not be justified in patients </w:t>
      </w:r>
      <w:r w:rsidR="009B4B69">
        <w:rPr>
          <w:rFonts w:asciiTheme="minorHAnsi" w:hAnsiTheme="minorHAnsi"/>
          <w:snapToGrid w:val="0"/>
        </w:rPr>
        <w:t>who did not</w:t>
      </w:r>
      <w:r w:rsidR="009B4B69" w:rsidRPr="00D462E9">
        <w:rPr>
          <w:rFonts w:asciiTheme="minorHAnsi" w:hAnsiTheme="minorHAnsi"/>
          <w:snapToGrid w:val="0"/>
        </w:rPr>
        <w:t xml:space="preserve"> achiev</w:t>
      </w:r>
      <w:r w:rsidR="009B4B69">
        <w:rPr>
          <w:rFonts w:asciiTheme="minorHAnsi" w:hAnsiTheme="minorHAnsi"/>
          <w:snapToGrid w:val="0"/>
        </w:rPr>
        <w:t>e</w:t>
      </w:r>
      <w:r w:rsidR="009B4B69" w:rsidRPr="00D462E9">
        <w:rPr>
          <w:rFonts w:asciiTheme="minorHAnsi" w:hAnsiTheme="minorHAnsi"/>
          <w:snapToGrid w:val="0"/>
        </w:rPr>
        <w:t xml:space="preserve"> </w:t>
      </w:r>
      <w:r w:rsidR="000B239A" w:rsidRPr="00D462E9">
        <w:rPr>
          <w:rFonts w:asciiTheme="minorHAnsi" w:hAnsiTheme="minorHAnsi"/>
          <w:snapToGrid w:val="0"/>
        </w:rPr>
        <w:t xml:space="preserve">at </w:t>
      </w:r>
      <w:r w:rsidR="00F32163" w:rsidRPr="00D462E9">
        <w:rPr>
          <w:rFonts w:asciiTheme="minorHAnsi" w:hAnsiTheme="minorHAnsi"/>
          <w:snapToGrid w:val="0"/>
        </w:rPr>
        <w:t xml:space="preserve">least </w:t>
      </w:r>
      <w:r w:rsidR="000B239A" w:rsidRPr="00D462E9">
        <w:rPr>
          <w:rFonts w:asciiTheme="minorHAnsi" w:hAnsiTheme="minorHAnsi"/>
          <w:snapToGrid w:val="0"/>
        </w:rPr>
        <w:t>10% weight loss by week 52</w:t>
      </w:r>
      <w:r w:rsidR="0072383E" w:rsidRPr="00D462E9">
        <w:rPr>
          <w:rFonts w:asciiTheme="minorHAnsi" w:hAnsiTheme="minorHAnsi"/>
          <w:snapToGrid w:val="0"/>
        </w:rPr>
        <w:t xml:space="preserve"> </w:t>
      </w:r>
      <w:r w:rsidR="0072383E" w:rsidRPr="003771DB">
        <w:rPr>
          <w:iCs/>
        </w:rPr>
        <w:t>(see</w:t>
      </w:r>
      <w:r w:rsidR="0072383E" w:rsidRPr="00D462E9">
        <w:rPr>
          <w:rFonts w:asciiTheme="minorHAnsi" w:hAnsiTheme="minorHAnsi"/>
          <w:snapToGrid w:val="0"/>
        </w:rPr>
        <w:t xml:space="preserve"> Figure 1 </w:t>
      </w:r>
      <w:r w:rsidR="0072383E" w:rsidRPr="003771DB">
        <w:t>semaglutide PSD, March 2022 PBAC meeting</w:t>
      </w:r>
      <w:r w:rsidR="0072383E" w:rsidRPr="00D462E9">
        <w:rPr>
          <w:rFonts w:asciiTheme="minorHAnsi" w:hAnsiTheme="minorHAnsi"/>
          <w:snapToGrid w:val="0"/>
        </w:rPr>
        <w:t xml:space="preserve"> (sourced from </w:t>
      </w:r>
      <w:r w:rsidR="0072383E" w:rsidRPr="003771DB">
        <w:rPr>
          <w:iCs/>
        </w:rPr>
        <w:t>Figure 14.2.9 (p 137) of the STEP-1 extension report))</w:t>
      </w:r>
      <w:r w:rsidR="000B239A" w:rsidRPr="00D462E9">
        <w:rPr>
          <w:rFonts w:asciiTheme="minorHAnsi" w:hAnsiTheme="minorHAnsi"/>
          <w:snapToGrid w:val="0"/>
        </w:rPr>
        <w:t>.</w:t>
      </w:r>
      <w:r w:rsidRPr="00D462E9">
        <w:rPr>
          <w:rFonts w:asciiTheme="minorHAnsi" w:hAnsiTheme="minorHAnsi"/>
          <w:snapToGrid w:val="0"/>
        </w:rPr>
        <w:t xml:space="preserve"> </w:t>
      </w:r>
    </w:p>
    <w:p w14:paraId="2D00C2CC" w14:textId="29C0E721" w:rsidR="0072383E" w:rsidRPr="00D462E9" w:rsidRDefault="0072383E" w:rsidP="000849CA">
      <w:pPr>
        <w:widowControl w:val="0"/>
        <w:numPr>
          <w:ilvl w:val="1"/>
          <w:numId w:val="1"/>
        </w:numPr>
        <w:spacing w:after="120"/>
        <w:ind w:left="720"/>
        <w:rPr>
          <w:rFonts w:asciiTheme="minorHAnsi" w:hAnsiTheme="minorHAnsi"/>
          <w:snapToGrid w:val="0"/>
          <w:color w:val="00B0F0"/>
        </w:rPr>
      </w:pPr>
      <w:bookmarkStart w:id="74" w:name="_Ref152254086"/>
      <w:r w:rsidRPr="00D462E9">
        <w:rPr>
          <w:rFonts w:asciiTheme="minorHAnsi" w:hAnsiTheme="minorHAnsi"/>
          <w:snapToGrid w:val="0"/>
        </w:rPr>
        <w:t xml:space="preserve">The PBAC also noted the intent of the 2-year treatment break for patients that discontinue therapy, however, </w:t>
      </w:r>
      <w:r w:rsidR="00712505" w:rsidRPr="00D462E9">
        <w:rPr>
          <w:rFonts w:asciiTheme="minorHAnsi" w:hAnsiTheme="minorHAnsi"/>
          <w:snapToGrid w:val="0"/>
        </w:rPr>
        <w:t xml:space="preserve">the PBAC considered this </w:t>
      </w:r>
      <w:r w:rsidR="009B4B69" w:rsidRPr="009B4B69">
        <w:rPr>
          <w:rFonts w:asciiTheme="minorHAnsi" w:hAnsiTheme="minorHAnsi"/>
          <w:snapToGrid w:val="0"/>
        </w:rPr>
        <w:t>would be</w:t>
      </w:r>
      <w:r w:rsidR="00712505" w:rsidRPr="00D462E9">
        <w:rPr>
          <w:rFonts w:asciiTheme="minorHAnsi" w:hAnsiTheme="minorHAnsi"/>
          <w:snapToGrid w:val="0"/>
        </w:rPr>
        <w:t xml:space="preserve"> difficult </w:t>
      </w:r>
      <w:r w:rsidR="009B4B69">
        <w:rPr>
          <w:rFonts w:asciiTheme="minorHAnsi" w:hAnsiTheme="minorHAnsi"/>
          <w:snapToGrid w:val="0"/>
        </w:rPr>
        <w:t xml:space="preserve">to </w:t>
      </w:r>
      <w:r w:rsidR="00712505" w:rsidRPr="00D462E9">
        <w:rPr>
          <w:rFonts w:asciiTheme="minorHAnsi" w:hAnsiTheme="minorHAnsi"/>
          <w:snapToGrid w:val="0"/>
        </w:rPr>
        <w:t>effectively implement in clinical practice and</w:t>
      </w:r>
      <w:r w:rsidRPr="00D462E9">
        <w:rPr>
          <w:rFonts w:asciiTheme="minorHAnsi" w:hAnsiTheme="minorHAnsi"/>
          <w:snapToGrid w:val="0"/>
        </w:rPr>
        <w:t xml:space="preserve"> did not consider the 2-year wait before retreatment was required.</w:t>
      </w:r>
      <w:bookmarkEnd w:id="74"/>
      <w:r w:rsidRPr="00D462E9">
        <w:rPr>
          <w:rFonts w:asciiTheme="minorHAnsi" w:hAnsiTheme="minorHAnsi"/>
          <w:snapToGrid w:val="0"/>
        </w:rPr>
        <w:t xml:space="preserve"> </w:t>
      </w:r>
    </w:p>
    <w:p w14:paraId="49023C7C" w14:textId="0AFCEE5C" w:rsidR="0072383E" w:rsidRPr="00D462E9" w:rsidRDefault="0072383E" w:rsidP="000849CA">
      <w:pPr>
        <w:widowControl w:val="0"/>
        <w:numPr>
          <w:ilvl w:val="1"/>
          <w:numId w:val="1"/>
        </w:numPr>
        <w:spacing w:after="120"/>
        <w:ind w:left="720"/>
        <w:rPr>
          <w:rFonts w:asciiTheme="minorHAnsi" w:hAnsiTheme="minorHAnsi"/>
          <w:snapToGrid w:val="0"/>
          <w:color w:val="00B0F0"/>
        </w:rPr>
      </w:pPr>
      <w:bookmarkStart w:id="75" w:name="_Ref152079050"/>
      <w:r w:rsidRPr="00D462E9">
        <w:rPr>
          <w:rFonts w:asciiTheme="minorHAnsi" w:hAnsiTheme="minorHAnsi"/>
          <w:snapToGrid w:val="0"/>
        </w:rPr>
        <w:t xml:space="preserve">The PBAC considered the </w:t>
      </w:r>
      <w:r w:rsidR="00D462E9">
        <w:rPr>
          <w:rFonts w:asciiTheme="minorHAnsi" w:hAnsiTheme="minorHAnsi"/>
          <w:snapToGrid w:val="0"/>
        </w:rPr>
        <w:t xml:space="preserve">appropriate </w:t>
      </w:r>
      <w:r w:rsidRPr="00D462E9">
        <w:rPr>
          <w:rFonts w:asciiTheme="minorHAnsi" w:hAnsiTheme="minorHAnsi"/>
          <w:snapToGrid w:val="0"/>
        </w:rPr>
        <w:t xml:space="preserve">line of therapy </w:t>
      </w:r>
      <w:r w:rsidR="00D462E9">
        <w:rPr>
          <w:rFonts w:asciiTheme="minorHAnsi" w:hAnsiTheme="minorHAnsi"/>
          <w:snapToGrid w:val="0"/>
        </w:rPr>
        <w:t xml:space="preserve">was </w:t>
      </w:r>
      <w:r w:rsidRPr="00D462E9">
        <w:rPr>
          <w:rFonts w:asciiTheme="minorHAnsi" w:hAnsiTheme="minorHAnsi"/>
          <w:snapToGrid w:val="0"/>
          <w:lang w:val="en-US"/>
        </w:rPr>
        <w:t>after inadequate weight loss fr</w:t>
      </w:r>
      <w:r w:rsidR="00F420D6" w:rsidRPr="00D462E9">
        <w:rPr>
          <w:rFonts w:asciiTheme="minorHAnsi" w:hAnsiTheme="minorHAnsi"/>
          <w:snapToGrid w:val="0"/>
          <w:lang w:val="en-US"/>
        </w:rPr>
        <w:t>o</w:t>
      </w:r>
      <w:r w:rsidRPr="00D462E9">
        <w:rPr>
          <w:rFonts w:asciiTheme="minorHAnsi" w:hAnsiTheme="minorHAnsi"/>
          <w:snapToGrid w:val="0"/>
          <w:lang w:val="en-US"/>
        </w:rPr>
        <w:t xml:space="preserve">m </w:t>
      </w:r>
      <w:r w:rsidR="0062517B" w:rsidRPr="00D462E9">
        <w:rPr>
          <w:rFonts w:asciiTheme="minorHAnsi" w:hAnsiTheme="minorHAnsi"/>
          <w:snapToGrid w:val="0"/>
          <w:lang w:val="en-US"/>
        </w:rPr>
        <w:t xml:space="preserve">previous </w:t>
      </w:r>
      <w:r w:rsidRPr="00D462E9">
        <w:rPr>
          <w:rFonts w:asciiTheme="minorHAnsi" w:hAnsiTheme="minorHAnsi"/>
          <w:snapToGrid w:val="0"/>
          <w:lang w:val="en-US"/>
        </w:rPr>
        <w:t>lifestyle</w:t>
      </w:r>
      <w:r w:rsidR="0062517B" w:rsidRPr="00D462E9">
        <w:rPr>
          <w:rFonts w:asciiTheme="minorHAnsi" w:hAnsiTheme="minorHAnsi"/>
          <w:snapToGrid w:val="0"/>
          <w:lang w:val="en-US"/>
        </w:rPr>
        <w:t>-based weight management</w:t>
      </w:r>
      <w:r w:rsidR="0062517B" w:rsidRPr="00D462E9">
        <w:rPr>
          <w:rFonts w:asciiTheme="minorHAnsi" w:hAnsiTheme="minorHAnsi"/>
          <w:snapToGrid w:val="0"/>
        </w:rPr>
        <w:t>.</w:t>
      </w:r>
      <w:r w:rsidRPr="00D462E9">
        <w:rPr>
          <w:rFonts w:asciiTheme="minorHAnsi" w:hAnsiTheme="minorHAnsi"/>
          <w:snapToGrid w:val="0"/>
        </w:rPr>
        <w:t xml:space="preserve"> </w:t>
      </w:r>
      <w:r w:rsidR="0062517B" w:rsidRPr="00D462E9">
        <w:rPr>
          <w:rFonts w:asciiTheme="minorHAnsi" w:hAnsiTheme="minorHAnsi"/>
          <w:snapToGrid w:val="0"/>
        </w:rPr>
        <w:t>H</w:t>
      </w:r>
      <w:r w:rsidRPr="00D462E9">
        <w:rPr>
          <w:rFonts w:asciiTheme="minorHAnsi" w:hAnsiTheme="minorHAnsi"/>
          <w:snapToGrid w:val="0"/>
        </w:rPr>
        <w:t>owever, it was noted that dietetic advice was unlikely to be widely available to patients, and the wording of th</w:t>
      </w:r>
      <w:r w:rsidR="0062517B" w:rsidRPr="00D462E9">
        <w:rPr>
          <w:rFonts w:asciiTheme="minorHAnsi" w:hAnsiTheme="minorHAnsi"/>
          <w:snapToGrid w:val="0"/>
        </w:rPr>
        <w:t>e</w:t>
      </w:r>
      <w:r w:rsidRPr="00D462E9">
        <w:rPr>
          <w:rFonts w:asciiTheme="minorHAnsi" w:hAnsiTheme="minorHAnsi"/>
          <w:snapToGrid w:val="0"/>
        </w:rPr>
        <w:t xml:space="preserve"> </w:t>
      </w:r>
      <w:r w:rsidR="0062517B" w:rsidRPr="00D462E9">
        <w:rPr>
          <w:rFonts w:asciiTheme="minorHAnsi" w:hAnsiTheme="minorHAnsi"/>
          <w:snapToGrid w:val="0"/>
        </w:rPr>
        <w:t>criteria for</w:t>
      </w:r>
      <w:r w:rsidRPr="00D462E9">
        <w:rPr>
          <w:rFonts w:asciiTheme="minorHAnsi" w:hAnsiTheme="minorHAnsi"/>
          <w:snapToGrid w:val="0"/>
        </w:rPr>
        <w:t xml:space="preserve"> </w:t>
      </w:r>
      <w:r w:rsidR="00EF1D21" w:rsidRPr="00D462E9">
        <w:rPr>
          <w:rFonts w:asciiTheme="minorHAnsi" w:hAnsiTheme="minorHAnsi"/>
          <w:snapToGrid w:val="0"/>
        </w:rPr>
        <w:t xml:space="preserve">ongoing </w:t>
      </w:r>
      <w:r w:rsidRPr="00D462E9">
        <w:rPr>
          <w:rFonts w:asciiTheme="minorHAnsi" w:hAnsiTheme="minorHAnsi"/>
          <w:snapToGrid w:val="0"/>
        </w:rPr>
        <w:t>adjunctive lifestyle</w:t>
      </w:r>
      <w:r w:rsidR="0062517B" w:rsidRPr="00D462E9">
        <w:rPr>
          <w:rFonts w:asciiTheme="minorHAnsi" w:hAnsiTheme="minorHAnsi"/>
          <w:snapToGrid w:val="0"/>
        </w:rPr>
        <w:t>-based weight</w:t>
      </w:r>
      <w:r w:rsidRPr="00D462E9">
        <w:rPr>
          <w:rFonts w:asciiTheme="minorHAnsi" w:hAnsiTheme="minorHAnsi"/>
          <w:snapToGrid w:val="0"/>
        </w:rPr>
        <w:t xml:space="preserve"> management would need reconsideration</w:t>
      </w:r>
      <w:r w:rsidR="00F32163" w:rsidRPr="00D462E9">
        <w:rPr>
          <w:rFonts w:asciiTheme="minorHAnsi" w:hAnsiTheme="minorHAnsi"/>
          <w:snapToGrid w:val="0"/>
        </w:rPr>
        <w:t xml:space="preserve"> to remove the specification of how </w:t>
      </w:r>
      <w:r w:rsidR="0062517B" w:rsidRPr="00D462E9">
        <w:rPr>
          <w:rFonts w:asciiTheme="minorHAnsi" w:hAnsiTheme="minorHAnsi"/>
          <w:snapToGrid w:val="0"/>
        </w:rPr>
        <w:t>it is</w:t>
      </w:r>
      <w:r w:rsidR="00F32163" w:rsidRPr="00D462E9">
        <w:rPr>
          <w:rFonts w:asciiTheme="minorHAnsi" w:hAnsiTheme="minorHAnsi"/>
          <w:snapToGrid w:val="0"/>
        </w:rPr>
        <w:t xml:space="preserve"> managed</w:t>
      </w:r>
      <w:r w:rsidRPr="00D462E9">
        <w:rPr>
          <w:rFonts w:asciiTheme="minorHAnsi" w:hAnsiTheme="minorHAnsi"/>
          <w:snapToGrid w:val="0"/>
        </w:rPr>
        <w:t>.</w:t>
      </w:r>
      <w:bookmarkEnd w:id="75"/>
      <w:r w:rsidRPr="00D462E9">
        <w:rPr>
          <w:rFonts w:asciiTheme="minorHAnsi" w:hAnsiTheme="minorHAnsi"/>
          <w:snapToGrid w:val="0"/>
        </w:rPr>
        <w:t xml:space="preserve"> </w:t>
      </w:r>
    </w:p>
    <w:p w14:paraId="1243B49F" w14:textId="6A6CD254" w:rsidR="00FC566E" w:rsidRPr="00D462E9" w:rsidRDefault="0062517B" w:rsidP="00FC566E">
      <w:pPr>
        <w:widowControl w:val="0"/>
        <w:numPr>
          <w:ilvl w:val="1"/>
          <w:numId w:val="1"/>
        </w:numPr>
        <w:spacing w:after="120"/>
        <w:ind w:left="720"/>
        <w:rPr>
          <w:rFonts w:asciiTheme="minorHAnsi" w:hAnsiTheme="minorHAnsi"/>
          <w:snapToGrid w:val="0"/>
          <w:color w:val="00B0F0"/>
        </w:rPr>
      </w:pPr>
      <w:r w:rsidRPr="00D462E9">
        <w:rPr>
          <w:rFonts w:asciiTheme="minorHAnsi" w:hAnsiTheme="minorHAnsi"/>
          <w:snapToGrid w:val="0"/>
        </w:rPr>
        <w:t xml:space="preserve">The PBAC </w:t>
      </w:r>
      <w:r w:rsidR="009242A6" w:rsidRPr="00D462E9">
        <w:rPr>
          <w:rFonts w:asciiTheme="minorHAnsi" w:hAnsiTheme="minorHAnsi"/>
          <w:snapToGrid w:val="0"/>
        </w:rPr>
        <w:t>reaffirmed</w:t>
      </w:r>
      <w:r w:rsidRPr="00D462E9">
        <w:rPr>
          <w:rFonts w:asciiTheme="minorHAnsi" w:hAnsiTheme="minorHAnsi"/>
          <w:snapToGrid w:val="0"/>
        </w:rPr>
        <w:t xml:space="preserve"> </w:t>
      </w:r>
      <w:r w:rsidR="009242A6" w:rsidRPr="00D462E9">
        <w:rPr>
          <w:rFonts w:asciiTheme="minorHAnsi" w:hAnsiTheme="minorHAnsi"/>
          <w:snapToGrid w:val="0"/>
        </w:rPr>
        <w:t xml:space="preserve">its previous view </w:t>
      </w:r>
      <w:r w:rsidRPr="00D462E9">
        <w:rPr>
          <w:rFonts w:asciiTheme="minorHAnsi" w:hAnsiTheme="minorHAnsi"/>
          <w:snapToGrid w:val="0"/>
        </w:rPr>
        <w:t xml:space="preserve">that the proposed comparator (placebo in conjunction with diet and exercise) was reasonable, given there are no subsidised drugs for obesity on the PBS and the limited access </w:t>
      </w:r>
      <w:r w:rsidR="009B4B69">
        <w:rPr>
          <w:rFonts w:asciiTheme="minorHAnsi" w:hAnsiTheme="minorHAnsi"/>
          <w:snapToGrid w:val="0"/>
        </w:rPr>
        <w:t xml:space="preserve">to </w:t>
      </w:r>
      <w:r w:rsidRPr="00D462E9">
        <w:rPr>
          <w:rFonts w:asciiTheme="minorHAnsi" w:hAnsiTheme="minorHAnsi"/>
          <w:snapToGrid w:val="0"/>
        </w:rPr>
        <w:t xml:space="preserve">bariatric surgery in Australia. The PBAC noted that </w:t>
      </w:r>
      <w:r w:rsidRPr="003771DB">
        <w:rPr>
          <w:iCs/>
        </w:rPr>
        <w:t xml:space="preserve">the TGA had accepted an application for tirzepatide as ‘an adjunct to a reduced-calorie diet and increased physical activity for chronic weight management’. This may </w:t>
      </w:r>
      <w:r w:rsidR="00560E8F" w:rsidRPr="003771DB">
        <w:rPr>
          <w:iCs/>
        </w:rPr>
        <w:t>be a relevant comparator for a</w:t>
      </w:r>
      <w:r w:rsidRPr="003771DB">
        <w:rPr>
          <w:iCs/>
        </w:rPr>
        <w:t xml:space="preserve"> future resubmission for semaglutide.</w:t>
      </w:r>
    </w:p>
    <w:p w14:paraId="0AF68D1B" w14:textId="2F23BDC5" w:rsidR="008728A9" w:rsidRPr="003771DB" w:rsidRDefault="008728A9" w:rsidP="008728A9">
      <w:pPr>
        <w:pStyle w:val="COMexecsumnumberedpara"/>
      </w:pPr>
      <w:r w:rsidRPr="003771DB">
        <w:lastRenderedPageBreak/>
        <w:t xml:space="preserve">The PBAC </w:t>
      </w:r>
      <w:r w:rsidR="00B73BC3" w:rsidRPr="003771DB">
        <w:t>recalled it</w:t>
      </w:r>
      <w:r w:rsidR="002335EE" w:rsidRPr="003771DB">
        <w:t xml:space="preserve"> had previously accepted the superior comparative effectiveness claim with regards to surrogate markers of </w:t>
      </w:r>
      <w:r w:rsidR="002335EE" w:rsidRPr="003771DB">
        <w:rPr>
          <w:szCs w:val="20"/>
        </w:rPr>
        <w:t xml:space="preserve">weight loss, HbA1c and other biomarkers, but that effectiveness </w:t>
      </w:r>
      <w:r w:rsidR="009B4B69" w:rsidRPr="003771DB">
        <w:rPr>
          <w:szCs w:val="20"/>
        </w:rPr>
        <w:t>o</w:t>
      </w:r>
      <w:r w:rsidR="009B4B69">
        <w:rPr>
          <w:szCs w:val="20"/>
        </w:rPr>
        <w:t>f</w:t>
      </w:r>
      <w:r w:rsidR="009B4B69" w:rsidRPr="003771DB">
        <w:rPr>
          <w:szCs w:val="20"/>
        </w:rPr>
        <w:t xml:space="preserve"> </w:t>
      </w:r>
      <w:r w:rsidR="002335EE" w:rsidRPr="003771DB">
        <w:rPr>
          <w:szCs w:val="20"/>
        </w:rPr>
        <w:t>clinical endpoints remained uncertain</w:t>
      </w:r>
      <w:r w:rsidR="0088224D" w:rsidRPr="003771DB">
        <w:rPr>
          <w:szCs w:val="20"/>
        </w:rPr>
        <w:t xml:space="preserve"> paragraph 7.7, semaglutide PSD, March 2022 PBAC meeting)</w:t>
      </w:r>
      <w:r w:rsidR="002335EE" w:rsidRPr="003771DB">
        <w:rPr>
          <w:szCs w:val="20"/>
        </w:rPr>
        <w:t>.</w:t>
      </w:r>
      <w:r w:rsidR="00B73BC3" w:rsidRPr="003771DB">
        <w:t xml:space="preserve"> </w:t>
      </w:r>
      <w:r w:rsidR="002335EE" w:rsidRPr="003771DB">
        <w:t xml:space="preserve">The PBAC </w:t>
      </w:r>
      <w:r w:rsidRPr="003771DB">
        <w:t xml:space="preserve">noted the resubmission presented </w:t>
      </w:r>
      <w:r w:rsidR="008D3144" w:rsidRPr="003771DB">
        <w:t xml:space="preserve">extensive </w:t>
      </w:r>
      <w:r w:rsidRPr="003771DB">
        <w:t xml:space="preserve">new </w:t>
      </w:r>
      <w:r w:rsidRPr="003771DB">
        <w:rPr>
          <w:i/>
          <w:iCs/>
        </w:rPr>
        <w:t>post hoc</w:t>
      </w:r>
      <w:r w:rsidRPr="003771DB">
        <w:t xml:space="preserve"> subgroup analyses of the STEP-1 trial. </w:t>
      </w:r>
      <w:r w:rsidR="00712505" w:rsidRPr="003771DB">
        <w:t xml:space="preserve">The PBAC </w:t>
      </w:r>
      <w:r w:rsidR="00340F2C" w:rsidRPr="003771DB">
        <w:t>not</w:t>
      </w:r>
      <w:r w:rsidR="00712505" w:rsidRPr="003771DB">
        <w:t>ed the</w:t>
      </w:r>
      <w:r w:rsidR="00340F2C" w:rsidRPr="003771DB">
        <w:t xml:space="preserve"> </w:t>
      </w:r>
      <w:r w:rsidR="009E7049" w:rsidRPr="003771DB">
        <w:t>ESC</w:t>
      </w:r>
      <w:r w:rsidR="00340F2C" w:rsidRPr="003771DB">
        <w:t xml:space="preserve"> concerns regarding the </w:t>
      </w:r>
      <w:r w:rsidR="009E7049" w:rsidRPr="003771DB">
        <w:t>robustness</w:t>
      </w:r>
      <w:r w:rsidR="00340F2C" w:rsidRPr="003771DB">
        <w:t xml:space="preserve"> of these analyses</w:t>
      </w:r>
      <w:r w:rsidR="009E7049" w:rsidRPr="003771DB">
        <w:t xml:space="preserve"> given the subgroup populations were identified </w:t>
      </w:r>
      <w:r w:rsidR="009E7049" w:rsidRPr="003771DB">
        <w:rPr>
          <w:i/>
          <w:iCs/>
        </w:rPr>
        <w:t>post hoc</w:t>
      </w:r>
      <w:r w:rsidR="009E7049" w:rsidRPr="003771DB">
        <w:t xml:space="preserve">, patient allocation to treatment arms was not stratified based on the nominated variables and many of the analyses were based on small patient numbers with notable </w:t>
      </w:r>
      <w:r w:rsidR="009E7049" w:rsidRPr="003771DB">
        <w:rPr>
          <w:iCs/>
        </w:rPr>
        <w:t>and potentially important</w:t>
      </w:r>
      <w:r w:rsidR="009E7049" w:rsidRPr="003771DB">
        <w:t xml:space="preserve"> imbalances in patient characteristics between treatment arms at baseline (see paragraph </w:t>
      </w:r>
      <w:r w:rsidR="009E7049" w:rsidRPr="003771DB">
        <w:fldChar w:fldCharType="begin" w:fldLock="1"/>
      </w:r>
      <w:r w:rsidR="009E7049" w:rsidRPr="003771DB">
        <w:instrText xml:space="preserve"> REF _Ref152252784 \r \h </w:instrText>
      </w:r>
      <w:r w:rsidR="009E7049" w:rsidRPr="003771DB">
        <w:fldChar w:fldCharType="separate"/>
      </w:r>
      <w:r w:rsidR="009E7049" w:rsidRPr="003771DB">
        <w:t>6.47</w:t>
      </w:r>
      <w:r w:rsidR="009E7049" w:rsidRPr="003771DB">
        <w:fldChar w:fldCharType="end"/>
      </w:r>
      <w:r w:rsidR="009E7049" w:rsidRPr="003771DB">
        <w:t>)</w:t>
      </w:r>
      <w:r w:rsidR="003771DB">
        <w:t xml:space="preserve">. </w:t>
      </w:r>
      <w:r w:rsidR="00290579" w:rsidRPr="003771DB">
        <w:t xml:space="preserve">The PBAC noted the selection of subgroups to present in the </w:t>
      </w:r>
      <w:r w:rsidR="00560E8F" w:rsidRPr="003771DB">
        <w:t>re</w:t>
      </w:r>
      <w:r w:rsidR="00290579" w:rsidRPr="003771DB">
        <w:t xml:space="preserve">submission was based on transformation of SF-36 questionnaire results into SF-6D health states and a scoping exercise was undertaken by the sponsor to assess the response across subgroups defined </w:t>
      </w:r>
      <w:r w:rsidR="00290579" w:rsidRPr="003771DB">
        <w:rPr>
          <w:rStyle w:val="Font"/>
        </w:rPr>
        <w:t>by baseline BMI category, number and type of weight related comorbidities, and key demographic characteristics.</w:t>
      </w:r>
      <w:r w:rsidR="00290579" w:rsidRPr="003771DB">
        <w:t xml:space="preserve"> Although the proposed subgroup for the submission base case may have represented the </w:t>
      </w:r>
      <w:r w:rsidR="0074058C">
        <w:t>largest</w:t>
      </w:r>
      <w:r w:rsidR="00290579" w:rsidRPr="003771DB">
        <w:t xml:space="preserve"> incremental response based on quality of life outcomes over the trial period (for patients with BMI </w:t>
      </w:r>
      <w:r w:rsidR="00290579" w:rsidRPr="003771DB">
        <w:rPr>
          <w:rStyle w:val="Font"/>
          <w:rFonts w:cs="Calibri"/>
        </w:rPr>
        <w:t>≥</w:t>
      </w:r>
      <w:r w:rsidR="00683733">
        <w:rPr>
          <w:rStyle w:val="Font"/>
          <w:rFonts w:cs="Calibri"/>
        </w:rPr>
        <w:t> </w:t>
      </w:r>
      <w:r w:rsidR="00290579" w:rsidRPr="003771DB">
        <w:rPr>
          <w:rStyle w:val="Font"/>
        </w:rPr>
        <w:t>40</w:t>
      </w:r>
      <w:r w:rsidR="00683733">
        <w:rPr>
          <w:rStyle w:val="Font"/>
        </w:rPr>
        <w:t> </w:t>
      </w:r>
      <w:r w:rsidR="00290579" w:rsidRPr="003771DB">
        <w:rPr>
          <w:rStyle w:val="Font"/>
        </w:rPr>
        <w:t>kg/m</w:t>
      </w:r>
      <w:r w:rsidR="00290579" w:rsidRPr="003771DB">
        <w:rPr>
          <w:rStyle w:val="FontSuperscript"/>
        </w:rPr>
        <w:t>2</w:t>
      </w:r>
      <w:r w:rsidR="00290579" w:rsidRPr="003771DB">
        <w:t>), t</w:t>
      </w:r>
      <w:r w:rsidRPr="003771DB">
        <w:t xml:space="preserve">he PBAC noted the results presented in </w:t>
      </w:r>
      <w:r w:rsidR="00934477" w:rsidRPr="003771DB">
        <w:fldChar w:fldCharType="begin" w:fldLock="1"/>
      </w:r>
      <w:r w:rsidR="00934477" w:rsidRPr="003771DB">
        <w:instrText xml:space="preserve"> REF _Ref143501336 \h </w:instrText>
      </w:r>
      <w:r w:rsidR="00934477" w:rsidRPr="003771DB">
        <w:fldChar w:fldCharType="separate"/>
      </w:r>
      <w:r w:rsidR="00D44FF6" w:rsidRPr="003771DB">
        <w:t xml:space="preserve">Table </w:t>
      </w:r>
      <w:r w:rsidR="00D44FF6" w:rsidRPr="00BF6331">
        <w:t>5</w:t>
      </w:r>
      <w:r w:rsidR="00934477" w:rsidRPr="003771DB">
        <w:fldChar w:fldCharType="end"/>
      </w:r>
      <w:r w:rsidR="00A90D05" w:rsidRPr="003771DB">
        <w:t xml:space="preserve">, </w:t>
      </w:r>
      <w:r w:rsidR="00A90D05" w:rsidRPr="003771DB">
        <w:fldChar w:fldCharType="begin" w:fldLock="1"/>
      </w:r>
      <w:r w:rsidR="00A90D05" w:rsidRPr="003771DB">
        <w:instrText xml:space="preserve"> REF _Ref143501365 \h </w:instrText>
      </w:r>
      <w:r w:rsidR="00A90D05" w:rsidRPr="003771DB">
        <w:fldChar w:fldCharType="separate"/>
      </w:r>
      <w:r w:rsidR="00D44FF6" w:rsidRPr="003771DB">
        <w:t xml:space="preserve">Table </w:t>
      </w:r>
      <w:r w:rsidR="00D44FF6" w:rsidRPr="00BF6331">
        <w:t>6</w:t>
      </w:r>
      <w:r w:rsidR="00A90D05" w:rsidRPr="003771DB">
        <w:fldChar w:fldCharType="end"/>
      </w:r>
      <w:r w:rsidR="009B4B69">
        <w:t xml:space="preserve"> and</w:t>
      </w:r>
      <w:r w:rsidR="00A90D05" w:rsidRPr="003771DB">
        <w:t xml:space="preserve"> </w:t>
      </w:r>
      <w:r w:rsidR="00A90D05" w:rsidRPr="003771DB">
        <w:fldChar w:fldCharType="begin" w:fldLock="1"/>
      </w:r>
      <w:r w:rsidR="00A90D05" w:rsidRPr="003771DB">
        <w:instrText xml:space="preserve"> REF _Ref143501388 \h </w:instrText>
      </w:r>
      <w:r w:rsidR="00A90D05" w:rsidRPr="003771DB">
        <w:fldChar w:fldCharType="separate"/>
      </w:r>
      <w:r w:rsidR="00D44FF6" w:rsidRPr="003771DB">
        <w:t xml:space="preserve">Table </w:t>
      </w:r>
      <w:r w:rsidR="00D44FF6" w:rsidRPr="00BF6331">
        <w:t>7</w:t>
      </w:r>
      <w:r w:rsidR="00A90D05" w:rsidRPr="003771DB">
        <w:fldChar w:fldCharType="end"/>
      </w:r>
      <w:r w:rsidR="00934477" w:rsidRPr="003771DB">
        <w:t xml:space="preserve"> </w:t>
      </w:r>
      <w:r w:rsidRPr="003771DB">
        <w:t xml:space="preserve">demonstrated that the selected comorbidities were not treatment effect modifiers and </w:t>
      </w:r>
      <w:r w:rsidR="00934477" w:rsidRPr="003771DB">
        <w:t>the</w:t>
      </w:r>
      <w:r w:rsidR="009A6EBC" w:rsidRPr="003771DB">
        <w:t>re were no important differences in the</w:t>
      </w:r>
      <w:r w:rsidR="00934477" w:rsidRPr="003771DB">
        <w:t xml:space="preserve"> </w:t>
      </w:r>
      <w:r w:rsidR="009A6EBC" w:rsidRPr="003771DB">
        <w:t xml:space="preserve">absolute and </w:t>
      </w:r>
      <w:r w:rsidRPr="003771DB">
        <w:t xml:space="preserve">relative </w:t>
      </w:r>
      <w:r w:rsidR="00934477" w:rsidRPr="003771DB">
        <w:t>effect</w:t>
      </w:r>
      <w:r w:rsidR="009A6EBC" w:rsidRPr="003771DB">
        <w:t>s</w:t>
      </w:r>
      <w:r w:rsidR="00934477" w:rsidRPr="003771DB">
        <w:t xml:space="preserve"> </w:t>
      </w:r>
      <w:r w:rsidR="009A6EBC" w:rsidRPr="00BF6331">
        <w:t>on weight loss across the subgroups</w:t>
      </w:r>
      <w:r w:rsidR="00934477" w:rsidRPr="003771DB">
        <w:t>.</w:t>
      </w:r>
      <w:r w:rsidRPr="003771DB">
        <w:t xml:space="preserve"> </w:t>
      </w:r>
      <w:r w:rsidR="00F857E5" w:rsidRPr="003771DB">
        <w:t xml:space="preserve">The magnitude of difference between treatments for weight loss was generally smaller in the subgroup populations compared to the ITT population. </w:t>
      </w:r>
      <w:r w:rsidR="001D4608" w:rsidRPr="003771DB">
        <w:t>Ultimately</w:t>
      </w:r>
      <w:r w:rsidR="00290579" w:rsidRPr="003771DB">
        <w:t>,</w:t>
      </w:r>
      <w:r w:rsidR="001D4608" w:rsidRPr="003771DB">
        <w:t xml:space="preserve"> the PBAC considered</w:t>
      </w:r>
      <w:r w:rsidR="00290579" w:rsidRPr="003771DB">
        <w:t xml:space="preserve"> there was no strong rationale for selecting these subgroups and o</w:t>
      </w:r>
      <w:r w:rsidR="008D3144" w:rsidRPr="003771DB">
        <w:t>verall, despite the</w:t>
      </w:r>
      <w:r w:rsidR="00A90D05" w:rsidRPr="003771DB">
        <w:t>se</w:t>
      </w:r>
      <w:r w:rsidR="008D3144" w:rsidRPr="003771DB">
        <w:t xml:space="preserve"> new analyses, the </w:t>
      </w:r>
      <w:r w:rsidR="00462945" w:rsidRPr="003771DB">
        <w:t>PB</w:t>
      </w:r>
      <w:r w:rsidR="00712505" w:rsidRPr="003771DB">
        <w:t>A</w:t>
      </w:r>
      <w:r w:rsidR="00462945" w:rsidRPr="003771DB">
        <w:t xml:space="preserve">C did not consider the </w:t>
      </w:r>
      <w:r w:rsidR="008D3144" w:rsidRPr="003771DB">
        <w:t xml:space="preserve">optimal target population for semaglutide </w:t>
      </w:r>
      <w:r w:rsidR="00A90D05" w:rsidRPr="003771DB">
        <w:t xml:space="preserve">could be </w:t>
      </w:r>
      <w:r w:rsidR="008D3144" w:rsidRPr="003771DB">
        <w:t>adequately identified from this approach.</w:t>
      </w:r>
    </w:p>
    <w:p w14:paraId="087B8B84" w14:textId="64F408C3" w:rsidR="008728A9" w:rsidRPr="003771DB" w:rsidRDefault="008728A9" w:rsidP="008728A9">
      <w:pPr>
        <w:pStyle w:val="COMexecsumnumberedpara"/>
      </w:pPr>
      <w:r w:rsidRPr="003771DB">
        <w:t xml:space="preserve">The PBAC noted the top-line results from the SELECT trial which </w:t>
      </w:r>
      <w:r w:rsidRPr="003771DB">
        <w:rPr>
          <w:iCs/>
        </w:rPr>
        <w:t>were released by the sponsor via press release</w:t>
      </w:r>
      <w:r w:rsidRPr="003771DB">
        <w:t>, indicated that semaglutide treatment was associated with a 20% relative risk reduction in major cardiovascular events (composite of cardiovascular death, non-fatal myocardial infarction, or non-fatal stroke) compared to placebo in overweight/obese patients with established cardiovascular disease</w:t>
      </w:r>
      <w:r w:rsidR="003771DB">
        <w:t xml:space="preserve">. </w:t>
      </w:r>
      <w:r w:rsidRPr="003771DB">
        <w:t>T</w:t>
      </w:r>
      <w:r w:rsidRPr="003771DB">
        <w:rPr>
          <w:iCs/>
        </w:rPr>
        <w:t>he PBAC acknowledged the positive results, however, given the trial had not been published in a peer-reviewed journal or provided for evaluation, it could not comment further on the significance of the outcomes</w:t>
      </w:r>
      <w:r w:rsidRPr="003771DB">
        <w:t>.</w:t>
      </w:r>
      <w:r w:rsidR="008D3144" w:rsidRPr="003771DB">
        <w:t xml:space="preserve"> The PBAC did, however, consider the top line results relevant for identifying a clinically appropriate targeted population for potential PBS subsidy.</w:t>
      </w:r>
    </w:p>
    <w:p w14:paraId="72659056" w14:textId="6358ED98" w:rsidR="00117198" w:rsidRPr="003771DB" w:rsidRDefault="00117198" w:rsidP="00117198">
      <w:pPr>
        <w:widowControl w:val="0"/>
        <w:numPr>
          <w:ilvl w:val="1"/>
          <w:numId w:val="1"/>
        </w:numPr>
        <w:spacing w:after="120"/>
        <w:ind w:left="720"/>
        <w:rPr>
          <w:rFonts w:asciiTheme="minorHAnsi" w:hAnsiTheme="minorHAnsi"/>
          <w:snapToGrid w:val="0"/>
          <w:szCs w:val="20"/>
        </w:rPr>
      </w:pPr>
      <w:r w:rsidRPr="003771DB">
        <w:rPr>
          <w:rFonts w:asciiTheme="minorHAnsi" w:hAnsiTheme="minorHAnsi"/>
          <w:snapToGrid w:val="0"/>
          <w:szCs w:val="20"/>
        </w:rPr>
        <w:t xml:space="preserve">The PBAC noted </w:t>
      </w:r>
      <w:r w:rsidR="009A6EBC" w:rsidRPr="003771DB">
        <w:rPr>
          <w:rFonts w:asciiTheme="minorHAnsi" w:hAnsiTheme="minorHAnsi"/>
          <w:snapToGrid w:val="0"/>
          <w:szCs w:val="20"/>
        </w:rPr>
        <w:t>the appreciable gastrointestinal side effects which lead to discontinuation</w:t>
      </w:r>
      <w:r w:rsidR="005640FC" w:rsidRPr="003771DB">
        <w:rPr>
          <w:rFonts w:asciiTheme="minorHAnsi" w:hAnsiTheme="minorHAnsi"/>
          <w:snapToGrid w:val="0"/>
          <w:szCs w:val="20"/>
        </w:rPr>
        <w:t xml:space="preserve"> of treatment in more than 5% of patients</w:t>
      </w:r>
      <w:r w:rsidR="009A6EBC" w:rsidRPr="003771DB">
        <w:rPr>
          <w:rFonts w:asciiTheme="minorHAnsi" w:hAnsiTheme="minorHAnsi"/>
          <w:snapToGrid w:val="0"/>
          <w:szCs w:val="20"/>
        </w:rPr>
        <w:t xml:space="preserve"> in the selected subgroup. T</w:t>
      </w:r>
      <w:r w:rsidR="009A6EBC" w:rsidRPr="003771DB">
        <w:t xml:space="preserve">he PBAC </w:t>
      </w:r>
      <w:r w:rsidRPr="003771DB">
        <w:rPr>
          <w:rFonts w:asciiTheme="minorHAnsi" w:hAnsiTheme="minorHAnsi"/>
          <w:snapToGrid w:val="0"/>
          <w:szCs w:val="20"/>
        </w:rPr>
        <w:t xml:space="preserve">reaffirmed its </w:t>
      </w:r>
      <w:r w:rsidR="00870EEB" w:rsidRPr="003771DB">
        <w:rPr>
          <w:rFonts w:asciiTheme="minorHAnsi" w:hAnsiTheme="minorHAnsi"/>
          <w:snapToGrid w:val="0"/>
          <w:szCs w:val="20"/>
        </w:rPr>
        <w:t xml:space="preserve">previous </w:t>
      </w:r>
      <w:r w:rsidRPr="003771DB">
        <w:rPr>
          <w:rFonts w:asciiTheme="minorHAnsi" w:hAnsiTheme="minorHAnsi"/>
          <w:snapToGrid w:val="0"/>
          <w:szCs w:val="20"/>
        </w:rPr>
        <w:t xml:space="preserve">view that the </w:t>
      </w:r>
      <w:r w:rsidR="00E232E6" w:rsidRPr="003771DB">
        <w:rPr>
          <w:rFonts w:asciiTheme="minorHAnsi" w:hAnsiTheme="minorHAnsi"/>
          <w:snapToGrid w:val="0"/>
          <w:szCs w:val="20"/>
        </w:rPr>
        <w:t xml:space="preserve">claim of </w:t>
      </w:r>
      <w:r w:rsidRPr="003771DB">
        <w:rPr>
          <w:rFonts w:asciiTheme="minorHAnsi" w:hAnsiTheme="minorHAnsi"/>
          <w:snapToGrid w:val="0"/>
          <w:szCs w:val="20"/>
        </w:rPr>
        <w:t>inferior comparative safety was reasonable (</w:t>
      </w:r>
      <w:r w:rsidR="0088224D" w:rsidRPr="003771DB">
        <w:rPr>
          <w:rFonts w:asciiTheme="minorHAnsi" w:hAnsiTheme="minorHAnsi"/>
          <w:snapToGrid w:val="0"/>
          <w:szCs w:val="20"/>
        </w:rPr>
        <w:t>paragraph 7.8</w:t>
      </w:r>
      <w:r w:rsidRPr="003771DB">
        <w:rPr>
          <w:rFonts w:asciiTheme="minorHAnsi" w:hAnsiTheme="minorHAnsi"/>
          <w:snapToGrid w:val="0"/>
          <w:szCs w:val="20"/>
        </w:rPr>
        <w:t xml:space="preserve">, semaglutide PSD, March 2022 PBAC meeting). </w:t>
      </w:r>
    </w:p>
    <w:p w14:paraId="1002A3E2" w14:textId="3FD5EEAB" w:rsidR="00675FCF" w:rsidRPr="00BF6331" w:rsidRDefault="00B96419" w:rsidP="00675FCF">
      <w:pPr>
        <w:widowControl w:val="0"/>
        <w:numPr>
          <w:ilvl w:val="1"/>
          <w:numId w:val="1"/>
        </w:numPr>
        <w:spacing w:after="120"/>
        <w:ind w:left="720"/>
        <w:rPr>
          <w:rFonts w:asciiTheme="minorHAnsi" w:hAnsiTheme="minorHAnsi"/>
          <w:snapToGrid w:val="0"/>
        </w:rPr>
      </w:pPr>
      <w:r w:rsidRPr="00BF6331">
        <w:rPr>
          <w:rFonts w:asciiTheme="minorHAnsi" w:hAnsiTheme="minorHAnsi"/>
          <w:snapToGrid w:val="0"/>
        </w:rPr>
        <w:t xml:space="preserve">The PBAC noted the new economic model developed for this resubmission was based </w:t>
      </w:r>
      <w:r w:rsidRPr="00BF6331">
        <w:rPr>
          <w:rFonts w:asciiTheme="minorHAnsi" w:hAnsiTheme="minorHAnsi"/>
          <w:snapToGrid w:val="0"/>
        </w:rPr>
        <w:lastRenderedPageBreak/>
        <w:t>on a cost-utility analysis of semaglutide vs placebo for an initial episode of care for the severe obesity subgroup from the STEP-1 trial (</w:t>
      </w:r>
      <w:r w:rsidRPr="003771DB">
        <w:rPr>
          <w:rFonts w:asciiTheme="minorHAnsi" w:hAnsiTheme="minorHAnsi"/>
          <w:snapToGrid w:val="0"/>
        </w:rPr>
        <w:t>baseline BMI ≥</w:t>
      </w:r>
      <w:r w:rsidR="00683733">
        <w:rPr>
          <w:rFonts w:asciiTheme="minorHAnsi" w:hAnsiTheme="minorHAnsi"/>
          <w:snapToGrid w:val="0"/>
        </w:rPr>
        <w:t> </w:t>
      </w:r>
      <w:r w:rsidRPr="003771DB">
        <w:rPr>
          <w:rFonts w:asciiTheme="minorHAnsi" w:hAnsiTheme="minorHAnsi"/>
          <w:snapToGrid w:val="0"/>
        </w:rPr>
        <w:t>40</w:t>
      </w:r>
      <w:r w:rsidR="00683733">
        <w:rPr>
          <w:rFonts w:asciiTheme="minorHAnsi" w:hAnsiTheme="minorHAnsi"/>
          <w:snapToGrid w:val="0"/>
        </w:rPr>
        <w:t> </w:t>
      </w:r>
      <w:r w:rsidRPr="003771DB">
        <w:rPr>
          <w:rFonts w:asciiTheme="minorHAnsi" w:hAnsiTheme="minorHAnsi"/>
          <w:snapToGrid w:val="0"/>
        </w:rPr>
        <w:t>kg/m</w:t>
      </w:r>
      <w:r w:rsidRPr="003771DB">
        <w:rPr>
          <w:rFonts w:asciiTheme="minorHAnsi" w:hAnsiTheme="minorHAnsi"/>
          <w:snapToGrid w:val="0"/>
          <w:vertAlign w:val="superscript"/>
        </w:rPr>
        <w:t>2</w:t>
      </w:r>
      <w:r w:rsidRPr="003771DB">
        <w:rPr>
          <w:rFonts w:asciiTheme="minorHAnsi" w:hAnsiTheme="minorHAnsi"/>
          <w:snapToGrid w:val="0"/>
        </w:rPr>
        <w:t xml:space="preserve"> and ≥</w:t>
      </w:r>
      <w:r w:rsidR="00683733">
        <w:rPr>
          <w:rFonts w:asciiTheme="minorHAnsi" w:hAnsiTheme="minorHAnsi"/>
          <w:snapToGrid w:val="0"/>
        </w:rPr>
        <w:t> </w:t>
      </w:r>
      <w:r w:rsidRPr="003771DB">
        <w:rPr>
          <w:rFonts w:asciiTheme="minorHAnsi" w:hAnsiTheme="minorHAnsi"/>
          <w:snapToGrid w:val="0"/>
        </w:rPr>
        <w:t>2 weight-related comorbidities)</w:t>
      </w:r>
      <w:r w:rsidR="00282B44" w:rsidRPr="003771DB">
        <w:rPr>
          <w:rFonts w:asciiTheme="minorHAnsi" w:hAnsiTheme="minorHAnsi"/>
          <w:snapToGrid w:val="0"/>
        </w:rPr>
        <w:t>,</w:t>
      </w:r>
      <w:r w:rsidRPr="003771DB">
        <w:rPr>
          <w:rFonts w:asciiTheme="minorHAnsi" w:hAnsiTheme="minorHAnsi"/>
          <w:snapToGrid w:val="0"/>
        </w:rPr>
        <w:t xml:space="preserve"> over 5 years. </w:t>
      </w:r>
      <w:r w:rsidR="00675FCF" w:rsidRPr="003771DB">
        <w:rPr>
          <w:rFonts w:asciiTheme="minorHAnsi" w:hAnsiTheme="minorHAnsi"/>
          <w:snapToGrid w:val="0"/>
        </w:rPr>
        <w:t xml:space="preserve">The PBAC noted the </w:t>
      </w:r>
      <w:r w:rsidR="00C80381" w:rsidRPr="003771DB">
        <w:rPr>
          <w:rFonts w:asciiTheme="minorHAnsi" w:hAnsiTheme="minorHAnsi"/>
          <w:snapToGrid w:val="0"/>
        </w:rPr>
        <w:t xml:space="preserve">ICER for the </w:t>
      </w:r>
      <w:r w:rsidR="00282B44" w:rsidRPr="003771DB">
        <w:rPr>
          <w:rFonts w:asciiTheme="minorHAnsi" w:hAnsiTheme="minorHAnsi"/>
          <w:snapToGrid w:val="0"/>
        </w:rPr>
        <w:t xml:space="preserve">evaluator </w:t>
      </w:r>
      <w:r w:rsidR="00675FCF" w:rsidRPr="003771DB">
        <w:rPr>
          <w:rFonts w:asciiTheme="minorHAnsi" w:hAnsiTheme="minorHAnsi"/>
          <w:snapToGrid w:val="0"/>
        </w:rPr>
        <w:t xml:space="preserve">corrected model </w:t>
      </w:r>
      <w:r w:rsidR="00C80381" w:rsidRPr="003771DB">
        <w:rPr>
          <w:rFonts w:asciiTheme="minorHAnsi" w:hAnsiTheme="minorHAnsi"/>
          <w:snapToGrid w:val="0"/>
        </w:rPr>
        <w:t>was $</w:t>
      </w:r>
      <w:r w:rsidR="00B52A7C" w:rsidRPr="00B52A7C">
        <w:rPr>
          <w:rFonts w:asciiTheme="minorHAnsi" w:hAnsiTheme="minorHAnsi"/>
          <w:snapToGrid w:val="0"/>
        </w:rPr>
        <w:t>25,000 to &lt; $35,000</w:t>
      </w:r>
      <w:r w:rsidR="00C80381" w:rsidRPr="003771DB">
        <w:rPr>
          <w:rFonts w:asciiTheme="minorHAnsi" w:hAnsiTheme="minorHAnsi"/>
          <w:snapToGrid w:val="0"/>
        </w:rPr>
        <w:t xml:space="preserve">/QALY gained and that this increased to </w:t>
      </w:r>
      <w:r w:rsidR="00C80381" w:rsidRPr="003771DB">
        <w:rPr>
          <w:szCs w:val="20"/>
        </w:rPr>
        <w:t>$</w:t>
      </w:r>
      <w:r w:rsidR="00B52A7C" w:rsidRPr="00B52A7C">
        <w:rPr>
          <w:szCs w:val="20"/>
        </w:rPr>
        <w:t>35,000 to &lt; $45,000</w:t>
      </w:r>
      <w:r w:rsidR="00C80381" w:rsidRPr="003771DB">
        <w:rPr>
          <w:szCs w:val="20"/>
        </w:rPr>
        <w:t>/QALY gained</w:t>
      </w:r>
      <w:r w:rsidR="00C80381" w:rsidRPr="003771DB">
        <w:rPr>
          <w:rFonts w:asciiTheme="minorHAnsi" w:hAnsiTheme="minorHAnsi"/>
          <w:snapToGrid w:val="0"/>
        </w:rPr>
        <w:t xml:space="preserve"> </w:t>
      </w:r>
      <w:r w:rsidR="00675FCF" w:rsidRPr="003771DB">
        <w:rPr>
          <w:rFonts w:asciiTheme="minorHAnsi" w:hAnsiTheme="minorHAnsi"/>
          <w:snapToGrid w:val="0"/>
        </w:rPr>
        <w:t xml:space="preserve">with </w:t>
      </w:r>
      <w:r w:rsidR="009F074D" w:rsidRPr="003771DB">
        <w:rPr>
          <w:rFonts w:asciiTheme="minorHAnsi" w:hAnsiTheme="minorHAnsi"/>
          <w:snapToGrid w:val="0"/>
        </w:rPr>
        <w:t xml:space="preserve">more appropriate </w:t>
      </w:r>
      <w:r w:rsidR="00675FCF" w:rsidRPr="003771DB">
        <w:rPr>
          <w:rFonts w:asciiTheme="minorHAnsi" w:hAnsiTheme="minorHAnsi"/>
          <w:snapToGrid w:val="0"/>
        </w:rPr>
        <w:t>modelling of utilities for responder status based on change from baseline</w:t>
      </w:r>
      <w:r w:rsidR="00675FCF" w:rsidRPr="003771DB">
        <w:rPr>
          <w:szCs w:val="20"/>
        </w:rPr>
        <w:t>.</w:t>
      </w:r>
      <w:r w:rsidR="00675FCF" w:rsidRPr="003771DB">
        <w:rPr>
          <w:rFonts w:asciiTheme="minorHAnsi" w:hAnsiTheme="minorHAnsi"/>
          <w:snapToGrid w:val="0"/>
        </w:rPr>
        <w:t xml:space="preserve"> </w:t>
      </w:r>
      <w:r w:rsidRPr="003771DB">
        <w:rPr>
          <w:rFonts w:asciiTheme="minorHAnsi" w:hAnsiTheme="minorHAnsi"/>
          <w:snapToGrid w:val="0"/>
        </w:rPr>
        <w:t xml:space="preserve">The PBAC noted the </w:t>
      </w:r>
      <w:r w:rsidR="00675FCF" w:rsidRPr="003771DB">
        <w:rPr>
          <w:rFonts w:asciiTheme="minorHAnsi" w:hAnsiTheme="minorHAnsi"/>
          <w:snapToGrid w:val="0"/>
        </w:rPr>
        <w:t xml:space="preserve">alternative approach and ICER provided in the pre-PBAC response but expected that this was likely biased in favour of semaglutide (see paragraph </w:t>
      </w:r>
      <w:r w:rsidR="00675FCF" w:rsidRPr="003771DB">
        <w:rPr>
          <w:rFonts w:asciiTheme="minorHAnsi" w:hAnsiTheme="minorHAnsi"/>
          <w:snapToGrid w:val="0"/>
        </w:rPr>
        <w:fldChar w:fldCharType="begin" w:fldLock="1"/>
      </w:r>
      <w:r w:rsidR="00675FCF" w:rsidRPr="003771DB">
        <w:rPr>
          <w:rFonts w:asciiTheme="minorHAnsi" w:hAnsiTheme="minorHAnsi"/>
          <w:snapToGrid w:val="0"/>
        </w:rPr>
        <w:instrText xml:space="preserve"> REF _Ref152074602 \r \h </w:instrText>
      </w:r>
      <w:r w:rsidR="00675FCF" w:rsidRPr="003771DB">
        <w:rPr>
          <w:rFonts w:asciiTheme="minorHAnsi" w:hAnsiTheme="minorHAnsi"/>
          <w:snapToGrid w:val="0"/>
        </w:rPr>
      </w:r>
      <w:r w:rsidR="00675FCF" w:rsidRPr="003771DB">
        <w:rPr>
          <w:rFonts w:asciiTheme="minorHAnsi" w:hAnsiTheme="minorHAnsi"/>
          <w:snapToGrid w:val="0"/>
        </w:rPr>
        <w:fldChar w:fldCharType="separate"/>
      </w:r>
      <w:r w:rsidR="00D44FF6" w:rsidRPr="003771DB">
        <w:rPr>
          <w:rFonts w:asciiTheme="minorHAnsi" w:hAnsiTheme="minorHAnsi"/>
          <w:snapToGrid w:val="0"/>
        </w:rPr>
        <w:t>6.70</w:t>
      </w:r>
      <w:r w:rsidR="00675FCF" w:rsidRPr="003771DB">
        <w:rPr>
          <w:rFonts w:asciiTheme="minorHAnsi" w:hAnsiTheme="minorHAnsi"/>
          <w:snapToGrid w:val="0"/>
        </w:rPr>
        <w:fldChar w:fldCharType="end"/>
      </w:r>
      <w:r w:rsidR="00675FCF" w:rsidRPr="003771DB">
        <w:rPr>
          <w:rFonts w:asciiTheme="minorHAnsi" w:hAnsiTheme="minorHAnsi"/>
          <w:snapToGrid w:val="0"/>
        </w:rPr>
        <w:t xml:space="preserve">). Overall, the PBAC noted the </w:t>
      </w:r>
      <w:r w:rsidRPr="003771DB">
        <w:rPr>
          <w:rFonts w:asciiTheme="minorHAnsi" w:hAnsiTheme="minorHAnsi"/>
          <w:snapToGrid w:val="0"/>
        </w:rPr>
        <w:t xml:space="preserve">multiple issues identified during evaluation </w:t>
      </w:r>
      <w:r w:rsidR="00DD1F41" w:rsidRPr="003771DB">
        <w:rPr>
          <w:rFonts w:asciiTheme="minorHAnsi" w:hAnsiTheme="minorHAnsi"/>
          <w:snapToGrid w:val="0"/>
        </w:rPr>
        <w:t xml:space="preserve">regarding the utility values and that alternative </w:t>
      </w:r>
      <w:r w:rsidR="009F074D" w:rsidRPr="003771DB">
        <w:rPr>
          <w:rFonts w:asciiTheme="minorHAnsi" w:hAnsiTheme="minorHAnsi"/>
          <w:snapToGrid w:val="0"/>
        </w:rPr>
        <w:t xml:space="preserve">utility sets and </w:t>
      </w:r>
      <w:r w:rsidR="009F074D" w:rsidRPr="003771DB">
        <w:t xml:space="preserve">maintenance of treatment effects over time (despite decreased longer-term use of adjunctive weight management) </w:t>
      </w:r>
      <w:r w:rsidR="00DD1F41" w:rsidRPr="003771DB">
        <w:rPr>
          <w:rFonts w:asciiTheme="minorHAnsi" w:hAnsiTheme="minorHAnsi"/>
          <w:snapToGrid w:val="0"/>
        </w:rPr>
        <w:t xml:space="preserve">could not adequately be assessed using the current model (see paragraph </w:t>
      </w:r>
      <w:r w:rsidR="00DD1F41" w:rsidRPr="003771DB">
        <w:rPr>
          <w:rFonts w:asciiTheme="minorHAnsi" w:hAnsiTheme="minorHAnsi"/>
          <w:snapToGrid w:val="0"/>
        </w:rPr>
        <w:fldChar w:fldCharType="begin" w:fldLock="1"/>
      </w:r>
      <w:r w:rsidR="00DD1F41" w:rsidRPr="003771DB">
        <w:rPr>
          <w:rFonts w:asciiTheme="minorHAnsi" w:hAnsiTheme="minorHAnsi"/>
          <w:snapToGrid w:val="0"/>
        </w:rPr>
        <w:instrText xml:space="preserve"> REF _Ref147843937 \r \h </w:instrText>
      </w:r>
      <w:r w:rsidR="00DD1F41" w:rsidRPr="003771DB">
        <w:rPr>
          <w:rFonts w:asciiTheme="minorHAnsi" w:hAnsiTheme="minorHAnsi"/>
          <w:snapToGrid w:val="0"/>
        </w:rPr>
      </w:r>
      <w:r w:rsidR="00DD1F41" w:rsidRPr="003771DB">
        <w:rPr>
          <w:rFonts w:asciiTheme="minorHAnsi" w:hAnsiTheme="minorHAnsi"/>
          <w:snapToGrid w:val="0"/>
        </w:rPr>
        <w:fldChar w:fldCharType="separate"/>
      </w:r>
      <w:r w:rsidR="00D44FF6" w:rsidRPr="003771DB">
        <w:rPr>
          <w:rFonts w:asciiTheme="minorHAnsi" w:hAnsiTheme="minorHAnsi"/>
          <w:snapToGrid w:val="0"/>
        </w:rPr>
        <w:t>6.69</w:t>
      </w:r>
      <w:r w:rsidR="00DD1F41" w:rsidRPr="003771DB">
        <w:rPr>
          <w:rFonts w:asciiTheme="minorHAnsi" w:hAnsiTheme="minorHAnsi"/>
          <w:snapToGrid w:val="0"/>
        </w:rPr>
        <w:fldChar w:fldCharType="end"/>
      </w:r>
      <w:r w:rsidR="00DD1F41" w:rsidRPr="003771DB">
        <w:rPr>
          <w:rFonts w:asciiTheme="minorHAnsi" w:hAnsiTheme="minorHAnsi"/>
          <w:snapToGrid w:val="0"/>
        </w:rPr>
        <w:t xml:space="preserve">). </w:t>
      </w:r>
    </w:p>
    <w:p w14:paraId="29CCB7C2" w14:textId="409C072C" w:rsidR="007D3CB3" w:rsidRPr="00BF6331" w:rsidRDefault="00675FCF" w:rsidP="007D3CB3">
      <w:pPr>
        <w:widowControl w:val="0"/>
        <w:numPr>
          <w:ilvl w:val="1"/>
          <w:numId w:val="1"/>
        </w:numPr>
        <w:spacing w:after="120"/>
        <w:ind w:left="720"/>
        <w:rPr>
          <w:rFonts w:asciiTheme="minorHAnsi" w:hAnsiTheme="minorHAnsi"/>
          <w:snapToGrid w:val="0"/>
        </w:rPr>
      </w:pPr>
      <w:r w:rsidRPr="003771DB">
        <w:rPr>
          <w:rFonts w:asciiTheme="minorHAnsi" w:hAnsiTheme="minorHAnsi"/>
          <w:snapToGrid w:val="0"/>
        </w:rPr>
        <w:t xml:space="preserve">The PBAC noted the ESC advice that </w:t>
      </w:r>
      <w:r w:rsidRPr="003771DB">
        <w:t>modelling QoL improvement from weight loss rather than extrapolating long-term benefits was a potentially valid approach (noting results of the HILDA survey (2022)</w:t>
      </w:r>
      <w:r w:rsidRPr="003771DB">
        <w:rPr>
          <w:rStyle w:val="FootnoteReference"/>
        </w:rPr>
        <w:footnoteReference w:id="6"/>
      </w:r>
      <w:r w:rsidR="00282B44" w:rsidRPr="003771DB">
        <w:t>)</w:t>
      </w:r>
      <w:r w:rsidRPr="003771DB">
        <w:t>, however, the model provided in th</w:t>
      </w:r>
      <w:r w:rsidR="007E2CFB" w:rsidRPr="003771DB">
        <w:t>is</w:t>
      </w:r>
      <w:r w:rsidRPr="003771DB">
        <w:t xml:space="preserve"> resubmission w</w:t>
      </w:r>
      <w:r w:rsidR="00282B44" w:rsidRPr="003771DB">
        <w:t>as</w:t>
      </w:r>
      <w:r w:rsidRPr="003771DB">
        <w:t xml:space="preserve"> unreliable and </w:t>
      </w:r>
      <w:r w:rsidR="007E2CFB" w:rsidRPr="003771DB">
        <w:t>produced</w:t>
      </w:r>
      <w:r w:rsidRPr="003771DB">
        <w:t xml:space="preserve"> higher ICERs </w:t>
      </w:r>
      <w:r w:rsidR="007E2CFB" w:rsidRPr="003771DB">
        <w:t xml:space="preserve">than </w:t>
      </w:r>
      <w:r w:rsidRPr="003771DB">
        <w:t>accepted in previous recommendations for therapies in chronic conditions, such as evolocumab in atherosclerotic cardiovascular disease.</w:t>
      </w:r>
      <w:r w:rsidRPr="003771DB">
        <w:rPr>
          <w:i/>
          <w:iCs/>
        </w:rPr>
        <w:t xml:space="preserve"> </w:t>
      </w:r>
      <w:r w:rsidR="00DD1F41" w:rsidRPr="003771DB">
        <w:rPr>
          <w:rFonts w:asciiTheme="minorHAnsi" w:hAnsiTheme="minorHAnsi"/>
          <w:snapToGrid w:val="0"/>
        </w:rPr>
        <w:t xml:space="preserve">The PBAC expected that modelling downstream benefits </w:t>
      </w:r>
      <w:r w:rsidR="007E2CFB" w:rsidRPr="003771DB">
        <w:rPr>
          <w:rFonts w:asciiTheme="minorHAnsi" w:hAnsiTheme="minorHAnsi"/>
          <w:snapToGrid w:val="0"/>
        </w:rPr>
        <w:t>should</w:t>
      </w:r>
      <w:r w:rsidR="00DD1F41" w:rsidRPr="003771DB">
        <w:rPr>
          <w:rFonts w:asciiTheme="minorHAnsi" w:hAnsiTheme="minorHAnsi"/>
          <w:snapToGrid w:val="0"/>
        </w:rPr>
        <w:t xml:space="preserve"> now </w:t>
      </w:r>
      <w:r w:rsidR="007E2CFB" w:rsidRPr="003771DB">
        <w:rPr>
          <w:rFonts w:asciiTheme="minorHAnsi" w:hAnsiTheme="minorHAnsi"/>
          <w:snapToGrid w:val="0"/>
        </w:rPr>
        <w:t xml:space="preserve">be </w:t>
      </w:r>
      <w:r w:rsidR="00DD1F41" w:rsidRPr="003771DB">
        <w:rPr>
          <w:rFonts w:asciiTheme="minorHAnsi" w:hAnsiTheme="minorHAnsi"/>
          <w:snapToGrid w:val="0"/>
        </w:rPr>
        <w:t xml:space="preserve">possible given the results of the SELECT trial </w:t>
      </w:r>
      <w:r w:rsidR="007E2CFB" w:rsidRPr="003771DB">
        <w:rPr>
          <w:rFonts w:asciiTheme="minorHAnsi" w:hAnsiTheme="minorHAnsi"/>
          <w:snapToGrid w:val="0"/>
        </w:rPr>
        <w:t>are</w:t>
      </w:r>
      <w:r w:rsidR="00DD1F41" w:rsidRPr="003771DB">
        <w:rPr>
          <w:rFonts w:asciiTheme="minorHAnsi" w:hAnsiTheme="minorHAnsi"/>
          <w:snapToGrid w:val="0"/>
        </w:rPr>
        <w:t xml:space="preserve"> available and that this may overcome the </w:t>
      </w:r>
      <w:r w:rsidRPr="003771DB">
        <w:rPr>
          <w:rFonts w:asciiTheme="minorHAnsi" w:hAnsiTheme="minorHAnsi"/>
          <w:snapToGrid w:val="0"/>
        </w:rPr>
        <w:t>issues</w:t>
      </w:r>
      <w:r w:rsidR="00DD1F41" w:rsidRPr="003771DB">
        <w:rPr>
          <w:rFonts w:asciiTheme="minorHAnsi" w:hAnsiTheme="minorHAnsi"/>
          <w:snapToGrid w:val="0"/>
        </w:rPr>
        <w:t xml:space="preserve"> raised in the March 2022 submission and this resubmission with regards to model</w:t>
      </w:r>
      <w:r w:rsidR="00F10A0D" w:rsidRPr="003771DB">
        <w:rPr>
          <w:rFonts w:asciiTheme="minorHAnsi" w:hAnsiTheme="minorHAnsi"/>
          <w:snapToGrid w:val="0"/>
        </w:rPr>
        <w:t>ling</w:t>
      </w:r>
      <w:r w:rsidR="00DD1F41" w:rsidRPr="003771DB">
        <w:rPr>
          <w:rFonts w:asciiTheme="minorHAnsi" w:hAnsiTheme="minorHAnsi"/>
          <w:snapToGrid w:val="0"/>
        </w:rPr>
        <w:t xml:space="preserve"> based on surrogate outcomes of weight loss.</w:t>
      </w:r>
    </w:p>
    <w:p w14:paraId="25284D85" w14:textId="55FDD57F" w:rsidR="007D3CB3" w:rsidRPr="003771DB" w:rsidRDefault="007D3CB3" w:rsidP="00B00718">
      <w:pPr>
        <w:widowControl w:val="0"/>
        <w:numPr>
          <w:ilvl w:val="1"/>
          <w:numId w:val="1"/>
        </w:numPr>
        <w:spacing w:after="120"/>
        <w:ind w:left="720"/>
        <w:rPr>
          <w:rFonts w:asciiTheme="minorHAnsi" w:hAnsiTheme="minorHAnsi"/>
          <w:snapToGrid w:val="0"/>
        </w:rPr>
      </w:pPr>
      <w:r w:rsidRPr="00BF6331">
        <w:rPr>
          <w:rFonts w:asciiTheme="minorHAnsi" w:hAnsiTheme="minorHAnsi"/>
          <w:snapToGrid w:val="0"/>
        </w:rPr>
        <w:t xml:space="preserve">The PBAC </w:t>
      </w:r>
      <w:r w:rsidR="00857A3D" w:rsidRPr="00BF6331">
        <w:rPr>
          <w:rFonts w:asciiTheme="minorHAnsi" w:hAnsiTheme="minorHAnsi"/>
          <w:snapToGrid w:val="0"/>
        </w:rPr>
        <w:t xml:space="preserve">noted the </w:t>
      </w:r>
      <w:r w:rsidR="00B00718" w:rsidRPr="00BF6331">
        <w:rPr>
          <w:rFonts w:asciiTheme="minorHAnsi" w:hAnsiTheme="minorHAnsi"/>
          <w:snapToGrid w:val="0"/>
        </w:rPr>
        <w:t xml:space="preserve">issues </w:t>
      </w:r>
      <w:r w:rsidR="00B00718" w:rsidRPr="00336C78">
        <w:rPr>
          <w:rFonts w:asciiTheme="minorHAnsi" w:hAnsiTheme="minorHAnsi"/>
          <w:snapToGrid w:val="0"/>
        </w:rPr>
        <w:t>raised in</w:t>
      </w:r>
      <w:r w:rsidRPr="00336C78">
        <w:rPr>
          <w:rFonts w:asciiTheme="minorHAnsi" w:hAnsiTheme="minorHAnsi"/>
          <w:snapToGrid w:val="0"/>
        </w:rPr>
        <w:t xml:space="preserve"> the DUSC advice </w:t>
      </w:r>
      <w:r w:rsidR="00B00718" w:rsidRPr="00336C78">
        <w:rPr>
          <w:rFonts w:asciiTheme="minorHAnsi" w:hAnsiTheme="minorHAnsi"/>
          <w:snapToGrid w:val="0"/>
        </w:rPr>
        <w:t xml:space="preserve">included uncertainty regarding the size of the population, particularly given the diverse and ill-defined comorbidities, uncertain estimates of initiation and persistence, potential use outside the proposed restriction and </w:t>
      </w:r>
      <w:r w:rsidR="00B00718" w:rsidRPr="00BF6331">
        <w:rPr>
          <w:rFonts w:asciiTheme="minorHAnsi" w:hAnsiTheme="minorHAnsi"/>
          <w:snapToGrid w:val="0"/>
        </w:rPr>
        <w:t xml:space="preserve">the need for an RSA. The PBAC also noted the impact that the 2-year treatment break for patients that discontinue therapy would have on </w:t>
      </w:r>
      <w:r w:rsidR="004F57A3" w:rsidRPr="00BF6331">
        <w:rPr>
          <w:rFonts w:asciiTheme="minorHAnsi" w:hAnsiTheme="minorHAnsi"/>
          <w:snapToGrid w:val="0"/>
        </w:rPr>
        <w:t xml:space="preserve">reducing </w:t>
      </w:r>
      <w:r w:rsidR="00B00718" w:rsidRPr="00BF6331">
        <w:rPr>
          <w:rFonts w:asciiTheme="minorHAnsi" w:hAnsiTheme="minorHAnsi"/>
          <w:snapToGrid w:val="0"/>
        </w:rPr>
        <w:t>the financial implications</w:t>
      </w:r>
      <w:r w:rsidR="004F57A3" w:rsidRPr="00BF6331">
        <w:rPr>
          <w:rFonts w:asciiTheme="minorHAnsi" w:hAnsiTheme="minorHAnsi"/>
          <w:snapToGrid w:val="0"/>
        </w:rPr>
        <w:t xml:space="preserve"> over 6 years</w:t>
      </w:r>
      <w:r w:rsidR="00B00718" w:rsidRPr="00BF6331">
        <w:rPr>
          <w:rFonts w:asciiTheme="minorHAnsi" w:hAnsiTheme="minorHAnsi"/>
          <w:snapToGrid w:val="0"/>
        </w:rPr>
        <w:t xml:space="preserve"> and the DUSC concern that this </w:t>
      </w:r>
      <w:r w:rsidR="008954C3" w:rsidRPr="00BF6331">
        <w:rPr>
          <w:rFonts w:asciiTheme="minorHAnsi" w:hAnsiTheme="minorHAnsi"/>
          <w:snapToGrid w:val="0"/>
        </w:rPr>
        <w:t xml:space="preserve">treatment break </w:t>
      </w:r>
      <w:r w:rsidR="00B00718" w:rsidRPr="00BF6331">
        <w:rPr>
          <w:rFonts w:asciiTheme="minorHAnsi" w:hAnsiTheme="minorHAnsi"/>
          <w:snapToGrid w:val="0"/>
        </w:rPr>
        <w:t xml:space="preserve">may </w:t>
      </w:r>
      <w:r w:rsidR="00857A3D" w:rsidRPr="00BF6331">
        <w:rPr>
          <w:rFonts w:asciiTheme="minorHAnsi" w:hAnsiTheme="minorHAnsi"/>
          <w:snapToGrid w:val="0"/>
        </w:rPr>
        <w:t>incentivi</w:t>
      </w:r>
      <w:r w:rsidR="004F57A3" w:rsidRPr="00BF6331">
        <w:rPr>
          <w:rFonts w:asciiTheme="minorHAnsi" w:hAnsiTheme="minorHAnsi"/>
          <w:snapToGrid w:val="0"/>
        </w:rPr>
        <w:t>s</w:t>
      </w:r>
      <w:r w:rsidR="00857A3D" w:rsidRPr="00BF6331">
        <w:rPr>
          <w:rFonts w:asciiTheme="minorHAnsi" w:hAnsiTheme="minorHAnsi"/>
          <w:snapToGrid w:val="0"/>
        </w:rPr>
        <w:t>e</w:t>
      </w:r>
      <w:r w:rsidR="00B00718" w:rsidRPr="00BF6331">
        <w:rPr>
          <w:rFonts w:asciiTheme="minorHAnsi" w:hAnsiTheme="minorHAnsi"/>
          <w:snapToGrid w:val="0"/>
        </w:rPr>
        <w:t xml:space="preserve"> inappropriate use and prescribing. </w:t>
      </w:r>
      <w:r w:rsidR="004F57A3" w:rsidRPr="00BF6331">
        <w:rPr>
          <w:rFonts w:asciiTheme="minorHAnsi" w:hAnsiTheme="minorHAnsi"/>
          <w:snapToGrid w:val="0"/>
        </w:rPr>
        <w:t xml:space="preserve">As noted in paragraph </w:t>
      </w:r>
      <w:r w:rsidR="004F57A3" w:rsidRPr="00BF6331">
        <w:rPr>
          <w:rFonts w:asciiTheme="minorHAnsi" w:hAnsiTheme="minorHAnsi"/>
          <w:snapToGrid w:val="0"/>
        </w:rPr>
        <w:fldChar w:fldCharType="begin" w:fldLock="1"/>
      </w:r>
      <w:r w:rsidR="004F57A3" w:rsidRPr="00BF6331">
        <w:rPr>
          <w:rFonts w:asciiTheme="minorHAnsi" w:hAnsiTheme="minorHAnsi"/>
          <w:snapToGrid w:val="0"/>
        </w:rPr>
        <w:instrText xml:space="preserve"> REF _Ref152254086 \r \h </w:instrText>
      </w:r>
      <w:r w:rsidR="004F57A3" w:rsidRPr="00BF6331">
        <w:rPr>
          <w:rFonts w:asciiTheme="minorHAnsi" w:hAnsiTheme="minorHAnsi"/>
          <w:snapToGrid w:val="0"/>
        </w:rPr>
      </w:r>
      <w:r w:rsidR="004F57A3" w:rsidRPr="00BF6331">
        <w:rPr>
          <w:rFonts w:asciiTheme="minorHAnsi" w:hAnsiTheme="minorHAnsi"/>
          <w:snapToGrid w:val="0"/>
        </w:rPr>
        <w:fldChar w:fldCharType="separate"/>
      </w:r>
      <w:r w:rsidR="004F57A3" w:rsidRPr="00BF6331">
        <w:rPr>
          <w:rFonts w:asciiTheme="minorHAnsi" w:hAnsiTheme="minorHAnsi"/>
          <w:snapToGrid w:val="0"/>
        </w:rPr>
        <w:t>7.7</w:t>
      </w:r>
      <w:r w:rsidR="004F57A3" w:rsidRPr="00BF6331">
        <w:rPr>
          <w:rFonts w:asciiTheme="minorHAnsi" w:hAnsiTheme="minorHAnsi"/>
          <w:snapToGrid w:val="0"/>
        </w:rPr>
        <w:fldChar w:fldCharType="end"/>
      </w:r>
      <w:r w:rsidR="004F57A3" w:rsidRPr="00BF6331">
        <w:rPr>
          <w:rFonts w:asciiTheme="minorHAnsi" w:hAnsiTheme="minorHAnsi"/>
          <w:snapToGrid w:val="0"/>
        </w:rPr>
        <w:t xml:space="preserve">, the PBAC did not </w:t>
      </w:r>
      <w:r w:rsidR="00113A3C">
        <w:rPr>
          <w:rFonts w:asciiTheme="minorHAnsi" w:hAnsiTheme="minorHAnsi"/>
          <w:snapToGrid w:val="0"/>
        </w:rPr>
        <w:t>consider</w:t>
      </w:r>
      <w:r w:rsidR="00113A3C" w:rsidRPr="00BF6331">
        <w:rPr>
          <w:rFonts w:asciiTheme="minorHAnsi" w:hAnsiTheme="minorHAnsi"/>
          <w:snapToGrid w:val="0"/>
        </w:rPr>
        <w:t xml:space="preserve"> </w:t>
      </w:r>
      <w:r w:rsidR="004F57A3" w:rsidRPr="00BF6331">
        <w:rPr>
          <w:rFonts w:asciiTheme="minorHAnsi" w:hAnsiTheme="minorHAnsi"/>
          <w:snapToGrid w:val="0"/>
        </w:rPr>
        <w:t>th</w:t>
      </w:r>
      <w:r w:rsidR="008954C3" w:rsidRPr="00BF6331">
        <w:rPr>
          <w:rFonts w:asciiTheme="minorHAnsi" w:hAnsiTheme="minorHAnsi"/>
          <w:snapToGrid w:val="0"/>
        </w:rPr>
        <w:t>e</w:t>
      </w:r>
      <w:r w:rsidR="004F57A3" w:rsidRPr="00BF6331">
        <w:rPr>
          <w:rFonts w:asciiTheme="minorHAnsi" w:hAnsiTheme="minorHAnsi"/>
          <w:snapToGrid w:val="0"/>
        </w:rPr>
        <w:t xml:space="preserve"> treatment break was required. </w:t>
      </w:r>
      <w:r w:rsidR="00B00718" w:rsidRPr="00BF6331">
        <w:rPr>
          <w:rFonts w:asciiTheme="minorHAnsi" w:hAnsiTheme="minorHAnsi"/>
          <w:snapToGrid w:val="0"/>
        </w:rPr>
        <w:t xml:space="preserve">The PBAC advised substantial revision of the estimated utilisation would be required to accommodate </w:t>
      </w:r>
      <w:r w:rsidR="0057206D" w:rsidRPr="00BF6331">
        <w:rPr>
          <w:rFonts w:asciiTheme="minorHAnsi" w:hAnsiTheme="minorHAnsi"/>
          <w:snapToGrid w:val="0"/>
        </w:rPr>
        <w:t xml:space="preserve">a </w:t>
      </w:r>
      <w:r w:rsidR="00B00718" w:rsidRPr="00BF6331">
        <w:rPr>
          <w:rFonts w:asciiTheme="minorHAnsi" w:hAnsiTheme="minorHAnsi"/>
          <w:snapToGrid w:val="0"/>
        </w:rPr>
        <w:t>revised</w:t>
      </w:r>
      <w:r w:rsidR="0057206D" w:rsidRPr="00BF6331">
        <w:rPr>
          <w:rFonts w:asciiTheme="minorHAnsi" w:hAnsiTheme="minorHAnsi"/>
          <w:snapToGrid w:val="0"/>
        </w:rPr>
        <w:t xml:space="preserve"> place in therapy in accordance with paragraphs </w:t>
      </w:r>
      <w:r w:rsidR="0057206D" w:rsidRPr="00BF6331">
        <w:rPr>
          <w:rFonts w:asciiTheme="minorHAnsi" w:hAnsiTheme="minorHAnsi"/>
          <w:snapToGrid w:val="0"/>
        </w:rPr>
        <w:fldChar w:fldCharType="begin" w:fldLock="1"/>
      </w:r>
      <w:r w:rsidR="0057206D" w:rsidRPr="00BF6331">
        <w:rPr>
          <w:rFonts w:asciiTheme="minorHAnsi" w:hAnsiTheme="minorHAnsi"/>
          <w:snapToGrid w:val="0"/>
        </w:rPr>
        <w:instrText xml:space="preserve"> REF _Ref152079043 \r \h </w:instrText>
      </w:r>
      <w:r w:rsidR="0057206D" w:rsidRPr="00BF6331">
        <w:rPr>
          <w:rFonts w:asciiTheme="minorHAnsi" w:hAnsiTheme="minorHAnsi"/>
          <w:snapToGrid w:val="0"/>
        </w:rPr>
      </w:r>
      <w:r w:rsidR="0057206D" w:rsidRPr="00BF6331">
        <w:rPr>
          <w:rFonts w:asciiTheme="minorHAnsi" w:hAnsiTheme="minorHAnsi"/>
          <w:snapToGrid w:val="0"/>
        </w:rPr>
        <w:fldChar w:fldCharType="separate"/>
      </w:r>
      <w:r w:rsidR="00D44FF6" w:rsidRPr="00BF6331">
        <w:rPr>
          <w:rFonts w:asciiTheme="minorHAnsi" w:hAnsiTheme="minorHAnsi"/>
          <w:snapToGrid w:val="0"/>
        </w:rPr>
        <w:t>7.4</w:t>
      </w:r>
      <w:r w:rsidR="0057206D" w:rsidRPr="00BF6331">
        <w:rPr>
          <w:rFonts w:asciiTheme="minorHAnsi" w:hAnsiTheme="minorHAnsi"/>
          <w:snapToGrid w:val="0"/>
        </w:rPr>
        <w:fldChar w:fldCharType="end"/>
      </w:r>
      <w:r w:rsidR="0057206D" w:rsidRPr="00BF6331">
        <w:rPr>
          <w:rFonts w:asciiTheme="minorHAnsi" w:hAnsiTheme="minorHAnsi"/>
          <w:snapToGrid w:val="0"/>
        </w:rPr>
        <w:t xml:space="preserve"> to </w:t>
      </w:r>
      <w:r w:rsidR="0057206D" w:rsidRPr="00BF6331">
        <w:rPr>
          <w:rFonts w:asciiTheme="minorHAnsi" w:hAnsiTheme="minorHAnsi"/>
          <w:snapToGrid w:val="0"/>
        </w:rPr>
        <w:fldChar w:fldCharType="begin" w:fldLock="1"/>
      </w:r>
      <w:r w:rsidR="0057206D" w:rsidRPr="00BF6331">
        <w:rPr>
          <w:rFonts w:asciiTheme="minorHAnsi" w:hAnsiTheme="minorHAnsi"/>
          <w:snapToGrid w:val="0"/>
        </w:rPr>
        <w:instrText xml:space="preserve"> REF _Ref152079050 \r \h </w:instrText>
      </w:r>
      <w:r w:rsidR="0057206D" w:rsidRPr="00BF6331">
        <w:rPr>
          <w:rFonts w:asciiTheme="minorHAnsi" w:hAnsiTheme="minorHAnsi"/>
          <w:snapToGrid w:val="0"/>
        </w:rPr>
      </w:r>
      <w:r w:rsidR="0057206D" w:rsidRPr="00BF6331">
        <w:rPr>
          <w:rFonts w:asciiTheme="minorHAnsi" w:hAnsiTheme="minorHAnsi"/>
          <w:snapToGrid w:val="0"/>
        </w:rPr>
        <w:fldChar w:fldCharType="separate"/>
      </w:r>
      <w:r w:rsidR="00D44FF6" w:rsidRPr="00BF6331">
        <w:rPr>
          <w:rFonts w:asciiTheme="minorHAnsi" w:hAnsiTheme="minorHAnsi"/>
          <w:snapToGrid w:val="0"/>
        </w:rPr>
        <w:t>7.8</w:t>
      </w:r>
      <w:r w:rsidR="0057206D" w:rsidRPr="00BF6331">
        <w:rPr>
          <w:rFonts w:asciiTheme="minorHAnsi" w:hAnsiTheme="minorHAnsi"/>
          <w:snapToGrid w:val="0"/>
        </w:rPr>
        <w:fldChar w:fldCharType="end"/>
      </w:r>
      <w:r w:rsidR="0057206D" w:rsidRPr="00BF6331">
        <w:rPr>
          <w:rFonts w:asciiTheme="minorHAnsi" w:hAnsiTheme="minorHAnsi"/>
          <w:snapToGrid w:val="0"/>
        </w:rPr>
        <w:t>).</w:t>
      </w:r>
      <w:r w:rsidR="00B00718" w:rsidRPr="00BF6331">
        <w:rPr>
          <w:rFonts w:asciiTheme="minorHAnsi" w:hAnsiTheme="minorHAnsi"/>
          <w:snapToGrid w:val="0"/>
        </w:rPr>
        <w:t xml:space="preserve"> </w:t>
      </w:r>
    </w:p>
    <w:p w14:paraId="521E5673" w14:textId="3985912B" w:rsidR="00FC566E" w:rsidRPr="00A0145B" w:rsidRDefault="00FC566E" w:rsidP="00E81A44">
      <w:pPr>
        <w:widowControl w:val="0"/>
        <w:numPr>
          <w:ilvl w:val="1"/>
          <w:numId w:val="1"/>
        </w:numPr>
        <w:spacing w:after="120"/>
        <w:ind w:left="720"/>
        <w:rPr>
          <w:rFonts w:asciiTheme="minorHAnsi" w:hAnsiTheme="minorHAnsi"/>
          <w:snapToGrid w:val="0"/>
        </w:rPr>
      </w:pPr>
      <w:r w:rsidRPr="00A0145B">
        <w:rPr>
          <w:rFonts w:asciiTheme="minorHAnsi" w:hAnsiTheme="minorHAnsi"/>
          <w:snapToGrid w:val="0"/>
        </w:rPr>
        <w:t xml:space="preserve">The PBAC considered </w:t>
      </w:r>
      <w:r w:rsidR="0057206D" w:rsidRPr="00A0145B">
        <w:rPr>
          <w:rFonts w:asciiTheme="minorHAnsi" w:hAnsiTheme="minorHAnsi"/>
          <w:snapToGrid w:val="0"/>
        </w:rPr>
        <w:t>semaglutide</w:t>
      </w:r>
      <w:r w:rsidRPr="00A0145B">
        <w:rPr>
          <w:rFonts w:asciiTheme="minorHAnsi" w:hAnsiTheme="minorHAnsi"/>
          <w:snapToGrid w:val="0"/>
        </w:rPr>
        <w:t xml:space="preserve"> addresses a high and urgent unmet clinical need and was expected to provide a substantial and clinically relevant improvement in </w:t>
      </w:r>
      <w:r w:rsidRPr="00A0145B">
        <w:rPr>
          <w:rFonts w:asciiTheme="minorHAnsi" w:hAnsiTheme="minorHAnsi"/>
          <w:snapToGrid w:val="0"/>
        </w:rPr>
        <w:lastRenderedPageBreak/>
        <w:t xml:space="preserve">efficacy over alternative therapies. However, the PBAC considered a number of issues remained outstanding. Before a resubmission for </w:t>
      </w:r>
      <w:r w:rsidR="0057206D" w:rsidRPr="00A0145B">
        <w:rPr>
          <w:rFonts w:asciiTheme="minorHAnsi" w:hAnsiTheme="minorHAnsi"/>
          <w:snapToGrid w:val="0"/>
        </w:rPr>
        <w:t>semaglutide</w:t>
      </w:r>
      <w:r w:rsidRPr="00A0145B">
        <w:rPr>
          <w:rFonts w:asciiTheme="minorHAnsi" w:hAnsiTheme="minorHAnsi"/>
          <w:snapToGrid w:val="0"/>
        </w:rPr>
        <w:t xml:space="preserve"> is made, the PBAC would like to offer the sponsor a solution-focussed workshop with one or more members of the PBAC, to explore feasible options to address the following issues: </w:t>
      </w:r>
    </w:p>
    <w:p w14:paraId="70E74FB8" w14:textId="38565CC6" w:rsidR="00FC566E" w:rsidRPr="00A0145B" w:rsidRDefault="0057206D" w:rsidP="00683733">
      <w:pPr>
        <w:pStyle w:val="ListBullet"/>
        <w:tabs>
          <w:tab w:val="clear" w:pos="1069"/>
          <w:tab w:val="num" w:pos="1080"/>
        </w:tabs>
        <w:spacing w:after="120"/>
        <w:ind w:left="1077" w:hanging="357"/>
        <w:contextualSpacing w:val="0"/>
      </w:pPr>
      <w:r w:rsidRPr="00A0145B">
        <w:t xml:space="preserve">Redefining the place in therapy based on co-morbidities and other risk factors on the causal pathway of cardiometabolic disease </w:t>
      </w:r>
    </w:p>
    <w:p w14:paraId="4856EAED" w14:textId="691A122B" w:rsidR="0057206D" w:rsidRPr="00A0145B" w:rsidRDefault="0057206D" w:rsidP="00683733">
      <w:pPr>
        <w:pStyle w:val="ListBullet"/>
        <w:tabs>
          <w:tab w:val="clear" w:pos="1069"/>
          <w:tab w:val="num" w:pos="1080"/>
        </w:tabs>
        <w:spacing w:after="120"/>
        <w:ind w:left="1077" w:hanging="357"/>
        <w:contextualSpacing w:val="0"/>
      </w:pPr>
      <w:r w:rsidRPr="00A0145B">
        <w:t xml:space="preserve">Data available to support the redefined clinical place, including the SELECT trial, STEP-2 trial (in T2DM patients), and other outcomes data </w:t>
      </w:r>
      <w:r w:rsidR="00857A3D" w:rsidRPr="00A0145B">
        <w:t xml:space="preserve">if available </w:t>
      </w:r>
      <w:r w:rsidRPr="00A0145B">
        <w:t>to supplement the STEP trials</w:t>
      </w:r>
    </w:p>
    <w:p w14:paraId="197ECEE1" w14:textId="7E3111D3" w:rsidR="0057206D" w:rsidRPr="00A0145B" w:rsidRDefault="0057206D" w:rsidP="00683733">
      <w:pPr>
        <w:pStyle w:val="ListBullet"/>
        <w:tabs>
          <w:tab w:val="clear" w:pos="1069"/>
          <w:tab w:val="num" w:pos="1080"/>
        </w:tabs>
        <w:spacing w:after="120"/>
        <w:ind w:left="1077" w:hanging="357"/>
        <w:contextualSpacing w:val="0"/>
      </w:pPr>
      <w:r w:rsidRPr="00A0145B">
        <w:t xml:space="preserve">Revised economic model </w:t>
      </w:r>
      <w:r w:rsidR="00E75C7A" w:rsidRPr="00A0145B">
        <w:t>including</w:t>
      </w:r>
      <w:r w:rsidRPr="00A0145B">
        <w:t xml:space="preserve"> long-term benefits from </w:t>
      </w:r>
      <w:r w:rsidR="00EA6F93" w:rsidRPr="00A0145B">
        <w:t xml:space="preserve">the </w:t>
      </w:r>
      <w:r w:rsidRPr="00A0145B">
        <w:t xml:space="preserve">SELECT </w:t>
      </w:r>
      <w:r w:rsidR="00EA6F93" w:rsidRPr="00A0145B">
        <w:t>trial</w:t>
      </w:r>
    </w:p>
    <w:p w14:paraId="2D6ACA11" w14:textId="05AD2847" w:rsidR="00EA6F93" w:rsidRPr="00A0145B" w:rsidRDefault="00EA6F93" w:rsidP="00683733">
      <w:pPr>
        <w:pStyle w:val="ListBullet"/>
        <w:tabs>
          <w:tab w:val="clear" w:pos="1069"/>
          <w:tab w:val="num" w:pos="1080"/>
        </w:tabs>
        <w:spacing w:after="120"/>
        <w:ind w:left="1077" w:hanging="357"/>
        <w:contextualSpacing w:val="0"/>
      </w:pPr>
      <w:r w:rsidRPr="00A0145B">
        <w:t>Revised financial implication and options for an RSA</w:t>
      </w:r>
      <w:r w:rsidR="00E81A44" w:rsidRPr="00A0145B">
        <w:t>.</w:t>
      </w:r>
    </w:p>
    <w:p w14:paraId="5272B87F" w14:textId="53DBED9D" w:rsidR="004A006A" w:rsidRPr="00A0145B" w:rsidRDefault="00FC566E" w:rsidP="00886A85">
      <w:pPr>
        <w:widowControl w:val="0"/>
        <w:spacing w:after="120"/>
        <w:ind w:left="720"/>
        <w:rPr>
          <w:rFonts w:asciiTheme="minorHAnsi" w:hAnsiTheme="minorHAnsi"/>
          <w:snapToGrid w:val="0"/>
        </w:rPr>
      </w:pPr>
      <w:r w:rsidRPr="00A0145B">
        <w:rPr>
          <w:rFonts w:asciiTheme="minorHAnsi" w:hAnsiTheme="minorHAnsi"/>
          <w:snapToGrid w:val="0"/>
        </w:rPr>
        <w:t xml:space="preserve">The workshop agenda would be based on the issues for resolution outlined above. Should the sponsor accept this offer, a facilitated resolution pathway may be acceptable for the resubmission (as defined in the </w:t>
      </w:r>
      <w:r w:rsidRPr="00A0145B">
        <w:rPr>
          <w:rFonts w:asciiTheme="minorHAnsi" w:hAnsiTheme="minorHAnsi"/>
          <w:i/>
          <w:iCs/>
          <w:snapToGrid w:val="0"/>
        </w:rPr>
        <w:t>Procedure guidance for listing medicines on the Pharmaceutical Benefits Scheme</w:t>
      </w:r>
      <w:r w:rsidRPr="00A0145B">
        <w:rPr>
          <w:rFonts w:asciiTheme="minorHAnsi" w:hAnsiTheme="minorHAnsi"/>
          <w:snapToGrid w:val="0"/>
        </w:rPr>
        <w:t>). It should be noted that any advice provided by members of the PBAC, the sponsor or the department in a workshop is in no way binding on the PBAC, the department, sponsor, evaluation groups or sub-committees of the PBAC. If this option is not acceptable to the sponsor, a standard re-entry pathway is available.</w:t>
      </w:r>
    </w:p>
    <w:p w14:paraId="4030988C" w14:textId="27CA67C2" w:rsidR="00FC566E" w:rsidRPr="00336C78" w:rsidRDefault="00FC566E" w:rsidP="00BF7EC0">
      <w:pPr>
        <w:widowControl w:val="0"/>
        <w:numPr>
          <w:ilvl w:val="1"/>
          <w:numId w:val="1"/>
        </w:numPr>
        <w:spacing w:after="120"/>
        <w:ind w:left="720"/>
        <w:rPr>
          <w:rFonts w:asciiTheme="minorHAnsi" w:hAnsiTheme="minorHAnsi"/>
          <w:bCs/>
          <w:i/>
          <w:snapToGrid w:val="0"/>
        </w:rPr>
      </w:pPr>
      <w:r w:rsidRPr="00336C78">
        <w:rPr>
          <w:rFonts w:asciiTheme="minorHAnsi" w:hAnsiTheme="minorHAnsi"/>
          <w:bCs/>
          <w:snapToGrid w:val="0"/>
        </w:rPr>
        <w:t xml:space="preserve">The PBAC noted that this submission is eligible for an Independent Review. </w:t>
      </w:r>
    </w:p>
    <w:p w14:paraId="787713DE" w14:textId="77777777" w:rsidR="00FC566E" w:rsidRPr="00336C78" w:rsidRDefault="00FC566E" w:rsidP="00FC566E">
      <w:pPr>
        <w:spacing w:before="240"/>
        <w:rPr>
          <w:rFonts w:asciiTheme="minorHAnsi" w:hAnsiTheme="minorHAnsi"/>
          <w:b/>
          <w:bCs/>
          <w:snapToGrid w:val="0"/>
        </w:rPr>
      </w:pPr>
      <w:r w:rsidRPr="00336C78">
        <w:rPr>
          <w:rFonts w:asciiTheme="minorHAnsi" w:hAnsiTheme="minorHAnsi"/>
          <w:b/>
          <w:bCs/>
          <w:snapToGrid w:val="0"/>
        </w:rPr>
        <w:t>Outcome:</w:t>
      </w:r>
    </w:p>
    <w:p w14:paraId="3E567E8E" w14:textId="22859DD2" w:rsidR="002C5099" w:rsidRDefault="00FC566E" w:rsidP="00DD2839">
      <w:pPr>
        <w:rPr>
          <w:rFonts w:asciiTheme="minorHAnsi" w:hAnsiTheme="minorHAnsi"/>
          <w:bCs/>
          <w:snapToGrid w:val="0"/>
        </w:rPr>
      </w:pPr>
      <w:r w:rsidRPr="00336C78">
        <w:rPr>
          <w:rFonts w:asciiTheme="minorHAnsi" w:hAnsiTheme="minorHAnsi"/>
          <w:bCs/>
          <w:snapToGrid w:val="0"/>
        </w:rPr>
        <w:t>Not recommended</w:t>
      </w:r>
      <w:r w:rsidR="00DD2839">
        <w:rPr>
          <w:rFonts w:asciiTheme="minorHAnsi" w:hAnsiTheme="minorHAnsi"/>
          <w:bCs/>
          <w:snapToGrid w:val="0"/>
        </w:rPr>
        <w:t xml:space="preserve"> </w:t>
      </w:r>
      <w:bookmarkEnd w:id="69"/>
      <w:bookmarkEnd w:id="70"/>
      <w:bookmarkEnd w:id="71"/>
    </w:p>
    <w:p w14:paraId="7A5D938A" w14:textId="77777777" w:rsidR="0008501B" w:rsidRPr="00C43C45" w:rsidRDefault="0008501B" w:rsidP="00C43C45">
      <w:pPr>
        <w:pStyle w:val="COMH1numbered"/>
        <w:numPr>
          <w:ilvl w:val="0"/>
          <w:numId w:val="1"/>
        </w:numPr>
      </w:pPr>
      <w:r w:rsidRPr="0008501B">
        <w:t>Context for Decision</w:t>
      </w:r>
    </w:p>
    <w:p w14:paraId="72F20346" w14:textId="77777777" w:rsidR="0008501B" w:rsidRPr="0008501B" w:rsidRDefault="0008501B" w:rsidP="0008501B">
      <w:pPr>
        <w:spacing w:after="120"/>
        <w:ind w:left="720"/>
        <w:rPr>
          <w:rFonts w:asciiTheme="minorHAnsi" w:hAnsiTheme="minorHAnsi"/>
          <w:bCs/>
          <w:lang w:val="en-GB"/>
        </w:rPr>
      </w:pPr>
      <w:r w:rsidRPr="0008501B">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74953B" w14:textId="4644CDD0" w:rsidR="0008501B" w:rsidRPr="0008501B" w:rsidRDefault="0008501B" w:rsidP="00C43C45">
      <w:pPr>
        <w:pStyle w:val="COMH1numbered"/>
        <w:numPr>
          <w:ilvl w:val="0"/>
          <w:numId w:val="1"/>
        </w:numPr>
      </w:pPr>
      <w:r w:rsidRPr="0008501B">
        <w:t>Sponsor’s Comment</w:t>
      </w:r>
    </w:p>
    <w:p w14:paraId="78F97AB3" w14:textId="03D0F6FA" w:rsidR="006A5282" w:rsidRPr="00886A85" w:rsidRDefault="006A5282" w:rsidP="00886A85">
      <w:pPr>
        <w:spacing w:after="120"/>
        <w:ind w:left="720"/>
        <w:rPr>
          <w:rFonts w:asciiTheme="minorHAnsi" w:hAnsiTheme="minorHAnsi"/>
          <w:bCs/>
          <w:lang w:val="en-GB"/>
        </w:rPr>
      </w:pPr>
      <w:r w:rsidRPr="006A5282">
        <w:rPr>
          <w:rFonts w:asciiTheme="minorHAnsi" w:hAnsiTheme="minorHAnsi"/>
          <w:bCs/>
          <w:lang w:val="en-GB"/>
        </w:rPr>
        <w:t xml:space="preserve">Novo Nordisk is disappointed with the outcome and appreciates all 146 submissions from individuals, healthcare professionals and organisations in support of making </w:t>
      </w:r>
      <w:proofErr w:type="spellStart"/>
      <w:r w:rsidRPr="006A5282">
        <w:rPr>
          <w:rFonts w:asciiTheme="minorHAnsi" w:hAnsiTheme="minorHAnsi"/>
          <w:bCs/>
          <w:lang w:val="en-GB"/>
        </w:rPr>
        <w:t>Wegovy</w:t>
      </w:r>
      <w:proofErr w:type="spellEnd"/>
      <w:r w:rsidRPr="006A5282">
        <w:rPr>
          <w:rFonts w:asciiTheme="minorHAnsi" w:hAnsiTheme="minorHAnsi"/>
          <w:bCs/>
          <w:lang w:val="en-GB"/>
        </w:rPr>
        <w:t xml:space="preserve">® available on the PBS for the treatment of obesity. Novo Nordisk remains committed to continuing to work collaboratively with the PBAC to ensure Australians </w:t>
      </w:r>
      <w:r w:rsidRPr="006A5282">
        <w:rPr>
          <w:rFonts w:asciiTheme="minorHAnsi" w:hAnsiTheme="minorHAnsi"/>
          <w:bCs/>
          <w:lang w:val="en-GB"/>
        </w:rPr>
        <w:lastRenderedPageBreak/>
        <w:t xml:space="preserve">living with obesity, especially high-risk and vulnerable patients, have government-funded access to </w:t>
      </w:r>
      <w:proofErr w:type="spellStart"/>
      <w:r w:rsidRPr="006A5282">
        <w:rPr>
          <w:rFonts w:asciiTheme="minorHAnsi" w:hAnsiTheme="minorHAnsi"/>
          <w:bCs/>
          <w:lang w:val="en-GB"/>
        </w:rPr>
        <w:t>Wegovy</w:t>
      </w:r>
      <w:proofErr w:type="spellEnd"/>
      <w:r w:rsidRPr="006A5282">
        <w:rPr>
          <w:rFonts w:asciiTheme="minorHAnsi" w:hAnsiTheme="minorHAnsi"/>
          <w:bCs/>
          <w:lang w:val="en-GB"/>
        </w:rPr>
        <w:t>®.</w:t>
      </w:r>
    </w:p>
    <w:sectPr w:rsidR="006A5282" w:rsidRPr="00886A85" w:rsidSect="00DD2839">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5B753" w14:textId="77777777" w:rsidR="00E419E2" w:rsidRDefault="00E419E2" w:rsidP="00124A51">
      <w:r>
        <w:separator/>
      </w:r>
    </w:p>
    <w:p w14:paraId="1196D494" w14:textId="77777777" w:rsidR="00E419E2" w:rsidRDefault="00E419E2"/>
    <w:p w14:paraId="6265FB0B" w14:textId="77777777" w:rsidR="00E419E2" w:rsidRDefault="00E419E2"/>
  </w:endnote>
  <w:endnote w:type="continuationSeparator" w:id="0">
    <w:p w14:paraId="6B60AEBC" w14:textId="77777777" w:rsidR="00E419E2" w:rsidRDefault="00E419E2" w:rsidP="00124A51">
      <w:r>
        <w:continuationSeparator/>
      </w:r>
    </w:p>
    <w:p w14:paraId="771C50D0" w14:textId="77777777" w:rsidR="00E419E2" w:rsidRDefault="00E419E2"/>
    <w:p w14:paraId="145538C5" w14:textId="77777777" w:rsidR="00E419E2" w:rsidRDefault="00E419E2"/>
  </w:endnote>
  <w:endnote w:type="continuationNotice" w:id="1">
    <w:p w14:paraId="6A1E8202" w14:textId="77777777" w:rsidR="00E419E2" w:rsidRDefault="00E41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4744" w14:textId="77777777" w:rsidR="003B2750" w:rsidRDefault="003B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53D5" w14:textId="77777777" w:rsidR="00DD2839" w:rsidRDefault="00DD2839" w:rsidP="00DD2839">
    <w:pPr>
      <w:pStyle w:val="Footer"/>
      <w:jc w:val="center"/>
      <w:rPr>
        <w:b/>
        <w:bCs/>
      </w:rPr>
    </w:pPr>
  </w:p>
  <w:sdt>
    <w:sdtPr>
      <w:rPr>
        <w:b/>
        <w:bCs/>
      </w:rPr>
      <w:id w:val="1394925999"/>
      <w:docPartObj>
        <w:docPartGallery w:val="Page Numbers (Bottom of Page)"/>
        <w:docPartUnique/>
      </w:docPartObj>
    </w:sdtPr>
    <w:sdtEndPr>
      <w:rPr>
        <w:noProof/>
      </w:rPr>
    </w:sdtEndPr>
    <w:sdtContent>
      <w:p w14:paraId="37484CD3" w14:textId="7901E620" w:rsidR="001D7C0D" w:rsidRPr="00DD2839" w:rsidRDefault="00DD2839" w:rsidP="00DD2839">
        <w:pPr>
          <w:pStyle w:val="Footer"/>
          <w:jc w:val="center"/>
          <w:rPr>
            <w:b/>
            <w:bCs/>
          </w:rPr>
        </w:pPr>
        <w:r w:rsidRPr="00DD2839">
          <w:rPr>
            <w:b/>
            <w:bCs/>
          </w:rPr>
          <w:fldChar w:fldCharType="begin"/>
        </w:r>
        <w:r w:rsidRPr="00DD2839">
          <w:rPr>
            <w:b/>
            <w:bCs/>
          </w:rPr>
          <w:instrText xml:space="preserve"> PAGE   \* MERGEFORMAT </w:instrText>
        </w:r>
        <w:r w:rsidRPr="00DD2839">
          <w:rPr>
            <w:b/>
            <w:bCs/>
          </w:rPr>
          <w:fldChar w:fldCharType="separate"/>
        </w:r>
        <w:r w:rsidRPr="00DD2839">
          <w:rPr>
            <w:b/>
            <w:bCs/>
            <w:noProof/>
          </w:rPr>
          <w:t>2</w:t>
        </w:r>
        <w:r w:rsidRPr="00DD2839">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2157" w14:textId="77777777" w:rsidR="003B2750" w:rsidRDefault="003B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4E92" w14:textId="77777777" w:rsidR="00E419E2" w:rsidRDefault="00E419E2" w:rsidP="00124A51">
      <w:r>
        <w:separator/>
      </w:r>
    </w:p>
    <w:p w14:paraId="27F2FC33" w14:textId="77777777" w:rsidR="00E419E2" w:rsidRDefault="00E419E2"/>
    <w:p w14:paraId="2FC1FD1B" w14:textId="77777777" w:rsidR="00E419E2" w:rsidRDefault="00E419E2"/>
  </w:footnote>
  <w:footnote w:type="continuationSeparator" w:id="0">
    <w:p w14:paraId="6A48E007" w14:textId="77777777" w:rsidR="00E419E2" w:rsidRDefault="00E419E2" w:rsidP="00124A51">
      <w:r>
        <w:continuationSeparator/>
      </w:r>
    </w:p>
    <w:p w14:paraId="08C76B8D" w14:textId="77777777" w:rsidR="00E419E2" w:rsidRDefault="00E419E2"/>
    <w:p w14:paraId="6575AF20" w14:textId="77777777" w:rsidR="00E419E2" w:rsidRDefault="00E419E2"/>
  </w:footnote>
  <w:footnote w:type="continuationNotice" w:id="1">
    <w:p w14:paraId="2FAF9016" w14:textId="77777777" w:rsidR="00E419E2" w:rsidRDefault="00E419E2"/>
  </w:footnote>
  <w:footnote w:id="2">
    <w:p w14:paraId="0DFE672F" w14:textId="747671D0" w:rsidR="001D0595" w:rsidRDefault="001D0595">
      <w:pPr>
        <w:pStyle w:val="FootnoteText"/>
      </w:pPr>
      <w:r>
        <w:rPr>
          <w:rStyle w:val="FootnoteReference"/>
        </w:rPr>
        <w:footnoteRef/>
      </w:r>
      <w:r>
        <w:t xml:space="preserve"> </w:t>
      </w:r>
      <w:r w:rsidRPr="001D0595">
        <w:t>https://www.diabetessociety.com.au/documents/ObesityManagementAlgorithm18.10.2016FINAL.pdf</w:t>
      </w:r>
    </w:p>
  </w:footnote>
  <w:footnote w:id="3">
    <w:p w14:paraId="7F123000" w14:textId="2B95B440" w:rsidR="006F3AD1" w:rsidRDefault="006F3AD1">
      <w:pPr>
        <w:pStyle w:val="FootnoteText"/>
      </w:pPr>
      <w:r>
        <w:rPr>
          <w:rStyle w:val="FootnoteReference"/>
        </w:rPr>
        <w:footnoteRef/>
      </w:r>
      <w:r>
        <w:t xml:space="preserve"> </w:t>
      </w:r>
      <w:r w:rsidRPr="006F3AD1">
        <w:t>https://www.tga.gov.au/safety/shortages/information-about-major-medicine-shortages/about-ozempic-semaglutide-shortage-2022-and-2023</w:t>
      </w:r>
    </w:p>
  </w:footnote>
  <w:footnote w:id="4">
    <w:p w14:paraId="320F23AA" w14:textId="23C3D4CE" w:rsidR="001945A7" w:rsidRPr="001945A7" w:rsidRDefault="001945A7">
      <w:pPr>
        <w:pStyle w:val="FootnoteText"/>
        <w:rPr>
          <w:b/>
          <w:bCs/>
        </w:rPr>
      </w:pPr>
      <w:r>
        <w:rPr>
          <w:rStyle w:val="FootnoteReference"/>
        </w:rPr>
        <w:footnoteRef/>
      </w:r>
      <w:r>
        <w:t xml:space="preserve"> </w:t>
      </w:r>
      <w:r w:rsidRPr="001945A7">
        <w:t>https://www.tga.gov.au/resources/prescription-medicines-under-evaluation/mounjaro-eli-lilly-australia-pty-ltd</w:t>
      </w:r>
    </w:p>
  </w:footnote>
  <w:footnote w:id="5">
    <w:p w14:paraId="722972EB" w14:textId="77777777" w:rsidR="00052618" w:rsidRDefault="00052618" w:rsidP="00052618">
      <w:pPr>
        <w:pStyle w:val="FootnoteText"/>
      </w:pPr>
      <w:r>
        <w:rPr>
          <w:rStyle w:val="FootnoteReference"/>
        </w:rPr>
        <w:footnoteRef/>
      </w:r>
      <w:r>
        <w:t xml:space="preserve"> </w:t>
      </w:r>
      <w:proofErr w:type="spellStart"/>
      <w:r w:rsidRPr="00052618">
        <w:t>Keramat</w:t>
      </w:r>
      <w:proofErr w:type="spellEnd"/>
      <w:r w:rsidRPr="00052618">
        <w:t xml:space="preserve"> SA, Alam K, Keating B, et al. Morbid obesity, multiple long-term conditions, and health-related quality of life among Australian adults: Estimates from three waves of a longitudinal household survey. </w:t>
      </w:r>
      <w:r w:rsidRPr="00052618">
        <w:rPr>
          <w:i/>
          <w:iCs/>
        </w:rPr>
        <w:t>Prev Med Rep.</w:t>
      </w:r>
      <w:r w:rsidRPr="00052618">
        <w:t xml:space="preserve"> 2022;</w:t>
      </w:r>
      <w:r>
        <w:t xml:space="preserve"> </w:t>
      </w:r>
      <w:r w:rsidRPr="00052618">
        <w:t xml:space="preserve">28:101823. Published </w:t>
      </w:r>
      <w:r>
        <w:t xml:space="preserve">12 May </w:t>
      </w:r>
      <w:r w:rsidRPr="00052618">
        <w:t xml:space="preserve">2022. </w:t>
      </w:r>
      <w:hyperlink r:id="rId1" w:history="1">
        <w:r w:rsidRPr="00296024">
          <w:rPr>
            <w:rStyle w:val="Hyperlink"/>
          </w:rPr>
          <w:t>https://doi.org/10.1016/j.pmedr.2022.101823</w:t>
        </w:r>
      </w:hyperlink>
      <w:r>
        <w:t xml:space="preserve"> </w:t>
      </w:r>
    </w:p>
  </w:footnote>
  <w:footnote w:id="6">
    <w:p w14:paraId="73E949FD" w14:textId="77777777" w:rsidR="00675FCF" w:rsidRDefault="00675FCF" w:rsidP="00675FCF">
      <w:pPr>
        <w:pStyle w:val="FootnoteText"/>
      </w:pPr>
      <w:r>
        <w:rPr>
          <w:rStyle w:val="FootnoteReference"/>
        </w:rPr>
        <w:footnoteRef/>
      </w:r>
      <w:r>
        <w:t xml:space="preserve"> </w:t>
      </w:r>
      <w:proofErr w:type="spellStart"/>
      <w:r w:rsidRPr="00052618">
        <w:t>Keramat</w:t>
      </w:r>
      <w:proofErr w:type="spellEnd"/>
      <w:r w:rsidRPr="00052618">
        <w:t xml:space="preserve"> SA, Alam K, Keating B, et al. Morbid obesity, multiple long-term conditions, and health-related quality of life among Australian adults: Estimates from three waves of a longitudinal household survey. </w:t>
      </w:r>
      <w:r w:rsidRPr="00052618">
        <w:rPr>
          <w:i/>
          <w:iCs/>
        </w:rPr>
        <w:t>Prev Med Rep.</w:t>
      </w:r>
      <w:r w:rsidRPr="00052618">
        <w:t xml:space="preserve"> 2022;</w:t>
      </w:r>
      <w:r>
        <w:t xml:space="preserve"> </w:t>
      </w:r>
      <w:r w:rsidRPr="00052618">
        <w:t xml:space="preserve">28:101823. Published </w:t>
      </w:r>
      <w:r>
        <w:t xml:space="preserve">12 May </w:t>
      </w:r>
      <w:r w:rsidRPr="00052618">
        <w:t xml:space="preserve">2022. </w:t>
      </w:r>
      <w:hyperlink r:id="rId2" w:history="1">
        <w:r w:rsidRPr="00296024">
          <w:rPr>
            <w:rStyle w:val="Hyperlink"/>
          </w:rPr>
          <w:t>https://doi.org/10.1016/j.pmedr.2022.101823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767A" w14:textId="77777777" w:rsidR="003B2750" w:rsidRDefault="003B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0714" w14:textId="509120F9" w:rsidR="00D147F3" w:rsidRPr="00056684" w:rsidRDefault="00353E11" w:rsidP="00D147F3">
    <w:pPr>
      <w:pStyle w:val="Header"/>
      <w:keepNext/>
      <w:ind w:left="360"/>
      <w:jc w:val="center"/>
      <w:rPr>
        <w:rFonts w:asciiTheme="minorHAnsi" w:hAnsiTheme="minorHAnsi"/>
        <w:i/>
        <w:color w:val="808080"/>
      </w:rPr>
    </w:pPr>
    <w:bookmarkStart w:id="76" w:name="_Hlk76375146"/>
    <w:r w:rsidRPr="00353E11">
      <w:rPr>
        <w:rFonts w:asciiTheme="minorHAnsi" w:hAnsiTheme="minorHAnsi"/>
        <w:i/>
        <w:color w:val="808080"/>
      </w:rPr>
      <w:t xml:space="preserve">Public Summary Document </w:t>
    </w:r>
    <w:r w:rsidR="00D147F3" w:rsidRPr="00056684">
      <w:rPr>
        <w:rFonts w:asciiTheme="minorHAnsi" w:hAnsiTheme="minorHAnsi"/>
        <w:i/>
        <w:color w:val="808080"/>
      </w:rPr>
      <w:t xml:space="preserve">– </w:t>
    </w:r>
    <w:r w:rsidR="00D147F3">
      <w:rPr>
        <w:rFonts w:asciiTheme="minorHAnsi" w:hAnsiTheme="minorHAnsi"/>
        <w:i/>
        <w:color w:val="808080"/>
      </w:rPr>
      <w:t>November 2023</w:t>
    </w:r>
    <w:r w:rsidR="00D147F3" w:rsidRPr="00056684">
      <w:rPr>
        <w:rFonts w:asciiTheme="minorHAnsi" w:hAnsiTheme="minorHAnsi"/>
        <w:i/>
        <w:color w:val="808080"/>
      </w:rPr>
      <w:t xml:space="preserve"> PBAC Meeting</w:t>
    </w:r>
  </w:p>
  <w:bookmarkEnd w:id="76"/>
  <w:p w14:paraId="03AF943B" w14:textId="77777777" w:rsidR="001D7C0D" w:rsidRPr="008C7ECB" w:rsidRDefault="001D7C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C5E0" w14:textId="77777777" w:rsidR="003B2750" w:rsidRDefault="003B2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021612"/>
    <w:lvl w:ilvl="0">
      <w:start w:val="1"/>
      <w:numFmt w:val="bullet"/>
      <w:pStyle w:val="ListBullet"/>
      <w:lvlText w:val=""/>
      <w:lvlJc w:val="left"/>
      <w:pPr>
        <w:tabs>
          <w:tab w:val="num" w:pos="1069"/>
        </w:tabs>
        <w:ind w:left="1069" w:hanging="360"/>
      </w:pPr>
      <w:rPr>
        <w:rFonts w:ascii="Symbol" w:hAnsi="Symbol" w:hint="default"/>
      </w:rPr>
    </w:lvl>
  </w:abstractNum>
  <w:abstractNum w:abstractNumId="1" w15:restartNumberingAfterBreak="0">
    <w:nsid w:val="0E6146E0"/>
    <w:multiLevelType w:val="hybridMultilevel"/>
    <w:tmpl w:val="EABE17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FA0232B"/>
    <w:multiLevelType w:val="hybridMultilevel"/>
    <w:tmpl w:val="E15E86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9690488"/>
    <w:multiLevelType w:val="hybridMultilevel"/>
    <w:tmpl w:val="F4121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954CDB"/>
    <w:multiLevelType w:val="hybridMultilevel"/>
    <w:tmpl w:val="522E1144"/>
    <w:lvl w:ilvl="0" w:tplc="BF6658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B219F8"/>
    <w:multiLevelType w:val="hybridMultilevel"/>
    <w:tmpl w:val="ADF88E18"/>
    <w:lvl w:ilvl="0" w:tplc="4F38898A">
      <w:start w:val="1"/>
      <w:numFmt w:val="bullet"/>
      <w:pStyle w:val="COMexecsummmainissuesbullets"/>
      <w:lvlText w:val=""/>
      <w:lvlJc w:val="left"/>
      <w:pPr>
        <w:ind w:left="360" w:hanging="360"/>
      </w:pPr>
      <w:rPr>
        <w:rFonts w:ascii="Symbol" w:hAnsi="Symbol" w:hint="default"/>
      </w:rPr>
    </w:lvl>
    <w:lvl w:ilvl="1" w:tplc="399A3B2E">
      <w:numFmt w:val="bullet"/>
      <w:lvlText w:val="-"/>
      <w:lvlJc w:val="left"/>
      <w:pPr>
        <w:ind w:left="1080" w:hanging="360"/>
      </w:pPr>
      <w:rPr>
        <w:rFonts w:ascii="Calibri" w:eastAsia="Calibr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127733"/>
    <w:multiLevelType w:val="hybridMultilevel"/>
    <w:tmpl w:val="3A7627FE"/>
    <w:lvl w:ilvl="0" w:tplc="1462652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D078F"/>
    <w:multiLevelType w:val="hybridMultilevel"/>
    <w:tmpl w:val="F224EB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C864567"/>
    <w:multiLevelType w:val="hybridMultilevel"/>
    <w:tmpl w:val="9C54B524"/>
    <w:lvl w:ilvl="0" w:tplc="985458EE">
      <w:start w:val="1"/>
      <w:numFmt w:val="bullet"/>
      <w:lvlText w:val=""/>
      <w:lvlJc w:val="left"/>
      <w:pPr>
        <w:tabs>
          <w:tab w:val="num" w:pos="720"/>
        </w:tabs>
        <w:ind w:left="720" w:hanging="360"/>
      </w:pPr>
      <w:rPr>
        <w:rFonts w:ascii="Symbol" w:hAnsi="Symbol" w:hint="default"/>
      </w:rPr>
    </w:lvl>
    <w:lvl w:ilvl="1" w:tplc="01160FCA" w:tentative="1">
      <w:start w:val="1"/>
      <w:numFmt w:val="bullet"/>
      <w:lvlText w:val=""/>
      <w:lvlJc w:val="left"/>
      <w:pPr>
        <w:tabs>
          <w:tab w:val="num" w:pos="1440"/>
        </w:tabs>
        <w:ind w:left="1440" w:hanging="360"/>
      </w:pPr>
      <w:rPr>
        <w:rFonts w:ascii="Symbol" w:hAnsi="Symbol" w:hint="default"/>
      </w:rPr>
    </w:lvl>
    <w:lvl w:ilvl="2" w:tplc="2A4C1648" w:tentative="1">
      <w:start w:val="1"/>
      <w:numFmt w:val="bullet"/>
      <w:lvlText w:val=""/>
      <w:lvlJc w:val="left"/>
      <w:pPr>
        <w:tabs>
          <w:tab w:val="num" w:pos="2160"/>
        </w:tabs>
        <w:ind w:left="2160" w:hanging="360"/>
      </w:pPr>
      <w:rPr>
        <w:rFonts w:ascii="Symbol" w:hAnsi="Symbol" w:hint="default"/>
      </w:rPr>
    </w:lvl>
    <w:lvl w:ilvl="3" w:tplc="410020BE" w:tentative="1">
      <w:start w:val="1"/>
      <w:numFmt w:val="bullet"/>
      <w:lvlText w:val=""/>
      <w:lvlJc w:val="left"/>
      <w:pPr>
        <w:tabs>
          <w:tab w:val="num" w:pos="2880"/>
        </w:tabs>
        <w:ind w:left="2880" w:hanging="360"/>
      </w:pPr>
      <w:rPr>
        <w:rFonts w:ascii="Symbol" w:hAnsi="Symbol" w:hint="default"/>
      </w:rPr>
    </w:lvl>
    <w:lvl w:ilvl="4" w:tplc="625CF3C0" w:tentative="1">
      <w:start w:val="1"/>
      <w:numFmt w:val="bullet"/>
      <w:lvlText w:val=""/>
      <w:lvlJc w:val="left"/>
      <w:pPr>
        <w:tabs>
          <w:tab w:val="num" w:pos="3600"/>
        </w:tabs>
        <w:ind w:left="3600" w:hanging="360"/>
      </w:pPr>
      <w:rPr>
        <w:rFonts w:ascii="Symbol" w:hAnsi="Symbol" w:hint="default"/>
      </w:rPr>
    </w:lvl>
    <w:lvl w:ilvl="5" w:tplc="8F32D274" w:tentative="1">
      <w:start w:val="1"/>
      <w:numFmt w:val="bullet"/>
      <w:lvlText w:val=""/>
      <w:lvlJc w:val="left"/>
      <w:pPr>
        <w:tabs>
          <w:tab w:val="num" w:pos="4320"/>
        </w:tabs>
        <w:ind w:left="4320" w:hanging="360"/>
      </w:pPr>
      <w:rPr>
        <w:rFonts w:ascii="Symbol" w:hAnsi="Symbol" w:hint="default"/>
      </w:rPr>
    </w:lvl>
    <w:lvl w:ilvl="6" w:tplc="4448F5DE" w:tentative="1">
      <w:start w:val="1"/>
      <w:numFmt w:val="bullet"/>
      <w:lvlText w:val=""/>
      <w:lvlJc w:val="left"/>
      <w:pPr>
        <w:tabs>
          <w:tab w:val="num" w:pos="5040"/>
        </w:tabs>
        <w:ind w:left="5040" w:hanging="360"/>
      </w:pPr>
      <w:rPr>
        <w:rFonts w:ascii="Symbol" w:hAnsi="Symbol" w:hint="default"/>
      </w:rPr>
    </w:lvl>
    <w:lvl w:ilvl="7" w:tplc="C8341ADC" w:tentative="1">
      <w:start w:val="1"/>
      <w:numFmt w:val="bullet"/>
      <w:lvlText w:val=""/>
      <w:lvlJc w:val="left"/>
      <w:pPr>
        <w:tabs>
          <w:tab w:val="num" w:pos="5760"/>
        </w:tabs>
        <w:ind w:left="5760" w:hanging="360"/>
      </w:pPr>
      <w:rPr>
        <w:rFonts w:ascii="Symbol" w:hAnsi="Symbol" w:hint="default"/>
      </w:rPr>
    </w:lvl>
    <w:lvl w:ilvl="8" w:tplc="CD083F7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84D033C"/>
    <w:multiLevelType w:val="multilevel"/>
    <w:tmpl w:val="F9EC5BC4"/>
    <w:lvl w:ilvl="0">
      <w:start w:val="1"/>
      <w:numFmt w:val="decimal"/>
      <w:lvlText w:val="%1"/>
      <w:lvlJc w:val="left"/>
      <w:pPr>
        <w:ind w:left="720" w:hanging="720"/>
      </w:pPr>
      <w:rPr>
        <w:rFonts w:hint="default"/>
        <w:b/>
      </w:rPr>
    </w:lvl>
    <w:lvl w:ilvl="1">
      <w:start w:val="1"/>
      <w:numFmt w:val="decimal"/>
      <w:pStyle w:val="COMexecsumnumberedpara"/>
      <w:lvlText w:val="%1.%2"/>
      <w:lvlJc w:val="left"/>
      <w:pPr>
        <w:ind w:left="4265"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8569522">
    <w:abstractNumId w:val="11"/>
  </w:num>
  <w:num w:numId="2" w16cid:durableId="952790744">
    <w:abstractNumId w:val="7"/>
  </w:num>
  <w:num w:numId="3" w16cid:durableId="1725713542">
    <w:abstractNumId w:val="8"/>
  </w:num>
  <w:num w:numId="4" w16cid:durableId="424352454">
    <w:abstractNumId w:val="0"/>
  </w:num>
  <w:num w:numId="5" w16cid:durableId="231239612">
    <w:abstractNumId w:val="5"/>
  </w:num>
  <w:num w:numId="6" w16cid:durableId="404029469">
    <w:abstractNumId w:val="4"/>
  </w:num>
  <w:num w:numId="7" w16cid:durableId="319774262">
    <w:abstractNumId w:val="3"/>
  </w:num>
  <w:num w:numId="8" w16cid:durableId="1448235467">
    <w:abstractNumId w:val="1"/>
  </w:num>
  <w:num w:numId="9" w16cid:durableId="802230029">
    <w:abstractNumId w:val="2"/>
  </w:num>
  <w:num w:numId="10" w16cid:durableId="1352294364">
    <w:abstractNumId w:val="9"/>
  </w:num>
  <w:num w:numId="11" w16cid:durableId="1471628510">
    <w:abstractNumId w:val="10"/>
  </w:num>
  <w:num w:numId="12" w16cid:durableId="4846239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FE"/>
    <w:rsid w:val="0000110B"/>
    <w:rsid w:val="00002394"/>
    <w:rsid w:val="0000273A"/>
    <w:rsid w:val="00003499"/>
    <w:rsid w:val="000039B7"/>
    <w:rsid w:val="000056B9"/>
    <w:rsid w:val="0000639A"/>
    <w:rsid w:val="00006A19"/>
    <w:rsid w:val="00013247"/>
    <w:rsid w:val="0001378D"/>
    <w:rsid w:val="000145E9"/>
    <w:rsid w:val="000148A2"/>
    <w:rsid w:val="00015886"/>
    <w:rsid w:val="000162EF"/>
    <w:rsid w:val="00016492"/>
    <w:rsid w:val="000207C9"/>
    <w:rsid w:val="00020C98"/>
    <w:rsid w:val="00022092"/>
    <w:rsid w:val="0002225F"/>
    <w:rsid w:val="00022332"/>
    <w:rsid w:val="000230E0"/>
    <w:rsid w:val="00023763"/>
    <w:rsid w:val="00023AB6"/>
    <w:rsid w:val="00024EB5"/>
    <w:rsid w:val="0002552C"/>
    <w:rsid w:val="00025D8A"/>
    <w:rsid w:val="00026FAB"/>
    <w:rsid w:val="000270C9"/>
    <w:rsid w:val="000274B8"/>
    <w:rsid w:val="00030369"/>
    <w:rsid w:val="00033863"/>
    <w:rsid w:val="00033BC3"/>
    <w:rsid w:val="00034DD9"/>
    <w:rsid w:val="000353D0"/>
    <w:rsid w:val="00035A6C"/>
    <w:rsid w:val="00035DC0"/>
    <w:rsid w:val="00036544"/>
    <w:rsid w:val="00036829"/>
    <w:rsid w:val="00037278"/>
    <w:rsid w:val="00037ACD"/>
    <w:rsid w:val="00037E96"/>
    <w:rsid w:val="00040895"/>
    <w:rsid w:val="00040D09"/>
    <w:rsid w:val="000410A0"/>
    <w:rsid w:val="000429BB"/>
    <w:rsid w:val="000435EE"/>
    <w:rsid w:val="00043904"/>
    <w:rsid w:val="00043C37"/>
    <w:rsid w:val="00045017"/>
    <w:rsid w:val="00045A2B"/>
    <w:rsid w:val="0004698F"/>
    <w:rsid w:val="00046D64"/>
    <w:rsid w:val="00047212"/>
    <w:rsid w:val="000508C2"/>
    <w:rsid w:val="00052618"/>
    <w:rsid w:val="000533AD"/>
    <w:rsid w:val="000539D0"/>
    <w:rsid w:val="00054621"/>
    <w:rsid w:val="000546D7"/>
    <w:rsid w:val="00054A8D"/>
    <w:rsid w:val="0005588E"/>
    <w:rsid w:val="00055F4B"/>
    <w:rsid w:val="00056ECF"/>
    <w:rsid w:val="00057366"/>
    <w:rsid w:val="000575F8"/>
    <w:rsid w:val="00060321"/>
    <w:rsid w:val="000604DF"/>
    <w:rsid w:val="00060C63"/>
    <w:rsid w:val="00062324"/>
    <w:rsid w:val="00062E8B"/>
    <w:rsid w:val="000653B5"/>
    <w:rsid w:val="00066360"/>
    <w:rsid w:val="00066558"/>
    <w:rsid w:val="000667E8"/>
    <w:rsid w:val="00066AF8"/>
    <w:rsid w:val="0006723A"/>
    <w:rsid w:val="00071248"/>
    <w:rsid w:val="000720B9"/>
    <w:rsid w:val="0007248C"/>
    <w:rsid w:val="000737F7"/>
    <w:rsid w:val="00074FCE"/>
    <w:rsid w:val="000751E3"/>
    <w:rsid w:val="00075D46"/>
    <w:rsid w:val="0007672F"/>
    <w:rsid w:val="00076B54"/>
    <w:rsid w:val="00076B84"/>
    <w:rsid w:val="00076F8F"/>
    <w:rsid w:val="000774F0"/>
    <w:rsid w:val="000806E9"/>
    <w:rsid w:val="00080723"/>
    <w:rsid w:val="00080909"/>
    <w:rsid w:val="0008120D"/>
    <w:rsid w:val="000812CA"/>
    <w:rsid w:val="00081E63"/>
    <w:rsid w:val="0008258D"/>
    <w:rsid w:val="00083CB6"/>
    <w:rsid w:val="00083E99"/>
    <w:rsid w:val="000849CA"/>
    <w:rsid w:val="00084FA8"/>
    <w:rsid w:val="0008501B"/>
    <w:rsid w:val="000856C5"/>
    <w:rsid w:val="00085C31"/>
    <w:rsid w:val="00085DAC"/>
    <w:rsid w:val="0008687B"/>
    <w:rsid w:val="000902D9"/>
    <w:rsid w:val="000904D0"/>
    <w:rsid w:val="0009077E"/>
    <w:rsid w:val="00090BBB"/>
    <w:rsid w:val="00090C7E"/>
    <w:rsid w:val="000911AC"/>
    <w:rsid w:val="00091303"/>
    <w:rsid w:val="00091D4E"/>
    <w:rsid w:val="00092256"/>
    <w:rsid w:val="00092600"/>
    <w:rsid w:val="0009262B"/>
    <w:rsid w:val="00093310"/>
    <w:rsid w:val="00093615"/>
    <w:rsid w:val="0009445C"/>
    <w:rsid w:val="00094DDB"/>
    <w:rsid w:val="00095200"/>
    <w:rsid w:val="00095FE5"/>
    <w:rsid w:val="000960BA"/>
    <w:rsid w:val="00096284"/>
    <w:rsid w:val="000A0746"/>
    <w:rsid w:val="000A0BB3"/>
    <w:rsid w:val="000A1909"/>
    <w:rsid w:val="000A1BC0"/>
    <w:rsid w:val="000A1F8A"/>
    <w:rsid w:val="000A2F9E"/>
    <w:rsid w:val="000A316A"/>
    <w:rsid w:val="000A3E47"/>
    <w:rsid w:val="000A44C3"/>
    <w:rsid w:val="000A522B"/>
    <w:rsid w:val="000A6039"/>
    <w:rsid w:val="000A7453"/>
    <w:rsid w:val="000A7844"/>
    <w:rsid w:val="000A7D08"/>
    <w:rsid w:val="000B0121"/>
    <w:rsid w:val="000B0670"/>
    <w:rsid w:val="000B0E75"/>
    <w:rsid w:val="000B0F33"/>
    <w:rsid w:val="000B239A"/>
    <w:rsid w:val="000B25C9"/>
    <w:rsid w:val="000B2DCB"/>
    <w:rsid w:val="000B2F6C"/>
    <w:rsid w:val="000B3B8D"/>
    <w:rsid w:val="000B4CB4"/>
    <w:rsid w:val="000B5924"/>
    <w:rsid w:val="000B5AEF"/>
    <w:rsid w:val="000B5CE0"/>
    <w:rsid w:val="000B6CAC"/>
    <w:rsid w:val="000B7612"/>
    <w:rsid w:val="000B78AE"/>
    <w:rsid w:val="000C091B"/>
    <w:rsid w:val="000C1A59"/>
    <w:rsid w:val="000C3DF9"/>
    <w:rsid w:val="000C4551"/>
    <w:rsid w:val="000C4CF2"/>
    <w:rsid w:val="000C587C"/>
    <w:rsid w:val="000C6713"/>
    <w:rsid w:val="000C6EBC"/>
    <w:rsid w:val="000D16F1"/>
    <w:rsid w:val="000D1B95"/>
    <w:rsid w:val="000D1BEE"/>
    <w:rsid w:val="000D1BFC"/>
    <w:rsid w:val="000D1D5D"/>
    <w:rsid w:val="000D281A"/>
    <w:rsid w:val="000D2848"/>
    <w:rsid w:val="000D2C21"/>
    <w:rsid w:val="000D3205"/>
    <w:rsid w:val="000D326A"/>
    <w:rsid w:val="000D51FB"/>
    <w:rsid w:val="000D5641"/>
    <w:rsid w:val="000E0640"/>
    <w:rsid w:val="000E0D4D"/>
    <w:rsid w:val="000E135D"/>
    <w:rsid w:val="000E17B3"/>
    <w:rsid w:val="000E28F9"/>
    <w:rsid w:val="000E2CB1"/>
    <w:rsid w:val="000E2E85"/>
    <w:rsid w:val="000E3843"/>
    <w:rsid w:val="000E46DD"/>
    <w:rsid w:val="000F00BA"/>
    <w:rsid w:val="000F0748"/>
    <w:rsid w:val="000F0EA8"/>
    <w:rsid w:val="000F170E"/>
    <w:rsid w:val="000F18B6"/>
    <w:rsid w:val="000F2CD5"/>
    <w:rsid w:val="000F316A"/>
    <w:rsid w:val="000F3C74"/>
    <w:rsid w:val="000F4BB8"/>
    <w:rsid w:val="000F4FA9"/>
    <w:rsid w:val="000F53FB"/>
    <w:rsid w:val="000F6665"/>
    <w:rsid w:val="000F7127"/>
    <w:rsid w:val="000F784A"/>
    <w:rsid w:val="000F7B54"/>
    <w:rsid w:val="001000B3"/>
    <w:rsid w:val="00100F8A"/>
    <w:rsid w:val="00101315"/>
    <w:rsid w:val="0010233F"/>
    <w:rsid w:val="0010443F"/>
    <w:rsid w:val="0010452E"/>
    <w:rsid w:val="00104BED"/>
    <w:rsid w:val="00105AA2"/>
    <w:rsid w:val="00105AE2"/>
    <w:rsid w:val="001060C6"/>
    <w:rsid w:val="00106B80"/>
    <w:rsid w:val="00106ECB"/>
    <w:rsid w:val="0011032E"/>
    <w:rsid w:val="00111146"/>
    <w:rsid w:val="00111828"/>
    <w:rsid w:val="00111997"/>
    <w:rsid w:val="00113129"/>
    <w:rsid w:val="0011348B"/>
    <w:rsid w:val="00113546"/>
    <w:rsid w:val="00113999"/>
    <w:rsid w:val="00113A3C"/>
    <w:rsid w:val="00113BF0"/>
    <w:rsid w:val="00114C8A"/>
    <w:rsid w:val="00114E8D"/>
    <w:rsid w:val="00115982"/>
    <w:rsid w:val="001167A1"/>
    <w:rsid w:val="0011689A"/>
    <w:rsid w:val="00116C53"/>
    <w:rsid w:val="00117198"/>
    <w:rsid w:val="001211DF"/>
    <w:rsid w:val="00121739"/>
    <w:rsid w:val="00121799"/>
    <w:rsid w:val="001222FC"/>
    <w:rsid w:val="0012259E"/>
    <w:rsid w:val="001237C2"/>
    <w:rsid w:val="00123902"/>
    <w:rsid w:val="001241D2"/>
    <w:rsid w:val="00124A51"/>
    <w:rsid w:val="00125302"/>
    <w:rsid w:val="00126621"/>
    <w:rsid w:val="00126B1D"/>
    <w:rsid w:val="00126D1B"/>
    <w:rsid w:val="001272E6"/>
    <w:rsid w:val="001301E9"/>
    <w:rsid w:val="00131661"/>
    <w:rsid w:val="00131D82"/>
    <w:rsid w:val="00132B22"/>
    <w:rsid w:val="00133CA8"/>
    <w:rsid w:val="00133D36"/>
    <w:rsid w:val="0013604F"/>
    <w:rsid w:val="0013699D"/>
    <w:rsid w:val="00136A07"/>
    <w:rsid w:val="00136E56"/>
    <w:rsid w:val="00137645"/>
    <w:rsid w:val="00137687"/>
    <w:rsid w:val="0014015A"/>
    <w:rsid w:val="00140E99"/>
    <w:rsid w:val="00141159"/>
    <w:rsid w:val="001415C3"/>
    <w:rsid w:val="0014245D"/>
    <w:rsid w:val="00142660"/>
    <w:rsid w:val="00143F67"/>
    <w:rsid w:val="00144252"/>
    <w:rsid w:val="001442C6"/>
    <w:rsid w:val="001448EE"/>
    <w:rsid w:val="00144BAE"/>
    <w:rsid w:val="00144C6A"/>
    <w:rsid w:val="00145234"/>
    <w:rsid w:val="00145540"/>
    <w:rsid w:val="001456B0"/>
    <w:rsid w:val="0014749D"/>
    <w:rsid w:val="00150237"/>
    <w:rsid w:val="001509C4"/>
    <w:rsid w:val="00151747"/>
    <w:rsid w:val="001522B6"/>
    <w:rsid w:val="00153D15"/>
    <w:rsid w:val="001547AB"/>
    <w:rsid w:val="001548F4"/>
    <w:rsid w:val="00154AE1"/>
    <w:rsid w:val="0015527A"/>
    <w:rsid w:val="00155A00"/>
    <w:rsid w:val="00156F8F"/>
    <w:rsid w:val="00157130"/>
    <w:rsid w:val="001576B1"/>
    <w:rsid w:val="00157F1D"/>
    <w:rsid w:val="00160172"/>
    <w:rsid w:val="0016047B"/>
    <w:rsid w:val="00160A4C"/>
    <w:rsid w:val="00160B8D"/>
    <w:rsid w:val="00162913"/>
    <w:rsid w:val="0016332A"/>
    <w:rsid w:val="001639AB"/>
    <w:rsid w:val="00163E81"/>
    <w:rsid w:val="00163EFF"/>
    <w:rsid w:val="00163F66"/>
    <w:rsid w:val="0016478E"/>
    <w:rsid w:val="0016499B"/>
    <w:rsid w:val="001659DA"/>
    <w:rsid w:val="00165EC4"/>
    <w:rsid w:val="001661FB"/>
    <w:rsid w:val="001662E3"/>
    <w:rsid w:val="0016633B"/>
    <w:rsid w:val="00166967"/>
    <w:rsid w:val="001671A0"/>
    <w:rsid w:val="00167419"/>
    <w:rsid w:val="0016767F"/>
    <w:rsid w:val="00167B59"/>
    <w:rsid w:val="001703CD"/>
    <w:rsid w:val="0017095E"/>
    <w:rsid w:val="00171823"/>
    <w:rsid w:val="001726ED"/>
    <w:rsid w:val="00172D25"/>
    <w:rsid w:val="0017306F"/>
    <w:rsid w:val="00173565"/>
    <w:rsid w:val="00173B07"/>
    <w:rsid w:val="00174A0A"/>
    <w:rsid w:val="001751FA"/>
    <w:rsid w:val="00176DB2"/>
    <w:rsid w:val="001809F3"/>
    <w:rsid w:val="00181C10"/>
    <w:rsid w:val="00181D9C"/>
    <w:rsid w:val="0018205C"/>
    <w:rsid w:val="00182248"/>
    <w:rsid w:val="001837FF"/>
    <w:rsid w:val="00183F61"/>
    <w:rsid w:val="00184B0E"/>
    <w:rsid w:val="001859D9"/>
    <w:rsid w:val="0018752F"/>
    <w:rsid w:val="00187DF7"/>
    <w:rsid w:val="0019303C"/>
    <w:rsid w:val="00193838"/>
    <w:rsid w:val="001945A7"/>
    <w:rsid w:val="00194AD8"/>
    <w:rsid w:val="00195222"/>
    <w:rsid w:val="00195452"/>
    <w:rsid w:val="00195B93"/>
    <w:rsid w:val="001975D8"/>
    <w:rsid w:val="001977AD"/>
    <w:rsid w:val="001A178E"/>
    <w:rsid w:val="001A23A4"/>
    <w:rsid w:val="001A36CE"/>
    <w:rsid w:val="001A3CBD"/>
    <w:rsid w:val="001A43FA"/>
    <w:rsid w:val="001A47C5"/>
    <w:rsid w:val="001A580E"/>
    <w:rsid w:val="001A59FB"/>
    <w:rsid w:val="001A5E9E"/>
    <w:rsid w:val="001A61A2"/>
    <w:rsid w:val="001A6354"/>
    <w:rsid w:val="001A6366"/>
    <w:rsid w:val="001A7AE8"/>
    <w:rsid w:val="001B0BDC"/>
    <w:rsid w:val="001B1792"/>
    <w:rsid w:val="001B204E"/>
    <w:rsid w:val="001B2372"/>
    <w:rsid w:val="001B3443"/>
    <w:rsid w:val="001B4D20"/>
    <w:rsid w:val="001B6B85"/>
    <w:rsid w:val="001B7F84"/>
    <w:rsid w:val="001C007A"/>
    <w:rsid w:val="001C0997"/>
    <w:rsid w:val="001C0A19"/>
    <w:rsid w:val="001C2A55"/>
    <w:rsid w:val="001C2A9B"/>
    <w:rsid w:val="001C3DD6"/>
    <w:rsid w:val="001C4270"/>
    <w:rsid w:val="001C4299"/>
    <w:rsid w:val="001C4874"/>
    <w:rsid w:val="001C5DF4"/>
    <w:rsid w:val="001C5F94"/>
    <w:rsid w:val="001C6E66"/>
    <w:rsid w:val="001C7843"/>
    <w:rsid w:val="001C7CB8"/>
    <w:rsid w:val="001D0595"/>
    <w:rsid w:val="001D1100"/>
    <w:rsid w:val="001D1186"/>
    <w:rsid w:val="001D1391"/>
    <w:rsid w:val="001D1540"/>
    <w:rsid w:val="001D25D7"/>
    <w:rsid w:val="001D3337"/>
    <w:rsid w:val="001D3525"/>
    <w:rsid w:val="001D44F7"/>
    <w:rsid w:val="001D4608"/>
    <w:rsid w:val="001D4F22"/>
    <w:rsid w:val="001D50B2"/>
    <w:rsid w:val="001D5742"/>
    <w:rsid w:val="001D71F4"/>
    <w:rsid w:val="001D7645"/>
    <w:rsid w:val="001D7C0D"/>
    <w:rsid w:val="001D7D6B"/>
    <w:rsid w:val="001E094F"/>
    <w:rsid w:val="001E17CB"/>
    <w:rsid w:val="001E1E86"/>
    <w:rsid w:val="001E238E"/>
    <w:rsid w:val="001E2483"/>
    <w:rsid w:val="001E253D"/>
    <w:rsid w:val="001E2B1E"/>
    <w:rsid w:val="001E2CFF"/>
    <w:rsid w:val="001E2F24"/>
    <w:rsid w:val="001E3026"/>
    <w:rsid w:val="001E30D4"/>
    <w:rsid w:val="001E34DF"/>
    <w:rsid w:val="001E4459"/>
    <w:rsid w:val="001E454A"/>
    <w:rsid w:val="001E52EB"/>
    <w:rsid w:val="001E5631"/>
    <w:rsid w:val="001E61D2"/>
    <w:rsid w:val="001E67CE"/>
    <w:rsid w:val="001E7045"/>
    <w:rsid w:val="001E705C"/>
    <w:rsid w:val="001E740C"/>
    <w:rsid w:val="001F1235"/>
    <w:rsid w:val="001F1A1C"/>
    <w:rsid w:val="001F1CB3"/>
    <w:rsid w:val="001F330E"/>
    <w:rsid w:val="001F38B5"/>
    <w:rsid w:val="001F4081"/>
    <w:rsid w:val="001F5AFC"/>
    <w:rsid w:val="001F7361"/>
    <w:rsid w:val="00200103"/>
    <w:rsid w:val="00200F22"/>
    <w:rsid w:val="00201093"/>
    <w:rsid w:val="00201102"/>
    <w:rsid w:val="002011B0"/>
    <w:rsid w:val="002020C5"/>
    <w:rsid w:val="00202748"/>
    <w:rsid w:val="00203181"/>
    <w:rsid w:val="00203783"/>
    <w:rsid w:val="0020385F"/>
    <w:rsid w:val="00203BCC"/>
    <w:rsid w:val="00203CCC"/>
    <w:rsid w:val="002047B8"/>
    <w:rsid w:val="0020626C"/>
    <w:rsid w:val="002068A0"/>
    <w:rsid w:val="002068DB"/>
    <w:rsid w:val="002069D7"/>
    <w:rsid w:val="00207021"/>
    <w:rsid w:val="0020732F"/>
    <w:rsid w:val="00207D00"/>
    <w:rsid w:val="00207FE7"/>
    <w:rsid w:val="002105C1"/>
    <w:rsid w:val="002116FD"/>
    <w:rsid w:val="00213EF5"/>
    <w:rsid w:val="00215072"/>
    <w:rsid w:val="00215275"/>
    <w:rsid w:val="0021652D"/>
    <w:rsid w:val="002167FD"/>
    <w:rsid w:val="00216BF5"/>
    <w:rsid w:val="00221552"/>
    <w:rsid w:val="0022267F"/>
    <w:rsid w:val="002232E5"/>
    <w:rsid w:val="002233EC"/>
    <w:rsid w:val="00223B49"/>
    <w:rsid w:val="00223D5A"/>
    <w:rsid w:val="002245BC"/>
    <w:rsid w:val="00224DD4"/>
    <w:rsid w:val="0022660F"/>
    <w:rsid w:val="002278A0"/>
    <w:rsid w:val="00227CE0"/>
    <w:rsid w:val="002309CC"/>
    <w:rsid w:val="00230C3D"/>
    <w:rsid w:val="002316DA"/>
    <w:rsid w:val="00231839"/>
    <w:rsid w:val="00231A2C"/>
    <w:rsid w:val="00231BA9"/>
    <w:rsid w:val="0023209F"/>
    <w:rsid w:val="002335EE"/>
    <w:rsid w:val="00233C01"/>
    <w:rsid w:val="00233D80"/>
    <w:rsid w:val="0023413C"/>
    <w:rsid w:val="002346F0"/>
    <w:rsid w:val="0023515E"/>
    <w:rsid w:val="0023549A"/>
    <w:rsid w:val="002355A3"/>
    <w:rsid w:val="00235AE5"/>
    <w:rsid w:val="00235D57"/>
    <w:rsid w:val="0023629D"/>
    <w:rsid w:val="002371C8"/>
    <w:rsid w:val="00237255"/>
    <w:rsid w:val="00237C4B"/>
    <w:rsid w:val="0024245F"/>
    <w:rsid w:val="002424AF"/>
    <w:rsid w:val="0024269D"/>
    <w:rsid w:val="002433E0"/>
    <w:rsid w:val="002439DC"/>
    <w:rsid w:val="002441D2"/>
    <w:rsid w:val="00244709"/>
    <w:rsid w:val="00244DC8"/>
    <w:rsid w:val="002458BA"/>
    <w:rsid w:val="00245CE9"/>
    <w:rsid w:val="0024636C"/>
    <w:rsid w:val="0024654D"/>
    <w:rsid w:val="00247925"/>
    <w:rsid w:val="00250344"/>
    <w:rsid w:val="00250F2E"/>
    <w:rsid w:val="00251006"/>
    <w:rsid w:val="002524D5"/>
    <w:rsid w:val="00252968"/>
    <w:rsid w:val="0025320F"/>
    <w:rsid w:val="00253B1D"/>
    <w:rsid w:val="00254B2C"/>
    <w:rsid w:val="00254DCF"/>
    <w:rsid w:val="00255051"/>
    <w:rsid w:val="0025534B"/>
    <w:rsid w:val="00255BB7"/>
    <w:rsid w:val="00255E9D"/>
    <w:rsid w:val="002562E2"/>
    <w:rsid w:val="00256C24"/>
    <w:rsid w:val="00256D57"/>
    <w:rsid w:val="00257541"/>
    <w:rsid w:val="00257A39"/>
    <w:rsid w:val="00257AC4"/>
    <w:rsid w:val="00257BBE"/>
    <w:rsid w:val="002607EF"/>
    <w:rsid w:val="00260E6E"/>
    <w:rsid w:val="00261EEF"/>
    <w:rsid w:val="00262A1A"/>
    <w:rsid w:val="00262A3A"/>
    <w:rsid w:val="00262A87"/>
    <w:rsid w:val="00262EE9"/>
    <w:rsid w:val="00264C53"/>
    <w:rsid w:val="00264D26"/>
    <w:rsid w:val="00265B8D"/>
    <w:rsid w:val="00267642"/>
    <w:rsid w:val="00267AEA"/>
    <w:rsid w:val="00267C0E"/>
    <w:rsid w:val="002700E6"/>
    <w:rsid w:val="0027130B"/>
    <w:rsid w:val="0027294B"/>
    <w:rsid w:val="00272C1D"/>
    <w:rsid w:val="00273EB4"/>
    <w:rsid w:val="002742D2"/>
    <w:rsid w:val="00274682"/>
    <w:rsid w:val="00275158"/>
    <w:rsid w:val="0027532D"/>
    <w:rsid w:val="00275C5A"/>
    <w:rsid w:val="00276566"/>
    <w:rsid w:val="00276673"/>
    <w:rsid w:val="002768F9"/>
    <w:rsid w:val="00276DBD"/>
    <w:rsid w:val="0027796E"/>
    <w:rsid w:val="00277C77"/>
    <w:rsid w:val="002800C6"/>
    <w:rsid w:val="00280708"/>
    <w:rsid w:val="00281014"/>
    <w:rsid w:val="002814EA"/>
    <w:rsid w:val="00282197"/>
    <w:rsid w:val="00282B40"/>
    <w:rsid w:val="00282B44"/>
    <w:rsid w:val="00282FD2"/>
    <w:rsid w:val="00283C2A"/>
    <w:rsid w:val="00284323"/>
    <w:rsid w:val="002848B9"/>
    <w:rsid w:val="00285BCE"/>
    <w:rsid w:val="0028665D"/>
    <w:rsid w:val="00287040"/>
    <w:rsid w:val="00287215"/>
    <w:rsid w:val="00287890"/>
    <w:rsid w:val="002879DC"/>
    <w:rsid w:val="0029041F"/>
    <w:rsid w:val="00290579"/>
    <w:rsid w:val="0029077F"/>
    <w:rsid w:val="00291241"/>
    <w:rsid w:val="0029226D"/>
    <w:rsid w:val="00293255"/>
    <w:rsid w:val="00295F5F"/>
    <w:rsid w:val="00295FEE"/>
    <w:rsid w:val="002A00B9"/>
    <w:rsid w:val="002A09AD"/>
    <w:rsid w:val="002A1164"/>
    <w:rsid w:val="002A14AB"/>
    <w:rsid w:val="002A2748"/>
    <w:rsid w:val="002A2ADE"/>
    <w:rsid w:val="002A2F50"/>
    <w:rsid w:val="002A3B8F"/>
    <w:rsid w:val="002A3C6A"/>
    <w:rsid w:val="002A60EE"/>
    <w:rsid w:val="002A7361"/>
    <w:rsid w:val="002A7943"/>
    <w:rsid w:val="002B017F"/>
    <w:rsid w:val="002B05A1"/>
    <w:rsid w:val="002B09A4"/>
    <w:rsid w:val="002B105F"/>
    <w:rsid w:val="002B10C7"/>
    <w:rsid w:val="002B1C1F"/>
    <w:rsid w:val="002B4209"/>
    <w:rsid w:val="002B432F"/>
    <w:rsid w:val="002B5049"/>
    <w:rsid w:val="002B62B3"/>
    <w:rsid w:val="002B6754"/>
    <w:rsid w:val="002B6CCE"/>
    <w:rsid w:val="002B6CF7"/>
    <w:rsid w:val="002B737F"/>
    <w:rsid w:val="002B7B86"/>
    <w:rsid w:val="002C2510"/>
    <w:rsid w:val="002C2775"/>
    <w:rsid w:val="002C27C1"/>
    <w:rsid w:val="002C280D"/>
    <w:rsid w:val="002C2FDE"/>
    <w:rsid w:val="002C333C"/>
    <w:rsid w:val="002C345C"/>
    <w:rsid w:val="002C36E3"/>
    <w:rsid w:val="002C3DB6"/>
    <w:rsid w:val="002C4488"/>
    <w:rsid w:val="002C5099"/>
    <w:rsid w:val="002C5295"/>
    <w:rsid w:val="002C5889"/>
    <w:rsid w:val="002C6346"/>
    <w:rsid w:val="002C6743"/>
    <w:rsid w:val="002C71CE"/>
    <w:rsid w:val="002D01CF"/>
    <w:rsid w:val="002D0895"/>
    <w:rsid w:val="002D08F8"/>
    <w:rsid w:val="002D09DE"/>
    <w:rsid w:val="002D0DF8"/>
    <w:rsid w:val="002D1CA8"/>
    <w:rsid w:val="002D2C0C"/>
    <w:rsid w:val="002D2F84"/>
    <w:rsid w:val="002D577C"/>
    <w:rsid w:val="002D7150"/>
    <w:rsid w:val="002D74FB"/>
    <w:rsid w:val="002D7832"/>
    <w:rsid w:val="002E02B7"/>
    <w:rsid w:val="002E1071"/>
    <w:rsid w:val="002E10B7"/>
    <w:rsid w:val="002E15B9"/>
    <w:rsid w:val="002E2158"/>
    <w:rsid w:val="002E2259"/>
    <w:rsid w:val="002E25D7"/>
    <w:rsid w:val="002E4355"/>
    <w:rsid w:val="002E4F02"/>
    <w:rsid w:val="002E584B"/>
    <w:rsid w:val="002E612D"/>
    <w:rsid w:val="002E7722"/>
    <w:rsid w:val="002E7E79"/>
    <w:rsid w:val="002F07BA"/>
    <w:rsid w:val="002F0DA9"/>
    <w:rsid w:val="002F1014"/>
    <w:rsid w:val="002F1E3B"/>
    <w:rsid w:val="002F3507"/>
    <w:rsid w:val="002F3987"/>
    <w:rsid w:val="002F643C"/>
    <w:rsid w:val="002F71C0"/>
    <w:rsid w:val="002F74F1"/>
    <w:rsid w:val="002F7869"/>
    <w:rsid w:val="002F7D01"/>
    <w:rsid w:val="002F7F31"/>
    <w:rsid w:val="00300315"/>
    <w:rsid w:val="0030059E"/>
    <w:rsid w:val="00301017"/>
    <w:rsid w:val="0030155F"/>
    <w:rsid w:val="0030156B"/>
    <w:rsid w:val="00301D17"/>
    <w:rsid w:val="0030286A"/>
    <w:rsid w:val="00302BF0"/>
    <w:rsid w:val="003036F2"/>
    <w:rsid w:val="003038CD"/>
    <w:rsid w:val="00304609"/>
    <w:rsid w:val="00304CEB"/>
    <w:rsid w:val="0030587B"/>
    <w:rsid w:val="00306090"/>
    <w:rsid w:val="00306BCD"/>
    <w:rsid w:val="00306D98"/>
    <w:rsid w:val="0030786C"/>
    <w:rsid w:val="0031031A"/>
    <w:rsid w:val="00310661"/>
    <w:rsid w:val="00310981"/>
    <w:rsid w:val="003116EE"/>
    <w:rsid w:val="003118B5"/>
    <w:rsid w:val="00311906"/>
    <w:rsid w:val="00311B80"/>
    <w:rsid w:val="00311D9B"/>
    <w:rsid w:val="003124D9"/>
    <w:rsid w:val="00312594"/>
    <w:rsid w:val="00312894"/>
    <w:rsid w:val="00312E74"/>
    <w:rsid w:val="00312EEC"/>
    <w:rsid w:val="00313169"/>
    <w:rsid w:val="00313420"/>
    <w:rsid w:val="00314A00"/>
    <w:rsid w:val="00315498"/>
    <w:rsid w:val="00316012"/>
    <w:rsid w:val="003163B3"/>
    <w:rsid w:val="00316474"/>
    <w:rsid w:val="00316C84"/>
    <w:rsid w:val="00317D7C"/>
    <w:rsid w:val="0032013C"/>
    <w:rsid w:val="00320B32"/>
    <w:rsid w:val="00321FE8"/>
    <w:rsid w:val="00322107"/>
    <w:rsid w:val="0032226A"/>
    <w:rsid w:val="00322355"/>
    <w:rsid w:val="00322846"/>
    <w:rsid w:val="00322B56"/>
    <w:rsid w:val="00324999"/>
    <w:rsid w:val="00324A68"/>
    <w:rsid w:val="00326B5B"/>
    <w:rsid w:val="00326DA7"/>
    <w:rsid w:val="00326EE5"/>
    <w:rsid w:val="003270E4"/>
    <w:rsid w:val="00327699"/>
    <w:rsid w:val="00327DA1"/>
    <w:rsid w:val="00327E32"/>
    <w:rsid w:val="00330DAA"/>
    <w:rsid w:val="00330F5C"/>
    <w:rsid w:val="003330DE"/>
    <w:rsid w:val="00333DDF"/>
    <w:rsid w:val="0033444E"/>
    <w:rsid w:val="00334A5F"/>
    <w:rsid w:val="00335970"/>
    <w:rsid w:val="003366C9"/>
    <w:rsid w:val="00336AB6"/>
    <w:rsid w:val="00336ADE"/>
    <w:rsid w:val="00336C78"/>
    <w:rsid w:val="003371B0"/>
    <w:rsid w:val="00337C2B"/>
    <w:rsid w:val="00337D1B"/>
    <w:rsid w:val="00337D36"/>
    <w:rsid w:val="003401C8"/>
    <w:rsid w:val="00340DD4"/>
    <w:rsid w:val="00340DF1"/>
    <w:rsid w:val="00340E28"/>
    <w:rsid w:val="00340F2C"/>
    <w:rsid w:val="003420C8"/>
    <w:rsid w:val="003434C0"/>
    <w:rsid w:val="00344309"/>
    <w:rsid w:val="00345179"/>
    <w:rsid w:val="00345182"/>
    <w:rsid w:val="00346118"/>
    <w:rsid w:val="00346611"/>
    <w:rsid w:val="00346B93"/>
    <w:rsid w:val="003477F2"/>
    <w:rsid w:val="0035044E"/>
    <w:rsid w:val="003517F9"/>
    <w:rsid w:val="00351A5A"/>
    <w:rsid w:val="00351BA9"/>
    <w:rsid w:val="00352496"/>
    <w:rsid w:val="00353799"/>
    <w:rsid w:val="00353E11"/>
    <w:rsid w:val="00354272"/>
    <w:rsid w:val="00354B6E"/>
    <w:rsid w:val="00354EF3"/>
    <w:rsid w:val="00354F64"/>
    <w:rsid w:val="00355060"/>
    <w:rsid w:val="00355859"/>
    <w:rsid w:val="0035620E"/>
    <w:rsid w:val="00356C05"/>
    <w:rsid w:val="00357462"/>
    <w:rsid w:val="003575BE"/>
    <w:rsid w:val="003578F0"/>
    <w:rsid w:val="00360097"/>
    <w:rsid w:val="00360345"/>
    <w:rsid w:val="003604EB"/>
    <w:rsid w:val="003606D5"/>
    <w:rsid w:val="00360CB6"/>
    <w:rsid w:val="00361A05"/>
    <w:rsid w:val="00361B90"/>
    <w:rsid w:val="003624C4"/>
    <w:rsid w:val="00362C51"/>
    <w:rsid w:val="00362EB8"/>
    <w:rsid w:val="00362F7E"/>
    <w:rsid w:val="00363B00"/>
    <w:rsid w:val="0036533E"/>
    <w:rsid w:val="003654AC"/>
    <w:rsid w:val="00366547"/>
    <w:rsid w:val="00366ABC"/>
    <w:rsid w:val="00367328"/>
    <w:rsid w:val="00370D96"/>
    <w:rsid w:val="003710CF"/>
    <w:rsid w:val="003721CE"/>
    <w:rsid w:val="00372228"/>
    <w:rsid w:val="0037358A"/>
    <w:rsid w:val="00373E5D"/>
    <w:rsid w:val="0037401D"/>
    <w:rsid w:val="003750F6"/>
    <w:rsid w:val="0037584B"/>
    <w:rsid w:val="003760FC"/>
    <w:rsid w:val="003771DB"/>
    <w:rsid w:val="00381196"/>
    <w:rsid w:val="0038365C"/>
    <w:rsid w:val="0038369B"/>
    <w:rsid w:val="00383B78"/>
    <w:rsid w:val="00384BA8"/>
    <w:rsid w:val="00385A9D"/>
    <w:rsid w:val="00385B43"/>
    <w:rsid w:val="00386444"/>
    <w:rsid w:val="00386524"/>
    <w:rsid w:val="00387121"/>
    <w:rsid w:val="003902B1"/>
    <w:rsid w:val="003904B9"/>
    <w:rsid w:val="00390FD2"/>
    <w:rsid w:val="0039179C"/>
    <w:rsid w:val="00391815"/>
    <w:rsid w:val="003920C3"/>
    <w:rsid w:val="003920C5"/>
    <w:rsid w:val="00393579"/>
    <w:rsid w:val="00393634"/>
    <w:rsid w:val="00393A06"/>
    <w:rsid w:val="00396896"/>
    <w:rsid w:val="00396FD0"/>
    <w:rsid w:val="003A01EA"/>
    <w:rsid w:val="003A0848"/>
    <w:rsid w:val="003A1339"/>
    <w:rsid w:val="003A1A7A"/>
    <w:rsid w:val="003A1AFD"/>
    <w:rsid w:val="003A1B34"/>
    <w:rsid w:val="003A2392"/>
    <w:rsid w:val="003A2831"/>
    <w:rsid w:val="003A36A9"/>
    <w:rsid w:val="003A3935"/>
    <w:rsid w:val="003A3CB6"/>
    <w:rsid w:val="003A3CE2"/>
    <w:rsid w:val="003A3ED1"/>
    <w:rsid w:val="003A44DB"/>
    <w:rsid w:val="003A4C14"/>
    <w:rsid w:val="003A5E42"/>
    <w:rsid w:val="003A77CD"/>
    <w:rsid w:val="003B0BF1"/>
    <w:rsid w:val="003B1D95"/>
    <w:rsid w:val="003B2750"/>
    <w:rsid w:val="003B2A04"/>
    <w:rsid w:val="003B3971"/>
    <w:rsid w:val="003B43C8"/>
    <w:rsid w:val="003B55D1"/>
    <w:rsid w:val="003B5B61"/>
    <w:rsid w:val="003B6A19"/>
    <w:rsid w:val="003B6BB7"/>
    <w:rsid w:val="003B6D1B"/>
    <w:rsid w:val="003B6DEE"/>
    <w:rsid w:val="003C0A30"/>
    <w:rsid w:val="003C12F8"/>
    <w:rsid w:val="003C1654"/>
    <w:rsid w:val="003C2DE2"/>
    <w:rsid w:val="003C5542"/>
    <w:rsid w:val="003C5663"/>
    <w:rsid w:val="003C57EA"/>
    <w:rsid w:val="003C7931"/>
    <w:rsid w:val="003C7C15"/>
    <w:rsid w:val="003C7D19"/>
    <w:rsid w:val="003C7D2F"/>
    <w:rsid w:val="003D0C5A"/>
    <w:rsid w:val="003D0FB9"/>
    <w:rsid w:val="003D11A9"/>
    <w:rsid w:val="003D1828"/>
    <w:rsid w:val="003D1BA4"/>
    <w:rsid w:val="003D1DE4"/>
    <w:rsid w:val="003D1E9A"/>
    <w:rsid w:val="003D20CC"/>
    <w:rsid w:val="003D235A"/>
    <w:rsid w:val="003D2422"/>
    <w:rsid w:val="003D39A1"/>
    <w:rsid w:val="003D3FBF"/>
    <w:rsid w:val="003D4A30"/>
    <w:rsid w:val="003D4F1B"/>
    <w:rsid w:val="003D6737"/>
    <w:rsid w:val="003D67F3"/>
    <w:rsid w:val="003D6A7C"/>
    <w:rsid w:val="003D718B"/>
    <w:rsid w:val="003D7452"/>
    <w:rsid w:val="003D75D3"/>
    <w:rsid w:val="003D79BB"/>
    <w:rsid w:val="003D7C98"/>
    <w:rsid w:val="003D7D9D"/>
    <w:rsid w:val="003E0543"/>
    <w:rsid w:val="003E2839"/>
    <w:rsid w:val="003E2D1E"/>
    <w:rsid w:val="003E34B8"/>
    <w:rsid w:val="003E46CE"/>
    <w:rsid w:val="003E5603"/>
    <w:rsid w:val="003E7347"/>
    <w:rsid w:val="003E749E"/>
    <w:rsid w:val="003E78F4"/>
    <w:rsid w:val="003E7B02"/>
    <w:rsid w:val="003F010F"/>
    <w:rsid w:val="003F039E"/>
    <w:rsid w:val="003F09F1"/>
    <w:rsid w:val="003F151A"/>
    <w:rsid w:val="003F1A0A"/>
    <w:rsid w:val="003F2A5D"/>
    <w:rsid w:val="003F4156"/>
    <w:rsid w:val="003F4EC3"/>
    <w:rsid w:val="003F5814"/>
    <w:rsid w:val="003F5ADF"/>
    <w:rsid w:val="003F5B71"/>
    <w:rsid w:val="003F5BE8"/>
    <w:rsid w:val="003F7231"/>
    <w:rsid w:val="003F734A"/>
    <w:rsid w:val="0040072E"/>
    <w:rsid w:val="00400B29"/>
    <w:rsid w:val="0040263F"/>
    <w:rsid w:val="00402709"/>
    <w:rsid w:val="00402812"/>
    <w:rsid w:val="0040504B"/>
    <w:rsid w:val="004059F4"/>
    <w:rsid w:val="00406465"/>
    <w:rsid w:val="00406AC3"/>
    <w:rsid w:val="00407FE5"/>
    <w:rsid w:val="004101B0"/>
    <w:rsid w:val="00410326"/>
    <w:rsid w:val="00410708"/>
    <w:rsid w:val="00410B10"/>
    <w:rsid w:val="00410EC7"/>
    <w:rsid w:val="00411441"/>
    <w:rsid w:val="00411B39"/>
    <w:rsid w:val="00411B6F"/>
    <w:rsid w:val="004127A7"/>
    <w:rsid w:val="00412F51"/>
    <w:rsid w:val="00413A1E"/>
    <w:rsid w:val="004140AF"/>
    <w:rsid w:val="00414476"/>
    <w:rsid w:val="00414C2E"/>
    <w:rsid w:val="004151CF"/>
    <w:rsid w:val="00415E60"/>
    <w:rsid w:val="00416364"/>
    <w:rsid w:val="0042047F"/>
    <w:rsid w:val="00420AA6"/>
    <w:rsid w:val="00420B9F"/>
    <w:rsid w:val="0042192C"/>
    <w:rsid w:val="00421A4F"/>
    <w:rsid w:val="00421BBA"/>
    <w:rsid w:val="00422260"/>
    <w:rsid w:val="00423A2C"/>
    <w:rsid w:val="0042413F"/>
    <w:rsid w:val="004242E7"/>
    <w:rsid w:val="00424DDD"/>
    <w:rsid w:val="00426C56"/>
    <w:rsid w:val="0042771B"/>
    <w:rsid w:val="00427AAD"/>
    <w:rsid w:val="004307F7"/>
    <w:rsid w:val="004319F8"/>
    <w:rsid w:val="00431E55"/>
    <w:rsid w:val="004321F6"/>
    <w:rsid w:val="00432C5D"/>
    <w:rsid w:val="00433044"/>
    <w:rsid w:val="0043352E"/>
    <w:rsid w:val="004338ED"/>
    <w:rsid w:val="00433B57"/>
    <w:rsid w:val="00434088"/>
    <w:rsid w:val="00434137"/>
    <w:rsid w:val="00435761"/>
    <w:rsid w:val="004375B9"/>
    <w:rsid w:val="004428D0"/>
    <w:rsid w:val="00442A8E"/>
    <w:rsid w:val="00444185"/>
    <w:rsid w:val="004443A7"/>
    <w:rsid w:val="0044442C"/>
    <w:rsid w:val="004444FF"/>
    <w:rsid w:val="00445941"/>
    <w:rsid w:val="00445E5B"/>
    <w:rsid w:val="004464EB"/>
    <w:rsid w:val="00446511"/>
    <w:rsid w:val="00447597"/>
    <w:rsid w:val="00447D26"/>
    <w:rsid w:val="00447D43"/>
    <w:rsid w:val="00447DFC"/>
    <w:rsid w:val="00452742"/>
    <w:rsid w:val="0045286B"/>
    <w:rsid w:val="00454F92"/>
    <w:rsid w:val="0045560D"/>
    <w:rsid w:val="00455D45"/>
    <w:rsid w:val="0045639A"/>
    <w:rsid w:val="0045707B"/>
    <w:rsid w:val="00457738"/>
    <w:rsid w:val="004577D3"/>
    <w:rsid w:val="004606F8"/>
    <w:rsid w:val="00460848"/>
    <w:rsid w:val="004610F4"/>
    <w:rsid w:val="00462945"/>
    <w:rsid w:val="00462DB7"/>
    <w:rsid w:val="00464401"/>
    <w:rsid w:val="00464595"/>
    <w:rsid w:val="004658B5"/>
    <w:rsid w:val="00470819"/>
    <w:rsid w:val="00470A9C"/>
    <w:rsid w:val="00470ED2"/>
    <w:rsid w:val="00471EA5"/>
    <w:rsid w:val="00471FE5"/>
    <w:rsid w:val="00472A79"/>
    <w:rsid w:val="00473F19"/>
    <w:rsid w:val="00474CB1"/>
    <w:rsid w:val="00475E22"/>
    <w:rsid w:val="00476DCE"/>
    <w:rsid w:val="0048088E"/>
    <w:rsid w:val="00480F2B"/>
    <w:rsid w:val="00480F35"/>
    <w:rsid w:val="0048196E"/>
    <w:rsid w:val="00481E77"/>
    <w:rsid w:val="00482720"/>
    <w:rsid w:val="00483189"/>
    <w:rsid w:val="004834CF"/>
    <w:rsid w:val="004835E7"/>
    <w:rsid w:val="0048536A"/>
    <w:rsid w:val="004859E1"/>
    <w:rsid w:val="004864F8"/>
    <w:rsid w:val="004867E2"/>
    <w:rsid w:val="00490437"/>
    <w:rsid w:val="004906EC"/>
    <w:rsid w:val="00490B17"/>
    <w:rsid w:val="00490E66"/>
    <w:rsid w:val="00491325"/>
    <w:rsid w:val="00491B3A"/>
    <w:rsid w:val="00491F0C"/>
    <w:rsid w:val="00492CFD"/>
    <w:rsid w:val="004930BA"/>
    <w:rsid w:val="00494207"/>
    <w:rsid w:val="00494DD5"/>
    <w:rsid w:val="004962D2"/>
    <w:rsid w:val="0049644F"/>
    <w:rsid w:val="0049671A"/>
    <w:rsid w:val="004A006A"/>
    <w:rsid w:val="004A0DA1"/>
    <w:rsid w:val="004A13D6"/>
    <w:rsid w:val="004A1FA7"/>
    <w:rsid w:val="004A35AA"/>
    <w:rsid w:val="004A3B3D"/>
    <w:rsid w:val="004A45E2"/>
    <w:rsid w:val="004A496B"/>
    <w:rsid w:val="004A52E9"/>
    <w:rsid w:val="004A568A"/>
    <w:rsid w:val="004A5767"/>
    <w:rsid w:val="004A6040"/>
    <w:rsid w:val="004A6592"/>
    <w:rsid w:val="004A6597"/>
    <w:rsid w:val="004A6BC1"/>
    <w:rsid w:val="004A7848"/>
    <w:rsid w:val="004A793B"/>
    <w:rsid w:val="004B11CA"/>
    <w:rsid w:val="004B1CB4"/>
    <w:rsid w:val="004B1D3C"/>
    <w:rsid w:val="004B2F18"/>
    <w:rsid w:val="004B3DDB"/>
    <w:rsid w:val="004B44FD"/>
    <w:rsid w:val="004B5652"/>
    <w:rsid w:val="004B57DE"/>
    <w:rsid w:val="004B5CFC"/>
    <w:rsid w:val="004B5FE1"/>
    <w:rsid w:val="004B6F79"/>
    <w:rsid w:val="004B774D"/>
    <w:rsid w:val="004C063B"/>
    <w:rsid w:val="004C1336"/>
    <w:rsid w:val="004C1BA2"/>
    <w:rsid w:val="004C1FFB"/>
    <w:rsid w:val="004C2AC2"/>
    <w:rsid w:val="004C39A1"/>
    <w:rsid w:val="004C4AED"/>
    <w:rsid w:val="004C71FF"/>
    <w:rsid w:val="004C72BA"/>
    <w:rsid w:val="004D133A"/>
    <w:rsid w:val="004D2055"/>
    <w:rsid w:val="004D2323"/>
    <w:rsid w:val="004D2C2D"/>
    <w:rsid w:val="004D4036"/>
    <w:rsid w:val="004D470E"/>
    <w:rsid w:val="004D4D45"/>
    <w:rsid w:val="004D4F3B"/>
    <w:rsid w:val="004D5A8F"/>
    <w:rsid w:val="004D675D"/>
    <w:rsid w:val="004D6981"/>
    <w:rsid w:val="004D69B5"/>
    <w:rsid w:val="004D7227"/>
    <w:rsid w:val="004D7B5E"/>
    <w:rsid w:val="004E0E7F"/>
    <w:rsid w:val="004E0EB8"/>
    <w:rsid w:val="004E18E9"/>
    <w:rsid w:val="004E1F48"/>
    <w:rsid w:val="004E2228"/>
    <w:rsid w:val="004E2ADC"/>
    <w:rsid w:val="004E35A1"/>
    <w:rsid w:val="004E43B2"/>
    <w:rsid w:val="004E5B48"/>
    <w:rsid w:val="004F0370"/>
    <w:rsid w:val="004F1D02"/>
    <w:rsid w:val="004F2679"/>
    <w:rsid w:val="004F2F21"/>
    <w:rsid w:val="004F3DE5"/>
    <w:rsid w:val="004F403B"/>
    <w:rsid w:val="004F432F"/>
    <w:rsid w:val="004F462A"/>
    <w:rsid w:val="004F57A3"/>
    <w:rsid w:val="004F6913"/>
    <w:rsid w:val="004F693A"/>
    <w:rsid w:val="004F72F5"/>
    <w:rsid w:val="004F7865"/>
    <w:rsid w:val="004F7BE4"/>
    <w:rsid w:val="0050174E"/>
    <w:rsid w:val="00501854"/>
    <w:rsid w:val="00501A38"/>
    <w:rsid w:val="0050219B"/>
    <w:rsid w:val="00502732"/>
    <w:rsid w:val="00503F17"/>
    <w:rsid w:val="00503F3A"/>
    <w:rsid w:val="00506928"/>
    <w:rsid w:val="00506FF9"/>
    <w:rsid w:val="00507428"/>
    <w:rsid w:val="005077EF"/>
    <w:rsid w:val="00507C5F"/>
    <w:rsid w:val="00510B78"/>
    <w:rsid w:val="00510F7D"/>
    <w:rsid w:val="00511AD5"/>
    <w:rsid w:val="00511DC7"/>
    <w:rsid w:val="00512499"/>
    <w:rsid w:val="005142C5"/>
    <w:rsid w:val="0051501B"/>
    <w:rsid w:val="005152B5"/>
    <w:rsid w:val="00515886"/>
    <w:rsid w:val="00516ECE"/>
    <w:rsid w:val="00520BC7"/>
    <w:rsid w:val="0052123C"/>
    <w:rsid w:val="00521319"/>
    <w:rsid w:val="00522AE6"/>
    <w:rsid w:val="00522BC8"/>
    <w:rsid w:val="00523C28"/>
    <w:rsid w:val="00524C8F"/>
    <w:rsid w:val="00525F42"/>
    <w:rsid w:val="005268C2"/>
    <w:rsid w:val="005279EE"/>
    <w:rsid w:val="00527E9E"/>
    <w:rsid w:val="00530F98"/>
    <w:rsid w:val="0053176B"/>
    <w:rsid w:val="00532C20"/>
    <w:rsid w:val="00533928"/>
    <w:rsid w:val="005341B3"/>
    <w:rsid w:val="00535ABC"/>
    <w:rsid w:val="005365F8"/>
    <w:rsid w:val="00536F42"/>
    <w:rsid w:val="00537182"/>
    <w:rsid w:val="00537CC2"/>
    <w:rsid w:val="00540291"/>
    <w:rsid w:val="00541507"/>
    <w:rsid w:val="00541EDD"/>
    <w:rsid w:val="00542743"/>
    <w:rsid w:val="00542C2D"/>
    <w:rsid w:val="00542F44"/>
    <w:rsid w:val="00545705"/>
    <w:rsid w:val="00546DBD"/>
    <w:rsid w:val="00546DFA"/>
    <w:rsid w:val="005478BD"/>
    <w:rsid w:val="005479E3"/>
    <w:rsid w:val="00547C91"/>
    <w:rsid w:val="00551985"/>
    <w:rsid w:val="0055221D"/>
    <w:rsid w:val="00552BD3"/>
    <w:rsid w:val="005532A0"/>
    <w:rsid w:val="00553D30"/>
    <w:rsid w:val="005549CE"/>
    <w:rsid w:val="00555109"/>
    <w:rsid w:val="00556B35"/>
    <w:rsid w:val="0055741A"/>
    <w:rsid w:val="005574B7"/>
    <w:rsid w:val="005575FB"/>
    <w:rsid w:val="00560E8F"/>
    <w:rsid w:val="005611B7"/>
    <w:rsid w:val="0056141A"/>
    <w:rsid w:val="005618D4"/>
    <w:rsid w:val="005631D6"/>
    <w:rsid w:val="005640BE"/>
    <w:rsid w:val="005640FC"/>
    <w:rsid w:val="00564867"/>
    <w:rsid w:val="00564CE4"/>
    <w:rsid w:val="00565B58"/>
    <w:rsid w:val="00565C79"/>
    <w:rsid w:val="00565DF0"/>
    <w:rsid w:val="00566845"/>
    <w:rsid w:val="0056696F"/>
    <w:rsid w:val="00566FCC"/>
    <w:rsid w:val="00567A18"/>
    <w:rsid w:val="0057081C"/>
    <w:rsid w:val="0057206D"/>
    <w:rsid w:val="00572269"/>
    <w:rsid w:val="0057244A"/>
    <w:rsid w:val="005727AE"/>
    <w:rsid w:val="00572F26"/>
    <w:rsid w:val="00574BF4"/>
    <w:rsid w:val="005750C5"/>
    <w:rsid w:val="0057510A"/>
    <w:rsid w:val="005752DE"/>
    <w:rsid w:val="00575D60"/>
    <w:rsid w:val="00575D8D"/>
    <w:rsid w:val="00576535"/>
    <w:rsid w:val="00576972"/>
    <w:rsid w:val="00577248"/>
    <w:rsid w:val="005801DA"/>
    <w:rsid w:val="005807D7"/>
    <w:rsid w:val="00581597"/>
    <w:rsid w:val="0058194D"/>
    <w:rsid w:val="00581F59"/>
    <w:rsid w:val="00582B18"/>
    <w:rsid w:val="00583699"/>
    <w:rsid w:val="00583889"/>
    <w:rsid w:val="00583C5C"/>
    <w:rsid w:val="005848AA"/>
    <w:rsid w:val="00584ADD"/>
    <w:rsid w:val="00585CDD"/>
    <w:rsid w:val="00586B65"/>
    <w:rsid w:val="00587058"/>
    <w:rsid w:val="005878A1"/>
    <w:rsid w:val="0059190F"/>
    <w:rsid w:val="00591957"/>
    <w:rsid w:val="005919F3"/>
    <w:rsid w:val="00591EA3"/>
    <w:rsid w:val="00594012"/>
    <w:rsid w:val="00594D68"/>
    <w:rsid w:val="005975AB"/>
    <w:rsid w:val="00597BF9"/>
    <w:rsid w:val="00597C2E"/>
    <w:rsid w:val="00597C44"/>
    <w:rsid w:val="005A0C11"/>
    <w:rsid w:val="005A1690"/>
    <w:rsid w:val="005A1C47"/>
    <w:rsid w:val="005A309A"/>
    <w:rsid w:val="005A373D"/>
    <w:rsid w:val="005A4180"/>
    <w:rsid w:val="005A459D"/>
    <w:rsid w:val="005A4A5E"/>
    <w:rsid w:val="005A4AFE"/>
    <w:rsid w:val="005A5E0A"/>
    <w:rsid w:val="005A697E"/>
    <w:rsid w:val="005A76C9"/>
    <w:rsid w:val="005A7DB6"/>
    <w:rsid w:val="005B0B58"/>
    <w:rsid w:val="005B13A5"/>
    <w:rsid w:val="005B3086"/>
    <w:rsid w:val="005B3B5E"/>
    <w:rsid w:val="005B4E53"/>
    <w:rsid w:val="005B5857"/>
    <w:rsid w:val="005B6F39"/>
    <w:rsid w:val="005B75E7"/>
    <w:rsid w:val="005B784B"/>
    <w:rsid w:val="005B78B8"/>
    <w:rsid w:val="005B7FAD"/>
    <w:rsid w:val="005C0331"/>
    <w:rsid w:val="005C1901"/>
    <w:rsid w:val="005C19C4"/>
    <w:rsid w:val="005C1B83"/>
    <w:rsid w:val="005C25FF"/>
    <w:rsid w:val="005C2642"/>
    <w:rsid w:val="005C2793"/>
    <w:rsid w:val="005C2D55"/>
    <w:rsid w:val="005C3136"/>
    <w:rsid w:val="005C345F"/>
    <w:rsid w:val="005C346B"/>
    <w:rsid w:val="005C3C82"/>
    <w:rsid w:val="005C432D"/>
    <w:rsid w:val="005C4B2C"/>
    <w:rsid w:val="005C556C"/>
    <w:rsid w:val="005C5ABC"/>
    <w:rsid w:val="005C68B9"/>
    <w:rsid w:val="005D044D"/>
    <w:rsid w:val="005D0ABD"/>
    <w:rsid w:val="005D177D"/>
    <w:rsid w:val="005D18AD"/>
    <w:rsid w:val="005D26B4"/>
    <w:rsid w:val="005D36B1"/>
    <w:rsid w:val="005D4086"/>
    <w:rsid w:val="005D4A6D"/>
    <w:rsid w:val="005D50C9"/>
    <w:rsid w:val="005D6E35"/>
    <w:rsid w:val="005E03CC"/>
    <w:rsid w:val="005E178B"/>
    <w:rsid w:val="005E1995"/>
    <w:rsid w:val="005E19C5"/>
    <w:rsid w:val="005E201C"/>
    <w:rsid w:val="005E2803"/>
    <w:rsid w:val="005E2DD2"/>
    <w:rsid w:val="005E4370"/>
    <w:rsid w:val="005E6670"/>
    <w:rsid w:val="005E6CBC"/>
    <w:rsid w:val="005E72FF"/>
    <w:rsid w:val="005E7346"/>
    <w:rsid w:val="005E73C0"/>
    <w:rsid w:val="005E7B1D"/>
    <w:rsid w:val="005E7DCF"/>
    <w:rsid w:val="005F07ED"/>
    <w:rsid w:val="005F0E3A"/>
    <w:rsid w:val="005F14CC"/>
    <w:rsid w:val="005F2706"/>
    <w:rsid w:val="005F2C6E"/>
    <w:rsid w:val="005F4050"/>
    <w:rsid w:val="005F4412"/>
    <w:rsid w:val="005F4B54"/>
    <w:rsid w:val="005F5623"/>
    <w:rsid w:val="005F5ADD"/>
    <w:rsid w:val="005F6637"/>
    <w:rsid w:val="005F6A8F"/>
    <w:rsid w:val="005F6BB7"/>
    <w:rsid w:val="005F6F13"/>
    <w:rsid w:val="005F7588"/>
    <w:rsid w:val="00602B4E"/>
    <w:rsid w:val="00603248"/>
    <w:rsid w:val="006034CA"/>
    <w:rsid w:val="006035FF"/>
    <w:rsid w:val="00603DB9"/>
    <w:rsid w:val="00606FBA"/>
    <w:rsid w:val="006071F9"/>
    <w:rsid w:val="00607669"/>
    <w:rsid w:val="006076F4"/>
    <w:rsid w:val="00607AFD"/>
    <w:rsid w:val="00610A8A"/>
    <w:rsid w:val="00610D8A"/>
    <w:rsid w:val="006117F6"/>
    <w:rsid w:val="00611B12"/>
    <w:rsid w:val="006128E1"/>
    <w:rsid w:val="00612DEC"/>
    <w:rsid w:val="00612F97"/>
    <w:rsid w:val="0061345D"/>
    <w:rsid w:val="00613569"/>
    <w:rsid w:val="00614177"/>
    <w:rsid w:val="0061549B"/>
    <w:rsid w:val="00615E93"/>
    <w:rsid w:val="00615F9B"/>
    <w:rsid w:val="00616802"/>
    <w:rsid w:val="00616C13"/>
    <w:rsid w:val="00617E12"/>
    <w:rsid w:val="00620C25"/>
    <w:rsid w:val="00621477"/>
    <w:rsid w:val="00621ADA"/>
    <w:rsid w:val="006227CB"/>
    <w:rsid w:val="0062354F"/>
    <w:rsid w:val="00623B4D"/>
    <w:rsid w:val="00623F7B"/>
    <w:rsid w:val="00624BD4"/>
    <w:rsid w:val="00624C5A"/>
    <w:rsid w:val="0062517B"/>
    <w:rsid w:val="0062587F"/>
    <w:rsid w:val="006304C6"/>
    <w:rsid w:val="0063158F"/>
    <w:rsid w:val="00631D6B"/>
    <w:rsid w:val="00632183"/>
    <w:rsid w:val="00632B86"/>
    <w:rsid w:val="006330A1"/>
    <w:rsid w:val="0063350F"/>
    <w:rsid w:val="00633920"/>
    <w:rsid w:val="0063479F"/>
    <w:rsid w:val="00635069"/>
    <w:rsid w:val="006353F0"/>
    <w:rsid w:val="006357B5"/>
    <w:rsid w:val="006364A1"/>
    <w:rsid w:val="0063678E"/>
    <w:rsid w:val="006374E8"/>
    <w:rsid w:val="00637BFD"/>
    <w:rsid w:val="00637C5C"/>
    <w:rsid w:val="006405C6"/>
    <w:rsid w:val="00641C4E"/>
    <w:rsid w:val="00641FB3"/>
    <w:rsid w:val="00642306"/>
    <w:rsid w:val="00642431"/>
    <w:rsid w:val="00643A03"/>
    <w:rsid w:val="00644090"/>
    <w:rsid w:val="0064434C"/>
    <w:rsid w:val="0064510F"/>
    <w:rsid w:val="006468C5"/>
    <w:rsid w:val="006468FC"/>
    <w:rsid w:val="006471CC"/>
    <w:rsid w:val="006472FE"/>
    <w:rsid w:val="006477F7"/>
    <w:rsid w:val="00647A29"/>
    <w:rsid w:val="0065079F"/>
    <w:rsid w:val="0065234A"/>
    <w:rsid w:val="006524FF"/>
    <w:rsid w:val="00652A28"/>
    <w:rsid w:val="0065360F"/>
    <w:rsid w:val="0065379F"/>
    <w:rsid w:val="00656188"/>
    <w:rsid w:val="00656B3A"/>
    <w:rsid w:val="00656DC8"/>
    <w:rsid w:val="0065715A"/>
    <w:rsid w:val="00657744"/>
    <w:rsid w:val="006610F1"/>
    <w:rsid w:val="00661949"/>
    <w:rsid w:val="00661AF2"/>
    <w:rsid w:val="00661C6B"/>
    <w:rsid w:val="00661F17"/>
    <w:rsid w:val="00662D3E"/>
    <w:rsid w:val="00663C1D"/>
    <w:rsid w:val="00664379"/>
    <w:rsid w:val="00665CE6"/>
    <w:rsid w:val="00666D7B"/>
    <w:rsid w:val="00667BE3"/>
    <w:rsid w:val="00667E33"/>
    <w:rsid w:val="0067015F"/>
    <w:rsid w:val="00670307"/>
    <w:rsid w:val="00671004"/>
    <w:rsid w:val="00671712"/>
    <w:rsid w:val="00671F5A"/>
    <w:rsid w:val="006722DE"/>
    <w:rsid w:val="00672646"/>
    <w:rsid w:val="0067311F"/>
    <w:rsid w:val="00673A9D"/>
    <w:rsid w:val="00674E42"/>
    <w:rsid w:val="00674F36"/>
    <w:rsid w:val="00675DA0"/>
    <w:rsid w:val="00675FCF"/>
    <w:rsid w:val="00676563"/>
    <w:rsid w:val="00677241"/>
    <w:rsid w:val="00677878"/>
    <w:rsid w:val="00677CA9"/>
    <w:rsid w:val="006813CD"/>
    <w:rsid w:val="006813F8"/>
    <w:rsid w:val="00682112"/>
    <w:rsid w:val="006822E0"/>
    <w:rsid w:val="00682566"/>
    <w:rsid w:val="006827C2"/>
    <w:rsid w:val="00682BA6"/>
    <w:rsid w:val="00683733"/>
    <w:rsid w:val="00683CF9"/>
    <w:rsid w:val="0068415C"/>
    <w:rsid w:val="00684530"/>
    <w:rsid w:val="00686957"/>
    <w:rsid w:val="00686ECE"/>
    <w:rsid w:val="006872BA"/>
    <w:rsid w:val="00687350"/>
    <w:rsid w:val="00687CAD"/>
    <w:rsid w:val="00687E64"/>
    <w:rsid w:val="00690538"/>
    <w:rsid w:val="00690795"/>
    <w:rsid w:val="00691648"/>
    <w:rsid w:val="006917D7"/>
    <w:rsid w:val="00691D3D"/>
    <w:rsid w:val="00692F37"/>
    <w:rsid w:val="00693819"/>
    <w:rsid w:val="0069434C"/>
    <w:rsid w:val="00694F44"/>
    <w:rsid w:val="00696EF9"/>
    <w:rsid w:val="00696F51"/>
    <w:rsid w:val="006979A5"/>
    <w:rsid w:val="00697A8B"/>
    <w:rsid w:val="00697DDA"/>
    <w:rsid w:val="006A016F"/>
    <w:rsid w:val="006A07EB"/>
    <w:rsid w:val="006A0DF7"/>
    <w:rsid w:val="006A1AFA"/>
    <w:rsid w:val="006A3378"/>
    <w:rsid w:val="006A367C"/>
    <w:rsid w:val="006A3799"/>
    <w:rsid w:val="006A39F5"/>
    <w:rsid w:val="006A3A70"/>
    <w:rsid w:val="006A4321"/>
    <w:rsid w:val="006A43D9"/>
    <w:rsid w:val="006A46B7"/>
    <w:rsid w:val="006A5282"/>
    <w:rsid w:val="006A6B99"/>
    <w:rsid w:val="006A6BDD"/>
    <w:rsid w:val="006A742E"/>
    <w:rsid w:val="006A7479"/>
    <w:rsid w:val="006A74CB"/>
    <w:rsid w:val="006A7D30"/>
    <w:rsid w:val="006A7E5F"/>
    <w:rsid w:val="006B1039"/>
    <w:rsid w:val="006B10D8"/>
    <w:rsid w:val="006B261B"/>
    <w:rsid w:val="006B2C90"/>
    <w:rsid w:val="006B2EA4"/>
    <w:rsid w:val="006B332E"/>
    <w:rsid w:val="006B35E6"/>
    <w:rsid w:val="006B465A"/>
    <w:rsid w:val="006B4C64"/>
    <w:rsid w:val="006B4DDA"/>
    <w:rsid w:val="006B68CE"/>
    <w:rsid w:val="006B6DD0"/>
    <w:rsid w:val="006B70AA"/>
    <w:rsid w:val="006B746A"/>
    <w:rsid w:val="006C0399"/>
    <w:rsid w:val="006C0622"/>
    <w:rsid w:val="006C0B5A"/>
    <w:rsid w:val="006C0B6D"/>
    <w:rsid w:val="006C0DAA"/>
    <w:rsid w:val="006C16F3"/>
    <w:rsid w:val="006C2A8E"/>
    <w:rsid w:val="006C3255"/>
    <w:rsid w:val="006C3F26"/>
    <w:rsid w:val="006C45AA"/>
    <w:rsid w:val="006C4975"/>
    <w:rsid w:val="006C54A5"/>
    <w:rsid w:val="006C5871"/>
    <w:rsid w:val="006C6FA5"/>
    <w:rsid w:val="006C7A92"/>
    <w:rsid w:val="006D0491"/>
    <w:rsid w:val="006D0702"/>
    <w:rsid w:val="006D0D17"/>
    <w:rsid w:val="006D1A08"/>
    <w:rsid w:val="006D3C7D"/>
    <w:rsid w:val="006D4659"/>
    <w:rsid w:val="006D529C"/>
    <w:rsid w:val="006D5D5F"/>
    <w:rsid w:val="006D642D"/>
    <w:rsid w:val="006D68FB"/>
    <w:rsid w:val="006D7479"/>
    <w:rsid w:val="006E05D3"/>
    <w:rsid w:val="006E0CE2"/>
    <w:rsid w:val="006E107B"/>
    <w:rsid w:val="006E1CFD"/>
    <w:rsid w:val="006E2868"/>
    <w:rsid w:val="006E4942"/>
    <w:rsid w:val="006E5EC3"/>
    <w:rsid w:val="006E71FD"/>
    <w:rsid w:val="006F143C"/>
    <w:rsid w:val="006F2622"/>
    <w:rsid w:val="006F26C7"/>
    <w:rsid w:val="006F306C"/>
    <w:rsid w:val="006F362E"/>
    <w:rsid w:val="006F3AD1"/>
    <w:rsid w:val="006F447F"/>
    <w:rsid w:val="006F5E8E"/>
    <w:rsid w:val="006F63A5"/>
    <w:rsid w:val="006F6E36"/>
    <w:rsid w:val="0070142B"/>
    <w:rsid w:val="00701BC0"/>
    <w:rsid w:val="00701D72"/>
    <w:rsid w:val="0070276E"/>
    <w:rsid w:val="00702F8F"/>
    <w:rsid w:val="007036B1"/>
    <w:rsid w:val="00703F31"/>
    <w:rsid w:val="00704A3F"/>
    <w:rsid w:val="00704EAA"/>
    <w:rsid w:val="00705C58"/>
    <w:rsid w:val="00705CF3"/>
    <w:rsid w:val="007079FC"/>
    <w:rsid w:val="00710744"/>
    <w:rsid w:val="00710ADB"/>
    <w:rsid w:val="00711A36"/>
    <w:rsid w:val="00711B9E"/>
    <w:rsid w:val="00712505"/>
    <w:rsid w:val="007125D3"/>
    <w:rsid w:val="00712637"/>
    <w:rsid w:val="00712D8C"/>
    <w:rsid w:val="00712F06"/>
    <w:rsid w:val="00713B27"/>
    <w:rsid w:val="00713E72"/>
    <w:rsid w:val="00714C26"/>
    <w:rsid w:val="0071529C"/>
    <w:rsid w:val="00717000"/>
    <w:rsid w:val="007170DA"/>
    <w:rsid w:val="007172AD"/>
    <w:rsid w:val="00717546"/>
    <w:rsid w:val="0072017C"/>
    <w:rsid w:val="00720801"/>
    <w:rsid w:val="00720D26"/>
    <w:rsid w:val="00721EA3"/>
    <w:rsid w:val="00721EF0"/>
    <w:rsid w:val="00722B1B"/>
    <w:rsid w:val="0072383E"/>
    <w:rsid w:val="0072416C"/>
    <w:rsid w:val="0072416F"/>
    <w:rsid w:val="007269F1"/>
    <w:rsid w:val="00726DFD"/>
    <w:rsid w:val="0072767A"/>
    <w:rsid w:val="00727C94"/>
    <w:rsid w:val="00730F91"/>
    <w:rsid w:val="00731B0A"/>
    <w:rsid w:val="00731EAE"/>
    <w:rsid w:val="00733073"/>
    <w:rsid w:val="00735033"/>
    <w:rsid w:val="00735328"/>
    <w:rsid w:val="007362BE"/>
    <w:rsid w:val="0073685B"/>
    <w:rsid w:val="007368F1"/>
    <w:rsid w:val="00737925"/>
    <w:rsid w:val="0074058C"/>
    <w:rsid w:val="00743177"/>
    <w:rsid w:val="00743A33"/>
    <w:rsid w:val="007449BF"/>
    <w:rsid w:val="007460DD"/>
    <w:rsid w:val="007463FE"/>
    <w:rsid w:val="007465BC"/>
    <w:rsid w:val="00746BC0"/>
    <w:rsid w:val="00750768"/>
    <w:rsid w:val="007507AD"/>
    <w:rsid w:val="0075093A"/>
    <w:rsid w:val="007510B4"/>
    <w:rsid w:val="00752142"/>
    <w:rsid w:val="007523F9"/>
    <w:rsid w:val="007530F9"/>
    <w:rsid w:val="0075357E"/>
    <w:rsid w:val="00753B29"/>
    <w:rsid w:val="007557AA"/>
    <w:rsid w:val="007573E8"/>
    <w:rsid w:val="00757C41"/>
    <w:rsid w:val="00760B63"/>
    <w:rsid w:val="00760C4E"/>
    <w:rsid w:val="00760F9E"/>
    <w:rsid w:val="007616E6"/>
    <w:rsid w:val="007627BE"/>
    <w:rsid w:val="007629C7"/>
    <w:rsid w:val="007633CC"/>
    <w:rsid w:val="0076384A"/>
    <w:rsid w:val="00763ABF"/>
    <w:rsid w:val="00764EA9"/>
    <w:rsid w:val="00764F03"/>
    <w:rsid w:val="00765482"/>
    <w:rsid w:val="00765851"/>
    <w:rsid w:val="00765B1A"/>
    <w:rsid w:val="00765DC1"/>
    <w:rsid w:val="00765E26"/>
    <w:rsid w:val="00766618"/>
    <w:rsid w:val="00770D7E"/>
    <w:rsid w:val="0077156C"/>
    <w:rsid w:val="007733D4"/>
    <w:rsid w:val="00775FC2"/>
    <w:rsid w:val="0077677A"/>
    <w:rsid w:val="00777240"/>
    <w:rsid w:val="00777335"/>
    <w:rsid w:val="007843F2"/>
    <w:rsid w:val="007846FA"/>
    <w:rsid w:val="00784B6B"/>
    <w:rsid w:val="0078549D"/>
    <w:rsid w:val="00785805"/>
    <w:rsid w:val="00785A9F"/>
    <w:rsid w:val="00787505"/>
    <w:rsid w:val="007910E7"/>
    <w:rsid w:val="007925DF"/>
    <w:rsid w:val="00793C7D"/>
    <w:rsid w:val="00794E2E"/>
    <w:rsid w:val="0079607F"/>
    <w:rsid w:val="007973ED"/>
    <w:rsid w:val="007A08AA"/>
    <w:rsid w:val="007A0A12"/>
    <w:rsid w:val="007A132D"/>
    <w:rsid w:val="007A1345"/>
    <w:rsid w:val="007A2BC6"/>
    <w:rsid w:val="007A2CA8"/>
    <w:rsid w:val="007A2DDB"/>
    <w:rsid w:val="007A41D2"/>
    <w:rsid w:val="007A44CE"/>
    <w:rsid w:val="007A5005"/>
    <w:rsid w:val="007A6575"/>
    <w:rsid w:val="007A70BA"/>
    <w:rsid w:val="007B0CC3"/>
    <w:rsid w:val="007B0D68"/>
    <w:rsid w:val="007B251D"/>
    <w:rsid w:val="007B32A1"/>
    <w:rsid w:val="007B3533"/>
    <w:rsid w:val="007B4540"/>
    <w:rsid w:val="007B4591"/>
    <w:rsid w:val="007B4F58"/>
    <w:rsid w:val="007B528D"/>
    <w:rsid w:val="007B63CA"/>
    <w:rsid w:val="007B77D1"/>
    <w:rsid w:val="007B78BD"/>
    <w:rsid w:val="007B7E0A"/>
    <w:rsid w:val="007C0423"/>
    <w:rsid w:val="007C068A"/>
    <w:rsid w:val="007C07C7"/>
    <w:rsid w:val="007C15AF"/>
    <w:rsid w:val="007C1CD9"/>
    <w:rsid w:val="007C308C"/>
    <w:rsid w:val="007C32EF"/>
    <w:rsid w:val="007C361D"/>
    <w:rsid w:val="007C3E3C"/>
    <w:rsid w:val="007C4705"/>
    <w:rsid w:val="007C4AC7"/>
    <w:rsid w:val="007C4B84"/>
    <w:rsid w:val="007C6ED7"/>
    <w:rsid w:val="007C70FF"/>
    <w:rsid w:val="007C7C25"/>
    <w:rsid w:val="007C7CD4"/>
    <w:rsid w:val="007C7D0C"/>
    <w:rsid w:val="007D004F"/>
    <w:rsid w:val="007D035F"/>
    <w:rsid w:val="007D06B2"/>
    <w:rsid w:val="007D0B38"/>
    <w:rsid w:val="007D1F0B"/>
    <w:rsid w:val="007D3799"/>
    <w:rsid w:val="007D3CB3"/>
    <w:rsid w:val="007D4ADA"/>
    <w:rsid w:val="007D5440"/>
    <w:rsid w:val="007D57B5"/>
    <w:rsid w:val="007D6795"/>
    <w:rsid w:val="007D69EB"/>
    <w:rsid w:val="007E0046"/>
    <w:rsid w:val="007E128F"/>
    <w:rsid w:val="007E12BB"/>
    <w:rsid w:val="007E2CFB"/>
    <w:rsid w:val="007E37CD"/>
    <w:rsid w:val="007E397C"/>
    <w:rsid w:val="007E3BF3"/>
    <w:rsid w:val="007E523F"/>
    <w:rsid w:val="007E5BA1"/>
    <w:rsid w:val="007F1017"/>
    <w:rsid w:val="007F28BD"/>
    <w:rsid w:val="007F450A"/>
    <w:rsid w:val="007F4A3F"/>
    <w:rsid w:val="007F4A61"/>
    <w:rsid w:val="007F5255"/>
    <w:rsid w:val="007F56CC"/>
    <w:rsid w:val="007F59E0"/>
    <w:rsid w:val="007F61C2"/>
    <w:rsid w:val="007F6A1D"/>
    <w:rsid w:val="007F700F"/>
    <w:rsid w:val="007F7B51"/>
    <w:rsid w:val="007F7E92"/>
    <w:rsid w:val="00800BEE"/>
    <w:rsid w:val="008013F4"/>
    <w:rsid w:val="0080156A"/>
    <w:rsid w:val="00801695"/>
    <w:rsid w:val="00801B4E"/>
    <w:rsid w:val="00802679"/>
    <w:rsid w:val="00804A75"/>
    <w:rsid w:val="00805142"/>
    <w:rsid w:val="008055CC"/>
    <w:rsid w:val="00805FCE"/>
    <w:rsid w:val="008063EC"/>
    <w:rsid w:val="008066EE"/>
    <w:rsid w:val="00807A8B"/>
    <w:rsid w:val="00807F02"/>
    <w:rsid w:val="00810254"/>
    <w:rsid w:val="00811383"/>
    <w:rsid w:val="00812149"/>
    <w:rsid w:val="00812CAC"/>
    <w:rsid w:val="00813484"/>
    <w:rsid w:val="00813D56"/>
    <w:rsid w:val="0081443C"/>
    <w:rsid w:val="00815CA1"/>
    <w:rsid w:val="00815FA9"/>
    <w:rsid w:val="00816361"/>
    <w:rsid w:val="008166EF"/>
    <w:rsid w:val="00816B5B"/>
    <w:rsid w:val="00816FEF"/>
    <w:rsid w:val="00817722"/>
    <w:rsid w:val="008201DB"/>
    <w:rsid w:val="0082048E"/>
    <w:rsid w:val="00820A8C"/>
    <w:rsid w:val="008214DF"/>
    <w:rsid w:val="008215FB"/>
    <w:rsid w:val="008220CC"/>
    <w:rsid w:val="00822516"/>
    <w:rsid w:val="00823174"/>
    <w:rsid w:val="00825751"/>
    <w:rsid w:val="008260E1"/>
    <w:rsid w:val="008264EB"/>
    <w:rsid w:val="008268CE"/>
    <w:rsid w:val="00826A65"/>
    <w:rsid w:val="00827843"/>
    <w:rsid w:val="00827C23"/>
    <w:rsid w:val="008300FA"/>
    <w:rsid w:val="00832B75"/>
    <w:rsid w:val="00832F9A"/>
    <w:rsid w:val="00832FE2"/>
    <w:rsid w:val="00833B05"/>
    <w:rsid w:val="0083543E"/>
    <w:rsid w:val="008360FF"/>
    <w:rsid w:val="008362B4"/>
    <w:rsid w:val="00837614"/>
    <w:rsid w:val="00840CA2"/>
    <w:rsid w:val="008413EB"/>
    <w:rsid w:val="008434D7"/>
    <w:rsid w:val="0084374F"/>
    <w:rsid w:val="00844A22"/>
    <w:rsid w:val="00844EDB"/>
    <w:rsid w:val="00845F73"/>
    <w:rsid w:val="00847682"/>
    <w:rsid w:val="00847703"/>
    <w:rsid w:val="00847A39"/>
    <w:rsid w:val="00847DF5"/>
    <w:rsid w:val="008527B6"/>
    <w:rsid w:val="0085309D"/>
    <w:rsid w:val="00853E74"/>
    <w:rsid w:val="00854F33"/>
    <w:rsid w:val="00855E4F"/>
    <w:rsid w:val="00856897"/>
    <w:rsid w:val="00856E9A"/>
    <w:rsid w:val="0085702F"/>
    <w:rsid w:val="00857A3D"/>
    <w:rsid w:val="00857E54"/>
    <w:rsid w:val="00860373"/>
    <w:rsid w:val="0086056F"/>
    <w:rsid w:val="0086075D"/>
    <w:rsid w:val="008610B5"/>
    <w:rsid w:val="00862502"/>
    <w:rsid w:val="0086257F"/>
    <w:rsid w:val="00862CC1"/>
    <w:rsid w:val="00863582"/>
    <w:rsid w:val="008642A7"/>
    <w:rsid w:val="008660D4"/>
    <w:rsid w:val="00866B79"/>
    <w:rsid w:val="00867E08"/>
    <w:rsid w:val="00870EEB"/>
    <w:rsid w:val="00871EF4"/>
    <w:rsid w:val="00871FA9"/>
    <w:rsid w:val="008720A8"/>
    <w:rsid w:val="0087226C"/>
    <w:rsid w:val="008728A9"/>
    <w:rsid w:val="008728E9"/>
    <w:rsid w:val="00873568"/>
    <w:rsid w:val="008759C3"/>
    <w:rsid w:val="00876C1C"/>
    <w:rsid w:val="00877257"/>
    <w:rsid w:val="00880C5B"/>
    <w:rsid w:val="00881E96"/>
    <w:rsid w:val="0088224D"/>
    <w:rsid w:val="00882874"/>
    <w:rsid w:val="00882E3C"/>
    <w:rsid w:val="0088308A"/>
    <w:rsid w:val="00883787"/>
    <w:rsid w:val="008855E4"/>
    <w:rsid w:val="00886A85"/>
    <w:rsid w:val="00886CD2"/>
    <w:rsid w:val="00887733"/>
    <w:rsid w:val="0089087A"/>
    <w:rsid w:val="00890901"/>
    <w:rsid w:val="00891E6F"/>
    <w:rsid w:val="0089275D"/>
    <w:rsid w:val="00892A36"/>
    <w:rsid w:val="00892A8B"/>
    <w:rsid w:val="00893239"/>
    <w:rsid w:val="00894489"/>
    <w:rsid w:val="00894CD6"/>
    <w:rsid w:val="00894E87"/>
    <w:rsid w:val="008954C3"/>
    <w:rsid w:val="0089592B"/>
    <w:rsid w:val="008963A5"/>
    <w:rsid w:val="00896D5D"/>
    <w:rsid w:val="008978A1"/>
    <w:rsid w:val="008A3158"/>
    <w:rsid w:val="008A3363"/>
    <w:rsid w:val="008A3371"/>
    <w:rsid w:val="008A3423"/>
    <w:rsid w:val="008A3C3E"/>
    <w:rsid w:val="008A79DE"/>
    <w:rsid w:val="008B0AD1"/>
    <w:rsid w:val="008B1757"/>
    <w:rsid w:val="008B1909"/>
    <w:rsid w:val="008B1C33"/>
    <w:rsid w:val="008B37AB"/>
    <w:rsid w:val="008B4321"/>
    <w:rsid w:val="008B4B6F"/>
    <w:rsid w:val="008B4FCB"/>
    <w:rsid w:val="008B55BB"/>
    <w:rsid w:val="008B6A7B"/>
    <w:rsid w:val="008B7992"/>
    <w:rsid w:val="008B7D7E"/>
    <w:rsid w:val="008C115A"/>
    <w:rsid w:val="008C1ADD"/>
    <w:rsid w:val="008C2BFF"/>
    <w:rsid w:val="008C4568"/>
    <w:rsid w:val="008C54A7"/>
    <w:rsid w:val="008C5610"/>
    <w:rsid w:val="008C5739"/>
    <w:rsid w:val="008C6865"/>
    <w:rsid w:val="008C7282"/>
    <w:rsid w:val="008C7ECB"/>
    <w:rsid w:val="008D0173"/>
    <w:rsid w:val="008D1A09"/>
    <w:rsid w:val="008D1B6E"/>
    <w:rsid w:val="008D3144"/>
    <w:rsid w:val="008D3B86"/>
    <w:rsid w:val="008D43FD"/>
    <w:rsid w:val="008D4755"/>
    <w:rsid w:val="008D4C3D"/>
    <w:rsid w:val="008D50F3"/>
    <w:rsid w:val="008D743C"/>
    <w:rsid w:val="008D7731"/>
    <w:rsid w:val="008E07B1"/>
    <w:rsid w:val="008E0D3C"/>
    <w:rsid w:val="008E0E05"/>
    <w:rsid w:val="008E1B9E"/>
    <w:rsid w:val="008E35B4"/>
    <w:rsid w:val="008E4D7A"/>
    <w:rsid w:val="008E4D94"/>
    <w:rsid w:val="008E54B0"/>
    <w:rsid w:val="008E55AB"/>
    <w:rsid w:val="008E6084"/>
    <w:rsid w:val="008E7A90"/>
    <w:rsid w:val="008F120A"/>
    <w:rsid w:val="008F1D58"/>
    <w:rsid w:val="008F21F0"/>
    <w:rsid w:val="008F22F6"/>
    <w:rsid w:val="008F27E0"/>
    <w:rsid w:val="008F2817"/>
    <w:rsid w:val="008F3E77"/>
    <w:rsid w:val="008F48EB"/>
    <w:rsid w:val="008F49FB"/>
    <w:rsid w:val="008F4B1E"/>
    <w:rsid w:val="008F4F0B"/>
    <w:rsid w:val="008F5DED"/>
    <w:rsid w:val="009007BC"/>
    <w:rsid w:val="009012FA"/>
    <w:rsid w:val="00901E1D"/>
    <w:rsid w:val="00901EC8"/>
    <w:rsid w:val="0090307E"/>
    <w:rsid w:val="00903F40"/>
    <w:rsid w:val="00904548"/>
    <w:rsid w:val="009046C4"/>
    <w:rsid w:val="009060D5"/>
    <w:rsid w:val="009062A5"/>
    <w:rsid w:val="00906984"/>
    <w:rsid w:val="00907699"/>
    <w:rsid w:val="0091006C"/>
    <w:rsid w:val="00910CFD"/>
    <w:rsid w:val="00910FA7"/>
    <w:rsid w:val="009111D2"/>
    <w:rsid w:val="00911272"/>
    <w:rsid w:val="00911339"/>
    <w:rsid w:val="009135D6"/>
    <w:rsid w:val="00913A41"/>
    <w:rsid w:val="009145C1"/>
    <w:rsid w:val="00914C77"/>
    <w:rsid w:val="00914EEA"/>
    <w:rsid w:val="00916694"/>
    <w:rsid w:val="00921ACB"/>
    <w:rsid w:val="0092369B"/>
    <w:rsid w:val="0092424B"/>
    <w:rsid w:val="009242A6"/>
    <w:rsid w:val="00924EAC"/>
    <w:rsid w:val="00925B88"/>
    <w:rsid w:val="0092708E"/>
    <w:rsid w:val="00927218"/>
    <w:rsid w:val="009277E7"/>
    <w:rsid w:val="00930ECF"/>
    <w:rsid w:val="0093168B"/>
    <w:rsid w:val="00932450"/>
    <w:rsid w:val="009329B0"/>
    <w:rsid w:val="00934477"/>
    <w:rsid w:val="00934988"/>
    <w:rsid w:val="009353AF"/>
    <w:rsid w:val="00937089"/>
    <w:rsid w:val="009404B9"/>
    <w:rsid w:val="00941CEE"/>
    <w:rsid w:val="00941F0D"/>
    <w:rsid w:val="00942C09"/>
    <w:rsid w:val="00942ED1"/>
    <w:rsid w:val="00944871"/>
    <w:rsid w:val="00944F8A"/>
    <w:rsid w:val="00945F58"/>
    <w:rsid w:val="00946791"/>
    <w:rsid w:val="009508A1"/>
    <w:rsid w:val="009510A2"/>
    <w:rsid w:val="00951742"/>
    <w:rsid w:val="00953257"/>
    <w:rsid w:val="00953DF1"/>
    <w:rsid w:val="009542DE"/>
    <w:rsid w:val="009545B2"/>
    <w:rsid w:val="0095474C"/>
    <w:rsid w:val="009549FE"/>
    <w:rsid w:val="00955C60"/>
    <w:rsid w:val="00955F30"/>
    <w:rsid w:val="00955F8A"/>
    <w:rsid w:val="0095622F"/>
    <w:rsid w:val="009564F2"/>
    <w:rsid w:val="00956D1C"/>
    <w:rsid w:val="00957D92"/>
    <w:rsid w:val="0096097C"/>
    <w:rsid w:val="00960D7C"/>
    <w:rsid w:val="009617C3"/>
    <w:rsid w:val="009628AF"/>
    <w:rsid w:val="00962CB9"/>
    <w:rsid w:val="00964312"/>
    <w:rsid w:val="009644B8"/>
    <w:rsid w:val="00965B8A"/>
    <w:rsid w:val="00966378"/>
    <w:rsid w:val="00966738"/>
    <w:rsid w:val="00966AA3"/>
    <w:rsid w:val="00966F23"/>
    <w:rsid w:val="0096737B"/>
    <w:rsid w:val="0097061F"/>
    <w:rsid w:val="0097071F"/>
    <w:rsid w:val="009717AC"/>
    <w:rsid w:val="00972377"/>
    <w:rsid w:val="009729D5"/>
    <w:rsid w:val="00973AE7"/>
    <w:rsid w:val="009751C1"/>
    <w:rsid w:val="00975586"/>
    <w:rsid w:val="00976523"/>
    <w:rsid w:val="009766B0"/>
    <w:rsid w:val="0097712D"/>
    <w:rsid w:val="009811F1"/>
    <w:rsid w:val="00982C0B"/>
    <w:rsid w:val="00983E57"/>
    <w:rsid w:val="00985DE2"/>
    <w:rsid w:val="0098675D"/>
    <w:rsid w:val="009870CA"/>
    <w:rsid w:val="00987BA4"/>
    <w:rsid w:val="009926E0"/>
    <w:rsid w:val="009929E4"/>
    <w:rsid w:val="00993634"/>
    <w:rsid w:val="00993EE6"/>
    <w:rsid w:val="00993F7E"/>
    <w:rsid w:val="0099451E"/>
    <w:rsid w:val="00996B1A"/>
    <w:rsid w:val="00996B20"/>
    <w:rsid w:val="00996EAA"/>
    <w:rsid w:val="00997C55"/>
    <w:rsid w:val="009A0FA0"/>
    <w:rsid w:val="009A16DE"/>
    <w:rsid w:val="009A18F6"/>
    <w:rsid w:val="009A2266"/>
    <w:rsid w:val="009A2442"/>
    <w:rsid w:val="009A2DCC"/>
    <w:rsid w:val="009A35F2"/>
    <w:rsid w:val="009A5ABC"/>
    <w:rsid w:val="009A5C24"/>
    <w:rsid w:val="009A62E6"/>
    <w:rsid w:val="009A6EBC"/>
    <w:rsid w:val="009A7632"/>
    <w:rsid w:val="009A78AB"/>
    <w:rsid w:val="009A7F10"/>
    <w:rsid w:val="009B0D20"/>
    <w:rsid w:val="009B0E3A"/>
    <w:rsid w:val="009B18AD"/>
    <w:rsid w:val="009B1EDF"/>
    <w:rsid w:val="009B2BCC"/>
    <w:rsid w:val="009B30CB"/>
    <w:rsid w:val="009B30D7"/>
    <w:rsid w:val="009B3E26"/>
    <w:rsid w:val="009B4B69"/>
    <w:rsid w:val="009B5189"/>
    <w:rsid w:val="009B553E"/>
    <w:rsid w:val="009B5BAC"/>
    <w:rsid w:val="009C000A"/>
    <w:rsid w:val="009C039F"/>
    <w:rsid w:val="009C06B4"/>
    <w:rsid w:val="009C1271"/>
    <w:rsid w:val="009C2604"/>
    <w:rsid w:val="009C27A0"/>
    <w:rsid w:val="009C28B3"/>
    <w:rsid w:val="009C2E23"/>
    <w:rsid w:val="009C33CE"/>
    <w:rsid w:val="009C36E6"/>
    <w:rsid w:val="009C3706"/>
    <w:rsid w:val="009C3A3A"/>
    <w:rsid w:val="009C5AC8"/>
    <w:rsid w:val="009C6893"/>
    <w:rsid w:val="009C6CEA"/>
    <w:rsid w:val="009C762C"/>
    <w:rsid w:val="009C7B85"/>
    <w:rsid w:val="009C7DC0"/>
    <w:rsid w:val="009C7E42"/>
    <w:rsid w:val="009D0254"/>
    <w:rsid w:val="009D112D"/>
    <w:rsid w:val="009D1A64"/>
    <w:rsid w:val="009D37E3"/>
    <w:rsid w:val="009D3A4A"/>
    <w:rsid w:val="009D3FC5"/>
    <w:rsid w:val="009D41D8"/>
    <w:rsid w:val="009D4E6C"/>
    <w:rsid w:val="009D5120"/>
    <w:rsid w:val="009D5B91"/>
    <w:rsid w:val="009D664B"/>
    <w:rsid w:val="009D6791"/>
    <w:rsid w:val="009D6997"/>
    <w:rsid w:val="009D6B36"/>
    <w:rsid w:val="009D706E"/>
    <w:rsid w:val="009D792E"/>
    <w:rsid w:val="009E0244"/>
    <w:rsid w:val="009E0DFE"/>
    <w:rsid w:val="009E0FA5"/>
    <w:rsid w:val="009E305E"/>
    <w:rsid w:val="009E31F6"/>
    <w:rsid w:val="009E35D3"/>
    <w:rsid w:val="009E372D"/>
    <w:rsid w:val="009E3B0F"/>
    <w:rsid w:val="009E4C07"/>
    <w:rsid w:val="009E4D1F"/>
    <w:rsid w:val="009E6AE1"/>
    <w:rsid w:val="009E6C5A"/>
    <w:rsid w:val="009E7049"/>
    <w:rsid w:val="009E73E4"/>
    <w:rsid w:val="009E777F"/>
    <w:rsid w:val="009F074D"/>
    <w:rsid w:val="009F2282"/>
    <w:rsid w:val="009F2AE4"/>
    <w:rsid w:val="009F306C"/>
    <w:rsid w:val="009F3733"/>
    <w:rsid w:val="009F395D"/>
    <w:rsid w:val="009F6120"/>
    <w:rsid w:val="00A00526"/>
    <w:rsid w:val="00A00D76"/>
    <w:rsid w:val="00A00EF0"/>
    <w:rsid w:val="00A00FB9"/>
    <w:rsid w:val="00A01184"/>
    <w:rsid w:val="00A01243"/>
    <w:rsid w:val="00A01449"/>
    <w:rsid w:val="00A0145B"/>
    <w:rsid w:val="00A037C2"/>
    <w:rsid w:val="00A03D43"/>
    <w:rsid w:val="00A04380"/>
    <w:rsid w:val="00A04786"/>
    <w:rsid w:val="00A04F57"/>
    <w:rsid w:val="00A05472"/>
    <w:rsid w:val="00A05C32"/>
    <w:rsid w:val="00A0653F"/>
    <w:rsid w:val="00A06EEE"/>
    <w:rsid w:val="00A06F9B"/>
    <w:rsid w:val="00A07355"/>
    <w:rsid w:val="00A073BC"/>
    <w:rsid w:val="00A07BE2"/>
    <w:rsid w:val="00A10D48"/>
    <w:rsid w:val="00A11CD0"/>
    <w:rsid w:val="00A1366A"/>
    <w:rsid w:val="00A13948"/>
    <w:rsid w:val="00A13AB5"/>
    <w:rsid w:val="00A14817"/>
    <w:rsid w:val="00A1555B"/>
    <w:rsid w:val="00A155C5"/>
    <w:rsid w:val="00A15D1E"/>
    <w:rsid w:val="00A16110"/>
    <w:rsid w:val="00A16AD8"/>
    <w:rsid w:val="00A16B44"/>
    <w:rsid w:val="00A16E2F"/>
    <w:rsid w:val="00A1746D"/>
    <w:rsid w:val="00A2021E"/>
    <w:rsid w:val="00A204D2"/>
    <w:rsid w:val="00A20F37"/>
    <w:rsid w:val="00A21C95"/>
    <w:rsid w:val="00A21CF3"/>
    <w:rsid w:val="00A22CDE"/>
    <w:rsid w:val="00A22DD1"/>
    <w:rsid w:val="00A24813"/>
    <w:rsid w:val="00A251FD"/>
    <w:rsid w:val="00A27AEC"/>
    <w:rsid w:val="00A31692"/>
    <w:rsid w:val="00A320DB"/>
    <w:rsid w:val="00A3324A"/>
    <w:rsid w:val="00A33AB6"/>
    <w:rsid w:val="00A33CE8"/>
    <w:rsid w:val="00A34E67"/>
    <w:rsid w:val="00A35D16"/>
    <w:rsid w:val="00A36D24"/>
    <w:rsid w:val="00A36EB1"/>
    <w:rsid w:val="00A37BCD"/>
    <w:rsid w:val="00A400F7"/>
    <w:rsid w:val="00A4040B"/>
    <w:rsid w:val="00A4049E"/>
    <w:rsid w:val="00A404F8"/>
    <w:rsid w:val="00A40FE3"/>
    <w:rsid w:val="00A41689"/>
    <w:rsid w:val="00A4249E"/>
    <w:rsid w:val="00A42592"/>
    <w:rsid w:val="00A42851"/>
    <w:rsid w:val="00A43411"/>
    <w:rsid w:val="00A43C59"/>
    <w:rsid w:val="00A50ECD"/>
    <w:rsid w:val="00A518F3"/>
    <w:rsid w:val="00A526DD"/>
    <w:rsid w:val="00A52729"/>
    <w:rsid w:val="00A53348"/>
    <w:rsid w:val="00A53391"/>
    <w:rsid w:val="00A5355D"/>
    <w:rsid w:val="00A53675"/>
    <w:rsid w:val="00A5403C"/>
    <w:rsid w:val="00A5602B"/>
    <w:rsid w:val="00A56179"/>
    <w:rsid w:val="00A564D7"/>
    <w:rsid w:val="00A56B6A"/>
    <w:rsid w:val="00A578DC"/>
    <w:rsid w:val="00A60B02"/>
    <w:rsid w:val="00A6258F"/>
    <w:rsid w:val="00A62F76"/>
    <w:rsid w:val="00A63ABA"/>
    <w:rsid w:val="00A640E2"/>
    <w:rsid w:val="00A647A3"/>
    <w:rsid w:val="00A64D65"/>
    <w:rsid w:val="00A6725B"/>
    <w:rsid w:val="00A67B71"/>
    <w:rsid w:val="00A70605"/>
    <w:rsid w:val="00A70870"/>
    <w:rsid w:val="00A70942"/>
    <w:rsid w:val="00A70BE5"/>
    <w:rsid w:val="00A71764"/>
    <w:rsid w:val="00A72598"/>
    <w:rsid w:val="00A73134"/>
    <w:rsid w:val="00A7365A"/>
    <w:rsid w:val="00A736FA"/>
    <w:rsid w:val="00A74F92"/>
    <w:rsid w:val="00A752C8"/>
    <w:rsid w:val="00A76001"/>
    <w:rsid w:val="00A762A2"/>
    <w:rsid w:val="00A76CCE"/>
    <w:rsid w:val="00A7740A"/>
    <w:rsid w:val="00A77662"/>
    <w:rsid w:val="00A777B2"/>
    <w:rsid w:val="00A802C0"/>
    <w:rsid w:val="00A80A36"/>
    <w:rsid w:val="00A8153F"/>
    <w:rsid w:val="00A81B38"/>
    <w:rsid w:val="00A825D4"/>
    <w:rsid w:val="00A828F6"/>
    <w:rsid w:val="00A82AAF"/>
    <w:rsid w:val="00A82B73"/>
    <w:rsid w:val="00A82D41"/>
    <w:rsid w:val="00A8308A"/>
    <w:rsid w:val="00A84458"/>
    <w:rsid w:val="00A850ED"/>
    <w:rsid w:val="00A861F6"/>
    <w:rsid w:val="00A8648C"/>
    <w:rsid w:val="00A86E8B"/>
    <w:rsid w:val="00A87164"/>
    <w:rsid w:val="00A871A9"/>
    <w:rsid w:val="00A876E1"/>
    <w:rsid w:val="00A87B88"/>
    <w:rsid w:val="00A90907"/>
    <w:rsid w:val="00A90C7F"/>
    <w:rsid w:val="00A90D05"/>
    <w:rsid w:val="00A93072"/>
    <w:rsid w:val="00A938BD"/>
    <w:rsid w:val="00A93953"/>
    <w:rsid w:val="00A959D8"/>
    <w:rsid w:val="00A96135"/>
    <w:rsid w:val="00A96AEA"/>
    <w:rsid w:val="00AA079F"/>
    <w:rsid w:val="00AA113D"/>
    <w:rsid w:val="00AA3225"/>
    <w:rsid w:val="00AA405E"/>
    <w:rsid w:val="00AA610E"/>
    <w:rsid w:val="00AA6BD5"/>
    <w:rsid w:val="00AA6BD8"/>
    <w:rsid w:val="00AA6BF8"/>
    <w:rsid w:val="00AA6C7D"/>
    <w:rsid w:val="00AA7A98"/>
    <w:rsid w:val="00AA7ACA"/>
    <w:rsid w:val="00AA7FD6"/>
    <w:rsid w:val="00AB026F"/>
    <w:rsid w:val="00AB042A"/>
    <w:rsid w:val="00AB11AD"/>
    <w:rsid w:val="00AB19EF"/>
    <w:rsid w:val="00AB2224"/>
    <w:rsid w:val="00AB2495"/>
    <w:rsid w:val="00AB29B4"/>
    <w:rsid w:val="00AB2D34"/>
    <w:rsid w:val="00AB3430"/>
    <w:rsid w:val="00AB37B9"/>
    <w:rsid w:val="00AB46C0"/>
    <w:rsid w:val="00AB4AD1"/>
    <w:rsid w:val="00AB5E07"/>
    <w:rsid w:val="00AB636B"/>
    <w:rsid w:val="00AB6781"/>
    <w:rsid w:val="00AB7CFA"/>
    <w:rsid w:val="00AB7E5E"/>
    <w:rsid w:val="00AC060A"/>
    <w:rsid w:val="00AC22A4"/>
    <w:rsid w:val="00AC2BB2"/>
    <w:rsid w:val="00AC31D6"/>
    <w:rsid w:val="00AC4566"/>
    <w:rsid w:val="00AC5B42"/>
    <w:rsid w:val="00AC5B48"/>
    <w:rsid w:val="00AC5DED"/>
    <w:rsid w:val="00AC7201"/>
    <w:rsid w:val="00AD1450"/>
    <w:rsid w:val="00AD15E8"/>
    <w:rsid w:val="00AD2D60"/>
    <w:rsid w:val="00AD356D"/>
    <w:rsid w:val="00AD4391"/>
    <w:rsid w:val="00AD487C"/>
    <w:rsid w:val="00AD5B57"/>
    <w:rsid w:val="00AD6502"/>
    <w:rsid w:val="00AD6B9D"/>
    <w:rsid w:val="00AD7350"/>
    <w:rsid w:val="00AD74C3"/>
    <w:rsid w:val="00AD7520"/>
    <w:rsid w:val="00AD7779"/>
    <w:rsid w:val="00AD7BFF"/>
    <w:rsid w:val="00AE0695"/>
    <w:rsid w:val="00AE0EF4"/>
    <w:rsid w:val="00AE3E7E"/>
    <w:rsid w:val="00AE596D"/>
    <w:rsid w:val="00AE675E"/>
    <w:rsid w:val="00AE7779"/>
    <w:rsid w:val="00AE7E53"/>
    <w:rsid w:val="00AF0BD5"/>
    <w:rsid w:val="00AF1315"/>
    <w:rsid w:val="00AF19BF"/>
    <w:rsid w:val="00AF2C20"/>
    <w:rsid w:val="00AF2DC3"/>
    <w:rsid w:val="00AF3463"/>
    <w:rsid w:val="00AF3478"/>
    <w:rsid w:val="00AF38D9"/>
    <w:rsid w:val="00AF3934"/>
    <w:rsid w:val="00AF3C34"/>
    <w:rsid w:val="00AF520A"/>
    <w:rsid w:val="00AF5A98"/>
    <w:rsid w:val="00AF5D36"/>
    <w:rsid w:val="00AF5EF4"/>
    <w:rsid w:val="00AF66DC"/>
    <w:rsid w:val="00AF73B5"/>
    <w:rsid w:val="00AF7691"/>
    <w:rsid w:val="00AF78FE"/>
    <w:rsid w:val="00B00119"/>
    <w:rsid w:val="00B00718"/>
    <w:rsid w:val="00B0114F"/>
    <w:rsid w:val="00B02445"/>
    <w:rsid w:val="00B02835"/>
    <w:rsid w:val="00B02A42"/>
    <w:rsid w:val="00B033E5"/>
    <w:rsid w:val="00B03A63"/>
    <w:rsid w:val="00B03B77"/>
    <w:rsid w:val="00B049D5"/>
    <w:rsid w:val="00B04CE3"/>
    <w:rsid w:val="00B05691"/>
    <w:rsid w:val="00B074B4"/>
    <w:rsid w:val="00B076C7"/>
    <w:rsid w:val="00B07F8C"/>
    <w:rsid w:val="00B10903"/>
    <w:rsid w:val="00B111AC"/>
    <w:rsid w:val="00B11BC6"/>
    <w:rsid w:val="00B129A4"/>
    <w:rsid w:val="00B12E27"/>
    <w:rsid w:val="00B12E57"/>
    <w:rsid w:val="00B14E24"/>
    <w:rsid w:val="00B1538E"/>
    <w:rsid w:val="00B166E9"/>
    <w:rsid w:val="00B17FC5"/>
    <w:rsid w:val="00B201A4"/>
    <w:rsid w:val="00B201D1"/>
    <w:rsid w:val="00B20540"/>
    <w:rsid w:val="00B2078C"/>
    <w:rsid w:val="00B207EF"/>
    <w:rsid w:val="00B210AA"/>
    <w:rsid w:val="00B213A6"/>
    <w:rsid w:val="00B22B80"/>
    <w:rsid w:val="00B23355"/>
    <w:rsid w:val="00B235B0"/>
    <w:rsid w:val="00B240A9"/>
    <w:rsid w:val="00B24DF6"/>
    <w:rsid w:val="00B2537C"/>
    <w:rsid w:val="00B2724E"/>
    <w:rsid w:val="00B27A61"/>
    <w:rsid w:val="00B27F21"/>
    <w:rsid w:val="00B30947"/>
    <w:rsid w:val="00B30986"/>
    <w:rsid w:val="00B30B0B"/>
    <w:rsid w:val="00B3328D"/>
    <w:rsid w:val="00B3473A"/>
    <w:rsid w:val="00B34FE2"/>
    <w:rsid w:val="00B3515A"/>
    <w:rsid w:val="00B35166"/>
    <w:rsid w:val="00B357D8"/>
    <w:rsid w:val="00B360F4"/>
    <w:rsid w:val="00B36A00"/>
    <w:rsid w:val="00B36D53"/>
    <w:rsid w:val="00B3792B"/>
    <w:rsid w:val="00B37BFC"/>
    <w:rsid w:val="00B40358"/>
    <w:rsid w:val="00B40E61"/>
    <w:rsid w:val="00B41614"/>
    <w:rsid w:val="00B41745"/>
    <w:rsid w:val="00B41BC9"/>
    <w:rsid w:val="00B42040"/>
    <w:rsid w:val="00B4220E"/>
    <w:rsid w:val="00B42851"/>
    <w:rsid w:val="00B4298C"/>
    <w:rsid w:val="00B42E48"/>
    <w:rsid w:val="00B42F80"/>
    <w:rsid w:val="00B435CB"/>
    <w:rsid w:val="00B44C34"/>
    <w:rsid w:val="00B465EC"/>
    <w:rsid w:val="00B46DF8"/>
    <w:rsid w:val="00B4739D"/>
    <w:rsid w:val="00B477B7"/>
    <w:rsid w:val="00B47EE1"/>
    <w:rsid w:val="00B505C8"/>
    <w:rsid w:val="00B50610"/>
    <w:rsid w:val="00B50DB8"/>
    <w:rsid w:val="00B52A7C"/>
    <w:rsid w:val="00B5319F"/>
    <w:rsid w:val="00B532E0"/>
    <w:rsid w:val="00B53409"/>
    <w:rsid w:val="00B53654"/>
    <w:rsid w:val="00B5370E"/>
    <w:rsid w:val="00B53905"/>
    <w:rsid w:val="00B53AB0"/>
    <w:rsid w:val="00B53B26"/>
    <w:rsid w:val="00B546DB"/>
    <w:rsid w:val="00B54B5B"/>
    <w:rsid w:val="00B55629"/>
    <w:rsid w:val="00B5562E"/>
    <w:rsid w:val="00B55862"/>
    <w:rsid w:val="00B55D65"/>
    <w:rsid w:val="00B56305"/>
    <w:rsid w:val="00B57000"/>
    <w:rsid w:val="00B57103"/>
    <w:rsid w:val="00B571A2"/>
    <w:rsid w:val="00B6025E"/>
    <w:rsid w:val="00B60939"/>
    <w:rsid w:val="00B60AFD"/>
    <w:rsid w:val="00B6171B"/>
    <w:rsid w:val="00B62715"/>
    <w:rsid w:val="00B62790"/>
    <w:rsid w:val="00B64B80"/>
    <w:rsid w:val="00B65370"/>
    <w:rsid w:val="00B65611"/>
    <w:rsid w:val="00B6569C"/>
    <w:rsid w:val="00B65916"/>
    <w:rsid w:val="00B65AE6"/>
    <w:rsid w:val="00B6640C"/>
    <w:rsid w:val="00B666C6"/>
    <w:rsid w:val="00B66933"/>
    <w:rsid w:val="00B66BDA"/>
    <w:rsid w:val="00B674C3"/>
    <w:rsid w:val="00B67BA9"/>
    <w:rsid w:val="00B70E8E"/>
    <w:rsid w:val="00B70FB5"/>
    <w:rsid w:val="00B71094"/>
    <w:rsid w:val="00B7126D"/>
    <w:rsid w:val="00B71374"/>
    <w:rsid w:val="00B72240"/>
    <w:rsid w:val="00B7312E"/>
    <w:rsid w:val="00B73BC3"/>
    <w:rsid w:val="00B758E2"/>
    <w:rsid w:val="00B75910"/>
    <w:rsid w:val="00B75BE2"/>
    <w:rsid w:val="00B75C64"/>
    <w:rsid w:val="00B75CE4"/>
    <w:rsid w:val="00B76B91"/>
    <w:rsid w:val="00B76C92"/>
    <w:rsid w:val="00B77B35"/>
    <w:rsid w:val="00B77B96"/>
    <w:rsid w:val="00B80EFD"/>
    <w:rsid w:val="00B810C6"/>
    <w:rsid w:val="00B818A4"/>
    <w:rsid w:val="00B832F5"/>
    <w:rsid w:val="00B83739"/>
    <w:rsid w:val="00B83B23"/>
    <w:rsid w:val="00B84117"/>
    <w:rsid w:val="00B858F0"/>
    <w:rsid w:val="00B85AA2"/>
    <w:rsid w:val="00B8649C"/>
    <w:rsid w:val="00B86724"/>
    <w:rsid w:val="00B8695D"/>
    <w:rsid w:val="00B86C66"/>
    <w:rsid w:val="00B87F0A"/>
    <w:rsid w:val="00B923F7"/>
    <w:rsid w:val="00B92D0B"/>
    <w:rsid w:val="00B93441"/>
    <w:rsid w:val="00B9477B"/>
    <w:rsid w:val="00B94945"/>
    <w:rsid w:val="00B94DD6"/>
    <w:rsid w:val="00B959E1"/>
    <w:rsid w:val="00B96419"/>
    <w:rsid w:val="00B968B3"/>
    <w:rsid w:val="00BA0861"/>
    <w:rsid w:val="00BA0CD9"/>
    <w:rsid w:val="00BA322D"/>
    <w:rsid w:val="00BA4373"/>
    <w:rsid w:val="00BA63FA"/>
    <w:rsid w:val="00BB00B3"/>
    <w:rsid w:val="00BB0BDD"/>
    <w:rsid w:val="00BB176C"/>
    <w:rsid w:val="00BB2A73"/>
    <w:rsid w:val="00BB2DA7"/>
    <w:rsid w:val="00BB3211"/>
    <w:rsid w:val="00BB3A45"/>
    <w:rsid w:val="00BB4ACC"/>
    <w:rsid w:val="00BB4C4C"/>
    <w:rsid w:val="00BB4E33"/>
    <w:rsid w:val="00BB4EEF"/>
    <w:rsid w:val="00BB5281"/>
    <w:rsid w:val="00BB53E8"/>
    <w:rsid w:val="00BB703E"/>
    <w:rsid w:val="00BB732D"/>
    <w:rsid w:val="00BB7405"/>
    <w:rsid w:val="00BC0B6F"/>
    <w:rsid w:val="00BC1D82"/>
    <w:rsid w:val="00BC2D1E"/>
    <w:rsid w:val="00BC3631"/>
    <w:rsid w:val="00BC591F"/>
    <w:rsid w:val="00BC6F7B"/>
    <w:rsid w:val="00BC724B"/>
    <w:rsid w:val="00BC7D6D"/>
    <w:rsid w:val="00BD0313"/>
    <w:rsid w:val="00BD0DAC"/>
    <w:rsid w:val="00BD1BFA"/>
    <w:rsid w:val="00BD2108"/>
    <w:rsid w:val="00BD27DD"/>
    <w:rsid w:val="00BD374C"/>
    <w:rsid w:val="00BD48EA"/>
    <w:rsid w:val="00BD68A3"/>
    <w:rsid w:val="00BD6938"/>
    <w:rsid w:val="00BD6CF3"/>
    <w:rsid w:val="00BD7F72"/>
    <w:rsid w:val="00BE0ECA"/>
    <w:rsid w:val="00BE1AA8"/>
    <w:rsid w:val="00BE2180"/>
    <w:rsid w:val="00BE21F2"/>
    <w:rsid w:val="00BE2550"/>
    <w:rsid w:val="00BE4275"/>
    <w:rsid w:val="00BE466A"/>
    <w:rsid w:val="00BE4CF2"/>
    <w:rsid w:val="00BE62A8"/>
    <w:rsid w:val="00BE62E0"/>
    <w:rsid w:val="00BF06AE"/>
    <w:rsid w:val="00BF0F95"/>
    <w:rsid w:val="00BF2433"/>
    <w:rsid w:val="00BF284A"/>
    <w:rsid w:val="00BF2A87"/>
    <w:rsid w:val="00BF2E6E"/>
    <w:rsid w:val="00BF2FFB"/>
    <w:rsid w:val="00BF5138"/>
    <w:rsid w:val="00BF55BB"/>
    <w:rsid w:val="00BF5F97"/>
    <w:rsid w:val="00BF61C9"/>
    <w:rsid w:val="00BF6331"/>
    <w:rsid w:val="00BF677F"/>
    <w:rsid w:val="00BF6C94"/>
    <w:rsid w:val="00BF72AF"/>
    <w:rsid w:val="00BF7EC0"/>
    <w:rsid w:val="00C002C0"/>
    <w:rsid w:val="00C00424"/>
    <w:rsid w:val="00C00BB0"/>
    <w:rsid w:val="00C016E0"/>
    <w:rsid w:val="00C01EAA"/>
    <w:rsid w:val="00C02000"/>
    <w:rsid w:val="00C03C50"/>
    <w:rsid w:val="00C03F4F"/>
    <w:rsid w:val="00C042D3"/>
    <w:rsid w:val="00C04E37"/>
    <w:rsid w:val="00C070F0"/>
    <w:rsid w:val="00C103EE"/>
    <w:rsid w:val="00C1179F"/>
    <w:rsid w:val="00C127B9"/>
    <w:rsid w:val="00C128FA"/>
    <w:rsid w:val="00C12C14"/>
    <w:rsid w:val="00C14112"/>
    <w:rsid w:val="00C145AF"/>
    <w:rsid w:val="00C15F04"/>
    <w:rsid w:val="00C169E0"/>
    <w:rsid w:val="00C172BF"/>
    <w:rsid w:val="00C179B3"/>
    <w:rsid w:val="00C17B0F"/>
    <w:rsid w:val="00C17E3F"/>
    <w:rsid w:val="00C200AA"/>
    <w:rsid w:val="00C22249"/>
    <w:rsid w:val="00C2336F"/>
    <w:rsid w:val="00C237ED"/>
    <w:rsid w:val="00C240DE"/>
    <w:rsid w:val="00C24632"/>
    <w:rsid w:val="00C24C09"/>
    <w:rsid w:val="00C25418"/>
    <w:rsid w:val="00C2595B"/>
    <w:rsid w:val="00C25D9C"/>
    <w:rsid w:val="00C2778B"/>
    <w:rsid w:val="00C31649"/>
    <w:rsid w:val="00C3228B"/>
    <w:rsid w:val="00C33259"/>
    <w:rsid w:val="00C3434C"/>
    <w:rsid w:val="00C34641"/>
    <w:rsid w:val="00C346B6"/>
    <w:rsid w:val="00C346C8"/>
    <w:rsid w:val="00C36D21"/>
    <w:rsid w:val="00C40385"/>
    <w:rsid w:val="00C405D5"/>
    <w:rsid w:val="00C4135D"/>
    <w:rsid w:val="00C41768"/>
    <w:rsid w:val="00C41ECE"/>
    <w:rsid w:val="00C4345F"/>
    <w:rsid w:val="00C43C45"/>
    <w:rsid w:val="00C43EF5"/>
    <w:rsid w:val="00C43F5B"/>
    <w:rsid w:val="00C44242"/>
    <w:rsid w:val="00C46671"/>
    <w:rsid w:val="00C475AA"/>
    <w:rsid w:val="00C476A1"/>
    <w:rsid w:val="00C47EA4"/>
    <w:rsid w:val="00C527C7"/>
    <w:rsid w:val="00C53C98"/>
    <w:rsid w:val="00C54685"/>
    <w:rsid w:val="00C56FCF"/>
    <w:rsid w:val="00C57B6C"/>
    <w:rsid w:val="00C60120"/>
    <w:rsid w:val="00C60B73"/>
    <w:rsid w:val="00C60C89"/>
    <w:rsid w:val="00C61A59"/>
    <w:rsid w:val="00C628A6"/>
    <w:rsid w:val="00C62C18"/>
    <w:rsid w:val="00C63A44"/>
    <w:rsid w:val="00C63B94"/>
    <w:rsid w:val="00C64344"/>
    <w:rsid w:val="00C64D1D"/>
    <w:rsid w:val="00C65108"/>
    <w:rsid w:val="00C65354"/>
    <w:rsid w:val="00C65576"/>
    <w:rsid w:val="00C65B3C"/>
    <w:rsid w:val="00C66165"/>
    <w:rsid w:val="00C6667F"/>
    <w:rsid w:val="00C66F5E"/>
    <w:rsid w:val="00C67270"/>
    <w:rsid w:val="00C703F4"/>
    <w:rsid w:val="00C7060A"/>
    <w:rsid w:val="00C71282"/>
    <w:rsid w:val="00C7151A"/>
    <w:rsid w:val="00C717E3"/>
    <w:rsid w:val="00C71862"/>
    <w:rsid w:val="00C71CDA"/>
    <w:rsid w:val="00C71DC1"/>
    <w:rsid w:val="00C71ED0"/>
    <w:rsid w:val="00C71F60"/>
    <w:rsid w:val="00C72241"/>
    <w:rsid w:val="00C722BD"/>
    <w:rsid w:val="00C750C8"/>
    <w:rsid w:val="00C7560F"/>
    <w:rsid w:val="00C75B3B"/>
    <w:rsid w:val="00C75B51"/>
    <w:rsid w:val="00C77674"/>
    <w:rsid w:val="00C80381"/>
    <w:rsid w:val="00C80A0E"/>
    <w:rsid w:val="00C8213F"/>
    <w:rsid w:val="00C82BD6"/>
    <w:rsid w:val="00C8303F"/>
    <w:rsid w:val="00C834CC"/>
    <w:rsid w:val="00C85154"/>
    <w:rsid w:val="00C85A70"/>
    <w:rsid w:val="00C85C9A"/>
    <w:rsid w:val="00C8797A"/>
    <w:rsid w:val="00C900B8"/>
    <w:rsid w:val="00C90197"/>
    <w:rsid w:val="00C90C71"/>
    <w:rsid w:val="00C90E43"/>
    <w:rsid w:val="00C90F89"/>
    <w:rsid w:val="00C91FD1"/>
    <w:rsid w:val="00C931CF"/>
    <w:rsid w:val="00C938CF"/>
    <w:rsid w:val="00C94053"/>
    <w:rsid w:val="00C954BB"/>
    <w:rsid w:val="00C9624D"/>
    <w:rsid w:val="00C969DA"/>
    <w:rsid w:val="00CA10A1"/>
    <w:rsid w:val="00CA10F1"/>
    <w:rsid w:val="00CA17B6"/>
    <w:rsid w:val="00CA2C77"/>
    <w:rsid w:val="00CA444F"/>
    <w:rsid w:val="00CA45EC"/>
    <w:rsid w:val="00CA5245"/>
    <w:rsid w:val="00CA58D2"/>
    <w:rsid w:val="00CA670B"/>
    <w:rsid w:val="00CA6F13"/>
    <w:rsid w:val="00CA71F4"/>
    <w:rsid w:val="00CA7702"/>
    <w:rsid w:val="00CA7B09"/>
    <w:rsid w:val="00CB12A5"/>
    <w:rsid w:val="00CB1CAC"/>
    <w:rsid w:val="00CB1F86"/>
    <w:rsid w:val="00CB2F2A"/>
    <w:rsid w:val="00CB5360"/>
    <w:rsid w:val="00CB547D"/>
    <w:rsid w:val="00CB5927"/>
    <w:rsid w:val="00CB593D"/>
    <w:rsid w:val="00CB5B1A"/>
    <w:rsid w:val="00CB6150"/>
    <w:rsid w:val="00CB6332"/>
    <w:rsid w:val="00CB6B22"/>
    <w:rsid w:val="00CB6BD0"/>
    <w:rsid w:val="00CB7F5F"/>
    <w:rsid w:val="00CC1B39"/>
    <w:rsid w:val="00CC1BFA"/>
    <w:rsid w:val="00CC2E9F"/>
    <w:rsid w:val="00CC35EA"/>
    <w:rsid w:val="00CC3848"/>
    <w:rsid w:val="00CC5A21"/>
    <w:rsid w:val="00CC6D1B"/>
    <w:rsid w:val="00CC6D5E"/>
    <w:rsid w:val="00CD0200"/>
    <w:rsid w:val="00CD1E29"/>
    <w:rsid w:val="00CD260F"/>
    <w:rsid w:val="00CD2B2D"/>
    <w:rsid w:val="00CD2BD1"/>
    <w:rsid w:val="00CD2FB1"/>
    <w:rsid w:val="00CD379F"/>
    <w:rsid w:val="00CD380B"/>
    <w:rsid w:val="00CD3F77"/>
    <w:rsid w:val="00CD4B20"/>
    <w:rsid w:val="00CD6730"/>
    <w:rsid w:val="00CD6ADC"/>
    <w:rsid w:val="00CD7193"/>
    <w:rsid w:val="00CE0B70"/>
    <w:rsid w:val="00CE1844"/>
    <w:rsid w:val="00CE38C8"/>
    <w:rsid w:val="00CE3921"/>
    <w:rsid w:val="00CE524F"/>
    <w:rsid w:val="00CE58CC"/>
    <w:rsid w:val="00CE5D77"/>
    <w:rsid w:val="00CE6274"/>
    <w:rsid w:val="00CE7002"/>
    <w:rsid w:val="00CE77B6"/>
    <w:rsid w:val="00CE7E02"/>
    <w:rsid w:val="00CF2B8D"/>
    <w:rsid w:val="00CF30FC"/>
    <w:rsid w:val="00CF3A1B"/>
    <w:rsid w:val="00CF3F02"/>
    <w:rsid w:val="00CF456B"/>
    <w:rsid w:val="00CF5A22"/>
    <w:rsid w:val="00CF6627"/>
    <w:rsid w:val="00CF6D57"/>
    <w:rsid w:val="00D00B98"/>
    <w:rsid w:val="00D01D0A"/>
    <w:rsid w:val="00D01DB9"/>
    <w:rsid w:val="00D0262E"/>
    <w:rsid w:val="00D03390"/>
    <w:rsid w:val="00D03679"/>
    <w:rsid w:val="00D0497A"/>
    <w:rsid w:val="00D055AE"/>
    <w:rsid w:val="00D05E3D"/>
    <w:rsid w:val="00D06139"/>
    <w:rsid w:val="00D06971"/>
    <w:rsid w:val="00D07947"/>
    <w:rsid w:val="00D110BD"/>
    <w:rsid w:val="00D11B3E"/>
    <w:rsid w:val="00D13675"/>
    <w:rsid w:val="00D13884"/>
    <w:rsid w:val="00D141E1"/>
    <w:rsid w:val="00D147F3"/>
    <w:rsid w:val="00D14919"/>
    <w:rsid w:val="00D1519D"/>
    <w:rsid w:val="00D15314"/>
    <w:rsid w:val="00D15B48"/>
    <w:rsid w:val="00D163C9"/>
    <w:rsid w:val="00D16CAC"/>
    <w:rsid w:val="00D17D6C"/>
    <w:rsid w:val="00D2155B"/>
    <w:rsid w:val="00D2179E"/>
    <w:rsid w:val="00D2300E"/>
    <w:rsid w:val="00D23707"/>
    <w:rsid w:val="00D23D11"/>
    <w:rsid w:val="00D244B6"/>
    <w:rsid w:val="00D24BE9"/>
    <w:rsid w:val="00D2518A"/>
    <w:rsid w:val="00D27371"/>
    <w:rsid w:val="00D2754D"/>
    <w:rsid w:val="00D27B27"/>
    <w:rsid w:val="00D30D5B"/>
    <w:rsid w:val="00D31036"/>
    <w:rsid w:val="00D31215"/>
    <w:rsid w:val="00D318FD"/>
    <w:rsid w:val="00D3304A"/>
    <w:rsid w:val="00D33BE9"/>
    <w:rsid w:val="00D33F93"/>
    <w:rsid w:val="00D34DC7"/>
    <w:rsid w:val="00D34DF5"/>
    <w:rsid w:val="00D35211"/>
    <w:rsid w:val="00D3563C"/>
    <w:rsid w:val="00D357FF"/>
    <w:rsid w:val="00D36874"/>
    <w:rsid w:val="00D36F41"/>
    <w:rsid w:val="00D37C4C"/>
    <w:rsid w:val="00D410E4"/>
    <w:rsid w:val="00D4195E"/>
    <w:rsid w:val="00D424C7"/>
    <w:rsid w:val="00D4308A"/>
    <w:rsid w:val="00D4327E"/>
    <w:rsid w:val="00D43B2A"/>
    <w:rsid w:val="00D43CF1"/>
    <w:rsid w:val="00D43D13"/>
    <w:rsid w:val="00D43D83"/>
    <w:rsid w:val="00D44504"/>
    <w:rsid w:val="00D445B5"/>
    <w:rsid w:val="00D44FF6"/>
    <w:rsid w:val="00D4509A"/>
    <w:rsid w:val="00D45AE5"/>
    <w:rsid w:val="00D462E9"/>
    <w:rsid w:val="00D4631F"/>
    <w:rsid w:val="00D4717D"/>
    <w:rsid w:val="00D47575"/>
    <w:rsid w:val="00D50A3B"/>
    <w:rsid w:val="00D5187C"/>
    <w:rsid w:val="00D5243B"/>
    <w:rsid w:val="00D533EC"/>
    <w:rsid w:val="00D564CC"/>
    <w:rsid w:val="00D56A95"/>
    <w:rsid w:val="00D56AE4"/>
    <w:rsid w:val="00D60720"/>
    <w:rsid w:val="00D6076E"/>
    <w:rsid w:val="00D64AA3"/>
    <w:rsid w:val="00D64E62"/>
    <w:rsid w:val="00D6567B"/>
    <w:rsid w:val="00D65B6F"/>
    <w:rsid w:val="00D66051"/>
    <w:rsid w:val="00D661DB"/>
    <w:rsid w:val="00D664BE"/>
    <w:rsid w:val="00D66FF4"/>
    <w:rsid w:val="00D70F16"/>
    <w:rsid w:val="00D71C14"/>
    <w:rsid w:val="00D71D8B"/>
    <w:rsid w:val="00D71F9B"/>
    <w:rsid w:val="00D72147"/>
    <w:rsid w:val="00D72617"/>
    <w:rsid w:val="00D72F57"/>
    <w:rsid w:val="00D732C2"/>
    <w:rsid w:val="00D73A81"/>
    <w:rsid w:val="00D76A44"/>
    <w:rsid w:val="00D76E9F"/>
    <w:rsid w:val="00D8046E"/>
    <w:rsid w:val="00D80873"/>
    <w:rsid w:val="00D815EF"/>
    <w:rsid w:val="00D81949"/>
    <w:rsid w:val="00D81F26"/>
    <w:rsid w:val="00D822E2"/>
    <w:rsid w:val="00D833F0"/>
    <w:rsid w:val="00D843F2"/>
    <w:rsid w:val="00D84BD3"/>
    <w:rsid w:val="00D86231"/>
    <w:rsid w:val="00D912AB"/>
    <w:rsid w:val="00D91923"/>
    <w:rsid w:val="00D91C3D"/>
    <w:rsid w:val="00D91CA6"/>
    <w:rsid w:val="00D93753"/>
    <w:rsid w:val="00D945CD"/>
    <w:rsid w:val="00D94A30"/>
    <w:rsid w:val="00D94B54"/>
    <w:rsid w:val="00D94F92"/>
    <w:rsid w:val="00D96D9B"/>
    <w:rsid w:val="00D9784A"/>
    <w:rsid w:val="00DA2D7E"/>
    <w:rsid w:val="00DA3167"/>
    <w:rsid w:val="00DA3892"/>
    <w:rsid w:val="00DA3F79"/>
    <w:rsid w:val="00DA4162"/>
    <w:rsid w:val="00DA46AB"/>
    <w:rsid w:val="00DA4731"/>
    <w:rsid w:val="00DA4DC3"/>
    <w:rsid w:val="00DA6077"/>
    <w:rsid w:val="00DA65EE"/>
    <w:rsid w:val="00DA77A5"/>
    <w:rsid w:val="00DA7EE1"/>
    <w:rsid w:val="00DB0020"/>
    <w:rsid w:val="00DB03EE"/>
    <w:rsid w:val="00DB0857"/>
    <w:rsid w:val="00DB0E36"/>
    <w:rsid w:val="00DB37EF"/>
    <w:rsid w:val="00DB3C25"/>
    <w:rsid w:val="00DB3DBF"/>
    <w:rsid w:val="00DB4571"/>
    <w:rsid w:val="00DB484F"/>
    <w:rsid w:val="00DB5206"/>
    <w:rsid w:val="00DB7AD1"/>
    <w:rsid w:val="00DC031E"/>
    <w:rsid w:val="00DC04F6"/>
    <w:rsid w:val="00DC0690"/>
    <w:rsid w:val="00DC1D65"/>
    <w:rsid w:val="00DC2D90"/>
    <w:rsid w:val="00DC3C57"/>
    <w:rsid w:val="00DC3E63"/>
    <w:rsid w:val="00DC50D4"/>
    <w:rsid w:val="00DC52CB"/>
    <w:rsid w:val="00DC5501"/>
    <w:rsid w:val="00DC5B9E"/>
    <w:rsid w:val="00DC5DE4"/>
    <w:rsid w:val="00DC6220"/>
    <w:rsid w:val="00DC6481"/>
    <w:rsid w:val="00DC6930"/>
    <w:rsid w:val="00DC6A20"/>
    <w:rsid w:val="00DC7154"/>
    <w:rsid w:val="00DC7213"/>
    <w:rsid w:val="00DC7E8A"/>
    <w:rsid w:val="00DD0293"/>
    <w:rsid w:val="00DD06B7"/>
    <w:rsid w:val="00DD0A35"/>
    <w:rsid w:val="00DD0F78"/>
    <w:rsid w:val="00DD123B"/>
    <w:rsid w:val="00DD1C1F"/>
    <w:rsid w:val="00DD1F41"/>
    <w:rsid w:val="00DD20A6"/>
    <w:rsid w:val="00DD273C"/>
    <w:rsid w:val="00DD280E"/>
    <w:rsid w:val="00DD2839"/>
    <w:rsid w:val="00DD285B"/>
    <w:rsid w:val="00DD2B89"/>
    <w:rsid w:val="00DD3763"/>
    <w:rsid w:val="00DD3F28"/>
    <w:rsid w:val="00DD4446"/>
    <w:rsid w:val="00DD4537"/>
    <w:rsid w:val="00DD46AA"/>
    <w:rsid w:val="00DD4E15"/>
    <w:rsid w:val="00DE1961"/>
    <w:rsid w:val="00DE2304"/>
    <w:rsid w:val="00DE2354"/>
    <w:rsid w:val="00DE3138"/>
    <w:rsid w:val="00DE37F8"/>
    <w:rsid w:val="00DE41CB"/>
    <w:rsid w:val="00DE4273"/>
    <w:rsid w:val="00DE4FCB"/>
    <w:rsid w:val="00DE5D07"/>
    <w:rsid w:val="00DE6A05"/>
    <w:rsid w:val="00DE72A7"/>
    <w:rsid w:val="00DE7832"/>
    <w:rsid w:val="00DF01F9"/>
    <w:rsid w:val="00DF0825"/>
    <w:rsid w:val="00DF093A"/>
    <w:rsid w:val="00DF18FC"/>
    <w:rsid w:val="00DF5828"/>
    <w:rsid w:val="00DF5B1E"/>
    <w:rsid w:val="00DF5B67"/>
    <w:rsid w:val="00DF5D2B"/>
    <w:rsid w:val="00DF6276"/>
    <w:rsid w:val="00DF6341"/>
    <w:rsid w:val="00DF6462"/>
    <w:rsid w:val="00E00E8E"/>
    <w:rsid w:val="00E0212F"/>
    <w:rsid w:val="00E02474"/>
    <w:rsid w:val="00E02555"/>
    <w:rsid w:val="00E03731"/>
    <w:rsid w:val="00E04576"/>
    <w:rsid w:val="00E053CB"/>
    <w:rsid w:val="00E05630"/>
    <w:rsid w:val="00E05F61"/>
    <w:rsid w:val="00E06DBB"/>
    <w:rsid w:val="00E10149"/>
    <w:rsid w:val="00E1099E"/>
    <w:rsid w:val="00E11340"/>
    <w:rsid w:val="00E11818"/>
    <w:rsid w:val="00E122A1"/>
    <w:rsid w:val="00E12524"/>
    <w:rsid w:val="00E12799"/>
    <w:rsid w:val="00E16160"/>
    <w:rsid w:val="00E16372"/>
    <w:rsid w:val="00E16AD8"/>
    <w:rsid w:val="00E17127"/>
    <w:rsid w:val="00E17FFA"/>
    <w:rsid w:val="00E20774"/>
    <w:rsid w:val="00E20E4D"/>
    <w:rsid w:val="00E20ED6"/>
    <w:rsid w:val="00E20F57"/>
    <w:rsid w:val="00E21358"/>
    <w:rsid w:val="00E21717"/>
    <w:rsid w:val="00E2249B"/>
    <w:rsid w:val="00E22A0D"/>
    <w:rsid w:val="00E22E6A"/>
    <w:rsid w:val="00E232E6"/>
    <w:rsid w:val="00E244F6"/>
    <w:rsid w:val="00E24E36"/>
    <w:rsid w:val="00E251F8"/>
    <w:rsid w:val="00E25293"/>
    <w:rsid w:val="00E2562A"/>
    <w:rsid w:val="00E258DB"/>
    <w:rsid w:val="00E2771E"/>
    <w:rsid w:val="00E30A01"/>
    <w:rsid w:val="00E311EF"/>
    <w:rsid w:val="00E32180"/>
    <w:rsid w:val="00E33584"/>
    <w:rsid w:val="00E3363E"/>
    <w:rsid w:val="00E34948"/>
    <w:rsid w:val="00E34CEF"/>
    <w:rsid w:val="00E359FC"/>
    <w:rsid w:val="00E3661A"/>
    <w:rsid w:val="00E36DD9"/>
    <w:rsid w:val="00E37569"/>
    <w:rsid w:val="00E401B2"/>
    <w:rsid w:val="00E405C0"/>
    <w:rsid w:val="00E4192F"/>
    <w:rsid w:val="00E419E2"/>
    <w:rsid w:val="00E41BED"/>
    <w:rsid w:val="00E41E30"/>
    <w:rsid w:val="00E4240B"/>
    <w:rsid w:val="00E42F73"/>
    <w:rsid w:val="00E43D70"/>
    <w:rsid w:val="00E449B2"/>
    <w:rsid w:val="00E44B7B"/>
    <w:rsid w:val="00E44DD1"/>
    <w:rsid w:val="00E45FE3"/>
    <w:rsid w:val="00E45FFF"/>
    <w:rsid w:val="00E466F3"/>
    <w:rsid w:val="00E468DE"/>
    <w:rsid w:val="00E47B2C"/>
    <w:rsid w:val="00E5115F"/>
    <w:rsid w:val="00E51560"/>
    <w:rsid w:val="00E51821"/>
    <w:rsid w:val="00E51B11"/>
    <w:rsid w:val="00E52B88"/>
    <w:rsid w:val="00E532FF"/>
    <w:rsid w:val="00E5374F"/>
    <w:rsid w:val="00E53FC8"/>
    <w:rsid w:val="00E54347"/>
    <w:rsid w:val="00E54DD6"/>
    <w:rsid w:val="00E55424"/>
    <w:rsid w:val="00E5575D"/>
    <w:rsid w:val="00E55915"/>
    <w:rsid w:val="00E55BB5"/>
    <w:rsid w:val="00E5625B"/>
    <w:rsid w:val="00E562DF"/>
    <w:rsid w:val="00E56661"/>
    <w:rsid w:val="00E57C94"/>
    <w:rsid w:val="00E611DF"/>
    <w:rsid w:val="00E61C4E"/>
    <w:rsid w:val="00E64DA5"/>
    <w:rsid w:val="00E65502"/>
    <w:rsid w:val="00E6566C"/>
    <w:rsid w:val="00E65E79"/>
    <w:rsid w:val="00E66BA2"/>
    <w:rsid w:val="00E67416"/>
    <w:rsid w:val="00E6769F"/>
    <w:rsid w:val="00E7062D"/>
    <w:rsid w:val="00E7141F"/>
    <w:rsid w:val="00E715DE"/>
    <w:rsid w:val="00E718B6"/>
    <w:rsid w:val="00E71A75"/>
    <w:rsid w:val="00E71BD4"/>
    <w:rsid w:val="00E71F8D"/>
    <w:rsid w:val="00E723BA"/>
    <w:rsid w:val="00E731A8"/>
    <w:rsid w:val="00E73581"/>
    <w:rsid w:val="00E75C7A"/>
    <w:rsid w:val="00E80949"/>
    <w:rsid w:val="00E80A30"/>
    <w:rsid w:val="00E80F61"/>
    <w:rsid w:val="00E81A44"/>
    <w:rsid w:val="00E82E02"/>
    <w:rsid w:val="00E833F7"/>
    <w:rsid w:val="00E83BDF"/>
    <w:rsid w:val="00E84E7E"/>
    <w:rsid w:val="00E84F68"/>
    <w:rsid w:val="00E86C2F"/>
    <w:rsid w:val="00E86FCC"/>
    <w:rsid w:val="00E87A1D"/>
    <w:rsid w:val="00E905D2"/>
    <w:rsid w:val="00E9094A"/>
    <w:rsid w:val="00E90F38"/>
    <w:rsid w:val="00E91909"/>
    <w:rsid w:val="00E91D35"/>
    <w:rsid w:val="00E91F41"/>
    <w:rsid w:val="00E926A5"/>
    <w:rsid w:val="00E93318"/>
    <w:rsid w:val="00E93E37"/>
    <w:rsid w:val="00E94D39"/>
    <w:rsid w:val="00E951E0"/>
    <w:rsid w:val="00E95465"/>
    <w:rsid w:val="00E954E3"/>
    <w:rsid w:val="00E955EB"/>
    <w:rsid w:val="00E962CC"/>
    <w:rsid w:val="00E976AD"/>
    <w:rsid w:val="00EA0C06"/>
    <w:rsid w:val="00EA1300"/>
    <w:rsid w:val="00EA17C3"/>
    <w:rsid w:val="00EA2AAE"/>
    <w:rsid w:val="00EA2CAA"/>
    <w:rsid w:val="00EA3864"/>
    <w:rsid w:val="00EA6B59"/>
    <w:rsid w:val="00EA6F93"/>
    <w:rsid w:val="00EA7EA3"/>
    <w:rsid w:val="00EA7F1C"/>
    <w:rsid w:val="00EB0F46"/>
    <w:rsid w:val="00EB15B6"/>
    <w:rsid w:val="00EB27FE"/>
    <w:rsid w:val="00EB3D06"/>
    <w:rsid w:val="00EB4916"/>
    <w:rsid w:val="00EB54E3"/>
    <w:rsid w:val="00EB7B17"/>
    <w:rsid w:val="00EB7D53"/>
    <w:rsid w:val="00EB7FE7"/>
    <w:rsid w:val="00EC00C9"/>
    <w:rsid w:val="00EC0DD9"/>
    <w:rsid w:val="00EC17D4"/>
    <w:rsid w:val="00EC1F2A"/>
    <w:rsid w:val="00EC2544"/>
    <w:rsid w:val="00EC2649"/>
    <w:rsid w:val="00EC31ED"/>
    <w:rsid w:val="00EC37B6"/>
    <w:rsid w:val="00EC4034"/>
    <w:rsid w:val="00EC4379"/>
    <w:rsid w:val="00EC4CB9"/>
    <w:rsid w:val="00EC5836"/>
    <w:rsid w:val="00EC688C"/>
    <w:rsid w:val="00EC6B18"/>
    <w:rsid w:val="00EC79C4"/>
    <w:rsid w:val="00EC7FEF"/>
    <w:rsid w:val="00ED0329"/>
    <w:rsid w:val="00ED0492"/>
    <w:rsid w:val="00ED101B"/>
    <w:rsid w:val="00ED12E3"/>
    <w:rsid w:val="00ED32D3"/>
    <w:rsid w:val="00ED40A4"/>
    <w:rsid w:val="00ED4B04"/>
    <w:rsid w:val="00ED57EA"/>
    <w:rsid w:val="00ED5BD4"/>
    <w:rsid w:val="00ED61C5"/>
    <w:rsid w:val="00EE0196"/>
    <w:rsid w:val="00EE07D3"/>
    <w:rsid w:val="00EE1996"/>
    <w:rsid w:val="00EE1C01"/>
    <w:rsid w:val="00EE22AF"/>
    <w:rsid w:val="00EE26AC"/>
    <w:rsid w:val="00EE2EA6"/>
    <w:rsid w:val="00EE4281"/>
    <w:rsid w:val="00EE49D1"/>
    <w:rsid w:val="00EF0171"/>
    <w:rsid w:val="00EF048E"/>
    <w:rsid w:val="00EF1B25"/>
    <w:rsid w:val="00EF1D21"/>
    <w:rsid w:val="00EF1DA0"/>
    <w:rsid w:val="00EF24EB"/>
    <w:rsid w:val="00EF3980"/>
    <w:rsid w:val="00EF4747"/>
    <w:rsid w:val="00EF4BF8"/>
    <w:rsid w:val="00EF5ED6"/>
    <w:rsid w:val="00F001D4"/>
    <w:rsid w:val="00F00D55"/>
    <w:rsid w:val="00F00D96"/>
    <w:rsid w:val="00F015F5"/>
    <w:rsid w:val="00F02253"/>
    <w:rsid w:val="00F02869"/>
    <w:rsid w:val="00F028FD"/>
    <w:rsid w:val="00F03AF3"/>
    <w:rsid w:val="00F03C2E"/>
    <w:rsid w:val="00F03C51"/>
    <w:rsid w:val="00F046CE"/>
    <w:rsid w:val="00F04A66"/>
    <w:rsid w:val="00F04AA4"/>
    <w:rsid w:val="00F04B4B"/>
    <w:rsid w:val="00F0516C"/>
    <w:rsid w:val="00F057C8"/>
    <w:rsid w:val="00F0603B"/>
    <w:rsid w:val="00F063C7"/>
    <w:rsid w:val="00F067A2"/>
    <w:rsid w:val="00F07B9E"/>
    <w:rsid w:val="00F1048E"/>
    <w:rsid w:val="00F10A0D"/>
    <w:rsid w:val="00F10FC7"/>
    <w:rsid w:val="00F1116F"/>
    <w:rsid w:val="00F1263A"/>
    <w:rsid w:val="00F1276E"/>
    <w:rsid w:val="00F139C5"/>
    <w:rsid w:val="00F15B77"/>
    <w:rsid w:val="00F168C0"/>
    <w:rsid w:val="00F2111F"/>
    <w:rsid w:val="00F21236"/>
    <w:rsid w:val="00F21377"/>
    <w:rsid w:val="00F213BC"/>
    <w:rsid w:val="00F22DC3"/>
    <w:rsid w:val="00F239DF"/>
    <w:rsid w:val="00F24837"/>
    <w:rsid w:val="00F24A6C"/>
    <w:rsid w:val="00F25659"/>
    <w:rsid w:val="00F256B4"/>
    <w:rsid w:val="00F2575F"/>
    <w:rsid w:val="00F261E2"/>
    <w:rsid w:val="00F271EF"/>
    <w:rsid w:val="00F27565"/>
    <w:rsid w:val="00F30957"/>
    <w:rsid w:val="00F310D4"/>
    <w:rsid w:val="00F3160F"/>
    <w:rsid w:val="00F31D5A"/>
    <w:rsid w:val="00F32163"/>
    <w:rsid w:val="00F3252D"/>
    <w:rsid w:val="00F3328B"/>
    <w:rsid w:val="00F33975"/>
    <w:rsid w:val="00F339BE"/>
    <w:rsid w:val="00F33DE9"/>
    <w:rsid w:val="00F351C0"/>
    <w:rsid w:val="00F35E6D"/>
    <w:rsid w:val="00F3619A"/>
    <w:rsid w:val="00F37034"/>
    <w:rsid w:val="00F371A0"/>
    <w:rsid w:val="00F37241"/>
    <w:rsid w:val="00F40AAA"/>
    <w:rsid w:val="00F40BA7"/>
    <w:rsid w:val="00F40EE8"/>
    <w:rsid w:val="00F40F9D"/>
    <w:rsid w:val="00F41ACD"/>
    <w:rsid w:val="00F420D6"/>
    <w:rsid w:val="00F43B4E"/>
    <w:rsid w:val="00F43DB6"/>
    <w:rsid w:val="00F440F8"/>
    <w:rsid w:val="00F44761"/>
    <w:rsid w:val="00F46530"/>
    <w:rsid w:val="00F46866"/>
    <w:rsid w:val="00F46CB6"/>
    <w:rsid w:val="00F4756D"/>
    <w:rsid w:val="00F478EC"/>
    <w:rsid w:val="00F478FE"/>
    <w:rsid w:val="00F47DE8"/>
    <w:rsid w:val="00F47EE3"/>
    <w:rsid w:val="00F51C9E"/>
    <w:rsid w:val="00F5228F"/>
    <w:rsid w:val="00F54254"/>
    <w:rsid w:val="00F542C1"/>
    <w:rsid w:val="00F548F9"/>
    <w:rsid w:val="00F550E3"/>
    <w:rsid w:val="00F55E57"/>
    <w:rsid w:val="00F55E73"/>
    <w:rsid w:val="00F55EDA"/>
    <w:rsid w:val="00F5680D"/>
    <w:rsid w:val="00F56C03"/>
    <w:rsid w:val="00F56C80"/>
    <w:rsid w:val="00F56E26"/>
    <w:rsid w:val="00F578A6"/>
    <w:rsid w:val="00F60092"/>
    <w:rsid w:val="00F604CE"/>
    <w:rsid w:val="00F60BB1"/>
    <w:rsid w:val="00F60C0F"/>
    <w:rsid w:val="00F61C18"/>
    <w:rsid w:val="00F61DFA"/>
    <w:rsid w:val="00F61E61"/>
    <w:rsid w:val="00F61FB5"/>
    <w:rsid w:val="00F622F4"/>
    <w:rsid w:val="00F65F4B"/>
    <w:rsid w:val="00F66D81"/>
    <w:rsid w:val="00F67A69"/>
    <w:rsid w:val="00F70BFF"/>
    <w:rsid w:val="00F70C9D"/>
    <w:rsid w:val="00F716B7"/>
    <w:rsid w:val="00F71CF4"/>
    <w:rsid w:val="00F722F6"/>
    <w:rsid w:val="00F72C43"/>
    <w:rsid w:val="00F73743"/>
    <w:rsid w:val="00F73E08"/>
    <w:rsid w:val="00F74179"/>
    <w:rsid w:val="00F7478B"/>
    <w:rsid w:val="00F74CD9"/>
    <w:rsid w:val="00F75644"/>
    <w:rsid w:val="00F758FB"/>
    <w:rsid w:val="00F75E61"/>
    <w:rsid w:val="00F760F8"/>
    <w:rsid w:val="00F76144"/>
    <w:rsid w:val="00F76B95"/>
    <w:rsid w:val="00F77169"/>
    <w:rsid w:val="00F77700"/>
    <w:rsid w:val="00F80A7B"/>
    <w:rsid w:val="00F80E5D"/>
    <w:rsid w:val="00F81E78"/>
    <w:rsid w:val="00F82180"/>
    <w:rsid w:val="00F82F47"/>
    <w:rsid w:val="00F83624"/>
    <w:rsid w:val="00F83916"/>
    <w:rsid w:val="00F83DD7"/>
    <w:rsid w:val="00F84608"/>
    <w:rsid w:val="00F851CE"/>
    <w:rsid w:val="00F857E5"/>
    <w:rsid w:val="00F86195"/>
    <w:rsid w:val="00F87BA4"/>
    <w:rsid w:val="00F87D2F"/>
    <w:rsid w:val="00F87D5E"/>
    <w:rsid w:val="00F901E3"/>
    <w:rsid w:val="00F90202"/>
    <w:rsid w:val="00F91219"/>
    <w:rsid w:val="00F9232E"/>
    <w:rsid w:val="00F92444"/>
    <w:rsid w:val="00F9294D"/>
    <w:rsid w:val="00F9393E"/>
    <w:rsid w:val="00F96DA3"/>
    <w:rsid w:val="00F96FD0"/>
    <w:rsid w:val="00F97A78"/>
    <w:rsid w:val="00FA0B20"/>
    <w:rsid w:val="00FA1363"/>
    <w:rsid w:val="00FA24E7"/>
    <w:rsid w:val="00FA4181"/>
    <w:rsid w:val="00FA4838"/>
    <w:rsid w:val="00FA4CF9"/>
    <w:rsid w:val="00FA5608"/>
    <w:rsid w:val="00FA5EE6"/>
    <w:rsid w:val="00FA6215"/>
    <w:rsid w:val="00FA7956"/>
    <w:rsid w:val="00FB0824"/>
    <w:rsid w:val="00FB0B10"/>
    <w:rsid w:val="00FB0C94"/>
    <w:rsid w:val="00FB1303"/>
    <w:rsid w:val="00FB1598"/>
    <w:rsid w:val="00FB2BA2"/>
    <w:rsid w:val="00FB2FCB"/>
    <w:rsid w:val="00FB3927"/>
    <w:rsid w:val="00FB3B01"/>
    <w:rsid w:val="00FB4C9C"/>
    <w:rsid w:val="00FB4F15"/>
    <w:rsid w:val="00FB57D4"/>
    <w:rsid w:val="00FB7C55"/>
    <w:rsid w:val="00FC1074"/>
    <w:rsid w:val="00FC1590"/>
    <w:rsid w:val="00FC1884"/>
    <w:rsid w:val="00FC2355"/>
    <w:rsid w:val="00FC2849"/>
    <w:rsid w:val="00FC2D27"/>
    <w:rsid w:val="00FC371D"/>
    <w:rsid w:val="00FC4CDF"/>
    <w:rsid w:val="00FC566E"/>
    <w:rsid w:val="00FC58E3"/>
    <w:rsid w:val="00FC5F0B"/>
    <w:rsid w:val="00FC7203"/>
    <w:rsid w:val="00FD1A0B"/>
    <w:rsid w:val="00FD2100"/>
    <w:rsid w:val="00FD2AA0"/>
    <w:rsid w:val="00FD436C"/>
    <w:rsid w:val="00FD446D"/>
    <w:rsid w:val="00FD4649"/>
    <w:rsid w:val="00FD4ED6"/>
    <w:rsid w:val="00FD4F2C"/>
    <w:rsid w:val="00FD57A5"/>
    <w:rsid w:val="00FD5BE3"/>
    <w:rsid w:val="00FD6394"/>
    <w:rsid w:val="00FE0686"/>
    <w:rsid w:val="00FE0802"/>
    <w:rsid w:val="00FE0E6C"/>
    <w:rsid w:val="00FE1CDC"/>
    <w:rsid w:val="00FE30A0"/>
    <w:rsid w:val="00FE406A"/>
    <w:rsid w:val="00FE4DB1"/>
    <w:rsid w:val="00FE57F6"/>
    <w:rsid w:val="00FE582E"/>
    <w:rsid w:val="00FE5C5A"/>
    <w:rsid w:val="00FE5FEB"/>
    <w:rsid w:val="00FE62CF"/>
    <w:rsid w:val="00FE6843"/>
    <w:rsid w:val="00FE70C3"/>
    <w:rsid w:val="00FF1325"/>
    <w:rsid w:val="00FF1A8B"/>
    <w:rsid w:val="00FF2017"/>
    <w:rsid w:val="00FF22D0"/>
    <w:rsid w:val="00FF2626"/>
    <w:rsid w:val="00FF293F"/>
    <w:rsid w:val="00FF2AD9"/>
    <w:rsid w:val="00FF2D09"/>
    <w:rsid w:val="00FF2D3A"/>
    <w:rsid w:val="00FF359F"/>
    <w:rsid w:val="00FF3DCF"/>
    <w:rsid w:val="00FF41E7"/>
    <w:rsid w:val="00FF4237"/>
    <w:rsid w:val="00FF42AC"/>
    <w:rsid w:val="00FF492C"/>
    <w:rsid w:val="00FF4A21"/>
    <w:rsid w:val="00FF5AA3"/>
    <w:rsid w:val="00FF5AD8"/>
    <w:rsid w:val="00FF71A5"/>
    <w:rsid w:val="00FF7DC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6"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24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Numbered para,BulletPoints,Footnote,Bullet point,List Paragraph1,List Paragraph11,Recommendation,ES Paragraph,PBAC ES Paragraph,PBAC normal points,Bullet List,Figure_name,Numbered Indented Text,Bullet- First level,List NUmber"/>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PBAC table,new sty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47081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406465"/>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22660F"/>
    <w:pPr>
      <w:keepNext/>
      <w:spacing w:before="240" w:after="120"/>
      <w:ind w:left="720" w:hanging="7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9A62E6"/>
    <w:pPr>
      <w:numPr>
        <w:ilvl w:val="1"/>
        <w:numId w:val="1"/>
      </w:numPr>
      <w:ind w:left="720"/>
    </w:pPr>
  </w:style>
  <w:style w:type="character" w:customStyle="1" w:styleId="COMexecsumnumberedparaChar">
    <w:name w:val="COM exec sum numbered para Char"/>
    <w:basedOn w:val="ListParagraphChar"/>
    <w:link w:val="COMexecsumnumberedpara"/>
    <w:rsid w:val="009A62E6"/>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22660F"/>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6A74CB"/>
    <w:rPr>
      <w:color w:val="605E5C"/>
      <w:shd w:val="clear" w:color="auto" w:fill="E1DFDD"/>
    </w:rPr>
  </w:style>
  <w:style w:type="paragraph" w:customStyle="1" w:styleId="TableText">
    <w:name w:val="Table Text"/>
    <w:link w:val="TableTextChar"/>
    <w:qFormat/>
    <w:rsid w:val="004D4036"/>
    <w:pPr>
      <w:keepNext/>
    </w:pPr>
    <w:rPr>
      <w:rFonts w:ascii="Arial Narrow" w:eastAsiaTheme="majorEastAsia" w:hAnsi="Arial Narrow" w:cstheme="majorBidi"/>
      <w:bCs/>
      <w:szCs w:val="24"/>
    </w:rPr>
  </w:style>
  <w:style w:type="paragraph" w:customStyle="1" w:styleId="2-SectionHeading">
    <w:name w:val="2-Section Heading"/>
    <w:qFormat/>
    <w:rsid w:val="004D4036"/>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4D4036"/>
    <w:pPr>
      <w:spacing w:after="120"/>
      <w:ind w:left="720" w:hanging="720"/>
    </w:pPr>
    <w:rPr>
      <w:rFonts w:asciiTheme="minorHAnsi" w:hAnsiTheme="minorHAnsi"/>
      <w:snapToGrid w:val="0"/>
    </w:rPr>
  </w:style>
  <w:style w:type="paragraph" w:customStyle="1" w:styleId="TableFigureFooter">
    <w:name w:val="Table/Figure Footer"/>
    <w:basedOn w:val="Normal"/>
    <w:link w:val="TableFigureFooterChar"/>
    <w:qFormat/>
    <w:rsid w:val="004D40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4D4036"/>
    <w:rPr>
      <w:rFonts w:ascii="Arial Narrow" w:hAnsi="Arial Narrow" w:cs="Arial"/>
      <w:snapToGrid w:val="0"/>
      <w:sz w:val="18"/>
      <w:szCs w:val="22"/>
    </w:rPr>
  </w:style>
  <w:style w:type="character" w:customStyle="1" w:styleId="TableTextChar">
    <w:name w:val="Table Text Char"/>
    <w:basedOn w:val="DefaultParagraphFont"/>
    <w:link w:val="TableText"/>
    <w:rsid w:val="004D4036"/>
    <w:rPr>
      <w:rFonts w:ascii="Arial Narrow" w:eastAsiaTheme="majorEastAsia" w:hAnsi="Arial Narrow" w:cstheme="majorBidi"/>
      <w:bCs/>
      <w:szCs w:val="24"/>
    </w:rPr>
  </w:style>
  <w:style w:type="paragraph" w:customStyle="1" w:styleId="V50Instructions">
    <w:name w:val="V5.0 Instructions"/>
    <w:basedOn w:val="Normal"/>
    <w:link w:val="V50InstructionsChar"/>
    <w:qFormat/>
    <w:rsid w:val="004D4036"/>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4D4036"/>
    <w:rPr>
      <w:rFonts w:asciiTheme="minorHAnsi" w:eastAsiaTheme="minorHAnsi" w:hAnsiTheme="minorHAnsi" w:cstheme="minorBidi"/>
      <w:color w:val="4BACC6" w:themeColor="accent5"/>
      <w:sz w:val="24"/>
      <w:szCs w:val="22"/>
      <w:lang w:eastAsia="en-US"/>
    </w:rPr>
  </w:style>
  <w:style w:type="paragraph" w:customStyle="1" w:styleId="TableHeading">
    <w:name w:val="Table Heading"/>
    <w:basedOn w:val="Normal"/>
    <w:link w:val="TableHeadingChar"/>
    <w:qFormat/>
    <w:rsid w:val="004D4036"/>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4D4036"/>
    <w:rPr>
      <w:rFonts w:ascii="Arial Narrow" w:eastAsiaTheme="minorHAnsi" w:hAnsi="Arial Narrow" w:cstheme="minorBidi"/>
      <w:b/>
      <w:szCs w:val="22"/>
      <w:lang w:eastAsia="en-US"/>
    </w:rPr>
  </w:style>
  <w:style w:type="character" w:customStyle="1" w:styleId="COMBodyChar0">
    <w:name w:val="COMBody Char"/>
    <w:basedOn w:val="DefaultParagraphFont"/>
    <w:link w:val="COMBody0"/>
    <w:locked/>
    <w:rsid w:val="003F1A0A"/>
    <w:rPr>
      <w:rFonts w:ascii="Calibri" w:hAnsi="Calibri" w:cs="Arial"/>
      <w:sz w:val="24"/>
    </w:rPr>
  </w:style>
  <w:style w:type="paragraph" w:customStyle="1" w:styleId="COMBody0">
    <w:name w:val="COMBody"/>
    <w:basedOn w:val="Normal"/>
    <w:link w:val="COMBodyChar0"/>
    <w:qFormat/>
    <w:rsid w:val="003F1A0A"/>
    <w:pPr>
      <w:widowControl w:val="0"/>
      <w:snapToGrid w:val="0"/>
    </w:pPr>
    <w:rPr>
      <w:szCs w:val="20"/>
    </w:rPr>
  </w:style>
  <w:style w:type="paragraph" w:customStyle="1" w:styleId="Tabletext0">
    <w:name w:val="Table text"/>
    <w:basedOn w:val="Normal"/>
    <w:link w:val="TabletextChar0"/>
    <w:uiPriority w:val="99"/>
    <w:qFormat/>
    <w:rsid w:val="00022092"/>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022092"/>
    <w:rPr>
      <w:rFonts w:ascii="Arial Narrow" w:hAnsi="Arial Narrow"/>
      <w:szCs w:val="22"/>
      <w:lang w:eastAsia="en-US"/>
    </w:rPr>
  </w:style>
  <w:style w:type="character" w:styleId="CommentReference">
    <w:name w:val="annotation reference"/>
    <w:aliases w:val="Table Title"/>
    <w:basedOn w:val="DefaultParagraphFont"/>
    <w:uiPriority w:val="99"/>
    <w:unhideWhenUsed/>
    <w:qFormat/>
    <w:rsid w:val="00022092"/>
    <w:rPr>
      <w:sz w:val="16"/>
      <w:szCs w:val="16"/>
    </w:rPr>
  </w:style>
  <w:style w:type="paragraph" w:customStyle="1" w:styleId="4-SubsectSubhead">
    <w:name w:val="4-Subsect Subhead"/>
    <w:basedOn w:val="Heading3"/>
    <w:next w:val="ExecSumBodyText"/>
    <w:link w:val="4-SubsectSubheadChar"/>
    <w:qFormat/>
    <w:rsid w:val="00E6566C"/>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E6566C"/>
    <w:rPr>
      <w:rFonts w:asciiTheme="minorHAnsi" w:eastAsiaTheme="majorEastAsia" w:hAnsiTheme="minorHAnsi" w:cstheme="majorBidi"/>
      <w:b/>
      <w:color w:val="000000" w:themeColor="text1"/>
      <w:sz w:val="28"/>
      <w:szCs w:val="28"/>
    </w:rPr>
  </w:style>
  <w:style w:type="paragraph" w:customStyle="1" w:styleId="COMtbl-HEADLeftAligned">
    <w:name w:val="COMtbl-HEAD Left Aligned"/>
    <w:basedOn w:val="Normal"/>
    <w:qFormat/>
    <w:rsid w:val="00691D3D"/>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691D3D"/>
    <w:pPr>
      <w:jc w:val="center"/>
    </w:pPr>
  </w:style>
  <w:style w:type="paragraph" w:customStyle="1" w:styleId="COMtbl-textLeftAligned">
    <w:name w:val="COMtbl-text Left Aligned"/>
    <w:basedOn w:val="COMtbl-HEADLeftAligned"/>
    <w:qFormat/>
    <w:rsid w:val="00691D3D"/>
    <w:rPr>
      <w:b w:val="0"/>
    </w:rPr>
  </w:style>
  <w:style w:type="paragraph" w:customStyle="1" w:styleId="COMtbl-textCentred">
    <w:name w:val="COMtbl-text Centred"/>
    <w:basedOn w:val="COMtbl-HEADCentred"/>
    <w:qFormat/>
    <w:rsid w:val="00691D3D"/>
    <w:rPr>
      <w:b w:val="0"/>
    </w:rPr>
  </w:style>
  <w:style w:type="paragraph" w:customStyle="1" w:styleId="Tableheadingrow">
    <w:name w:val="Table heading row"/>
    <w:qFormat/>
    <w:rsid w:val="00166967"/>
    <w:pPr>
      <w:keepNext/>
    </w:pPr>
    <w:rPr>
      <w:rFonts w:ascii="Arial Narrow" w:eastAsiaTheme="majorEastAsia" w:hAnsi="Arial Narrow"/>
      <w:b/>
      <w:szCs w:val="24"/>
      <w:lang w:val="en-US"/>
    </w:rPr>
  </w:style>
  <w:style w:type="paragraph" w:styleId="Header">
    <w:name w:val="header"/>
    <w:aliases w:val="Page Header,Header title,he=header,cntr/bld"/>
    <w:basedOn w:val="Normal"/>
    <w:link w:val="HeaderChar"/>
    <w:unhideWhenUsed/>
    <w:qFormat/>
    <w:rsid w:val="0083761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837614"/>
    <w:rPr>
      <w:rFonts w:ascii="Calibri" w:hAnsi="Calibri" w:cs="Arial"/>
      <w:sz w:val="24"/>
      <w:szCs w:val="24"/>
    </w:rPr>
  </w:style>
  <w:style w:type="paragraph" w:styleId="Footer">
    <w:name w:val="footer"/>
    <w:basedOn w:val="Normal"/>
    <w:link w:val="FooterChar"/>
    <w:uiPriority w:val="99"/>
    <w:unhideWhenUsed/>
    <w:rsid w:val="00837614"/>
    <w:pPr>
      <w:tabs>
        <w:tab w:val="center" w:pos="4513"/>
        <w:tab w:val="right" w:pos="9026"/>
      </w:tabs>
    </w:pPr>
  </w:style>
  <w:style w:type="character" w:customStyle="1" w:styleId="FooterChar">
    <w:name w:val="Footer Char"/>
    <w:basedOn w:val="DefaultParagraphFont"/>
    <w:link w:val="Footer"/>
    <w:uiPriority w:val="99"/>
    <w:rsid w:val="00837614"/>
    <w:rPr>
      <w:rFonts w:ascii="Calibri" w:hAnsi="Calibri" w:cs="Arial"/>
      <w:sz w:val="24"/>
      <w:szCs w:val="24"/>
    </w:rPr>
  </w:style>
  <w:style w:type="paragraph" w:customStyle="1" w:styleId="TableFigureCaption">
    <w:name w:val="Table/Figure Caption"/>
    <w:next w:val="Tableheadingrow"/>
    <w:link w:val="TableFigureCaptionChar"/>
    <w:qFormat/>
    <w:rsid w:val="008055CC"/>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8055CC"/>
    <w:rPr>
      <w:rFonts w:ascii="Arial Narrow" w:eastAsiaTheme="majorEastAsia" w:hAnsi="Arial Narrow" w:cstheme="majorBidi"/>
      <w:b/>
      <w:bCs/>
      <w:szCs w:val="24"/>
    </w:rPr>
  </w:style>
  <w:style w:type="paragraph" w:styleId="FootnoteText">
    <w:name w:val="footnote text"/>
    <w:basedOn w:val="Normal"/>
    <w:link w:val="FootnoteTextChar"/>
    <w:semiHidden/>
    <w:unhideWhenUsed/>
    <w:rsid w:val="00F83DD7"/>
    <w:rPr>
      <w:sz w:val="20"/>
      <w:szCs w:val="20"/>
    </w:rPr>
  </w:style>
  <w:style w:type="character" w:customStyle="1" w:styleId="FootnoteTextChar">
    <w:name w:val="Footnote Text Char"/>
    <w:basedOn w:val="DefaultParagraphFont"/>
    <w:link w:val="FootnoteText"/>
    <w:semiHidden/>
    <w:rsid w:val="00F83DD7"/>
    <w:rPr>
      <w:rFonts w:ascii="Calibri" w:hAnsi="Calibri" w:cs="Arial"/>
    </w:rPr>
  </w:style>
  <w:style w:type="character" w:styleId="FootnoteReference">
    <w:name w:val="footnote reference"/>
    <w:basedOn w:val="DefaultParagraphFont"/>
    <w:semiHidden/>
    <w:unhideWhenUsed/>
    <w:rsid w:val="00F83DD7"/>
    <w:rPr>
      <w:vertAlign w:val="superscript"/>
    </w:rPr>
  </w:style>
  <w:style w:type="paragraph" w:customStyle="1" w:styleId="TableFooter">
    <w:name w:val="Table Footer"/>
    <w:basedOn w:val="Normal"/>
    <w:link w:val="TableFooterChar"/>
    <w:qFormat/>
    <w:rsid w:val="000B3B8D"/>
    <w:pPr>
      <w:widowControl w:val="0"/>
      <w:spacing w:after="60"/>
      <w:contextualSpacing/>
    </w:pPr>
    <w:rPr>
      <w:rFonts w:ascii="Arial Narrow" w:hAnsi="Arial Narrow"/>
      <w:snapToGrid w:val="0"/>
      <w:sz w:val="18"/>
      <w:szCs w:val="22"/>
      <w:lang w:eastAsia="en-US"/>
    </w:rPr>
  </w:style>
  <w:style w:type="character" w:customStyle="1" w:styleId="TableFooterChar">
    <w:name w:val="Table Footer Char"/>
    <w:link w:val="TableFooter"/>
    <w:rsid w:val="000B3B8D"/>
    <w:rPr>
      <w:rFonts w:ascii="Arial Narrow" w:hAnsi="Arial Narrow" w:cs="Arial"/>
      <w:snapToGrid w:val="0"/>
      <w:sz w:val="18"/>
      <w:szCs w:val="22"/>
      <w:lang w:eastAsia="en-US"/>
    </w:rPr>
  </w:style>
  <w:style w:type="paragraph" w:customStyle="1" w:styleId="PBACTabletext">
    <w:name w:val="PBAC Table text"/>
    <w:qFormat/>
    <w:rsid w:val="00E65502"/>
    <w:pPr>
      <w:keepNext/>
      <w:keepLines/>
      <w:suppressLineNumbers/>
      <w:spacing w:after="20"/>
      <w:textboxTightWrap w:val="allLines"/>
    </w:pPr>
    <w:rPr>
      <w:rFonts w:asciiTheme="minorHAnsi" w:hAnsiTheme="minorHAnsi" w:cs="Arial"/>
      <w:szCs w:val="24"/>
      <w:lang w:eastAsia="en-GB"/>
    </w:rPr>
  </w:style>
  <w:style w:type="character" w:customStyle="1" w:styleId="ExecSumBodyTextChar">
    <w:name w:val="Exec Sum Body Text Char"/>
    <w:basedOn w:val="DefaultParagraphFont"/>
    <w:link w:val="ExecSumBodyText"/>
    <w:rsid w:val="00CF6D57"/>
    <w:rPr>
      <w:rFonts w:asciiTheme="minorHAnsi" w:hAnsiTheme="minorHAnsi" w:cs="Arial"/>
      <w:snapToGrid w:val="0"/>
      <w:sz w:val="24"/>
      <w:szCs w:val="24"/>
    </w:rPr>
  </w:style>
  <w:style w:type="paragraph" w:styleId="CommentText">
    <w:name w:val="annotation text"/>
    <w:basedOn w:val="Normal"/>
    <w:link w:val="CommentTextChar"/>
    <w:uiPriority w:val="99"/>
    <w:unhideWhenUsed/>
    <w:rsid w:val="0048536A"/>
    <w:rPr>
      <w:sz w:val="20"/>
      <w:szCs w:val="20"/>
    </w:rPr>
  </w:style>
  <w:style w:type="character" w:customStyle="1" w:styleId="CommentTextChar">
    <w:name w:val="Comment Text Char"/>
    <w:basedOn w:val="DefaultParagraphFont"/>
    <w:link w:val="CommentText"/>
    <w:uiPriority w:val="99"/>
    <w:rsid w:val="0048536A"/>
    <w:rPr>
      <w:rFonts w:ascii="Calibri" w:hAnsi="Calibri" w:cs="Arial"/>
    </w:rPr>
  </w:style>
  <w:style w:type="paragraph" w:styleId="CommentSubject">
    <w:name w:val="annotation subject"/>
    <w:basedOn w:val="CommentText"/>
    <w:next w:val="CommentText"/>
    <w:link w:val="CommentSubjectChar"/>
    <w:semiHidden/>
    <w:unhideWhenUsed/>
    <w:rsid w:val="002E25D7"/>
    <w:rPr>
      <w:b/>
      <w:bCs/>
    </w:rPr>
  </w:style>
  <w:style w:type="character" w:customStyle="1" w:styleId="CommentSubjectChar">
    <w:name w:val="Comment Subject Char"/>
    <w:basedOn w:val="CommentTextChar"/>
    <w:link w:val="CommentSubject"/>
    <w:semiHidden/>
    <w:rsid w:val="002E25D7"/>
    <w:rPr>
      <w:rFonts w:ascii="Calibri" w:hAnsi="Calibri" w:cs="Arial"/>
      <w:b/>
      <w:bCs/>
    </w:rPr>
  </w:style>
  <w:style w:type="paragraph" w:styleId="Caption">
    <w:name w:val="caption"/>
    <w:basedOn w:val="COMtablefigcaption"/>
    <w:next w:val="Normal"/>
    <w:unhideWhenUsed/>
    <w:rsid w:val="00CD2FB1"/>
  </w:style>
  <w:style w:type="character" w:styleId="UnresolvedMention">
    <w:name w:val="Unresolved Mention"/>
    <w:basedOn w:val="DefaultParagraphFont"/>
    <w:uiPriority w:val="99"/>
    <w:semiHidden/>
    <w:unhideWhenUsed/>
    <w:rsid w:val="003F5B71"/>
    <w:rPr>
      <w:color w:val="605E5C"/>
      <w:shd w:val="clear" w:color="auto" w:fill="E1DFDD"/>
    </w:rPr>
  </w:style>
  <w:style w:type="character" w:customStyle="1" w:styleId="Heading6Char">
    <w:name w:val="Heading 6 Char"/>
    <w:basedOn w:val="DefaultParagraphFont"/>
    <w:link w:val="Heading6"/>
    <w:rsid w:val="002C2FDE"/>
    <w:rPr>
      <w:rFonts w:ascii="Calibri" w:hAnsi="Calibri" w:cs="Arial"/>
      <w:b/>
      <w:bCs/>
      <w:i/>
      <w:sz w:val="24"/>
      <w:szCs w:val="24"/>
    </w:rPr>
  </w:style>
  <w:style w:type="character" w:customStyle="1" w:styleId="5-SubsectionSubheadingChar">
    <w:name w:val="5-Subsection Subheading Char"/>
    <w:basedOn w:val="DefaultParagraphFont"/>
    <w:link w:val="5-SubsectionSubheading"/>
    <w:locked/>
    <w:rsid w:val="002C2FDE"/>
    <w:rPr>
      <w:rFonts w:asciiTheme="minorHAnsi" w:eastAsiaTheme="majorEastAsia" w:hAnsiTheme="minorHAnsi" w:cstheme="majorBidi"/>
      <w:b/>
      <w:color w:val="000000" w:themeColor="text1"/>
    </w:rPr>
  </w:style>
  <w:style w:type="paragraph" w:customStyle="1" w:styleId="5-SubsectionSubheading">
    <w:name w:val="5-Subsection Subheading"/>
    <w:basedOn w:val="Heading3"/>
    <w:next w:val="Normal"/>
    <w:link w:val="5-SubsectionSubheadingChar"/>
    <w:qFormat/>
    <w:rsid w:val="002C2FDE"/>
    <w:pPr>
      <w:keepNext/>
      <w:keepLines/>
      <w:spacing w:before="160" w:after="120"/>
    </w:pPr>
    <w:rPr>
      <w:rFonts w:asciiTheme="minorHAnsi" w:eastAsiaTheme="majorEastAsia" w:hAnsiTheme="minorHAnsi" w:cstheme="majorBidi"/>
      <w:b/>
      <w:color w:val="000000" w:themeColor="text1"/>
      <w:sz w:val="20"/>
      <w:szCs w:val="20"/>
      <w:u w:val="none"/>
    </w:rPr>
  </w:style>
  <w:style w:type="character" w:customStyle="1" w:styleId="cf01">
    <w:name w:val="cf01"/>
    <w:basedOn w:val="DefaultParagraphFont"/>
    <w:rsid w:val="002C2FDE"/>
    <w:rPr>
      <w:rFonts w:ascii="Segoe UI" w:hAnsi="Segoe UI" w:cs="Segoe UI" w:hint="default"/>
      <w:i/>
      <w:iCs/>
      <w:sz w:val="18"/>
      <w:szCs w:val="18"/>
    </w:rPr>
  </w:style>
  <w:style w:type="paragraph" w:customStyle="1" w:styleId="PBACHeading1">
    <w:name w:val="PBAC Heading 1"/>
    <w:qFormat/>
    <w:rsid w:val="004A568A"/>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2020C5"/>
    <w:pPr>
      <w:spacing w:after="120"/>
      <w:ind w:left="720"/>
      <w:contextualSpacing/>
    </w:pPr>
    <w:rPr>
      <w:snapToGrid w:val="0"/>
    </w:rPr>
  </w:style>
  <w:style w:type="character" w:customStyle="1" w:styleId="FontLight">
    <w:name w:val="Font Light"/>
    <w:basedOn w:val="DefaultParagraphFont"/>
    <w:uiPriority w:val="1"/>
    <w:qFormat/>
    <w:rsid w:val="00167419"/>
    <w:rPr>
      <w:rFonts w:ascii="Calibri" w:hAnsi="Calibri"/>
      <w:color w:val="808080" w:themeColor="background1" w:themeShade="80"/>
      <w:sz w:val="24"/>
    </w:rPr>
  </w:style>
  <w:style w:type="paragraph" w:customStyle="1" w:styleId="3-SubsectionHeading">
    <w:name w:val="3-Subsection Heading"/>
    <w:basedOn w:val="Heading2"/>
    <w:next w:val="Normal"/>
    <w:link w:val="3-SubsectionHeadingChar"/>
    <w:qFormat/>
    <w:rsid w:val="003A1B34"/>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A1B34"/>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FC566E"/>
    <w:rPr>
      <w:sz w:val="24"/>
      <w:szCs w:val="24"/>
      <w:lang w:eastAsia="en-US"/>
    </w:rPr>
  </w:style>
  <w:style w:type="paragraph" w:customStyle="1" w:styleId="3-BodyText">
    <w:name w:val="3-Body Text"/>
    <w:link w:val="3-BodyTextChar"/>
    <w:qFormat/>
    <w:rsid w:val="00F32163"/>
    <w:pPr>
      <w:spacing w:after="120"/>
      <w:ind w:left="720" w:hanging="720"/>
      <w:jc w:val="both"/>
    </w:pPr>
    <w:rPr>
      <w:rFonts w:asciiTheme="minorHAnsi" w:eastAsiaTheme="minorHAnsi" w:hAnsiTheme="minorHAnsi" w:cstheme="minorBidi"/>
      <w:sz w:val="24"/>
      <w:szCs w:val="22"/>
      <w:lang w:eastAsia="en-US"/>
    </w:rPr>
  </w:style>
  <w:style w:type="character" w:customStyle="1" w:styleId="3-BodyTextChar">
    <w:name w:val="3-Body Text Char"/>
    <w:basedOn w:val="DefaultParagraphFont"/>
    <w:link w:val="3-BodyText"/>
    <w:rsid w:val="00F32163"/>
    <w:rPr>
      <w:rFonts w:asciiTheme="minorHAnsi" w:eastAsiaTheme="minorHAnsi" w:hAnsiTheme="minorHAnsi" w:cstheme="minorBidi"/>
      <w:sz w:val="24"/>
      <w:szCs w:val="22"/>
      <w:lang w:eastAsia="en-US"/>
    </w:rPr>
  </w:style>
  <w:style w:type="character" w:customStyle="1" w:styleId="eop">
    <w:name w:val="eop"/>
    <w:basedOn w:val="DefaultParagraphFont"/>
    <w:rsid w:val="00F32163"/>
  </w:style>
  <w:style w:type="paragraph" w:customStyle="1" w:styleId="TableFigureHeading">
    <w:name w:val="Table/Figure Heading"/>
    <w:next w:val="Normal"/>
    <w:link w:val="TableFigureHeadingChar"/>
    <w:qFormat/>
    <w:rsid w:val="00BB53E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B53E8"/>
    <w:rPr>
      <w:rFonts w:ascii="Arial Narrow" w:eastAsiaTheme="majorEastAsia" w:hAnsi="Arial Narrow" w:cstheme="majorBidi"/>
      <w:b/>
      <w:bCs/>
      <w:szCs w:val="24"/>
    </w:rPr>
  </w:style>
  <w:style w:type="paragraph" w:styleId="NormalWeb">
    <w:name w:val="Normal (Web)"/>
    <w:basedOn w:val="Normal"/>
    <w:uiPriority w:val="99"/>
    <w:semiHidden/>
    <w:unhideWhenUsed/>
    <w:rsid w:val="007D3CB3"/>
    <w:pPr>
      <w:spacing w:before="100" w:beforeAutospacing="1" w:after="100" w:afterAutospacing="1"/>
      <w:jc w:val="left"/>
    </w:pPr>
    <w:rPr>
      <w:rFonts w:ascii="Times New Roman" w:hAnsi="Times New Roman" w:cs="Times New Roman"/>
    </w:rPr>
  </w:style>
  <w:style w:type="character" w:customStyle="1" w:styleId="Font">
    <w:name w:val="Font"/>
    <w:basedOn w:val="DefaultParagraphFont"/>
    <w:uiPriority w:val="1"/>
    <w:qFormat/>
    <w:rsid w:val="00340F2C"/>
    <w:rPr>
      <w:rFonts w:ascii="Calibri" w:hAnsi="Calibri"/>
      <w:sz w:val="24"/>
    </w:rPr>
  </w:style>
  <w:style w:type="character" w:customStyle="1" w:styleId="FontSuperscript">
    <w:name w:val="Font Superscript"/>
    <w:basedOn w:val="Font"/>
    <w:uiPriority w:val="1"/>
    <w:qFormat/>
    <w:rsid w:val="00340F2C"/>
    <w:rPr>
      <w:rFonts w:ascii="Calibri" w:hAnsi="Calibri"/>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3092643">
      <w:bodyDiv w:val="1"/>
      <w:marLeft w:val="0"/>
      <w:marRight w:val="0"/>
      <w:marTop w:val="0"/>
      <w:marBottom w:val="0"/>
      <w:divBdr>
        <w:top w:val="none" w:sz="0" w:space="0" w:color="auto"/>
        <w:left w:val="none" w:sz="0" w:space="0" w:color="auto"/>
        <w:bottom w:val="none" w:sz="0" w:space="0" w:color="auto"/>
        <w:right w:val="none" w:sz="0" w:space="0" w:color="auto"/>
      </w:divBdr>
    </w:div>
    <w:div w:id="449056871">
      <w:bodyDiv w:val="1"/>
      <w:marLeft w:val="0"/>
      <w:marRight w:val="0"/>
      <w:marTop w:val="0"/>
      <w:marBottom w:val="0"/>
      <w:divBdr>
        <w:top w:val="none" w:sz="0" w:space="0" w:color="auto"/>
        <w:left w:val="none" w:sz="0" w:space="0" w:color="auto"/>
        <w:bottom w:val="none" w:sz="0" w:space="0" w:color="auto"/>
        <w:right w:val="none" w:sz="0" w:space="0" w:color="auto"/>
      </w:divBdr>
    </w:div>
    <w:div w:id="560218269">
      <w:bodyDiv w:val="1"/>
      <w:marLeft w:val="0"/>
      <w:marRight w:val="0"/>
      <w:marTop w:val="0"/>
      <w:marBottom w:val="0"/>
      <w:divBdr>
        <w:top w:val="none" w:sz="0" w:space="0" w:color="auto"/>
        <w:left w:val="none" w:sz="0" w:space="0" w:color="auto"/>
        <w:bottom w:val="none" w:sz="0" w:space="0" w:color="auto"/>
        <w:right w:val="none" w:sz="0" w:space="0" w:color="auto"/>
      </w:divBdr>
      <w:divsChild>
        <w:div w:id="1401443222">
          <w:marLeft w:val="360"/>
          <w:marRight w:val="0"/>
          <w:marTop w:val="200"/>
          <w:marBottom w:val="0"/>
          <w:divBdr>
            <w:top w:val="none" w:sz="0" w:space="0" w:color="auto"/>
            <w:left w:val="none" w:sz="0" w:space="0" w:color="auto"/>
            <w:bottom w:val="none" w:sz="0" w:space="0" w:color="auto"/>
            <w:right w:val="none" w:sz="0" w:space="0" w:color="auto"/>
          </w:divBdr>
        </w:div>
        <w:div w:id="561136165">
          <w:marLeft w:val="1080"/>
          <w:marRight w:val="0"/>
          <w:marTop w:val="100"/>
          <w:marBottom w:val="0"/>
          <w:divBdr>
            <w:top w:val="none" w:sz="0" w:space="0" w:color="auto"/>
            <w:left w:val="none" w:sz="0" w:space="0" w:color="auto"/>
            <w:bottom w:val="none" w:sz="0" w:space="0" w:color="auto"/>
            <w:right w:val="none" w:sz="0" w:space="0" w:color="auto"/>
          </w:divBdr>
        </w:div>
      </w:divsChild>
    </w:div>
    <w:div w:id="595796886">
      <w:bodyDiv w:val="1"/>
      <w:marLeft w:val="0"/>
      <w:marRight w:val="0"/>
      <w:marTop w:val="0"/>
      <w:marBottom w:val="0"/>
      <w:divBdr>
        <w:top w:val="none" w:sz="0" w:space="0" w:color="auto"/>
        <w:left w:val="none" w:sz="0" w:space="0" w:color="auto"/>
        <w:bottom w:val="none" w:sz="0" w:space="0" w:color="auto"/>
        <w:right w:val="none" w:sz="0" w:space="0" w:color="auto"/>
      </w:divBdr>
    </w:div>
    <w:div w:id="782767423">
      <w:bodyDiv w:val="1"/>
      <w:marLeft w:val="0"/>
      <w:marRight w:val="0"/>
      <w:marTop w:val="0"/>
      <w:marBottom w:val="0"/>
      <w:divBdr>
        <w:top w:val="none" w:sz="0" w:space="0" w:color="auto"/>
        <w:left w:val="none" w:sz="0" w:space="0" w:color="auto"/>
        <w:bottom w:val="none" w:sz="0" w:space="0" w:color="auto"/>
        <w:right w:val="none" w:sz="0" w:space="0" w:color="auto"/>
      </w:divBdr>
      <w:divsChild>
        <w:div w:id="888996232">
          <w:marLeft w:val="360"/>
          <w:marRight w:val="0"/>
          <w:marTop w:val="200"/>
          <w:marBottom w:val="0"/>
          <w:divBdr>
            <w:top w:val="none" w:sz="0" w:space="0" w:color="auto"/>
            <w:left w:val="none" w:sz="0" w:space="0" w:color="auto"/>
            <w:bottom w:val="none" w:sz="0" w:space="0" w:color="auto"/>
            <w:right w:val="none" w:sz="0" w:space="0" w:color="auto"/>
          </w:divBdr>
        </w:div>
        <w:div w:id="1698116713">
          <w:marLeft w:val="1080"/>
          <w:marRight w:val="0"/>
          <w:marTop w:val="1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3954379">
      <w:bodyDiv w:val="1"/>
      <w:marLeft w:val="0"/>
      <w:marRight w:val="0"/>
      <w:marTop w:val="0"/>
      <w:marBottom w:val="0"/>
      <w:divBdr>
        <w:top w:val="none" w:sz="0" w:space="0" w:color="auto"/>
        <w:left w:val="none" w:sz="0" w:space="0" w:color="auto"/>
        <w:bottom w:val="none" w:sz="0" w:space="0" w:color="auto"/>
        <w:right w:val="none" w:sz="0" w:space="0" w:color="auto"/>
      </w:divBdr>
      <w:divsChild>
        <w:div w:id="16929068">
          <w:marLeft w:val="360"/>
          <w:marRight w:val="0"/>
          <w:marTop w:val="200"/>
          <w:marBottom w:val="0"/>
          <w:divBdr>
            <w:top w:val="none" w:sz="0" w:space="0" w:color="auto"/>
            <w:left w:val="none" w:sz="0" w:space="0" w:color="auto"/>
            <w:bottom w:val="none" w:sz="0" w:space="0" w:color="auto"/>
            <w:right w:val="none" w:sz="0" w:space="0" w:color="auto"/>
          </w:divBdr>
        </w:div>
      </w:divsChild>
    </w:div>
    <w:div w:id="1063913703">
      <w:bodyDiv w:val="1"/>
      <w:marLeft w:val="0"/>
      <w:marRight w:val="0"/>
      <w:marTop w:val="0"/>
      <w:marBottom w:val="0"/>
      <w:divBdr>
        <w:top w:val="none" w:sz="0" w:space="0" w:color="auto"/>
        <w:left w:val="none" w:sz="0" w:space="0" w:color="auto"/>
        <w:bottom w:val="none" w:sz="0" w:space="0" w:color="auto"/>
        <w:right w:val="none" w:sz="0" w:space="0" w:color="auto"/>
      </w:divBdr>
      <w:divsChild>
        <w:div w:id="93208208">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0151279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51490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16/j.pmedr.2022.101823" TargetMode="External"/><Relationship Id="rId1" Type="http://schemas.openxmlformats.org/officeDocument/2006/relationships/hyperlink" Target="https://doi.org/10.1016/j.pmedr.2022.1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C7D7C-B941-43FB-A658-DB58356E72E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20240</Words>
  <Characters>115221</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2024-02-28T06:05:00Z</dcterms:created>
  <dcterms:modified xsi:type="dcterms:W3CDTF">2024-02-28T06:05:00Z</dcterms:modified>
</cp:coreProperties>
</file>