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B01F" w14:textId="1DC7F123" w:rsidR="008D3F58" w:rsidRPr="00E74297" w:rsidRDefault="008D3F58" w:rsidP="008D3F58">
      <w:pPr>
        <w:pStyle w:val="1-MainHeading"/>
        <w:ind w:left="851" w:hanging="851"/>
      </w:pPr>
      <w:r>
        <w:t>7.10</w:t>
      </w:r>
      <w:r w:rsidRPr="00E74297">
        <w:tab/>
      </w:r>
      <w:r w:rsidRPr="00E74297">
        <w:rPr>
          <w:caps/>
        </w:rPr>
        <w:t>Sacituzumab govitecan</w:t>
      </w:r>
      <w:r w:rsidRPr="00E74297">
        <w:t>,</w:t>
      </w:r>
      <w:r w:rsidRPr="00E74297">
        <w:br/>
        <w:t>Powder for injection 180 mg,</w:t>
      </w:r>
      <w:r w:rsidRPr="00E74297">
        <w:br/>
        <w:t>Trodelvy</w:t>
      </w:r>
      <w:r w:rsidRPr="00E74297">
        <w:rPr>
          <w:vertAlign w:val="superscript"/>
        </w:rPr>
        <w:t>®</w:t>
      </w:r>
      <w:r w:rsidRPr="00E74297">
        <w:t>,</w:t>
      </w:r>
      <w:r w:rsidRPr="00E74297">
        <w:br/>
        <w:t>Gilead Sciences PTY LIMITED</w:t>
      </w:r>
    </w:p>
    <w:p w14:paraId="6456F73E" w14:textId="60551E2F" w:rsidR="008D3F58" w:rsidRPr="00396E49" w:rsidRDefault="008D3F58" w:rsidP="00396E49">
      <w:pPr>
        <w:pStyle w:val="2-SectionHeading"/>
        <w:rPr>
          <w:rFonts w:eastAsia="Calibri"/>
        </w:rPr>
      </w:pPr>
      <w:r w:rsidRPr="00396E49">
        <w:t>Purpose</w:t>
      </w:r>
    </w:p>
    <w:p w14:paraId="3C73EA29" w14:textId="4269B9C6" w:rsidR="008D3F58" w:rsidRPr="00396E49" w:rsidRDefault="008D3F58" w:rsidP="00396E49">
      <w:pPr>
        <w:pStyle w:val="3-BodyText"/>
      </w:pPr>
      <w:r w:rsidRPr="00396E49">
        <w:t xml:space="preserve">The early re-entry resubmission requested a Section 100 (efficient funding of chemotherapy) listing for sacituzumab govitecan (SG) for the treatment of adult patients with unresectable locally advanced or metastatic hormone receptor positive (HR+), human epidermal growth factor receptor 2 (HER2) negative (HR+/HER2-) breast cancer, </w:t>
      </w:r>
      <w:r w:rsidR="002731AA" w:rsidRPr="00396E49">
        <w:t>who have previously received at least two prior chemotherapeutic regimens.</w:t>
      </w:r>
    </w:p>
    <w:p w14:paraId="5AD7F11C" w14:textId="12DF8F38" w:rsidR="001B615C" w:rsidRPr="008D3F58" w:rsidRDefault="001B615C" w:rsidP="00396E49">
      <w:pPr>
        <w:pStyle w:val="3-BodyText"/>
      </w:pPr>
      <w:r>
        <w:t>The resubmission was based on the PBAC decision to not recommend SG for</w:t>
      </w:r>
      <w:r w:rsidR="002731AA">
        <w:t xml:space="preserve"> </w:t>
      </w:r>
      <w:r w:rsidR="002731AA" w:rsidRPr="00E74297">
        <w:t xml:space="preserve">patients with unresectable locally advanced or </w:t>
      </w:r>
      <w:r w:rsidR="002731AA" w:rsidRPr="002731AA">
        <w:t xml:space="preserve">metastatic HR+/HER2- breast cancer, who have previously received at least two systemic therapies, one of which may have been in the neoadjuvant/adjuvant setting </w:t>
      </w:r>
      <w:r w:rsidR="00061A6E">
        <w:t>at its</w:t>
      </w:r>
      <w:r w:rsidRPr="002731AA">
        <w:t xml:space="preserve"> July 2023</w:t>
      </w:r>
      <w:r w:rsidR="00061A6E">
        <w:t xml:space="preserve"> meeting</w:t>
      </w:r>
      <w:r w:rsidRPr="002731AA">
        <w:t>.</w:t>
      </w:r>
      <w:r>
        <w:t xml:space="preserve"> </w:t>
      </w:r>
      <w:r w:rsidR="002731AA">
        <w:fldChar w:fldCharType="begin" w:fldLock="1"/>
      </w:r>
      <w:r w:rsidR="002731AA">
        <w:instrText xml:space="preserve"> REF _Ref136436863 \h  \* MERGEFORMAT </w:instrText>
      </w:r>
      <w:r w:rsidR="002731AA">
        <w:fldChar w:fldCharType="separate"/>
      </w:r>
      <w:r w:rsidR="0086428F" w:rsidRPr="0086428F">
        <w:t>Table 1</w:t>
      </w:r>
      <w:r w:rsidR="002731AA">
        <w:fldChar w:fldCharType="end"/>
      </w:r>
      <w:r w:rsidR="002731AA">
        <w:t xml:space="preserve"> outlines the issues raised by the PBAC in July 2023 and how these issues were address</w:t>
      </w:r>
      <w:r w:rsidR="00061A6E">
        <w:t>ed</w:t>
      </w:r>
      <w:r w:rsidR="002731AA">
        <w:t xml:space="preserve"> in the resubmission.</w:t>
      </w:r>
    </w:p>
    <w:p w14:paraId="00424942" w14:textId="36E26F32" w:rsidR="001B615C" w:rsidRPr="00C060D1" w:rsidRDefault="001B615C" w:rsidP="00E53893">
      <w:pPr>
        <w:pStyle w:val="Caption"/>
        <w:keepNext/>
        <w:keepLines/>
        <w:spacing w:after="0"/>
        <w:rPr>
          <w:rFonts w:ascii="Arial Narrow" w:eastAsiaTheme="majorEastAsia" w:hAnsi="Arial Narrow" w:cstheme="majorBidi"/>
          <w:b/>
          <w:bCs/>
          <w:i w:val="0"/>
          <w:iCs w:val="0"/>
          <w:color w:val="auto"/>
          <w:sz w:val="20"/>
          <w:szCs w:val="24"/>
        </w:rPr>
      </w:pPr>
      <w:bookmarkStart w:id="0" w:name="_Ref136436863"/>
      <w:r w:rsidRPr="00C060D1">
        <w:rPr>
          <w:rFonts w:ascii="Arial Narrow" w:eastAsiaTheme="majorEastAsia" w:hAnsi="Arial Narrow" w:cstheme="majorBidi"/>
          <w:b/>
          <w:bCs/>
          <w:i w:val="0"/>
          <w:iCs w:val="0"/>
          <w:color w:val="auto"/>
          <w:sz w:val="20"/>
          <w:szCs w:val="24"/>
        </w:rPr>
        <w:t xml:space="preserve">Table </w:t>
      </w:r>
      <w:r w:rsidRPr="00C060D1">
        <w:rPr>
          <w:rFonts w:ascii="Arial Narrow" w:eastAsiaTheme="majorEastAsia" w:hAnsi="Arial Narrow" w:cstheme="majorBidi"/>
          <w:b/>
          <w:bCs/>
          <w:i w:val="0"/>
          <w:iCs w:val="0"/>
          <w:color w:val="auto"/>
          <w:sz w:val="20"/>
          <w:szCs w:val="24"/>
        </w:rPr>
        <w:fldChar w:fldCharType="begin" w:fldLock="1"/>
      </w:r>
      <w:r w:rsidRPr="00C060D1">
        <w:rPr>
          <w:rFonts w:ascii="Arial Narrow" w:eastAsiaTheme="majorEastAsia" w:hAnsi="Arial Narrow" w:cstheme="majorBidi"/>
          <w:b/>
          <w:bCs/>
          <w:i w:val="0"/>
          <w:iCs w:val="0"/>
          <w:color w:val="auto"/>
          <w:sz w:val="20"/>
          <w:szCs w:val="24"/>
        </w:rPr>
        <w:instrText xml:space="preserve"> SEQ Table \* ARABIC </w:instrText>
      </w:r>
      <w:r w:rsidRPr="00C060D1">
        <w:rPr>
          <w:rFonts w:ascii="Arial Narrow" w:eastAsiaTheme="majorEastAsia" w:hAnsi="Arial Narrow" w:cstheme="majorBidi"/>
          <w:b/>
          <w:bCs/>
          <w:i w:val="0"/>
          <w:iCs w:val="0"/>
          <w:color w:val="auto"/>
          <w:sz w:val="20"/>
          <w:szCs w:val="24"/>
        </w:rPr>
        <w:fldChar w:fldCharType="separate"/>
      </w:r>
      <w:r w:rsidR="0086428F">
        <w:rPr>
          <w:rFonts w:ascii="Arial Narrow" w:eastAsiaTheme="majorEastAsia" w:hAnsi="Arial Narrow" w:cstheme="majorBidi"/>
          <w:b/>
          <w:bCs/>
          <w:i w:val="0"/>
          <w:iCs w:val="0"/>
          <w:noProof/>
          <w:color w:val="auto"/>
          <w:sz w:val="20"/>
          <w:szCs w:val="24"/>
        </w:rPr>
        <w:t>1</w:t>
      </w:r>
      <w:r w:rsidRPr="00C060D1">
        <w:rPr>
          <w:rFonts w:ascii="Arial Narrow" w:eastAsiaTheme="majorEastAsia" w:hAnsi="Arial Narrow" w:cstheme="majorBidi"/>
          <w:b/>
          <w:bCs/>
          <w:i w:val="0"/>
          <w:iCs w:val="0"/>
          <w:color w:val="auto"/>
          <w:sz w:val="20"/>
          <w:szCs w:val="24"/>
        </w:rPr>
        <w:fldChar w:fldCharType="end"/>
      </w:r>
      <w:bookmarkEnd w:id="0"/>
      <w:r w:rsidR="001F3B65">
        <w:rPr>
          <w:rFonts w:ascii="Arial Narrow" w:eastAsiaTheme="majorEastAsia" w:hAnsi="Arial Narrow" w:cstheme="majorBidi"/>
          <w:b/>
          <w:bCs/>
          <w:i w:val="0"/>
          <w:iCs w:val="0"/>
          <w:color w:val="auto"/>
          <w:sz w:val="20"/>
          <w:szCs w:val="24"/>
        </w:rPr>
        <w:t xml:space="preserve">: </w:t>
      </w:r>
      <w:r w:rsidRPr="00C060D1">
        <w:rPr>
          <w:rFonts w:ascii="Arial Narrow" w:eastAsiaTheme="majorEastAsia" w:hAnsi="Arial Narrow" w:cstheme="majorBidi"/>
          <w:b/>
          <w:bCs/>
          <w:i w:val="0"/>
          <w:iCs w:val="0"/>
          <w:color w:val="auto"/>
          <w:sz w:val="20"/>
          <w:szCs w:val="24"/>
        </w:rPr>
        <w:t>Summary of key matters to be addressed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Summary of key matters to be addressed"/>
        <w:tblDescription w:val="Table 1: Summary of key matters to be addressed"/>
      </w:tblPr>
      <w:tblGrid>
        <w:gridCol w:w="4390"/>
        <w:gridCol w:w="3462"/>
        <w:gridCol w:w="1164"/>
      </w:tblGrid>
      <w:tr w:rsidR="001B615C" w:rsidRPr="002C633F" w14:paraId="130A6A6D" w14:textId="77777777" w:rsidTr="00CD321D">
        <w:trPr>
          <w:cantSplit/>
          <w:tblHeader/>
        </w:trPr>
        <w:tc>
          <w:tcPr>
            <w:tcW w:w="2435" w:type="pct"/>
          </w:tcPr>
          <w:p w14:paraId="0A0106CD" w14:textId="77777777" w:rsidR="001B615C" w:rsidRPr="002C633F" w:rsidRDefault="001B615C" w:rsidP="00E53893">
            <w:pPr>
              <w:pStyle w:val="In-tableHeading"/>
              <w:keepLines/>
            </w:pPr>
            <w:r w:rsidRPr="002C633F">
              <w:t>Matter of concern</w:t>
            </w:r>
          </w:p>
        </w:tc>
        <w:tc>
          <w:tcPr>
            <w:tcW w:w="1920" w:type="pct"/>
          </w:tcPr>
          <w:p w14:paraId="646EA530" w14:textId="77777777" w:rsidR="001B615C" w:rsidRPr="002C633F" w:rsidRDefault="001B615C" w:rsidP="00E53893">
            <w:pPr>
              <w:pStyle w:val="In-tableHeading"/>
              <w:keepLines/>
            </w:pPr>
            <w:r w:rsidRPr="002C633F">
              <w:t>Response</w:t>
            </w:r>
          </w:p>
        </w:tc>
        <w:tc>
          <w:tcPr>
            <w:tcW w:w="646" w:type="pct"/>
          </w:tcPr>
          <w:p w14:paraId="03C40BEE" w14:textId="77777777" w:rsidR="001B615C" w:rsidRPr="002C633F" w:rsidRDefault="001B615C" w:rsidP="00E53893">
            <w:pPr>
              <w:pStyle w:val="In-tableHeading"/>
              <w:keepLines/>
            </w:pPr>
            <w:r w:rsidRPr="002C633F">
              <w:t>Addressed?</w:t>
            </w:r>
          </w:p>
        </w:tc>
      </w:tr>
      <w:tr w:rsidR="001B615C" w:rsidRPr="002C633F" w14:paraId="002729A3" w14:textId="77777777" w:rsidTr="00147723">
        <w:trPr>
          <w:cantSplit/>
        </w:trPr>
        <w:tc>
          <w:tcPr>
            <w:tcW w:w="5000" w:type="pct"/>
            <w:gridSpan w:val="3"/>
          </w:tcPr>
          <w:p w14:paraId="11A19D95" w14:textId="77777777" w:rsidR="001B615C" w:rsidRPr="006627D3" w:rsidRDefault="001B615C" w:rsidP="00E53893">
            <w:pPr>
              <w:pStyle w:val="TableText"/>
              <w:keepLines/>
              <w:rPr>
                <w:b/>
                <w:bCs w:val="0"/>
              </w:rPr>
            </w:pPr>
            <w:r w:rsidRPr="006627D3">
              <w:rPr>
                <w:b/>
                <w:bCs w:val="0"/>
              </w:rPr>
              <w:t>Revision to the proposed restriction</w:t>
            </w:r>
          </w:p>
        </w:tc>
      </w:tr>
      <w:tr w:rsidR="00880103" w:rsidRPr="0070023C" w14:paraId="4329C1E4" w14:textId="77777777" w:rsidTr="00880103">
        <w:trPr>
          <w:cantSplit/>
        </w:trPr>
        <w:tc>
          <w:tcPr>
            <w:tcW w:w="2435" w:type="pct"/>
          </w:tcPr>
          <w:p w14:paraId="295B80E5" w14:textId="6FBB46B6" w:rsidR="00F76554" w:rsidRPr="0070023C" w:rsidRDefault="00F76554" w:rsidP="00E53893">
            <w:pPr>
              <w:pStyle w:val="TableText"/>
              <w:keepLines/>
            </w:pPr>
            <w:bookmarkStart w:id="1" w:name="_Ref141786060"/>
            <w:r w:rsidRPr="0070023C">
              <w:t>The PBAC considered that the restriction for SG should reflect the inclusion criteria for TROPiCS-02 of at least two prior chemotherapy regimens in the metastatic setting (para 7.4</w:t>
            </w:r>
            <w:bookmarkEnd w:id="1"/>
            <w:r w:rsidRPr="0070023C">
              <w:t>,</w:t>
            </w:r>
            <w:r w:rsidRPr="0070023C">
              <w:rPr>
                <w:rFonts w:cstheme="minorHAnsi"/>
                <w:iCs/>
                <w:szCs w:val="20"/>
              </w:rPr>
              <w:t xml:space="preserve"> SG </w:t>
            </w:r>
            <w:r w:rsidR="00DE5ED8">
              <w:rPr>
                <w:rFonts w:cstheme="minorHAnsi"/>
                <w:iCs/>
                <w:szCs w:val="20"/>
              </w:rPr>
              <w:t>PSD</w:t>
            </w:r>
            <w:r w:rsidRPr="0070023C">
              <w:rPr>
                <w:rFonts w:cstheme="minorHAnsi"/>
                <w:iCs/>
                <w:szCs w:val="20"/>
              </w:rPr>
              <w:t>, July 2023 PBAC meeting).</w:t>
            </w:r>
          </w:p>
        </w:tc>
        <w:tc>
          <w:tcPr>
            <w:tcW w:w="1920" w:type="pct"/>
          </w:tcPr>
          <w:p w14:paraId="366C96F3" w14:textId="77777777" w:rsidR="00F76554" w:rsidRPr="0070023C" w:rsidRDefault="00F76554" w:rsidP="00E53893">
            <w:pPr>
              <w:pStyle w:val="TableText"/>
              <w:keepLines/>
            </w:pPr>
            <w:r w:rsidRPr="0070023C">
              <w:t>The revised restriction includes a criterion restricting treatment to patients with progressed diseased after receiving treatment with at least two prior chemotherapeutic regimens in the unresectable, locally advanced, or metastatic setting.</w:t>
            </w:r>
          </w:p>
        </w:tc>
        <w:tc>
          <w:tcPr>
            <w:tcW w:w="646" w:type="pct"/>
          </w:tcPr>
          <w:p w14:paraId="7EE7C63C" w14:textId="77777777" w:rsidR="00F76554" w:rsidRPr="0070023C" w:rsidRDefault="00F76554" w:rsidP="00E53893">
            <w:pPr>
              <w:pStyle w:val="TableText"/>
              <w:keepLines/>
              <w:rPr>
                <w:iCs/>
              </w:rPr>
            </w:pPr>
            <w:r w:rsidRPr="0070023C">
              <w:rPr>
                <w:iCs/>
              </w:rPr>
              <w:t>Yes</w:t>
            </w:r>
          </w:p>
        </w:tc>
      </w:tr>
      <w:tr w:rsidR="001B615C" w:rsidRPr="0070023C" w14:paraId="08CAFE87" w14:textId="77777777" w:rsidTr="00CD321D">
        <w:trPr>
          <w:cantSplit/>
        </w:trPr>
        <w:tc>
          <w:tcPr>
            <w:tcW w:w="2435" w:type="pct"/>
          </w:tcPr>
          <w:p w14:paraId="7974F0C8" w14:textId="19FFAA35" w:rsidR="001B615C" w:rsidRPr="006460C1" w:rsidRDefault="00550319" w:rsidP="00AF781B">
            <w:pPr>
              <w:pStyle w:val="TableText"/>
              <w:keepNext w:val="0"/>
              <w:keepLines/>
            </w:pPr>
            <w:bookmarkStart w:id="2" w:name="_Ref141798472"/>
            <w:r w:rsidRPr="006460C1">
              <w:t>The PBAC considered that the submission’s proposed place in therapy as the second- or third-line systemic treatment for mBC was not appropriate as it was not consistent with the pivotal trial (TROPiCS-02). The PBAC considered that the listing of SG should reflect use as the fourth or later line systemic treatment (including endocrine therapy), consistent with the eligibility criteria of the TROPiCS-02 trial (para 7.3</w:t>
            </w:r>
            <w:bookmarkEnd w:id="2"/>
            <w:r w:rsidR="00A625CB" w:rsidRPr="006460C1">
              <w:t>,</w:t>
            </w:r>
            <w:r w:rsidR="00A625CB" w:rsidRPr="006460C1">
              <w:rPr>
                <w:rFonts w:cstheme="minorHAnsi"/>
                <w:iCs/>
                <w:szCs w:val="20"/>
              </w:rPr>
              <w:t xml:space="preserve"> SG </w:t>
            </w:r>
            <w:r w:rsidR="00DE5ED8">
              <w:rPr>
                <w:rFonts w:cstheme="minorHAnsi"/>
                <w:iCs/>
                <w:szCs w:val="20"/>
              </w:rPr>
              <w:t>PSD</w:t>
            </w:r>
            <w:r w:rsidR="00A625CB" w:rsidRPr="006460C1">
              <w:rPr>
                <w:rFonts w:cstheme="minorHAnsi"/>
                <w:iCs/>
                <w:szCs w:val="20"/>
              </w:rPr>
              <w:t>, July 2023</w:t>
            </w:r>
            <w:r w:rsidR="00BE4266" w:rsidRPr="006460C1">
              <w:rPr>
                <w:rFonts w:cstheme="minorHAnsi"/>
                <w:iCs/>
                <w:szCs w:val="20"/>
              </w:rPr>
              <w:t xml:space="preserve"> PBAC meetin</w:t>
            </w:r>
            <w:r w:rsidR="00914A87" w:rsidRPr="006460C1">
              <w:rPr>
                <w:rFonts w:cstheme="minorHAnsi"/>
                <w:iCs/>
                <w:szCs w:val="20"/>
              </w:rPr>
              <w:t>g</w:t>
            </w:r>
            <w:r w:rsidR="00A625CB" w:rsidRPr="006460C1">
              <w:rPr>
                <w:rFonts w:cstheme="minorHAnsi"/>
                <w:iCs/>
                <w:szCs w:val="20"/>
              </w:rPr>
              <w:t>).</w:t>
            </w:r>
          </w:p>
        </w:tc>
        <w:tc>
          <w:tcPr>
            <w:tcW w:w="1920" w:type="pct"/>
          </w:tcPr>
          <w:p w14:paraId="16462D0F" w14:textId="2C311963" w:rsidR="001B615C" w:rsidRPr="006460C1" w:rsidRDefault="00E50E2B" w:rsidP="00AF781B">
            <w:pPr>
              <w:pStyle w:val="TableText"/>
              <w:keepNext w:val="0"/>
              <w:keepLines/>
              <w:rPr>
                <w:iCs/>
              </w:rPr>
            </w:pPr>
            <w:r w:rsidRPr="006460C1">
              <w:rPr>
                <w:rFonts w:cstheme="minorHAnsi"/>
                <w:iCs/>
                <w:szCs w:val="20"/>
              </w:rPr>
              <w:t xml:space="preserve">The revised restriction remains </w:t>
            </w:r>
            <w:r w:rsidR="00F76554" w:rsidRPr="006460C1">
              <w:rPr>
                <w:rFonts w:cstheme="minorHAnsi"/>
                <w:iCs/>
                <w:szCs w:val="20"/>
              </w:rPr>
              <w:t xml:space="preserve">somewhat </w:t>
            </w:r>
            <w:r w:rsidRPr="006460C1">
              <w:rPr>
                <w:rFonts w:cstheme="minorHAnsi"/>
                <w:iCs/>
                <w:szCs w:val="20"/>
              </w:rPr>
              <w:t>broader than the TROPiCS-02 trial inclusion criteria.</w:t>
            </w:r>
          </w:p>
        </w:tc>
        <w:tc>
          <w:tcPr>
            <w:tcW w:w="646" w:type="pct"/>
          </w:tcPr>
          <w:p w14:paraId="1D3B58D1" w14:textId="03FD0743" w:rsidR="001B615C" w:rsidRPr="006460C1" w:rsidRDefault="00101528" w:rsidP="00AF781B">
            <w:pPr>
              <w:pStyle w:val="TableText"/>
              <w:keepNext w:val="0"/>
              <w:keepLines/>
              <w:rPr>
                <w:iCs/>
              </w:rPr>
            </w:pPr>
            <w:r w:rsidRPr="006460C1">
              <w:rPr>
                <w:iCs/>
              </w:rPr>
              <w:t>No</w:t>
            </w:r>
            <w:r w:rsidR="00F76554" w:rsidRPr="006460C1">
              <w:rPr>
                <w:iCs/>
              </w:rPr>
              <w:t>t fully</w:t>
            </w:r>
          </w:p>
        </w:tc>
      </w:tr>
      <w:tr w:rsidR="00BE4266" w:rsidRPr="002C633F" w14:paraId="0EFE770E" w14:textId="77777777" w:rsidTr="00147723">
        <w:trPr>
          <w:cantSplit/>
        </w:trPr>
        <w:tc>
          <w:tcPr>
            <w:tcW w:w="5000" w:type="pct"/>
            <w:gridSpan w:val="3"/>
          </w:tcPr>
          <w:p w14:paraId="1E787A74" w14:textId="613D1630" w:rsidR="00BE4266" w:rsidRPr="006460C1" w:rsidRDefault="00BE4266" w:rsidP="00BE4266">
            <w:pPr>
              <w:pStyle w:val="TableText"/>
              <w:keepNext w:val="0"/>
              <w:keepLines/>
            </w:pPr>
            <w:r w:rsidRPr="006460C1">
              <w:rPr>
                <w:b/>
                <w:bCs w:val="0"/>
              </w:rPr>
              <w:t>Revision of inputs to the economic evaluation</w:t>
            </w:r>
          </w:p>
        </w:tc>
      </w:tr>
      <w:tr w:rsidR="00BE4266" w:rsidRPr="0070023C" w14:paraId="1A659587" w14:textId="77777777" w:rsidTr="00CD321D">
        <w:trPr>
          <w:cantSplit/>
        </w:trPr>
        <w:tc>
          <w:tcPr>
            <w:tcW w:w="2435" w:type="pct"/>
          </w:tcPr>
          <w:p w14:paraId="21E4C6B5" w14:textId="2EA7DF80" w:rsidR="00BE4266" w:rsidRPr="006460C1" w:rsidRDefault="00451998" w:rsidP="00BE4266">
            <w:pPr>
              <w:pStyle w:val="TableText"/>
              <w:keepNext w:val="0"/>
              <w:keepLines/>
              <w:rPr>
                <w:u w:val="single"/>
              </w:rPr>
            </w:pPr>
            <w:r w:rsidRPr="006460C1">
              <w:t xml:space="preserve">The model used a 10-year time horizon, however the PBAC considered if the proposed PBS population is aligned to the TROPiCS-02 trial a time horizon of 5 years would be more appropriate for the heavily pre-treated population (para 7.9, </w:t>
            </w:r>
            <w:r w:rsidRPr="006460C1">
              <w:rPr>
                <w:rFonts w:cstheme="minorHAnsi"/>
                <w:iCs/>
                <w:szCs w:val="20"/>
              </w:rPr>
              <w:t xml:space="preserve">SG </w:t>
            </w:r>
            <w:r w:rsidR="00DE5ED8">
              <w:rPr>
                <w:rFonts w:cstheme="minorHAnsi"/>
                <w:iCs/>
                <w:szCs w:val="20"/>
              </w:rPr>
              <w:t>PSD</w:t>
            </w:r>
            <w:r w:rsidRPr="006460C1">
              <w:rPr>
                <w:rFonts w:cstheme="minorHAnsi"/>
                <w:iCs/>
                <w:szCs w:val="20"/>
              </w:rPr>
              <w:t>, July 2023 PBAC meeting).</w:t>
            </w:r>
          </w:p>
        </w:tc>
        <w:tc>
          <w:tcPr>
            <w:tcW w:w="1920" w:type="pct"/>
          </w:tcPr>
          <w:p w14:paraId="60A7C101" w14:textId="4EC5A328" w:rsidR="00BE4266" w:rsidRPr="006460C1" w:rsidRDefault="009847FE" w:rsidP="00EF0B19">
            <w:pPr>
              <w:pStyle w:val="TableText"/>
              <w:keepNext w:val="0"/>
              <w:keepLines/>
            </w:pPr>
            <w:r w:rsidRPr="006460C1">
              <w:t xml:space="preserve">The resubmission </w:t>
            </w:r>
            <w:r w:rsidR="00EF0B19" w:rsidRPr="006460C1">
              <w:t xml:space="preserve">reduced the time horizon applied in the previous economic evaluation </w:t>
            </w:r>
            <w:r w:rsidR="00EC2222" w:rsidRPr="006460C1">
              <w:t xml:space="preserve">from </w:t>
            </w:r>
            <w:r w:rsidR="00EF0B19" w:rsidRPr="006460C1">
              <w:t>10 years to</w:t>
            </w:r>
            <w:r w:rsidRPr="006460C1">
              <w:t xml:space="preserve"> 7</w:t>
            </w:r>
            <w:r w:rsidR="00EF0B19" w:rsidRPr="006460C1">
              <w:t xml:space="preserve"> years.</w:t>
            </w:r>
          </w:p>
        </w:tc>
        <w:tc>
          <w:tcPr>
            <w:tcW w:w="646" w:type="pct"/>
          </w:tcPr>
          <w:p w14:paraId="1EA4267F" w14:textId="6FF55133" w:rsidR="00BE4266" w:rsidRPr="006460C1" w:rsidRDefault="009847FE" w:rsidP="00BE4266">
            <w:pPr>
              <w:pStyle w:val="TableText"/>
              <w:keepNext w:val="0"/>
              <w:keepLines/>
              <w:rPr>
                <w:iCs/>
              </w:rPr>
            </w:pPr>
            <w:r w:rsidRPr="006460C1">
              <w:rPr>
                <w:iCs/>
              </w:rPr>
              <w:t>No</w:t>
            </w:r>
            <w:r w:rsidR="00F76554" w:rsidRPr="006460C1">
              <w:rPr>
                <w:iCs/>
              </w:rPr>
              <w:t>t fully</w:t>
            </w:r>
          </w:p>
        </w:tc>
      </w:tr>
      <w:tr w:rsidR="00BE4266" w:rsidRPr="0070023C" w14:paraId="6F6AC95A" w14:textId="77777777" w:rsidTr="00CD321D">
        <w:trPr>
          <w:cantSplit/>
        </w:trPr>
        <w:tc>
          <w:tcPr>
            <w:tcW w:w="2435" w:type="pct"/>
          </w:tcPr>
          <w:p w14:paraId="5F9D968B" w14:textId="0B184806" w:rsidR="00BE4266" w:rsidRPr="006460C1" w:rsidRDefault="00451998" w:rsidP="00BE4266">
            <w:pPr>
              <w:pStyle w:val="TableText"/>
              <w:keepNext w:val="0"/>
              <w:keepLines/>
              <w:rPr>
                <w:u w:val="single"/>
              </w:rPr>
            </w:pPr>
            <w:r w:rsidRPr="006460C1">
              <w:lastRenderedPageBreak/>
              <w:t>KM data was only used up to 13.1 months, however KM estimates up to 30 months still contain a sufficient number of patients at risk to give reliable estimates. The PBAC considered that use of KM data up to 30 months was consistent with the preferred approach as outlined in the PBAC guidelines</w:t>
            </w:r>
            <w:r w:rsidR="00BD7917" w:rsidRPr="006460C1">
              <w:t xml:space="preserve"> </w:t>
            </w:r>
            <w:r w:rsidRPr="006460C1">
              <w:t xml:space="preserve">(para 7.9, </w:t>
            </w:r>
            <w:r w:rsidRPr="006460C1">
              <w:rPr>
                <w:rFonts w:cstheme="minorHAnsi"/>
                <w:iCs/>
                <w:szCs w:val="20"/>
              </w:rPr>
              <w:t xml:space="preserve">SG </w:t>
            </w:r>
            <w:r w:rsidR="00DE5ED8">
              <w:rPr>
                <w:rFonts w:cstheme="minorHAnsi"/>
                <w:iCs/>
                <w:szCs w:val="20"/>
              </w:rPr>
              <w:t>PSD</w:t>
            </w:r>
            <w:r w:rsidRPr="006460C1">
              <w:rPr>
                <w:rFonts w:cstheme="minorHAnsi"/>
                <w:iCs/>
                <w:szCs w:val="20"/>
              </w:rPr>
              <w:t>, July 2023 PBAC meeting).</w:t>
            </w:r>
          </w:p>
        </w:tc>
        <w:tc>
          <w:tcPr>
            <w:tcW w:w="1920" w:type="pct"/>
          </w:tcPr>
          <w:p w14:paraId="3BA5357B" w14:textId="6454C8B4" w:rsidR="00BE4266" w:rsidRPr="006460C1" w:rsidRDefault="00EC2222" w:rsidP="00BE4266">
            <w:pPr>
              <w:pStyle w:val="TableText"/>
              <w:keepNext w:val="0"/>
              <w:keepLines/>
            </w:pPr>
            <w:r w:rsidRPr="006460C1">
              <w:t>The data truncation point for overall survival</w:t>
            </w:r>
            <w:r w:rsidR="004D0BA3" w:rsidRPr="006460C1">
              <w:t xml:space="preserve"> KM data</w:t>
            </w:r>
            <w:r w:rsidRPr="006460C1">
              <w:t xml:space="preserve"> was increased from 13.1 months to 30 months. </w:t>
            </w:r>
          </w:p>
        </w:tc>
        <w:tc>
          <w:tcPr>
            <w:tcW w:w="646" w:type="pct"/>
          </w:tcPr>
          <w:p w14:paraId="4C017824" w14:textId="2446A579" w:rsidR="00BE4266" w:rsidRPr="006460C1" w:rsidRDefault="00EC2222" w:rsidP="00BE4266">
            <w:pPr>
              <w:pStyle w:val="TableText"/>
              <w:keepNext w:val="0"/>
              <w:keepLines/>
              <w:rPr>
                <w:iCs/>
              </w:rPr>
            </w:pPr>
            <w:r w:rsidRPr="006460C1">
              <w:rPr>
                <w:iCs/>
              </w:rPr>
              <w:t>Yes</w:t>
            </w:r>
          </w:p>
        </w:tc>
      </w:tr>
      <w:tr w:rsidR="004B14C6" w:rsidRPr="0070023C" w14:paraId="25213B0B" w14:textId="77777777" w:rsidTr="00CD321D">
        <w:trPr>
          <w:cantSplit/>
        </w:trPr>
        <w:tc>
          <w:tcPr>
            <w:tcW w:w="2435" w:type="pct"/>
          </w:tcPr>
          <w:p w14:paraId="57E9B583" w14:textId="01BBFD71" w:rsidR="004B14C6" w:rsidRPr="006460C1" w:rsidRDefault="004B14C6" w:rsidP="00BE4266">
            <w:pPr>
              <w:pStyle w:val="TableText"/>
              <w:keepNext w:val="0"/>
              <w:keepLines/>
            </w:pPr>
            <w:r w:rsidRPr="006460C1">
              <w:t xml:space="preserve">The economic model used KM TTD data from TROPiCS-02 up to the mean follow-up time (13.1 months). The PBAC considered that as TTD data were mature TTD data without extrapolation should have been used (para 7.9, SG </w:t>
            </w:r>
            <w:r w:rsidR="00DE5ED8">
              <w:t>PSD</w:t>
            </w:r>
            <w:r w:rsidRPr="006460C1">
              <w:t>, July 2023 PBAC meeting).</w:t>
            </w:r>
          </w:p>
        </w:tc>
        <w:tc>
          <w:tcPr>
            <w:tcW w:w="1920" w:type="pct"/>
          </w:tcPr>
          <w:p w14:paraId="3BE5420D" w14:textId="026285E6" w:rsidR="004B14C6" w:rsidRPr="006460C1" w:rsidRDefault="004B14C6" w:rsidP="00BE4266">
            <w:pPr>
              <w:pStyle w:val="TableText"/>
              <w:keepNext w:val="0"/>
              <w:keepLines/>
            </w:pPr>
            <w:r w:rsidRPr="006460C1">
              <w:t>The data truncation point for TTD in the resubmission remains unchanged (13.1 months).</w:t>
            </w:r>
          </w:p>
        </w:tc>
        <w:tc>
          <w:tcPr>
            <w:tcW w:w="646" w:type="pct"/>
          </w:tcPr>
          <w:p w14:paraId="6523AFEE" w14:textId="7A08C1D1" w:rsidR="004B14C6" w:rsidRPr="006460C1" w:rsidRDefault="004B14C6" w:rsidP="00BE4266">
            <w:pPr>
              <w:pStyle w:val="TableText"/>
              <w:keepNext w:val="0"/>
              <w:keepLines/>
              <w:rPr>
                <w:iCs/>
              </w:rPr>
            </w:pPr>
            <w:r w:rsidRPr="006460C1">
              <w:rPr>
                <w:iCs/>
              </w:rPr>
              <w:t>No</w:t>
            </w:r>
          </w:p>
        </w:tc>
      </w:tr>
      <w:tr w:rsidR="00BE4266" w:rsidRPr="0070023C" w14:paraId="5A040E46" w14:textId="77777777" w:rsidTr="00CD321D">
        <w:trPr>
          <w:cantSplit/>
        </w:trPr>
        <w:tc>
          <w:tcPr>
            <w:tcW w:w="2435" w:type="pct"/>
          </w:tcPr>
          <w:p w14:paraId="6BA9004C" w14:textId="547751DF" w:rsidR="00BE4266" w:rsidRPr="006460C1" w:rsidRDefault="00BD7917" w:rsidP="00BE4266">
            <w:pPr>
              <w:pStyle w:val="TableText"/>
              <w:keepNext w:val="0"/>
              <w:keepLines/>
              <w:rPr>
                <w:u w:val="single"/>
              </w:rPr>
            </w:pPr>
            <w:r w:rsidRPr="006460C1">
              <w:t>QoL</w:t>
            </w:r>
            <w:r w:rsidR="00F36D12" w:rsidRPr="006460C1">
              <w:t xml:space="preserve"> data were captured in the TROPiCS-02 trial, however the base case </w:t>
            </w:r>
            <w:r w:rsidR="008514A0" w:rsidRPr="006460C1">
              <w:t xml:space="preserve">of the July 2023 economic model </w:t>
            </w:r>
            <w:r w:rsidR="00F36D12" w:rsidRPr="006460C1">
              <w:t>included health state utilities that were sourced from the economic evaluation of SG vs TPC for mTNBC. The PBAC considered that the economic model should apply utility values from the TROPiCS-02 trial</w:t>
            </w:r>
            <w:r w:rsidR="00D077C9" w:rsidRPr="006460C1">
              <w:t xml:space="preserve"> and considered that utilities in TNBC not applicable to the HR+ setting</w:t>
            </w:r>
            <w:r w:rsidR="00F36D12" w:rsidRPr="006460C1">
              <w:t xml:space="preserve"> (para 7.9, SG </w:t>
            </w:r>
            <w:r w:rsidR="00DE5ED8">
              <w:t>PSD</w:t>
            </w:r>
            <w:r w:rsidR="00F36D12" w:rsidRPr="006460C1">
              <w:t>, July 2023 PBAC meeting).</w:t>
            </w:r>
          </w:p>
        </w:tc>
        <w:tc>
          <w:tcPr>
            <w:tcW w:w="1920" w:type="pct"/>
          </w:tcPr>
          <w:p w14:paraId="4D7D5EDE" w14:textId="14610D50" w:rsidR="00BE4266" w:rsidRPr="006460C1" w:rsidRDefault="004D0BA3" w:rsidP="00BE4266">
            <w:pPr>
              <w:pStyle w:val="TableText"/>
              <w:keepNext w:val="0"/>
              <w:keepLines/>
            </w:pPr>
            <w:r w:rsidRPr="006460C1">
              <w:t xml:space="preserve">The </w:t>
            </w:r>
            <w:r w:rsidR="00352468" w:rsidRPr="006460C1">
              <w:t xml:space="preserve">resubmission sourced </w:t>
            </w:r>
            <w:r w:rsidRPr="006460C1">
              <w:t xml:space="preserve">health state utility values </w:t>
            </w:r>
            <w:r w:rsidR="00352468" w:rsidRPr="006460C1">
              <w:t>from</w:t>
            </w:r>
            <w:r w:rsidRPr="006460C1">
              <w:t xml:space="preserve"> the TROPiCS-02 trial.</w:t>
            </w:r>
          </w:p>
        </w:tc>
        <w:tc>
          <w:tcPr>
            <w:tcW w:w="646" w:type="pct"/>
          </w:tcPr>
          <w:p w14:paraId="5DAD3CD8" w14:textId="0855BCA5" w:rsidR="00BE4266" w:rsidRPr="006460C1" w:rsidRDefault="004D0BA3" w:rsidP="00BE4266">
            <w:pPr>
              <w:pStyle w:val="TableText"/>
              <w:keepNext w:val="0"/>
              <w:keepLines/>
              <w:rPr>
                <w:iCs/>
              </w:rPr>
            </w:pPr>
            <w:r w:rsidRPr="006460C1">
              <w:rPr>
                <w:iCs/>
              </w:rPr>
              <w:t>Yes</w:t>
            </w:r>
          </w:p>
        </w:tc>
      </w:tr>
      <w:tr w:rsidR="00BE4266" w:rsidRPr="0070023C" w14:paraId="473DBFA9" w14:textId="77777777" w:rsidTr="00CD321D">
        <w:trPr>
          <w:cantSplit/>
        </w:trPr>
        <w:tc>
          <w:tcPr>
            <w:tcW w:w="2435" w:type="pct"/>
          </w:tcPr>
          <w:p w14:paraId="46478045" w14:textId="48827285" w:rsidR="00BE4266" w:rsidRPr="006460C1" w:rsidRDefault="00F36D12" w:rsidP="00BE4266">
            <w:pPr>
              <w:pStyle w:val="TableText"/>
              <w:keepNext w:val="0"/>
              <w:keepLines/>
              <w:rPr>
                <w:u w:val="single"/>
              </w:rPr>
            </w:pPr>
            <w:r w:rsidRPr="006460C1">
              <w:t xml:space="preserve">The PBAC considered </w:t>
            </w:r>
            <w:r w:rsidR="004E3285" w:rsidRPr="006460C1">
              <w:t xml:space="preserve">that </w:t>
            </w:r>
            <w:r w:rsidRPr="006460C1">
              <w:t xml:space="preserve">the use of treatment specific utilities was poorly justified in the </w:t>
            </w:r>
            <w:r w:rsidR="008514A0" w:rsidRPr="006460C1">
              <w:t xml:space="preserve">July 2023 </w:t>
            </w:r>
            <w:r w:rsidRPr="006460C1">
              <w:t xml:space="preserve">submission (para 7.9, SG </w:t>
            </w:r>
            <w:r w:rsidR="00DE5ED8">
              <w:t>PSD</w:t>
            </w:r>
            <w:r w:rsidRPr="006460C1">
              <w:t>, July 2023 PBAC meeting).</w:t>
            </w:r>
          </w:p>
        </w:tc>
        <w:tc>
          <w:tcPr>
            <w:tcW w:w="1920" w:type="pct"/>
          </w:tcPr>
          <w:p w14:paraId="4010B8B3" w14:textId="4BA5ACE3" w:rsidR="00BE4266" w:rsidRPr="006460C1" w:rsidRDefault="00AA159B" w:rsidP="00BE4266">
            <w:pPr>
              <w:pStyle w:val="TableText"/>
              <w:keepNext w:val="0"/>
              <w:keepLines/>
            </w:pPr>
            <w:r w:rsidRPr="006460C1">
              <w:t>The resubmission applied treatment specific utility values for</w:t>
            </w:r>
            <w:r w:rsidR="00506913" w:rsidRPr="006460C1">
              <w:t xml:space="preserve"> the</w:t>
            </w:r>
            <w:r w:rsidRPr="006460C1">
              <w:t xml:space="preserve"> PF</w:t>
            </w:r>
            <w:r w:rsidR="00506913" w:rsidRPr="006460C1">
              <w:t xml:space="preserve"> health state</w:t>
            </w:r>
            <w:r w:rsidRPr="006460C1">
              <w:t xml:space="preserve"> and pooled utility </w:t>
            </w:r>
            <w:r w:rsidR="00B65EAB" w:rsidRPr="006460C1">
              <w:t xml:space="preserve">values </w:t>
            </w:r>
            <w:r w:rsidRPr="006460C1">
              <w:t xml:space="preserve">for </w:t>
            </w:r>
            <w:r w:rsidR="00506913" w:rsidRPr="006460C1">
              <w:t xml:space="preserve">the </w:t>
            </w:r>
            <w:r w:rsidRPr="006460C1">
              <w:t xml:space="preserve">PD health state. Additionally, adverse event (AE) disutilities, based on published literature, were </w:t>
            </w:r>
            <w:r w:rsidR="00B65EAB" w:rsidRPr="006460C1">
              <w:t>applied</w:t>
            </w:r>
            <w:r w:rsidRPr="006460C1">
              <w:t>.</w:t>
            </w:r>
          </w:p>
        </w:tc>
        <w:tc>
          <w:tcPr>
            <w:tcW w:w="646" w:type="pct"/>
          </w:tcPr>
          <w:p w14:paraId="5C8A7880" w14:textId="74D42FA2" w:rsidR="00BE4266" w:rsidRPr="006460C1" w:rsidRDefault="00D02DCE" w:rsidP="00BE4266">
            <w:pPr>
              <w:pStyle w:val="TableText"/>
              <w:keepNext w:val="0"/>
              <w:keepLines/>
              <w:rPr>
                <w:iCs/>
              </w:rPr>
            </w:pPr>
            <w:r w:rsidRPr="006460C1">
              <w:rPr>
                <w:iCs/>
              </w:rPr>
              <w:t>No</w:t>
            </w:r>
            <w:r w:rsidR="00BB5271" w:rsidRPr="006460C1">
              <w:rPr>
                <w:iCs/>
              </w:rPr>
              <w:t>t fully</w:t>
            </w:r>
          </w:p>
        </w:tc>
      </w:tr>
      <w:tr w:rsidR="00BE4266" w:rsidRPr="002C633F" w14:paraId="7F21FA57" w14:textId="77777777" w:rsidTr="00CD321D">
        <w:trPr>
          <w:cantSplit/>
        </w:trPr>
        <w:tc>
          <w:tcPr>
            <w:tcW w:w="2435" w:type="pct"/>
          </w:tcPr>
          <w:p w14:paraId="479E0BB3" w14:textId="7E426BA7" w:rsidR="00BE4266" w:rsidRPr="006460C1" w:rsidRDefault="00D077C9" w:rsidP="00BE4266">
            <w:pPr>
              <w:pStyle w:val="TableText"/>
              <w:keepNext w:val="0"/>
              <w:keepLines/>
              <w:rPr>
                <w:u w:val="single"/>
              </w:rPr>
            </w:pPr>
            <w:r w:rsidRPr="006460C1">
              <w:t xml:space="preserve">The submission assumed vial sharing would occur in the base case analysis for SG and the comparator drugs. The PBAC considered that the economic model should include wastage as this would be expected to occur in practice (para 7.9, SG </w:t>
            </w:r>
            <w:r w:rsidR="00DE5ED8">
              <w:t>PSD</w:t>
            </w:r>
            <w:r w:rsidRPr="006460C1">
              <w:t>, July 2023 PBAC meeting).</w:t>
            </w:r>
          </w:p>
        </w:tc>
        <w:tc>
          <w:tcPr>
            <w:tcW w:w="1920" w:type="pct"/>
          </w:tcPr>
          <w:p w14:paraId="15339B4F" w14:textId="02AB9E65" w:rsidR="00BE4266" w:rsidRPr="006460C1" w:rsidRDefault="002B366C" w:rsidP="00BE4266">
            <w:pPr>
              <w:pStyle w:val="TableText"/>
              <w:keepNext w:val="0"/>
              <w:keepLines/>
            </w:pPr>
            <w:r w:rsidRPr="006460C1">
              <w:t xml:space="preserve">The assumption of vial sharing remained </w:t>
            </w:r>
            <w:r w:rsidR="002E04A8" w:rsidRPr="006460C1">
              <w:t>un</w:t>
            </w:r>
            <w:r w:rsidRPr="006460C1">
              <w:t>changed in the resubmission.</w:t>
            </w:r>
          </w:p>
        </w:tc>
        <w:tc>
          <w:tcPr>
            <w:tcW w:w="646" w:type="pct"/>
          </w:tcPr>
          <w:p w14:paraId="77D9F1E6" w14:textId="4B46E7E0" w:rsidR="00BE4266" w:rsidRPr="006460C1" w:rsidRDefault="002B366C" w:rsidP="00BE4266">
            <w:pPr>
              <w:pStyle w:val="TableText"/>
              <w:keepNext w:val="0"/>
              <w:keepLines/>
            </w:pPr>
            <w:r w:rsidRPr="006460C1">
              <w:rPr>
                <w:iCs/>
              </w:rPr>
              <w:t>No</w:t>
            </w:r>
          </w:p>
        </w:tc>
      </w:tr>
      <w:tr w:rsidR="00BE4266" w:rsidRPr="0070023C" w14:paraId="4115CDEA" w14:textId="77777777" w:rsidTr="00CD321D">
        <w:trPr>
          <w:cantSplit/>
        </w:trPr>
        <w:tc>
          <w:tcPr>
            <w:tcW w:w="2435" w:type="pct"/>
          </w:tcPr>
          <w:p w14:paraId="1935B8AF" w14:textId="5E52E7F7" w:rsidR="00BE4266" w:rsidRPr="006460C1" w:rsidRDefault="00E11DD6" w:rsidP="00BE4266">
            <w:pPr>
              <w:pStyle w:val="TableText"/>
              <w:keepNext w:val="0"/>
              <w:keepLines/>
            </w:pPr>
            <w:r w:rsidRPr="006460C1">
              <w:t xml:space="preserve">The model included subsequent treatment with SG for 8% of patients in the TPC arm. The PBAC considered this was not reasonable as SG is not currently available in the proposed setting for this indication (para 7.9, SG </w:t>
            </w:r>
            <w:r w:rsidR="00DE5ED8">
              <w:t>PSD</w:t>
            </w:r>
            <w:r w:rsidRPr="006460C1">
              <w:t xml:space="preserve">, July 2023 PBAC meeting). </w:t>
            </w:r>
          </w:p>
        </w:tc>
        <w:tc>
          <w:tcPr>
            <w:tcW w:w="1920" w:type="pct"/>
          </w:tcPr>
          <w:p w14:paraId="3CFAD0D0" w14:textId="0E9E8D4F" w:rsidR="00BE4266" w:rsidRPr="006460C1" w:rsidRDefault="004A411D" w:rsidP="00BE4266">
            <w:pPr>
              <w:pStyle w:val="TableText"/>
              <w:keepNext w:val="0"/>
              <w:keepLines/>
            </w:pPr>
            <w:r w:rsidRPr="006460C1">
              <w:t xml:space="preserve">The resubmission removed SG from the subsequent treatment mix for the TPC arm and proportionally re-distributed </w:t>
            </w:r>
            <w:r w:rsidR="00E168CE" w:rsidRPr="006460C1">
              <w:t xml:space="preserve">it </w:t>
            </w:r>
            <w:r w:rsidRPr="006460C1">
              <w:t>to other subsequent treatments.</w:t>
            </w:r>
          </w:p>
        </w:tc>
        <w:tc>
          <w:tcPr>
            <w:tcW w:w="646" w:type="pct"/>
          </w:tcPr>
          <w:p w14:paraId="7D29A116" w14:textId="7BE63F2E" w:rsidR="00BE4266" w:rsidRPr="006460C1" w:rsidRDefault="004A411D" w:rsidP="00BE4266">
            <w:pPr>
              <w:pStyle w:val="TableText"/>
              <w:keepNext w:val="0"/>
              <w:keepLines/>
              <w:rPr>
                <w:iCs/>
              </w:rPr>
            </w:pPr>
            <w:r w:rsidRPr="006460C1">
              <w:rPr>
                <w:iCs/>
              </w:rPr>
              <w:t>Yes</w:t>
            </w:r>
          </w:p>
        </w:tc>
      </w:tr>
      <w:tr w:rsidR="00E11DD6" w:rsidRPr="002C633F" w14:paraId="6519FAEF" w14:textId="77777777" w:rsidTr="00CD321D">
        <w:trPr>
          <w:cantSplit/>
        </w:trPr>
        <w:tc>
          <w:tcPr>
            <w:tcW w:w="2435" w:type="pct"/>
          </w:tcPr>
          <w:p w14:paraId="1F867D63" w14:textId="7BD6A65A" w:rsidR="00E11DD6" w:rsidRPr="006460C1" w:rsidRDefault="00E11DD6" w:rsidP="00BE4266">
            <w:pPr>
              <w:pStyle w:val="TableText"/>
              <w:keepNext w:val="0"/>
              <w:keepLines/>
              <w:rPr>
                <w:u w:val="single"/>
              </w:rPr>
            </w:pPr>
            <w:r w:rsidRPr="006460C1">
              <w:t xml:space="preserve">The economic model assumed all patients receive subsequent therapies despite only 66% and 60% of patients in the SG and TPC arms, respectively, receiving subsequent treatment in the key trial. The PBAC considered that the proportions observed in the trial should be applied to the economic model (para 7.9, SG </w:t>
            </w:r>
            <w:r w:rsidR="00DE5ED8">
              <w:t>PSD</w:t>
            </w:r>
            <w:r w:rsidRPr="006460C1">
              <w:t>, July 2023 PBAC meeting).</w:t>
            </w:r>
          </w:p>
        </w:tc>
        <w:tc>
          <w:tcPr>
            <w:tcW w:w="1920" w:type="pct"/>
          </w:tcPr>
          <w:p w14:paraId="05850567" w14:textId="7A44D721" w:rsidR="00E11DD6" w:rsidRPr="006460C1" w:rsidRDefault="004A411D" w:rsidP="00BE4266">
            <w:pPr>
              <w:pStyle w:val="TableText"/>
              <w:keepNext w:val="0"/>
              <w:keepLines/>
            </w:pPr>
            <w:r w:rsidRPr="006460C1">
              <w:t>The resubmission applies the cost of subsequent treatment to 66% and 60% of patients in the SG and TPC arms, respectively.</w:t>
            </w:r>
          </w:p>
        </w:tc>
        <w:tc>
          <w:tcPr>
            <w:tcW w:w="646" w:type="pct"/>
          </w:tcPr>
          <w:p w14:paraId="5B2CEA00" w14:textId="56B26D79" w:rsidR="00E11DD6" w:rsidRPr="006460C1" w:rsidRDefault="004A411D" w:rsidP="00BE4266">
            <w:pPr>
              <w:pStyle w:val="TableText"/>
              <w:keepNext w:val="0"/>
              <w:keepLines/>
            </w:pPr>
            <w:r w:rsidRPr="006460C1">
              <w:rPr>
                <w:iCs/>
              </w:rPr>
              <w:t>Yes</w:t>
            </w:r>
          </w:p>
        </w:tc>
      </w:tr>
      <w:tr w:rsidR="00E11DD6" w:rsidRPr="0070023C" w14:paraId="4842D86D" w14:textId="77777777" w:rsidTr="00CD321D">
        <w:trPr>
          <w:cantSplit/>
        </w:trPr>
        <w:tc>
          <w:tcPr>
            <w:tcW w:w="2435" w:type="pct"/>
          </w:tcPr>
          <w:p w14:paraId="7A77B117" w14:textId="3EF6B848" w:rsidR="00E11DD6" w:rsidRPr="0070023C" w:rsidRDefault="00914A87" w:rsidP="00BE4266">
            <w:pPr>
              <w:pStyle w:val="TableText"/>
              <w:keepNext w:val="0"/>
              <w:keepLines/>
            </w:pPr>
            <w:r w:rsidRPr="0070023C">
              <w:lastRenderedPageBreak/>
              <w:t xml:space="preserve">The PBAC noted that when reasonable changes </w:t>
            </w:r>
            <w:r w:rsidR="00E168CE" w:rsidRPr="0070023C">
              <w:t>were</w:t>
            </w:r>
            <w:r w:rsidR="00BD7917" w:rsidRPr="0070023C">
              <w:t xml:space="preserve"> applied</w:t>
            </w:r>
            <w:r w:rsidRPr="0070023C">
              <w:t xml:space="preserve"> to the model the ICER increase</w:t>
            </w:r>
            <w:r w:rsidR="00E168CE" w:rsidRPr="0070023C">
              <w:t>d</w:t>
            </w:r>
            <w:r w:rsidRPr="0070023C">
              <w:t xml:space="preserve"> to</w:t>
            </w:r>
            <w:r w:rsidR="001F3B65">
              <w:t xml:space="preserve"> </w:t>
            </w:r>
            <w:r w:rsidR="00D52BD6" w:rsidRPr="00D52BD6">
              <w:rPr>
                <w:color w:val="000000"/>
                <w:spacing w:val="52"/>
                <w:shd w:val="solid" w:color="000000" w:fill="000000"/>
                <w:fitText w:val="330" w:id="-1032058624"/>
                <w14:textFill>
                  <w14:solidFill>
                    <w14:srgbClr w14:val="000000">
                      <w14:alpha w14:val="100000"/>
                    </w14:srgbClr>
                  </w14:solidFill>
                </w14:textFill>
              </w:rPr>
              <w:t>|||</w:t>
            </w:r>
            <w:r w:rsidR="00D52BD6" w:rsidRPr="00D52BD6">
              <w:rPr>
                <w:color w:val="000000"/>
                <w:spacing w:val="2"/>
                <w:shd w:val="solid" w:color="000000" w:fill="000000"/>
                <w:fitText w:val="330" w:id="-1032058624"/>
                <w14:textFill>
                  <w14:solidFill>
                    <w14:srgbClr w14:val="000000">
                      <w14:alpha w14:val="100000"/>
                    </w14:srgbClr>
                  </w14:solidFill>
                </w14:textFill>
              </w:rPr>
              <w:t>|</w:t>
            </w:r>
            <w:r w:rsidR="00DE5ED8">
              <w:rPr>
                <w:vertAlign w:val="superscript"/>
              </w:rPr>
              <w:t>1</w:t>
            </w:r>
            <w:r w:rsidRPr="0070023C">
              <w:t xml:space="preserve"> per QALY gained. The PBAC considered that at an ICER of $75,000 per QALY would be acceptably cost-effective and noted that this would require a substantial price reduction (para 7.10, SG </w:t>
            </w:r>
            <w:r w:rsidR="00DE5ED8">
              <w:t>PSD</w:t>
            </w:r>
            <w:r w:rsidRPr="0070023C">
              <w:t>, July 2023 PBAC meeting).</w:t>
            </w:r>
          </w:p>
        </w:tc>
        <w:tc>
          <w:tcPr>
            <w:tcW w:w="1920" w:type="pct"/>
          </w:tcPr>
          <w:p w14:paraId="08C98F4A" w14:textId="5D31FD2E" w:rsidR="00147723" w:rsidRPr="0070023C" w:rsidRDefault="0093666C" w:rsidP="00BE4266">
            <w:pPr>
              <w:pStyle w:val="TableText"/>
              <w:keepNext w:val="0"/>
              <w:keepLines/>
              <w:rPr>
                <w:iCs/>
              </w:rPr>
            </w:pPr>
            <w:r w:rsidRPr="0070023C">
              <w:rPr>
                <w:iCs/>
              </w:rPr>
              <w:t>The revised base case ICER is</w:t>
            </w:r>
            <w:r w:rsidR="001F3B65">
              <w:rPr>
                <w:iCs/>
              </w:rPr>
              <w:t xml:space="preserve"> </w:t>
            </w:r>
            <w:r w:rsidR="00D52BD6" w:rsidRPr="00D52BD6">
              <w:rPr>
                <w:iCs/>
                <w:color w:val="000000"/>
                <w:spacing w:val="53"/>
                <w:shd w:val="solid" w:color="000000" w:fill="000000"/>
                <w:fitText w:val="330" w:id="-1032058623"/>
                <w14:textFill>
                  <w14:solidFill>
                    <w14:srgbClr w14:val="000000">
                      <w14:alpha w14:val="100000"/>
                    </w14:srgbClr>
                  </w14:solidFill>
                </w14:textFill>
              </w:rPr>
              <w:t>|||</w:t>
            </w:r>
            <w:r w:rsidR="00D52BD6" w:rsidRPr="00D52BD6">
              <w:rPr>
                <w:iCs/>
                <w:color w:val="000000"/>
                <w:spacing w:val="1"/>
                <w:shd w:val="solid" w:color="000000" w:fill="000000"/>
                <w:fitText w:val="330" w:id="-1032058623"/>
                <w14:textFill>
                  <w14:solidFill>
                    <w14:srgbClr w14:val="000000">
                      <w14:alpha w14:val="100000"/>
                    </w14:srgbClr>
                  </w14:solidFill>
                </w14:textFill>
              </w:rPr>
              <w:t>|</w:t>
            </w:r>
            <w:r w:rsidR="00DE5ED8">
              <w:rPr>
                <w:vertAlign w:val="superscript"/>
              </w:rPr>
              <w:t>2</w:t>
            </w:r>
            <w:r w:rsidRPr="0070023C">
              <w:rPr>
                <w:iCs/>
              </w:rPr>
              <w:t xml:space="preserve"> </w:t>
            </w:r>
            <w:r w:rsidR="0069312F" w:rsidRPr="0070023C">
              <w:rPr>
                <w:iCs/>
              </w:rPr>
              <w:t xml:space="preserve">per QALY gained. </w:t>
            </w:r>
            <w:r w:rsidR="00147723" w:rsidRPr="0070023C">
              <w:rPr>
                <w:iCs/>
              </w:rPr>
              <w:t>A price reduction was not proposed in the resubmission.</w:t>
            </w:r>
          </w:p>
          <w:p w14:paraId="6CD8E13D" w14:textId="4EBA7F9E" w:rsidR="00E11DD6" w:rsidRPr="0070023C" w:rsidRDefault="0069312F" w:rsidP="00BE4266">
            <w:pPr>
              <w:pStyle w:val="TableText"/>
              <w:keepNext w:val="0"/>
              <w:keepLines/>
              <w:rPr>
                <w:iCs/>
              </w:rPr>
            </w:pPr>
            <w:r w:rsidRPr="0070023C">
              <w:rPr>
                <w:iCs/>
              </w:rPr>
              <w:t xml:space="preserve">The base case does not address </w:t>
            </w:r>
            <w:r w:rsidR="00BB5271" w:rsidRPr="0070023C">
              <w:rPr>
                <w:iCs/>
              </w:rPr>
              <w:t xml:space="preserve">all </w:t>
            </w:r>
            <w:r w:rsidRPr="0070023C">
              <w:rPr>
                <w:iCs/>
              </w:rPr>
              <w:t>matters of concern previously raised by the PBAC (above). It is therefore likely that the ICER remains underestimated.</w:t>
            </w:r>
            <w:r w:rsidR="00147723" w:rsidRPr="0070023C">
              <w:rPr>
                <w:iCs/>
              </w:rPr>
              <w:t xml:space="preserve"> </w:t>
            </w:r>
          </w:p>
          <w:p w14:paraId="5CD1A734" w14:textId="7D51210D" w:rsidR="00147723" w:rsidRPr="0070023C" w:rsidRDefault="00F02D05" w:rsidP="00BE4266">
            <w:pPr>
              <w:pStyle w:val="TableText"/>
              <w:keepNext w:val="0"/>
              <w:keepLines/>
              <w:rPr>
                <w:iCs/>
              </w:rPr>
            </w:pPr>
            <w:r w:rsidRPr="0070023C">
              <w:rPr>
                <w:iCs/>
              </w:rPr>
              <w:t>When inputs are varied in multivariate analysis to be in line with previous PBAC advice, the ICER increases by 45%, from</w:t>
            </w:r>
            <w:r w:rsidR="001F3B65">
              <w:rPr>
                <w:iCs/>
              </w:rPr>
              <w:t xml:space="preserve"> </w:t>
            </w:r>
            <w:r w:rsidR="00D52BD6" w:rsidRPr="00D52BD6">
              <w:rPr>
                <w:iCs/>
                <w:color w:val="000000"/>
                <w:spacing w:val="52"/>
                <w:shd w:val="solid" w:color="000000" w:fill="000000"/>
                <w:fitText w:val="330" w:id="-1032058622"/>
                <w14:textFill>
                  <w14:solidFill>
                    <w14:srgbClr w14:val="000000">
                      <w14:alpha w14:val="100000"/>
                    </w14:srgbClr>
                  </w14:solidFill>
                </w14:textFill>
              </w:rPr>
              <w:t>|||</w:t>
            </w:r>
            <w:r w:rsidR="00D52BD6" w:rsidRPr="00D52BD6">
              <w:rPr>
                <w:iCs/>
                <w:color w:val="000000"/>
                <w:spacing w:val="2"/>
                <w:shd w:val="solid" w:color="000000" w:fill="000000"/>
                <w:fitText w:val="330" w:id="-1032058622"/>
                <w14:textFill>
                  <w14:solidFill>
                    <w14:srgbClr w14:val="000000">
                      <w14:alpha w14:val="100000"/>
                    </w14:srgbClr>
                  </w14:solidFill>
                </w14:textFill>
              </w:rPr>
              <w:t>|</w:t>
            </w:r>
            <w:r w:rsidR="00DE5ED8">
              <w:rPr>
                <w:vertAlign w:val="superscript"/>
              </w:rPr>
              <w:t>2</w:t>
            </w:r>
            <w:r w:rsidRPr="0070023C">
              <w:rPr>
                <w:iCs/>
              </w:rPr>
              <w:t xml:space="preserve"> to</w:t>
            </w:r>
            <w:r w:rsidR="001F3B65">
              <w:rPr>
                <w:iCs/>
              </w:rPr>
              <w:t xml:space="preserve"> </w:t>
            </w:r>
            <w:r w:rsidR="00D52BD6" w:rsidRPr="00D52BD6">
              <w:rPr>
                <w:iCs/>
                <w:color w:val="000000"/>
                <w:spacing w:val="52"/>
                <w:shd w:val="solid" w:color="000000" w:fill="000000"/>
                <w:fitText w:val="330" w:id="-1032058621"/>
                <w14:textFill>
                  <w14:solidFill>
                    <w14:srgbClr w14:val="000000">
                      <w14:alpha w14:val="100000"/>
                    </w14:srgbClr>
                  </w14:solidFill>
                </w14:textFill>
              </w:rPr>
              <w:t>|||</w:t>
            </w:r>
            <w:r w:rsidR="00D52BD6" w:rsidRPr="00D52BD6">
              <w:rPr>
                <w:iCs/>
                <w:color w:val="000000"/>
                <w:spacing w:val="2"/>
                <w:shd w:val="solid" w:color="000000" w:fill="000000"/>
                <w:fitText w:val="330" w:id="-1032058621"/>
                <w14:textFill>
                  <w14:solidFill>
                    <w14:srgbClr w14:val="000000">
                      <w14:alpha w14:val="100000"/>
                    </w14:srgbClr>
                  </w14:solidFill>
                </w14:textFill>
              </w:rPr>
              <w:t>|</w:t>
            </w:r>
            <w:r w:rsidR="00DE5ED8">
              <w:rPr>
                <w:vertAlign w:val="superscript"/>
              </w:rPr>
              <w:t>1</w:t>
            </w:r>
            <w:r w:rsidRPr="0070023C">
              <w:rPr>
                <w:iCs/>
              </w:rPr>
              <w:t xml:space="preserve"> per QALY</w:t>
            </w:r>
            <w:r w:rsidR="00E168CE" w:rsidRPr="0070023C">
              <w:rPr>
                <w:iCs/>
              </w:rPr>
              <w:t xml:space="preserve"> gained</w:t>
            </w:r>
            <w:r w:rsidRPr="0070023C">
              <w:rPr>
                <w:iCs/>
              </w:rPr>
              <w:t xml:space="preserve">. Based on this analysis, a reduction in the dispensed price per </w:t>
            </w:r>
            <w:r w:rsidRPr="00DE5ED8">
              <w:rPr>
                <w:iCs/>
              </w:rPr>
              <w:t xml:space="preserve">dose from </w:t>
            </w:r>
            <w:r w:rsidR="001F3B65">
              <w:rPr>
                <w:iCs/>
              </w:rPr>
              <w:t>$</w:t>
            </w:r>
            <w:r w:rsidR="00D52BD6" w:rsidRPr="001F3B65">
              <w:rPr>
                <w:iCs/>
                <w:color w:val="000000"/>
                <w:spacing w:val="53"/>
                <w:shd w:val="solid" w:color="000000" w:fill="000000"/>
                <w:fitText w:val="330" w:id="-1032058620"/>
                <w14:textFill>
                  <w14:solidFill>
                    <w14:srgbClr w14:val="000000">
                      <w14:alpha w14:val="100000"/>
                    </w14:srgbClr>
                  </w14:solidFill>
                </w14:textFill>
              </w:rPr>
              <w:t>|||</w:t>
            </w:r>
            <w:r w:rsidR="00D52BD6" w:rsidRPr="001F3B65">
              <w:rPr>
                <w:iCs/>
                <w:color w:val="000000"/>
                <w:spacing w:val="1"/>
                <w:shd w:val="solid" w:color="000000" w:fill="000000"/>
                <w:fitText w:val="330" w:id="-1032058620"/>
                <w14:textFill>
                  <w14:solidFill>
                    <w14:srgbClr w14:val="000000">
                      <w14:alpha w14:val="100000"/>
                    </w14:srgbClr>
                  </w14:solidFill>
                </w14:textFill>
              </w:rPr>
              <w:t>|</w:t>
            </w:r>
            <w:r w:rsidRPr="00DE5ED8">
              <w:rPr>
                <w:iCs/>
              </w:rPr>
              <w:t xml:space="preserve"> to </w:t>
            </w:r>
            <w:r w:rsidR="001F3B65">
              <w:rPr>
                <w:iCs/>
              </w:rPr>
              <w:t>$</w:t>
            </w:r>
            <w:r w:rsidR="00D52BD6" w:rsidRPr="001F3B65">
              <w:rPr>
                <w:iCs/>
                <w:color w:val="000000"/>
                <w:spacing w:val="53"/>
                <w:shd w:val="solid" w:color="000000" w:fill="000000"/>
                <w:fitText w:val="330" w:id="-1032058619"/>
                <w14:textFill>
                  <w14:solidFill>
                    <w14:srgbClr w14:val="000000">
                      <w14:alpha w14:val="100000"/>
                    </w14:srgbClr>
                  </w14:solidFill>
                </w14:textFill>
              </w:rPr>
              <w:t>|||</w:t>
            </w:r>
            <w:r w:rsidR="00D52BD6" w:rsidRPr="001F3B65">
              <w:rPr>
                <w:iCs/>
                <w:color w:val="000000"/>
                <w:spacing w:val="1"/>
                <w:shd w:val="solid" w:color="000000" w:fill="000000"/>
                <w:fitText w:val="330" w:id="-1032058619"/>
                <w14:textFill>
                  <w14:solidFill>
                    <w14:srgbClr w14:val="000000">
                      <w14:alpha w14:val="100000"/>
                    </w14:srgbClr>
                  </w14:solidFill>
                </w14:textFill>
              </w:rPr>
              <w:t>|</w:t>
            </w:r>
            <w:r w:rsidRPr="00DE5ED8">
              <w:rPr>
                <w:iCs/>
              </w:rPr>
              <w:t xml:space="preserve"> (-</w:t>
            </w:r>
            <w:r w:rsidR="00D52BD6">
              <w:rPr>
                <w:iCs/>
              </w:rPr>
              <w:t xml:space="preserve"> </w:t>
            </w:r>
            <w:r w:rsidR="00D52BD6" w:rsidRPr="00D52BD6">
              <w:rPr>
                <w:iCs/>
                <w:color w:val="000000"/>
                <w:spacing w:val="52"/>
                <w:shd w:val="solid" w:color="000000" w:fill="000000"/>
                <w:fitText w:val="330" w:id="-1032058618"/>
                <w14:textFill>
                  <w14:solidFill>
                    <w14:srgbClr w14:val="000000">
                      <w14:alpha w14:val="100000"/>
                    </w14:srgbClr>
                  </w14:solidFill>
                </w14:textFill>
              </w:rPr>
              <w:t>|||</w:t>
            </w:r>
            <w:r w:rsidR="00D52BD6" w:rsidRPr="00D52BD6">
              <w:rPr>
                <w:iCs/>
                <w:color w:val="000000"/>
                <w:spacing w:val="2"/>
                <w:shd w:val="solid" w:color="000000" w:fill="000000"/>
                <w:fitText w:val="330" w:id="-1032058618"/>
                <w14:textFill>
                  <w14:solidFill>
                    <w14:srgbClr w14:val="000000">
                      <w14:alpha w14:val="100000"/>
                    </w14:srgbClr>
                  </w14:solidFill>
                </w14:textFill>
              </w:rPr>
              <w:t>|</w:t>
            </w:r>
            <w:r w:rsidRPr="00DE5ED8">
              <w:rPr>
                <w:iCs/>
              </w:rPr>
              <w:t>%) is requi</w:t>
            </w:r>
            <w:r w:rsidRPr="0070023C">
              <w:rPr>
                <w:iCs/>
              </w:rPr>
              <w:t xml:space="preserve">red </w:t>
            </w:r>
            <w:r w:rsidR="00E168CE" w:rsidRPr="0070023C">
              <w:rPr>
                <w:iCs/>
              </w:rPr>
              <w:t>to be in line with the</w:t>
            </w:r>
            <w:r w:rsidRPr="0070023C">
              <w:rPr>
                <w:iCs/>
              </w:rPr>
              <w:t xml:space="preserve"> ICER</w:t>
            </w:r>
            <w:r w:rsidR="00E168CE" w:rsidRPr="0070023C">
              <w:rPr>
                <w:iCs/>
              </w:rPr>
              <w:t xml:space="preserve"> the PBAC considered would be acceptably cost-effective</w:t>
            </w:r>
            <w:r w:rsidRPr="0070023C">
              <w:rPr>
                <w:iCs/>
              </w:rPr>
              <w:t xml:space="preserve"> </w:t>
            </w:r>
            <w:r w:rsidR="00E168CE" w:rsidRPr="0070023C">
              <w:rPr>
                <w:iCs/>
              </w:rPr>
              <w:t>(</w:t>
            </w:r>
            <w:r w:rsidRPr="0070023C">
              <w:rPr>
                <w:iCs/>
              </w:rPr>
              <w:t>$75,000</w:t>
            </w:r>
            <w:r w:rsidR="001018B8">
              <w:rPr>
                <w:iCs/>
              </w:rPr>
              <w:t xml:space="preserve"> per QALY</w:t>
            </w:r>
            <w:r w:rsidR="00E168CE" w:rsidRPr="0070023C">
              <w:rPr>
                <w:iCs/>
              </w:rPr>
              <w:t>)</w:t>
            </w:r>
            <w:r w:rsidRPr="0070023C">
              <w:rPr>
                <w:iCs/>
              </w:rPr>
              <w:t>.</w:t>
            </w:r>
            <w:r w:rsidR="004A3CF7">
              <w:rPr>
                <w:iCs/>
              </w:rPr>
              <w:t xml:space="preserve"> </w:t>
            </w:r>
            <w:r w:rsidR="004A3CF7" w:rsidRPr="004A3CF7">
              <w:rPr>
                <w:iCs/>
              </w:rPr>
              <w:t>The Pre-PBAC response maintained</w:t>
            </w:r>
            <w:r w:rsidR="007C5F08">
              <w:rPr>
                <w:iCs/>
              </w:rPr>
              <w:t xml:space="preserve"> that</w:t>
            </w:r>
            <w:r w:rsidR="004A3CF7" w:rsidRPr="004A3CF7">
              <w:rPr>
                <w:iCs/>
              </w:rPr>
              <w:t xml:space="preserve"> the inputs applied in the resubmission’s economic model were appropriate</w:t>
            </w:r>
            <w:r w:rsidR="00E53893">
              <w:rPr>
                <w:iCs/>
              </w:rPr>
              <w:t>.</w:t>
            </w:r>
          </w:p>
        </w:tc>
        <w:tc>
          <w:tcPr>
            <w:tcW w:w="646" w:type="pct"/>
          </w:tcPr>
          <w:p w14:paraId="72086CCD" w14:textId="1AEBA519" w:rsidR="00E11DD6" w:rsidRPr="0070023C" w:rsidRDefault="0093666C" w:rsidP="00BE4266">
            <w:pPr>
              <w:pStyle w:val="TableText"/>
              <w:keepNext w:val="0"/>
              <w:keepLines/>
            </w:pPr>
            <w:r w:rsidRPr="0070023C">
              <w:rPr>
                <w:iCs/>
              </w:rPr>
              <w:t>No</w:t>
            </w:r>
          </w:p>
        </w:tc>
      </w:tr>
      <w:tr w:rsidR="004104E8" w:rsidRPr="002C633F" w14:paraId="68865AC4" w14:textId="77777777" w:rsidTr="00147723">
        <w:trPr>
          <w:cantSplit/>
        </w:trPr>
        <w:tc>
          <w:tcPr>
            <w:tcW w:w="5000" w:type="pct"/>
            <w:gridSpan w:val="3"/>
          </w:tcPr>
          <w:p w14:paraId="6A4808CC" w14:textId="15D1076A" w:rsidR="004104E8" w:rsidRPr="004104E8" w:rsidRDefault="004104E8" w:rsidP="00CD321D">
            <w:pPr>
              <w:pStyle w:val="TableText"/>
              <w:keepLines/>
              <w:rPr>
                <w:b/>
                <w:bCs w:val="0"/>
              </w:rPr>
            </w:pPr>
            <w:r w:rsidRPr="004104E8">
              <w:rPr>
                <w:b/>
                <w:bCs w:val="0"/>
              </w:rPr>
              <w:t>Revision to the financial estimates</w:t>
            </w:r>
          </w:p>
        </w:tc>
      </w:tr>
      <w:tr w:rsidR="00180C16" w:rsidRPr="0070023C" w14:paraId="5BF362A5" w14:textId="77777777" w:rsidTr="00CD321D">
        <w:trPr>
          <w:cantSplit/>
        </w:trPr>
        <w:tc>
          <w:tcPr>
            <w:tcW w:w="2435" w:type="pct"/>
          </w:tcPr>
          <w:p w14:paraId="094F2F29" w14:textId="0BB17112" w:rsidR="00180C16" w:rsidRPr="0070023C" w:rsidRDefault="00180C16" w:rsidP="00CD321D">
            <w:pPr>
              <w:pStyle w:val="TableText"/>
              <w:keepLines/>
            </w:pPr>
            <w:r w:rsidRPr="0070023C">
              <w:t>The PBAC considered that estimating the proportion of patients with Stage III/IV disease (incident or progressed) is complex and uncertain as it involved a number of steps with limited and dated data. The PBAC considered that a more robust approach would be to use the number of incident patients treated with CDK4/6 inhibitors for HR+/HER2- mBC</w:t>
            </w:r>
            <w:r w:rsidR="00880103" w:rsidRPr="0070023C">
              <w:t>. The PBAC considered that around 60% would be in the 4</w:t>
            </w:r>
            <w:r w:rsidR="00880103" w:rsidRPr="0070023C">
              <w:rPr>
                <w:vertAlign w:val="superscript"/>
              </w:rPr>
              <w:t>th</w:t>
            </w:r>
            <w:r w:rsidR="00880103" w:rsidRPr="0070023C">
              <w:t xml:space="preserve"> line or later of therapy and therefore eligible for SG</w:t>
            </w:r>
            <w:r w:rsidRPr="0070023C">
              <w:t xml:space="preserve"> (para</w:t>
            </w:r>
            <w:r w:rsidR="00814C4F" w:rsidRPr="0070023C">
              <w:t>s</w:t>
            </w:r>
            <w:r w:rsidRPr="0070023C">
              <w:t xml:space="preserve"> 6.59</w:t>
            </w:r>
            <w:r w:rsidR="00814C4F" w:rsidRPr="0070023C">
              <w:t>, 7.11,</w:t>
            </w:r>
            <w:r w:rsidRPr="0070023C">
              <w:t xml:space="preserve"> SG </w:t>
            </w:r>
            <w:r w:rsidR="00DE5ED8">
              <w:t>PSD</w:t>
            </w:r>
            <w:r w:rsidRPr="0070023C">
              <w:t xml:space="preserve">, July 2023 PBAC meeting). </w:t>
            </w:r>
          </w:p>
        </w:tc>
        <w:tc>
          <w:tcPr>
            <w:tcW w:w="1920" w:type="pct"/>
          </w:tcPr>
          <w:p w14:paraId="3DD0FC61" w14:textId="14DE390F" w:rsidR="00180C16" w:rsidRPr="0070023C" w:rsidRDefault="00860B2D" w:rsidP="00CD321D">
            <w:pPr>
              <w:pStyle w:val="TableText"/>
              <w:keepLines/>
            </w:pPr>
            <w:r w:rsidRPr="0070023C">
              <w:t>The resubmission revised the incident population of the financial estimates to reflect patients initiating CDK4/6 inhibitors (palbociclib, ribociclib and abemaciclib) based on PBS data.</w:t>
            </w:r>
            <w:r w:rsidR="00880103" w:rsidRPr="0070023C">
              <w:t xml:space="preserve"> </w:t>
            </w:r>
            <w:r w:rsidR="00880103" w:rsidRPr="0070023C">
              <w:rPr>
                <w:lang w:eastAsia="en-US"/>
              </w:rPr>
              <w:t>It was assumed that 60% of patients were in the 4th line or later line of therapy and therefore eligible for SG.</w:t>
            </w:r>
          </w:p>
        </w:tc>
        <w:tc>
          <w:tcPr>
            <w:tcW w:w="646" w:type="pct"/>
          </w:tcPr>
          <w:p w14:paraId="156EEFD4" w14:textId="12D865CB" w:rsidR="00180C16" w:rsidRPr="0070023C" w:rsidRDefault="00180C16" w:rsidP="00CD321D">
            <w:pPr>
              <w:pStyle w:val="TableText"/>
              <w:keepLines/>
              <w:rPr>
                <w:iCs/>
              </w:rPr>
            </w:pPr>
            <w:r w:rsidRPr="0070023C">
              <w:rPr>
                <w:iCs/>
              </w:rPr>
              <w:t>Yes</w:t>
            </w:r>
          </w:p>
        </w:tc>
      </w:tr>
      <w:tr w:rsidR="00E11DD6" w:rsidRPr="0070023C" w14:paraId="5FDCB532" w14:textId="77777777" w:rsidTr="00CD321D">
        <w:trPr>
          <w:cantSplit/>
        </w:trPr>
        <w:tc>
          <w:tcPr>
            <w:tcW w:w="2435" w:type="pct"/>
          </w:tcPr>
          <w:p w14:paraId="3E264A20" w14:textId="7FA55611" w:rsidR="00E11DD6" w:rsidRPr="0070023C" w:rsidRDefault="0047459B" w:rsidP="00BE4266">
            <w:pPr>
              <w:pStyle w:val="TableText"/>
              <w:keepNext w:val="0"/>
              <w:keepLines/>
              <w:rPr>
                <w:u w:val="single"/>
              </w:rPr>
            </w:pPr>
            <w:r w:rsidRPr="0070023C">
              <w:t xml:space="preserve">The updated financial estimates provided in the PSCR applied the cost of the mean dose per patient with no drug wastage (as applied in the economic model i.e., </w:t>
            </w:r>
            <w:r w:rsidR="001F3B65">
              <w:t>$</w:t>
            </w:r>
            <w:r w:rsidR="00D52BD6" w:rsidRPr="001F3B65">
              <w:rPr>
                <w:color w:val="000000"/>
                <w:spacing w:val="53"/>
                <w:shd w:val="solid" w:color="000000" w:fill="000000"/>
                <w:fitText w:val="330" w:id="-1032058617"/>
                <w14:textFill>
                  <w14:solidFill>
                    <w14:srgbClr w14:val="000000">
                      <w14:alpha w14:val="100000"/>
                    </w14:srgbClr>
                  </w14:solidFill>
                </w14:textFill>
              </w:rPr>
              <w:t>|||</w:t>
            </w:r>
            <w:r w:rsidR="00D52BD6" w:rsidRPr="001F3B65">
              <w:rPr>
                <w:color w:val="000000"/>
                <w:spacing w:val="1"/>
                <w:shd w:val="solid" w:color="000000" w:fill="000000"/>
                <w:fitText w:val="330" w:id="-1032058617"/>
                <w14:textFill>
                  <w14:solidFill>
                    <w14:srgbClr w14:val="000000">
                      <w14:alpha w14:val="100000"/>
                    </w14:srgbClr>
                  </w14:solidFill>
                </w14:textFill>
              </w:rPr>
              <w:t>|</w:t>
            </w:r>
            <w:r w:rsidRPr="0070023C">
              <w:t xml:space="preserve"> at effective SG price). The PBAC </w:t>
            </w:r>
            <w:r w:rsidR="00A83935" w:rsidRPr="0070023C">
              <w:t xml:space="preserve">previously </w:t>
            </w:r>
            <w:r w:rsidRPr="0070023C">
              <w:t>considered that, as for the economic model, wastage should be accounted for in the financial estimates</w:t>
            </w:r>
            <w:r w:rsidR="00A83935" w:rsidRPr="0070023C">
              <w:t xml:space="preserve"> (7.11 SG </w:t>
            </w:r>
            <w:r w:rsidR="00DE5ED8">
              <w:t>PSD</w:t>
            </w:r>
            <w:r w:rsidR="00A83935" w:rsidRPr="0070023C">
              <w:t>, July 2023 PBAC meeting).</w:t>
            </w:r>
          </w:p>
        </w:tc>
        <w:tc>
          <w:tcPr>
            <w:tcW w:w="1920" w:type="pct"/>
          </w:tcPr>
          <w:p w14:paraId="5DF682BE" w14:textId="202A0844" w:rsidR="00E11DD6" w:rsidRPr="0070023C" w:rsidRDefault="002E04A8" w:rsidP="00BE4266">
            <w:pPr>
              <w:pStyle w:val="TableText"/>
              <w:keepNext w:val="0"/>
              <w:keepLines/>
            </w:pPr>
            <w:r w:rsidRPr="0070023C">
              <w:t>The assumption of vial sharing/no drug wastage remained unchanged in the resubmission.</w:t>
            </w:r>
            <w:r w:rsidR="009F16FF" w:rsidRPr="0070023C">
              <w:t xml:space="preserve"> </w:t>
            </w:r>
          </w:p>
        </w:tc>
        <w:tc>
          <w:tcPr>
            <w:tcW w:w="646" w:type="pct"/>
          </w:tcPr>
          <w:p w14:paraId="55029A0D" w14:textId="7CEBB90D" w:rsidR="00E11DD6" w:rsidRPr="0070023C" w:rsidRDefault="002E04A8" w:rsidP="00BE4266">
            <w:pPr>
              <w:pStyle w:val="TableText"/>
              <w:keepNext w:val="0"/>
              <w:keepLines/>
              <w:rPr>
                <w:iCs/>
              </w:rPr>
            </w:pPr>
            <w:r w:rsidRPr="0070023C">
              <w:rPr>
                <w:iCs/>
              </w:rPr>
              <w:t>No</w:t>
            </w:r>
          </w:p>
        </w:tc>
      </w:tr>
      <w:tr w:rsidR="00E11DD6" w:rsidRPr="0070023C" w14:paraId="0732CFD6" w14:textId="77777777" w:rsidTr="00CD321D">
        <w:trPr>
          <w:cantSplit/>
        </w:trPr>
        <w:tc>
          <w:tcPr>
            <w:tcW w:w="2435" w:type="pct"/>
          </w:tcPr>
          <w:p w14:paraId="11AEA924" w14:textId="499A0605" w:rsidR="00E11DD6" w:rsidRPr="0070023C" w:rsidRDefault="004104E8" w:rsidP="00BE4266">
            <w:pPr>
              <w:pStyle w:val="TableText"/>
              <w:keepNext w:val="0"/>
              <w:keepLines/>
              <w:rPr>
                <w:u w:val="single"/>
              </w:rPr>
            </w:pPr>
            <w:r w:rsidRPr="0070023C">
              <w:t xml:space="preserve">The PBAC considered the PSCR revised uptake rates (73% in Year 1, increasing to 78% in Year 2 and 85% in Year 3 and thereafter) were too high given the toxicity of SG and considered the submission’s uptake rates were more reasonable (65% in Year 1, increasing to 75% by Year 3) (para 7.11, SG </w:t>
            </w:r>
            <w:r w:rsidR="00DE5ED8">
              <w:t>PSD</w:t>
            </w:r>
            <w:r w:rsidRPr="0070023C">
              <w:t>, July 2023 PBAC meeting).</w:t>
            </w:r>
          </w:p>
        </w:tc>
        <w:tc>
          <w:tcPr>
            <w:tcW w:w="1920" w:type="pct"/>
          </w:tcPr>
          <w:p w14:paraId="749B7502" w14:textId="7F6410A5" w:rsidR="00E11DD6" w:rsidRPr="0070023C" w:rsidRDefault="0038062E" w:rsidP="00BE4266">
            <w:pPr>
              <w:pStyle w:val="TableText"/>
              <w:keepNext w:val="0"/>
              <w:keepLines/>
            </w:pPr>
            <w:r w:rsidRPr="0070023C">
              <w:t>The uptake rate</w:t>
            </w:r>
            <w:r w:rsidR="00331881">
              <w:t>s</w:t>
            </w:r>
            <w:r w:rsidRPr="0070023C">
              <w:t xml:space="preserve"> for SG in the resubmission were </w:t>
            </w:r>
            <w:r w:rsidR="00331881">
              <w:t>those</w:t>
            </w:r>
            <w:r w:rsidRPr="0070023C">
              <w:t xml:space="preserve"> used in the July 2023 submission.</w:t>
            </w:r>
          </w:p>
        </w:tc>
        <w:tc>
          <w:tcPr>
            <w:tcW w:w="646" w:type="pct"/>
          </w:tcPr>
          <w:p w14:paraId="0AE4D101" w14:textId="35648559" w:rsidR="00E11DD6" w:rsidRPr="0070023C" w:rsidRDefault="0038062E" w:rsidP="00BE4266">
            <w:pPr>
              <w:pStyle w:val="TableText"/>
              <w:keepNext w:val="0"/>
              <w:keepLines/>
              <w:rPr>
                <w:iCs/>
              </w:rPr>
            </w:pPr>
            <w:r w:rsidRPr="0070023C">
              <w:rPr>
                <w:iCs/>
              </w:rPr>
              <w:t>Yes</w:t>
            </w:r>
          </w:p>
        </w:tc>
      </w:tr>
    </w:tbl>
    <w:p w14:paraId="26275090" w14:textId="1A808014" w:rsidR="001B615C" w:rsidRDefault="001B615C" w:rsidP="001B615C">
      <w:pPr>
        <w:pStyle w:val="TableFigureFooter"/>
      </w:pPr>
      <w:r w:rsidRPr="002C633F">
        <w:t xml:space="preserve">Source: </w:t>
      </w:r>
      <w:r>
        <w:t xml:space="preserve">7.09 sacituzumab govitecan PBAC </w:t>
      </w:r>
      <w:r w:rsidR="00DE5ED8">
        <w:t>Public Summary Document (PSD)</w:t>
      </w:r>
      <w:r>
        <w:t>, July 2023 PBAC meeting.</w:t>
      </w:r>
    </w:p>
    <w:p w14:paraId="36EF572E" w14:textId="5CBC6DAB" w:rsidR="0047459B" w:rsidRDefault="0047459B" w:rsidP="0047459B">
      <w:pPr>
        <w:pStyle w:val="TableFigureFooter"/>
        <w:rPr>
          <w:szCs w:val="24"/>
        </w:rPr>
      </w:pPr>
      <w:r>
        <w:rPr>
          <w:szCs w:val="24"/>
        </w:rPr>
        <w:t xml:space="preserve">HR+, hormone receptor positive; </w:t>
      </w:r>
      <w:r w:rsidR="0093666C">
        <w:rPr>
          <w:szCs w:val="24"/>
        </w:rPr>
        <w:t xml:space="preserve">ICER, incremental cost-effectiveness ratio; </w:t>
      </w:r>
      <w:r>
        <w:rPr>
          <w:szCs w:val="24"/>
        </w:rPr>
        <w:t xml:space="preserve">KM, Kaplan-Meier; </w:t>
      </w:r>
      <w:r>
        <w:t xml:space="preserve">mBC, metastatic breast cancer; </w:t>
      </w:r>
      <w:r>
        <w:rPr>
          <w:szCs w:val="24"/>
        </w:rPr>
        <w:t>m</w:t>
      </w:r>
      <w:r w:rsidRPr="00550319">
        <w:rPr>
          <w:szCs w:val="24"/>
        </w:rPr>
        <w:t>TNBC</w:t>
      </w:r>
      <w:r>
        <w:rPr>
          <w:szCs w:val="24"/>
        </w:rPr>
        <w:t xml:space="preserve">, metastatic triple negative breast cancer; </w:t>
      </w:r>
      <w:r w:rsidR="0076260A">
        <w:rPr>
          <w:szCs w:val="24"/>
        </w:rPr>
        <w:t xml:space="preserve">PD, progressed disease; </w:t>
      </w:r>
      <w:r>
        <w:rPr>
          <w:szCs w:val="24"/>
        </w:rPr>
        <w:t xml:space="preserve">PF, progression free; </w:t>
      </w:r>
      <w:r w:rsidR="0076260A">
        <w:rPr>
          <w:szCs w:val="24"/>
        </w:rPr>
        <w:t xml:space="preserve">PFS, progression free survival; </w:t>
      </w:r>
      <w:r>
        <w:rPr>
          <w:szCs w:val="24"/>
        </w:rPr>
        <w:t>PSCR, pre-sub committee response;</w:t>
      </w:r>
      <w:r>
        <w:t xml:space="preserve"> </w:t>
      </w:r>
      <w:r w:rsidR="00BD7917">
        <w:t xml:space="preserve">QoL, quality of life; </w:t>
      </w:r>
      <w:r>
        <w:t xml:space="preserve">SG, sacituzumab govitecan; </w:t>
      </w:r>
      <w:r w:rsidRPr="00550319">
        <w:rPr>
          <w:szCs w:val="24"/>
        </w:rPr>
        <w:t>TNBC</w:t>
      </w:r>
      <w:r>
        <w:rPr>
          <w:szCs w:val="24"/>
        </w:rPr>
        <w:t xml:space="preserve">, triple negative breast cancer; </w:t>
      </w:r>
      <w:r w:rsidRPr="00E74297">
        <w:rPr>
          <w:rFonts w:cstheme="minorHAnsi"/>
          <w:iCs/>
          <w:szCs w:val="20"/>
        </w:rPr>
        <w:t>TPC</w:t>
      </w:r>
      <w:r>
        <w:rPr>
          <w:rFonts w:cstheme="minorHAnsi"/>
          <w:iCs/>
          <w:szCs w:val="20"/>
        </w:rPr>
        <w:t xml:space="preserve">, </w:t>
      </w:r>
      <w:r w:rsidRPr="00E74297">
        <w:rPr>
          <w:rFonts w:cstheme="minorHAnsi"/>
          <w:szCs w:val="20"/>
        </w:rPr>
        <w:t>treatment of physician’s choice</w:t>
      </w:r>
      <w:r>
        <w:rPr>
          <w:rFonts w:cstheme="minorHAnsi"/>
          <w:szCs w:val="20"/>
        </w:rPr>
        <w:t xml:space="preserve">; </w:t>
      </w:r>
      <w:r>
        <w:rPr>
          <w:szCs w:val="24"/>
        </w:rPr>
        <w:t>TTD, time to treatment discontinuation</w:t>
      </w:r>
    </w:p>
    <w:p w14:paraId="43C823E5" w14:textId="582957C4" w:rsidR="00DE5ED8" w:rsidRPr="00BD7583" w:rsidRDefault="00DE5ED8" w:rsidP="0047459B">
      <w:pPr>
        <w:pStyle w:val="TableFigureFooter"/>
        <w:rPr>
          <w:i/>
          <w:iCs/>
          <w:szCs w:val="24"/>
        </w:rPr>
      </w:pPr>
      <w:r w:rsidRPr="00BD7583">
        <w:rPr>
          <w:i/>
          <w:iCs/>
          <w:szCs w:val="24"/>
        </w:rPr>
        <w:t>The redacted values correspond to the following ranges:</w:t>
      </w:r>
    </w:p>
    <w:p w14:paraId="4518CC8D" w14:textId="3F0703BE" w:rsidR="00DE5ED8" w:rsidRPr="00BD7583" w:rsidRDefault="00DE5ED8" w:rsidP="0047459B">
      <w:pPr>
        <w:pStyle w:val="TableFigureFooter"/>
        <w:rPr>
          <w:i/>
          <w:iCs/>
          <w:szCs w:val="24"/>
        </w:rPr>
      </w:pPr>
      <w:r w:rsidRPr="00BD7583">
        <w:rPr>
          <w:i/>
          <w:iCs/>
          <w:szCs w:val="24"/>
          <w:vertAlign w:val="superscript"/>
        </w:rPr>
        <w:t>1</w:t>
      </w:r>
      <w:r w:rsidRPr="00BD7583">
        <w:rPr>
          <w:i/>
          <w:iCs/>
          <w:szCs w:val="24"/>
        </w:rPr>
        <w:t xml:space="preserve"> $155,000 to &lt; $255,000</w:t>
      </w:r>
    </w:p>
    <w:p w14:paraId="0B275569" w14:textId="2677F092" w:rsidR="00DE5ED8" w:rsidRPr="00BD7583" w:rsidRDefault="00DE5ED8" w:rsidP="0047459B">
      <w:pPr>
        <w:pStyle w:val="TableFigureFooter"/>
        <w:rPr>
          <w:i/>
          <w:iCs/>
          <w:szCs w:val="24"/>
        </w:rPr>
      </w:pPr>
      <w:r w:rsidRPr="00BD7583">
        <w:rPr>
          <w:i/>
          <w:iCs/>
          <w:szCs w:val="24"/>
          <w:vertAlign w:val="superscript"/>
        </w:rPr>
        <w:t>2</w:t>
      </w:r>
      <w:r w:rsidRPr="00BD7583">
        <w:rPr>
          <w:i/>
          <w:iCs/>
          <w:szCs w:val="24"/>
        </w:rPr>
        <w:t xml:space="preserve"> $95,000 to &lt; $115,000</w:t>
      </w:r>
    </w:p>
    <w:p w14:paraId="5C4B46AD" w14:textId="02DAE735" w:rsidR="009B4B51" w:rsidRDefault="001B615C" w:rsidP="00396E49">
      <w:pPr>
        <w:pStyle w:val="2-SectionHeading"/>
      </w:pPr>
      <w:r>
        <w:lastRenderedPageBreak/>
        <w:t>Background</w:t>
      </w:r>
    </w:p>
    <w:p w14:paraId="22E47FC6" w14:textId="3F786BC2" w:rsidR="008943E9" w:rsidRDefault="00A94012" w:rsidP="00396E49">
      <w:pPr>
        <w:pStyle w:val="3-BodyText"/>
      </w:pPr>
      <w:r>
        <w:t xml:space="preserve">SG was TGA registered on 10 July 2023 for the following indication: </w:t>
      </w:r>
    </w:p>
    <w:p w14:paraId="09CAD236" w14:textId="173C079F" w:rsidR="00A94012" w:rsidRDefault="00A94012" w:rsidP="00AB38E2">
      <w:pPr>
        <w:pStyle w:val="3-BodyText"/>
        <w:numPr>
          <w:ilvl w:val="0"/>
          <w:numId w:val="0"/>
        </w:numPr>
        <w:ind w:left="720"/>
      </w:pPr>
      <w:r>
        <w:t>‘</w:t>
      </w:r>
      <w:r w:rsidRPr="00A94012">
        <w:t>TRODELVY is indicated for the treatment of adult patients with unresectable locally advanced or metastatic hormone receptor (HR)-positive, human epidermal growth factor receptor 2 (HER2)- negative (IHC 0, IHC 1+ or IHC 2+/ISH–) breast cancer who have received endocrine-based therapy (including a CDK4/6 inhibitor) and at least two additional systemic therapies in the locally advanced or metastatic setting.</w:t>
      </w:r>
      <w:r>
        <w:t>’</w:t>
      </w:r>
    </w:p>
    <w:p w14:paraId="74FD1B60" w14:textId="0890CA71" w:rsidR="00A94012" w:rsidRDefault="00A94012" w:rsidP="00396E49">
      <w:pPr>
        <w:pStyle w:val="3-BodyText"/>
      </w:pPr>
      <w:r>
        <w:t xml:space="preserve">SG is also TGA-approved </w:t>
      </w:r>
      <w:r w:rsidRPr="00A94012">
        <w:t>for the treatment of adult patients with unresectable locally advanced or metastatic triple-negative breast cancer (mTNBC) who have received at least two prior systemic therapies, including at least one prior therapy for locally advanced or metastatic disease.</w:t>
      </w:r>
    </w:p>
    <w:p w14:paraId="35B2FD7C" w14:textId="382A7446" w:rsidR="00A94012" w:rsidRDefault="00A94012" w:rsidP="00396E49">
      <w:pPr>
        <w:pStyle w:val="3-BodyText"/>
      </w:pPr>
      <w:r>
        <w:t xml:space="preserve">The PICO from the </w:t>
      </w:r>
      <w:r w:rsidR="009F16FF">
        <w:t>July 2023</w:t>
      </w:r>
      <w:r>
        <w:t xml:space="preserve"> submission is presented in </w:t>
      </w:r>
      <w:r>
        <w:fldChar w:fldCharType="begin" w:fldLock="1"/>
      </w:r>
      <w:r>
        <w:instrText xml:space="preserve"> REF _Ref145939778 \h  \* MERGEFORMAT </w:instrText>
      </w:r>
      <w:r>
        <w:fldChar w:fldCharType="separate"/>
      </w:r>
      <w:r w:rsidR="0086428F" w:rsidRPr="0086428F">
        <w:t>Table 2</w:t>
      </w:r>
      <w:r>
        <w:fldChar w:fldCharType="end"/>
      </w:r>
      <w:r>
        <w:t>.</w:t>
      </w:r>
    </w:p>
    <w:p w14:paraId="01B7BA62" w14:textId="0F7DB1E5" w:rsidR="00A94012" w:rsidRDefault="00A94012" w:rsidP="005C23A1">
      <w:pPr>
        <w:pStyle w:val="3-BodyText"/>
        <w:keepNext/>
        <w:numPr>
          <w:ilvl w:val="0"/>
          <w:numId w:val="0"/>
        </w:numPr>
        <w:spacing w:after="0"/>
        <w:rPr>
          <w:rStyle w:val="CommentReference"/>
          <w:bCs/>
          <w:szCs w:val="24"/>
        </w:rPr>
      </w:pPr>
      <w:bookmarkStart w:id="3" w:name="_Ref145939778"/>
      <w:r w:rsidRPr="00396E49">
        <w:rPr>
          <w:rStyle w:val="CommentReference"/>
          <w:bCs/>
          <w:szCs w:val="24"/>
        </w:rPr>
        <w:t xml:space="preserve">Table </w:t>
      </w:r>
      <w:r w:rsidRPr="00396E49">
        <w:rPr>
          <w:rStyle w:val="CommentReference"/>
          <w:bCs/>
          <w:szCs w:val="24"/>
        </w:rPr>
        <w:fldChar w:fldCharType="begin" w:fldLock="1"/>
      </w:r>
      <w:r w:rsidRPr="00396E49">
        <w:rPr>
          <w:rStyle w:val="CommentReference"/>
          <w:bCs/>
          <w:szCs w:val="24"/>
        </w:rPr>
        <w:instrText xml:space="preserve"> SEQ Table \* ARABIC </w:instrText>
      </w:r>
      <w:r w:rsidRPr="00396E49">
        <w:rPr>
          <w:rStyle w:val="CommentReference"/>
          <w:bCs/>
          <w:szCs w:val="24"/>
        </w:rPr>
        <w:fldChar w:fldCharType="separate"/>
      </w:r>
      <w:r w:rsidR="0086428F">
        <w:rPr>
          <w:rStyle w:val="CommentReference"/>
          <w:bCs/>
          <w:noProof/>
          <w:szCs w:val="24"/>
        </w:rPr>
        <w:t>2</w:t>
      </w:r>
      <w:r w:rsidRPr="00396E49">
        <w:rPr>
          <w:rStyle w:val="CommentReference"/>
          <w:bCs/>
          <w:szCs w:val="24"/>
        </w:rPr>
        <w:fldChar w:fldCharType="end"/>
      </w:r>
      <w:bookmarkEnd w:id="3"/>
      <w:r w:rsidR="001F3B65">
        <w:rPr>
          <w:rStyle w:val="CommentReference"/>
          <w:bCs/>
          <w:szCs w:val="24"/>
        </w:rPr>
        <w:t>:</w:t>
      </w:r>
      <w:r w:rsidRPr="00A94012">
        <w:rPr>
          <w:rStyle w:val="CommentReference"/>
          <w:bCs/>
          <w:szCs w:val="24"/>
        </w:rPr>
        <w:t>Key components of the clinical issue addressed by the submission (as stated in the July 2023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Key components of the clinical issue addressed by the submission (as stated in the July 2023 submission)"/>
        <w:tblDescription w:val="Table 2:Key components of the clinical issue addressed by the submission (as stated in the July 2023 submission)"/>
      </w:tblPr>
      <w:tblGrid>
        <w:gridCol w:w="1666"/>
        <w:gridCol w:w="7350"/>
      </w:tblGrid>
      <w:tr w:rsidR="00A94012" w:rsidRPr="00E74297" w14:paraId="481BCE15" w14:textId="77777777" w:rsidTr="00AF781B">
        <w:trPr>
          <w:cantSplit/>
          <w:tblHeader/>
        </w:trPr>
        <w:tc>
          <w:tcPr>
            <w:tcW w:w="924" w:type="pct"/>
            <w:shd w:val="clear" w:color="auto" w:fill="auto"/>
          </w:tcPr>
          <w:p w14:paraId="5D9DAAE7" w14:textId="77777777" w:rsidR="00A94012" w:rsidRPr="00E74297" w:rsidRDefault="00A94012" w:rsidP="00AF781B">
            <w:pPr>
              <w:pStyle w:val="In-tableHeading"/>
              <w:rPr>
                <w:szCs w:val="20"/>
                <w:lang w:val="en-AU"/>
              </w:rPr>
            </w:pPr>
            <w:r w:rsidRPr="00E74297">
              <w:rPr>
                <w:lang w:val="en-AU"/>
              </w:rPr>
              <w:t>Component</w:t>
            </w:r>
          </w:p>
        </w:tc>
        <w:tc>
          <w:tcPr>
            <w:tcW w:w="4076" w:type="pct"/>
            <w:shd w:val="clear" w:color="auto" w:fill="auto"/>
          </w:tcPr>
          <w:p w14:paraId="04B252B6" w14:textId="77777777" w:rsidR="00A94012" w:rsidRPr="00E74297" w:rsidRDefault="00A94012" w:rsidP="00AF781B">
            <w:pPr>
              <w:pStyle w:val="In-tableHeading"/>
              <w:rPr>
                <w:szCs w:val="20"/>
                <w:lang w:val="en-AU"/>
              </w:rPr>
            </w:pPr>
            <w:r w:rsidRPr="00E74297">
              <w:rPr>
                <w:szCs w:val="20"/>
                <w:lang w:val="en-AU"/>
              </w:rPr>
              <w:t>Description</w:t>
            </w:r>
          </w:p>
        </w:tc>
      </w:tr>
      <w:tr w:rsidR="00A94012" w:rsidRPr="00E74297" w14:paraId="138AAA09" w14:textId="77777777" w:rsidTr="00AF781B">
        <w:trPr>
          <w:cantSplit/>
        </w:trPr>
        <w:tc>
          <w:tcPr>
            <w:tcW w:w="924" w:type="pct"/>
            <w:shd w:val="clear" w:color="auto" w:fill="auto"/>
          </w:tcPr>
          <w:p w14:paraId="6DBDDDC8" w14:textId="77777777" w:rsidR="00A94012" w:rsidRPr="00E74297" w:rsidRDefault="00A94012" w:rsidP="00AF781B">
            <w:pPr>
              <w:pStyle w:val="TableText"/>
            </w:pPr>
            <w:r w:rsidRPr="00E74297">
              <w:t>Population</w:t>
            </w:r>
          </w:p>
        </w:tc>
        <w:tc>
          <w:tcPr>
            <w:tcW w:w="4076" w:type="pct"/>
            <w:shd w:val="clear" w:color="auto" w:fill="auto"/>
            <w:vAlign w:val="center"/>
          </w:tcPr>
          <w:p w14:paraId="27F23FEA" w14:textId="77777777" w:rsidR="00A94012" w:rsidRPr="00E74297" w:rsidRDefault="00A94012" w:rsidP="00AF781B">
            <w:pPr>
              <w:pStyle w:val="TableText"/>
              <w:rPr>
                <w:szCs w:val="20"/>
              </w:rPr>
            </w:pPr>
            <w:r w:rsidRPr="00E74297">
              <w:rPr>
                <w:rFonts w:cstheme="minorHAnsi"/>
                <w:szCs w:val="20"/>
              </w:rPr>
              <w:t>Treatment of patients with unresectable locally advanced or metastatic hormone receptive positive (HR+), human epidermal growth factor receptor 2 negative (HER2-) breast cancer, who have previously received at least 2 systemic therapies, one of which may have been in the neoadjuvant/adjuvant setting</w:t>
            </w:r>
          </w:p>
        </w:tc>
      </w:tr>
      <w:tr w:rsidR="00A94012" w:rsidRPr="00E74297" w14:paraId="561207EA" w14:textId="77777777" w:rsidTr="00AF781B">
        <w:trPr>
          <w:cantSplit/>
        </w:trPr>
        <w:tc>
          <w:tcPr>
            <w:tcW w:w="924" w:type="pct"/>
            <w:shd w:val="clear" w:color="auto" w:fill="auto"/>
          </w:tcPr>
          <w:p w14:paraId="49A9CD52" w14:textId="77777777" w:rsidR="00A94012" w:rsidRPr="00E74297" w:rsidRDefault="00A94012" w:rsidP="00AF781B">
            <w:pPr>
              <w:pStyle w:val="TableText"/>
            </w:pPr>
            <w:r w:rsidRPr="00E74297">
              <w:t>Intervention</w:t>
            </w:r>
          </w:p>
        </w:tc>
        <w:tc>
          <w:tcPr>
            <w:tcW w:w="4076" w:type="pct"/>
            <w:shd w:val="clear" w:color="auto" w:fill="auto"/>
          </w:tcPr>
          <w:p w14:paraId="1236A985" w14:textId="77777777" w:rsidR="00A94012" w:rsidRPr="00E74297" w:rsidRDefault="00A94012" w:rsidP="00AF781B">
            <w:pPr>
              <w:pStyle w:val="TableText"/>
              <w:rPr>
                <w:szCs w:val="20"/>
              </w:rPr>
            </w:pPr>
            <w:r w:rsidRPr="00E74297">
              <w:rPr>
                <w:rFonts w:cstheme="minorHAnsi"/>
                <w:szCs w:val="20"/>
              </w:rPr>
              <w:t>Sacituzumab govitecan (SG; TRODELVY®)</w:t>
            </w:r>
          </w:p>
        </w:tc>
      </w:tr>
      <w:tr w:rsidR="00A94012" w:rsidRPr="00E74297" w14:paraId="689FA89B" w14:textId="77777777" w:rsidTr="00AF781B">
        <w:trPr>
          <w:cantSplit/>
        </w:trPr>
        <w:tc>
          <w:tcPr>
            <w:tcW w:w="924" w:type="pct"/>
            <w:shd w:val="clear" w:color="auto" w:fill="auto"/>
          </w:tcPr>
          <w:p w14:paraId="0CC6897B" w14:textId="77777777" w:rsidR="00A94012" w:rsidRPr="00E74297" w:rsidRDefault="00A94012" w:rsidP="00AF781B">
            <w:pPr>
              <w:pStyle w:val="TableText"/>
            </w:pPr>
            <w:r w:rsidRPr="00E74297">
              <w:t>Comparator</w:t>
            </w:r>
          </w:p>
        </w:tc>
        <w:tc>
          <w:tcPr>
            <w:tcW w:w="4076" w:type="pct"/>
            <w:shd w:val="clear" w:color="auto" w:fill="auto"/>
          </w:tcPr>
          <w:p w14:paraId="3794F59F" w14:textId="77777777" w:rsidR="00A94012" w:rsidRPr="00E74297" w:rsidRDefault="00A94012" w:rsidP="00AF781B">
            <w:pPr>
              <w:pStyle w:val="TableText"/>
              <w:rPr>
                <w:szCs w:val="20"/>
              </w:rPr>
            </w:pPr>
            <w:r w:rsidRPr="00E74297">
              <w:rPr>
                <w:rFonts w:cstheme="minorHAnsi"/>
                <w:szCs w:val="20"/>
              </w:rPr>
              <w:t xml:space="preserve">Single-agent </w:t>
            </w:r>
            <w:bookmarkStart w:id="4" w:name="_Hlk145934613"/>
            <w:r w:rsidRPr="00E74297">
              <w:rPr>
                <w:rFonts w:cstheme="minorHAnsi"/>
                <w:szCs w:val="20"/>
              </w:rPr>
              <w:t xml:space="preserve">treatment of physician’s choice </w:t>
            </w:r>
            <w:bookmarkEnd w:id="4"/>
            <w:r w:rsidRPr="00E74297">
              <w:rPr>
                <w:rFonts w:cstheme="minorHAnsi"/>
                <w:szCs w:val="20"/>
              </w:rPr>
              <w:t>(TPC), consisting of eribulin, capecitabine, gemcitabine or vinorelbine.</w:t>
            </w:r>
          </w:p>
        </w:tc>
      </w:tr>
      <w:tr w:rsidR="00A94012" w:rsidRPr="00E74297" w14:paraId="1D301FD7" w14:textId="77777777" w:rsidTr="00AF781B">
        <w:trPr>
          <w:cantSplit/>
        </w:trPr>
        <w:tc>
          <w:tcPr>
            <w:tcW w:w="924" w:type="pct"/>
            <w:shd w:val="clear" w:color="auto" w:fill="auto"/>
          </w:tcPr>
          <w:p w14:paraId="501425F6" w14:textId="77777777" w:rsidR="00A94012" w:rsidRPr="00E74297" w:rsidRDefault="00A94012" w:rsidP="00AF781B">
            <w:pPr>
              <w:pStyle w:val="TableText"/>
            </w:pPr>
            <w:r w:rsidRPr="00E74297">
              <w:t>Outcomes</w:t>
            </w:r>
          </w:p>
        </w:tc>
        <w:tc>
          <w:tcPr>
            <w:tcW w:w="4076" w:type="pct"/>
            <w:shd w:val="clear" w:color="auto" w:fill="auto"/>
          </w:tcPr>
          <w:p w14:paraId="30013E89" w14:textId="77777777" w:rsidR="00A94012" w:rsidRPr="00E74297" w:rsidRDefault="00A94012" w:rsidP="007136D2">
            <w:pPr>
              <w:pStyle w:val="Tablenormal0"/>
              <w:numPr>
                <w:ilvl w:val="0"/>
                <w:numId w:val="3"/>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lang w:bidi="en-US"/>
              </w:rPr>
              <w:t>Overall survival</w:t>
            </w:r>
          </w:p>
          <w:p w14:paraId="3AC8E463" w14:textId="77777777" w:rsidR="00A94012" w:rsidRPr="00E74297" w:rsidRDefault="00A94012" w:rsidP="007136D2">
            <w:pPr>
              <w:pStyle w:val="Tablenormal0"/>
              <w:numPr>
                <w:ilvl w:val="0"/>
                <w:numId w:val="3"/>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lang w:bidi="en-US"/>
              </w:rPr>
              <w:t>Progression-free survival</w:t>
            </w:r>
          </w:p>
          <w:p w14:paraId="47EE82E8" w14:textId="77777777" w:rsidR="00A94012" w:rsidRPr="00E74297" w:rsidRDefault="00A94012" w:rsidP="007136D2">
            <w:pPr>
              <w:pStyle w:val="Tablenormal0"/>
              <w:numPr>
                <w:ilvl w:val="0"/>
                <w:numId w:val="3"/>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rPr>
              <w:t>Objective response rate</w:t>
            </w:r>
          </w:p>
          <w:p w14:paraId="2420C910" w14:textId="77777777" w:rsidR="00A94012" w:rsidRPr="00E74297" w:rsidRDefault="00A94012" w:rsidP="007136D2">
            <w:pPr>
              <w:pStyle w:val="Tablenormal0"/>
              <w:numPr>
                <w:ilvl w:val="0"/>
                <w:numId w:val="3"/>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rPr>
              <w:t>Duration of response</w:t>
            </w:r>
          </w:p>
          <w:p w14:paraId="18CE28EE" w14:textId="77777777" w:rsidR="00A94012" w:rsidRPr="00E74297" w:rsidRDefault="00A94012" w:rsidP="007136D2">
            <w:pPr>
              <w:pStyle w:val="Tablenormal0"/>
              <w:numPr>
                <w:ilvl w:val="0"/>
                <w:numId w:val="3"/>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rPr>
              <w:t>Time to progression</w:t>
            </w:r>
          </w:p>
          <w:p w14:paraId="3804FC31" w14:textId="77777777" w:rsidR="00A94012" w:rsidRPr="00E74297" w:rsidRDefault="00A94012" w:rsidP="007136D2">
            <w:pPr>
              <w:pStyle w:val="Tablenormal0"/>
              <w:numPr>
                <w:ilvl w:val="0"/>
                <w:numId w:val="3"/>
              </w:numPr>
              <w:spacing w:before="0" w:after="0" w:line="240" w:lineRule="auto"/>
              <w:ind w:left="452"/>
              <w:rPr>
                <w:rFonts w:ascii="Arial Narrow" w:hAnsi="Arial Narrow" w:cstheme="minorHAnsi"/>
                <w:bCs/>
                <w:sz w:val="20"/>
                <w:szCs w:val="20"/>
              </w:rPr>
            </w:pPr>
            <w:r w:rsidRPr="00E74297">
              <w:rPr>
                <w:rFonts w:ascii="Arial Narrow" w:hAnsi="Arial Narrow" w:cstheme="minorHAnsi"/>
                <w:bCs/>
                <w:sz w:val="20"/>
                <w:szCs w:val="20"/>
                <w:lang w:bidi="en-US"/>
              </w:rPr>
              <w:t>Quality of life</w:t>
            </w:r>
          </w:p>
          <w:p w14:paraId="324BB373" w14:textId="77777777" w:rsidR="00A94012" w:rsidRPr="00E74297" w:rsidRDefault="00A94012" w:rsidP="007136D2">
            <w:pPr>
              <w:pStyle w:val="Tablenormal0"/>
              <w:numPr>
                <w:ilvl w:val="0"/>
                <w:numId w:val="3"/>
              </w:numPr>
              <w:spacing w:before="0" w:after="0" w:line="240" w:lineRule="auto"/>
              <w:ind w:left="452"/>
              <w:rPr>
                <w:rFonts w:ascii="Arial Narrow" w:hAnsi="Arial Narrow" w:cstheme="minorHAnsi"/>
                <w:bCs/>
                <w:sz w:val="20"/>
                <w:szCs w:val="20"/>
              </w:rPr>
            </w:pPr>
            <w:r w:rsidRPr="00E74297">
              <w:rPr>
                <w:rFonts w:ascii="Arial Narrow" w:hAnsi="Arial Narrow" w:cstheme="minorHAnsi"/>
                <w:sz w:val="20"/>
                <w:szCs w:val="20"/>
                <w:lang w:bidi="en-US"/>
              </w:rPr>
              <w:t>Safety</w:t>
            </w:r>
          </w:p>
        </w:tc>
      </w:tr>
      <w:tr w:rsidR="00A94012" w:rsidRPr="00E74297" w14:paraId="0A84B369" w14:textId="77777777" w:rsidTr="00AF781B">
        <w:trPr>
          <w:cantSplit/>
        </w:trPr>
        <w:tc>
          <w:tcPr>
            <w:tcW w:w="924" w:type="pct"/>
            <w:shd w:val="clear" w:color="auto" w:fill="auto"/>
          </w:tcPr>
          <w:p w14:paraId="5A424582" w14:textId="77777777" w:rsidR="00A94012" w:rsidRPr="00E74297" w:rsidRDefault="00A94012" w:rsidP="00AF781B">
            <w:pPr>
              <w:pStyle w:val="TableText"/>
            </w:pPr>
            <w:r w:rsidRPr="00E74297">
              <w:t>Clinical claim</w:t>
            </w:r>
          </w:p>
        </w:tc>
        <w:tc>
          <w:tcPr>
            <w:tcW w:w="4076" w:type="pct"/>
            <w:shd w:val="clear" w:color="auto" w:fill="auto"/>
          </w:tcPr>
          <w:p w14:paraId="3B71743A" w14:textId="77777777" w:rsidR="00A94012" w:rsidRPr="00E74297" w:rsidRDefault="00A94012" w:rsidP="00AF781B">
            <w:pPr>
              <w:pStyle w:val="TableText"/>
              <w:rPr>
                <w:rFonts w:eastAsia="Times New Roman" w:cs="Arial"/>
                <w:bCs w:val="0"/>
                <w:snapToGrid w:val="0"/>
                <w:color w:val="0066FF"/>
                <w:szCs w:val="20"/>
              </w:rPr>
            </w:pPr>
            <w:r w:rsidRPr="00E74297">
              <w:rPr>
                <w:rFonts w:cstheme="minorHAnsi"/>
                <w:iCs/>
                <w:szCs w:val="20"/>
              </w:rPr>
              <w:t>Sacituzumab govitecan is superior in terms of efficacy with a known and manageable safety profile compared to TPC.</w:t>
            </w:r>
          </w:p>
        </w:tc>
      </w:tr>
    </w:tbl>
    <w:p w14:paraId="1FE36A8F" w14:textId="75EFAD14" w:rsidR="00A94012" w:rsidRDefault="00A94012" w:rsidP="00A94012">
      <w:pPr>
        <w:pStyle w:val="TableFigureFooter"/>
        <w:rPr>
          <w:szCs w:val="24"/>
        </w:rPr>
      </w:pPr>
      <w:r w:rsidRPr="00A94012">
        <w:rPr>
          <w:szCs w:val="24"/>
        </w:rPr>
        <w:t xml:space="preserve">Source: Table 1.1-1, p11 of the </w:t>
      </w:r>
      <w:r>
        <w:rPr>
          <w:szCs w:val="24"/>
        </w:rPr>
        <w:t xml:space="preserve">July 2023 </w:t>
      </w:r>
      <w:r w:rsidRPr="00A94012">
        <w:rPr>
          <w:szCs w:val="24"/>
        </w:rPr>
        <w:t>submission.</w:t>
      </w:r>
    </w:p>
    <w:p w14:paraId="38F3E6A2" w14:textId="43C7C1F9" w:rsidR="00A94012" w:rsidRPr="00A94012" w:rsidRDefault="00A94012" w:rsidP="00A94012">
      <w:pPr>
        <w:pStyle w:val="TableFigureFooter"/>
        <w:rPr>
          <w:szCs w:val="24"/>
        </w:rPr>
      </w:pPr>
      <w:r w:rsidRPr="00E74297">
        <w:rPr>
          <w:rFonts w:cstheme="minorHAnsi"/>
          <w:iCs/>
          <w:szCs w:val="20"/>
        </w:rPr>
        <w:t>TPC</w:t>
      </w:r>
      <w:r>
        <w:rPr>
          <w:rFonts w:cstheme="minorHAnsi"/>
          <w:iCs/>
          <w:szCs w:val="20"/>
        </w:rPr>
        <w:t xml:space="preserve">, </w:t>
      </w:r>
      <w:r w:rsidRPr="00E74297">
        <w:rPr>
          <w:rFonts w:cstheme="minorHAnsi"/>
          <w:szCs w:val="20"/>
        </w:rPr>
        <w:t>treatment of physician’s choice</w:t>
      </w:r>
    </w:p>
    <w:p w14:paraId="29B7AB1A" w14:textId="0BA88FA4" w:rsidR="0019198E" w:rsidRPr="00DC59D4" w:rsidRDefault="0019198E" w:rsidP="00DC59D4">
      <w:pPr>
        <w:rPr>
          <w:bCs/>
          <w:i/>
          <w:iCs/>
        </w:rPr>
      </w:pPr>
      <w:r w:rsidRPr="00DC59D4">
        <w:rPr>
          <w:i/>
          <w:iCs/>
          <w:lang w:eastAsia="en-US"/>
        </w:rPr>
        <w:t xml:space="preserve">For more detail on PBAC’s view, see section </w:t>
      </w:r>
      <w:r w:rsidRPr="00DC59D4">
        <w:rPr>
          <w:bCs/>
          <w:i/>
          <w:iCs/>
          <w:lang w:eastAsia="en-US"/>
        </w:rPr>
        <w:t xml:space="preserve">5 </w:t>
      </w:r>
      <w:r w:rsidRPr="00DC59D4">
        <w:rPr>
          <w:i/>
          <w:iCs/>
          <w:lang w:eastAsia="en-US"/>
        </w:rPr>
        <w:t>PBAC outcome</w:t>
      </w:r>
      <w:r w:rsidRPr="00DC59D4">
        <w:rPr>
          <w:b/>
          <w:i/>
          <w:iCs/>
          <w:lang w:eastAsia="en-US"/>
        </w:rPr>
        <w:t>.</w:t>
      </w:r>
    </w:p>
    <w:p w14:paraId="5E8CE0EC" w14:textId="75326773" w:rsidR="00A94012" w:rsidRDefault="00F64997" w:rsidP="00396E49">
      <w:pPr>
        <w:pStyle w:val="2-SectionHeading"/>
      </w:pPr>
      <w:r>
        <w:t>Requested listing</w:t>
      </w:r>
    </w:p>
    <w:p w14:paraId="1FEB8ADC" w14:textId="1D10CE09" w:rsidR="002332A6" w:rsidRDefault="002332A6" w:rsidP="00F70C72">
      <w:pPr>
        <w:pStyle w:val="3-BodyText"/>
      </w:pPr>
      <w:r>
        <w:t>The resubmission’s revised restriction is outlined below.</w:t>
      </w:r>
      <w:r w:rsidR="00F70C72">
        <w:t xml:space="preserve"> </w:t>
      </w:r>
      <w:r w:rsidR="00F70C72" w:rsidRPr="00B26E27">
        <w:t>Suggestions and additions proposed by the Secretariat are added in italics and suggested deletions are crossed out with strikethrough.</w:t>
      </w:r>
      <w:r w:rsidR="00F70C72">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1971"/>
        <w:gridCol w:w="2977"/>
        <w:gridCol w:w="1514"/>
        <w:gridCol w:w="2027"/>
      </w:tblGrid>
      <w:tr w:rsidR="002332A6" w:rsidRPr="001B4BEA" w14:paraId="7C0BB337" w14:textId="77777777" w:rsidTr="00AF781B">
        <w:trPr>
          <w:trHeight w:val="20"/>
        </w:trPr>
        <w:tc>
          <w:tcPr>
            <w:tcW w:w="1405" w:type="pct"/>
            <w:gridSpan w:val="2"/>
            <w:shd w:val="clear" w:color="auto" w:fill="auto"/>
            <w:vAlign w:val="center"/>
          </w:tcPr>
          <w:p w14:paraId="14E2E9FE" w14:textId="77777777" w:rsidR="002332A6" w:rsidRPr="00CD321D" w:rsidRDefault="002332A6" w:rsidP="00AF781B">
            <w:pPr>
              <w:rPr>
                <w:rFonts w:ascii="Arial Narrow" w:eastAsiaTheme="majorEastAsia" w:hAnsi="Arial Narrow"/>
                <w:b/>
                <w:bCs/>
                <w:sz w:val="20"/>
                <w:szCs w:val="20"/>
              </w:rPr>
            </w:pPr>
            <w:r w:rsidRPr="00CD321D">
              <w:rPr>
                <w:rFonts w:ascii="Arial Narrow" w:eastAsiaTheme="majorEastAsia" w:hAnsi="Arial Narrow"/>
                <w:b/>
                <w:bCs/>
                <w:sz w:val="20"/>
                <w:szCs w:val="20"/>
              </w:rPr>
              <w:t>MEDICINAL PRODUCT</w:t>
            </w:r>
          </w:p>
          <w:p w14:paraId="60378179" w14:textId="77777777" w:rsidR="002332A6" w:rsidRPr="00CD321D" w:rsidRDefault="002332A6" w:rsidP="00AF781B">
            <w:pPr>
              <w:rPr>
                <w:rFonts w:ascii="Arial Narrow" w:eastAsiaTheme="majorEastAsia" w:hAnsi="Arial Narrow"/>
                <w:b/>
                <w:bCs/>
                <w:sz w:val="20"/>
                <w:szCs w:val="20"/>
              </w:rPr>
            </w:pPr>
            <w:r w:rsidRPr="00CD321D">
              <w:rPr>
                <w:rFonts w:ascii="Arial Narrow" w:eastAsiaTheme="majorEastAsia" w:hAnsi="Arial Narrow"/>
                <w:b/>
                <w:bCs/>
                <w:sz w:val="20"/>
                <w:szCs w:val="20"/>
              </w:rPr>
              <w:t>Form</w:t>
            </w:r>
          </w:p>
        </w:tc>
        <w:tc>
          <w:tcPr>
            <w:tcW w:w="1642" w:type="pct"/>
            <w:shd w:val="clear" w:color="auto" w:fill="auto"/>
            <w:vAlign w:val="center"/>
          </w:tcPr>
          <w:p w14:paraId="4C6EF4BE" w14:textId="77777777" w:rsidR="002332A6" w:rsidRPr="00CD321D" w:rsidRDefault="002332A6" w:rsidP="00AF781B">
            <w:pPr>
              <w:jc w:val="center"/>
              <w:rPr>
                <w:rFonts w:ascii="Arial Narrow" w:eastAsiaTheme="majorEastAsia" w:hAnsi="Arial Narrow"/>
                <w:b/>
                <w:bCs/>
                <w:sz w:val="20"/>
                <w:szCs w:val="20"/>
              </w:rPr>
            </w:pPr>
            <w:r w:rsidRPr="00CD321D">
              <w:rPr>
                <w:rFonts w:ascii="Arial Narrow" w:eastAsiaTheme="majorEastAsia" w:hAnsi="Arial Narrow"/>
                <w:b/>
                <w:bCs/>
                <w:sz w:val="20"/>
                <w:szCs w:val="20"/>
              </w:rPr>
              <w:t>Dispensed Price Max Amount</w:t>
            </w:r>
          </w:p>
        </w:tc>
        <w:tc>
          <w:tcPr>
            <w:tcW w:w="835" w:type="pct"/>
            <w:shd w:val="clear" w:color="auto" w:fill="auto"/>
            <w:vAlign w:val="center"/>
          </w:tcPr>
          <w:p w14:paraId="57B00B8B" w14:textId="77777777" w:rsidR="002332A6" w:rsidRPr="00CD321D" w:rsidRDefault="002332A6" w:rsidP="00AF781B">
            <w:pPr>
              <w:jc w:val="center"/>
              <w:rPr>
                <w:rFonts w:ascii="Arial Narrow" w:eastAsiaTheme="majorEastAsia" w:hAnsi="Arial Narrow"/>
                <w:b/>
                <w:bCs/>
                <w:sz w:val="20"/>
                <w:szCs w:val="20"/>
              </w:rPr>
            </w:pPr>
            <w:r w:rsidRPr="00CD321D">
              <w:rPr>
                <w:rFonts w:ascii="Arial Narrow" w:eastAsiaTheme="majorEastAsia" w:hAnsi="Arial Narrow"/>
                <w:b/>
                <w:bCs/>
                <w:sz w:val="20"/>
                <w:szCs w:val="20"/>
              </w:rPr>
              <w:t>Max. Amount</w:t>
            </w:r>
          </w:p>
        </w:tc>
        <w:tc>
          <w:tcPr>
            <w:tcW w:w="1118" w:type="pct"/>
            <w:shd w:val="clear" w:color="auto" w:fill="auto"/>
            <w:vAlign w:val="center"/>
          </w:tcPr>
          <w:p w14:paraId="17B7AA44" w14:textId="77777777" w:rsidR="002332A6" w:rsidRPr="00CD321D" w:rsidRDefault="002332A6" w:rsidP="00AF781B">
            <w:pPr>
              <w:jc w:val="center"/>
              <w:rPr>
                <w:rFonts w:ascii="Arial Narrow" w:eastAsiaTheme="majorEastAsia" w:hAnsi="Arial Narrow"/>
                <w:b/>
                <w:bCs/>
                <w:sz w:val="20"/>
                <w:szCs w:val="20"/>
              </w:rPr>
            </w:pPr>
            <w:r w:rsidRPr="00CD321D">
              <w:rPr>
                <w:rFonts w:ascii="Arial Narrow" w:eastAsiaTheme="majorEastAsia" w:hAnsi="Arial Narrow"/>
                <w:b/>
                <w:bCs/>
                <w:sz w:val="20"/>
                <w:szCs w:val="20"/>
              </w:rPr>
              <w:t>№.of Rpts</w:t>
            </w:r>
          </w:p>
        </w:tc>
      </w:tr>
      <w:tr w:rsidR="002332A6" w:rsidRPr="001B4BEA" w14:paraId="3D39D6A0" w14:textId="77777777" w:rsidTr="00AF781B">
        <w:trPr>
          <w:trHeight w:val="20"/>
        </w:trPr>
        <w:tc>
          <w:tcPr>
            <w:tcW w:w="1405" w:type="pct"/>
            <w:gridSpan w:val="2"/>
            <w:vAlign w:val="center"/>
          </w:tcPr>
          <w:p w14:paraId="67E72DE1" w14:textId="3CDF86C6" w:rsidR="002332A6" w:rsidRPr="00CD321D" w:rsidRDefault="002332A6" w:rsidP="00AF781B">
            <w:pPr>
              <w:rPr>
                <w:rFonts w:ascii="Arial Narrow" w:eastAsiaTheme="majorEastAsia" w:hAnsi="Arial Narrow" w:cstheme="majorBidi"/>
                <w:sz w:val="20"/>
                <w:szCs w:val="20"/>
              </w:rPr>
            </w:pPr>
            <w:r w:rsidRPr="00CD321D">
              <w:rPr>
                <w:rFonts w:ascii="Arial Narrow" w:eastAsiaTheme="majorEastAsia" w:hAnsi="Arial Narrow" w:cstheme="majorBidi"/>
                <w:sz w:val="20"/>
                <w:szCs w:val="20"/>
              </w:rPr>
              <w:t>SACIT</w:t>
            </w:r>
            <w:r w:rsidR="000F6BE2">
              <w:rPr>
                <w:rFonts w:ascii="Arial Narrow" w:eastAsiaTheme="majorEastAsia" w:hAnsi="Arial Narrow" w:cstheme="majorBidi"/>
                <w:sz w:val="20"/>
                <w:szCs w:val="20"/>
              </w:rPr>
              <w:t>U</w:t>
            </w:r>
            <w:r w:rsidRPr="00CD321D">
              <w:rPr>
                <w:rFonts w:ascii="Arial Narrow" w:eastAsiaTheme="majorEastAsia" w:hAnsi="Arial Narrow" w:cstheme="majorBidi"/>
                <w:sz w:val="20"/>
                <w:szCs w:val="20"/>
              </w:rPr>
              <w:t>ZUMAB GOVITECAN</w:t>
            </w:r>
          </w:p>
          <w:p w14:paraId="2AD7F5F8" w14:textId="77777777" w:rsidR="002332A6" w:rsidRPr="00CD321D" w:rsidRDefault="002332A6" w:rsidP="00AF781B">
            <w:pPr>
              <w:rPr>
                <w:rFonts w:ascii="Arial Narrow" w:eastAsiaTheme="majorEastAsia" w:hAnsi="Arial Narrow" w:cstheme="majorBidi"/>
                <w:sz w:val="20"/>
                <w:szCs w:val="20"/>
              </w:rPr>
            </w:pPr>
            <w:r w:rsidRPr="00CD321D">
              <w:rPr>
                <w:rFonts w:ascii="Arial Narrow" w:eastAsiaTheme="majorEastAsia" w:hAnsi="Arial Narrow" w:cstheme="majorBidi"/>
                <w:sz w:val="20"/>
                <w:szCs w:val="20"/>
              </w:rPr>
              <w:t xml:space="preserve">Injection </w:t>
            </w:r>
          </w:p>
        </w:tc>
        <w:tc>
          <w:tcPr>
            <w:tcW w:w="1642" w:type="pct"/>
            <w:vAlign w:val="center"/>
          </w:tcPr>
          <w:p w14:paraId="3A03EDC8" w14:textId="77777777" w:rsidR="002332A6" w:rsidRPr="00CD321D" w:rsidRDefault="002332A6" w:rsidP="00AF781B">
            <w:pPr>
              <w:jc w:val="center"/>
              <w:rPr>
                <w:rFonts w:ascii="Arial Narrow" w:eastAsiaTheme="majorEastAsia" w:hAnsi="Arial Narrow" w:cstheme="majorBidi"/>
                <w:sz w:val="20"/>
                <w:szCs w:val="20"/>
                <w:u w:val="single"/>
              </w:rPr>
            </w:pPr>
            <w:r w:rsidRPr="00CD321D">
              <w:rPr>
                <w:rFonts w:ascii="Arial Narrow" w:eastAsiaTheme="majorEastAsia" w:hAnsi="Arial Narrow" w:cstheme="majorBidi"/>
                <w:sz w:val="20"/>
                <w:szCs w:val="20"/>
                <w:u w:val="single"/>
              </w:rPr>
              <w:t>Published price</w:t>
            </w:r>
          </w:p>
          <w:p w14:paraId="43C5DE75" w14:textId="77777777" w:rsidR="002332A6" w:rsidRPr="00CD321D" w:rsidRDefault="002332A6" w:rsidP="00AF781B">
            <w:pPr>
              <w:jc w:val="center"/>
              <w:rPr>
                <w:rFonts w:ascii="Arial Narrow" w:eastAsiaTheme="majorEastAsia" w:hAnsi="Arial Narrow" w:cstheme="majorBidi"/>
                <w:sz w:val="20"/>
                <w:szCs w:val="20"/>
              </w:rPr>
            </w:pPr>
            <w:r w:rsidRPr="00CD321D">
              <w:rPr>
                <w:rFonts w:ascii="Arial Narrow" w:eastAsiaTheme="majorEastAsia" w:hAnsi="Arial Narrow" w:cstheme="majorBidi"/>
                <w:sz w:val="20"/>
                <w:szCs w:val="20"/>
              </w:rPr>
              <w:t>$10,480.75 (public)</w:t>
            </w:r>
          </w:p>
          <w:p w14:paraId="18F40F50" w14:textId="1ED342E0" w:rsidR="002332A6" w:rsidRPr="00CD321D" w:rsidRDefault="002332A6" w:rsidP="00AF781B">
            <w:pPr>
              <w:jc w:val="center"/>
              <w:rPr>
                <w:rFonts w:ascii="Arial Narrow" w:eastAsiaTheme="majorEastAsia" w:hAnsi="Arial Narrow" w:cstheme="majorBidi"/>
                <w:sz w:val="20"/>
                <w:szCs w:val="20"/>
              </w:rPr>
            </w:pPr>
            <w:r w:rsidRPr="00CD321D">
              <w:rPr>
                <w:rFonts w:ascii="Arial Narrow" w:eastAsiaTheme="majorEastAsia" w:hAnsi="Arial Narrow" w:cstheme="majorBidi"/>
                <w:sz w:val="20"/>
                <w:szCs w:val="20"/>
              </w:rPr>
              <w:t>$10</w:t>
            </w:r>
            <w:r w:rsidR="0070778F" w:rsidRPr="00CD321D">
              <w:rPr>
                <w:rFonts w:ascii="Arial Narrow" w:eastAsiaTheme="majorEastAsia" w:hAnsi="Arial Narrow" w:cstheme="majorBidi"/>
                <w:sz w:val="20"/>
                <w:szCs w:val="20"/>
              </w:rPr>
              <w:t>,</w:t>
            </w:r>
            <w:r w:rsidRPr="00CD321D">
              <w:rPr>
                <w:rFonts w:ascii="Arial Narrow" w:eastAsiaTheme="majorEastAsia" w:hAnsi="Arial Narrow" w:cstheme="majorBidi"/>
                <w:sz w:val="20"/>
                <w:szCs w:val="20"/>
              </w:rPr>
              <w:t>669.53 (private)</w:t>
            </w:r>
          </w:p>
          <w:p w14:paraId="65FC3D9C" w14:textId="77777777" w:rsidR="002332A6" w:rsidRPr="00CD321D" w:rsidRDefault="002332A6" w:rsidP="00AF781B">
            <w:pPr>
              <w:jc w:val="center"/>
              <w:rPr>
                <w:rFonts w:ascii="Arial Narrow" w:eastAsiaTheme="majorEastAsia" w:hAnsi="Arial Narrow" w:cstheme="majorBidi"/>
                <w:sz w:val="20"/>
                <w:szCs w:val="20"/>
                <w:u w:val="single"/>
              </w:rPr>
            </w:pPr>
            <w:r w:rsidRPr="00CD321D">
              <w:rPr>
                <w:rFonts w:ascii="Arial Narrow" w:eastAsiaTheme="majorEastAsia" w:hAnsi="Arial Narrow" w:cstheme="majorBidi"/>
                <w:sz w:val="20"/>
                <w:szCs w:val="20"/>
                <w:u w:val="single"/>
              </w:rPr>
              <w:lastRenderedPageBreak/>
              <w:t>Effective price</w:t>
            </w:r>
          </w:p>
          <w:p w14:paraId="18D489CD" w14:textId="3A6577E8" w:rsidR="002332A6" w:rsidRPr="00CD321D" w:rsidRDefault="001F3B65" w:rsidP="00AF781B">
            <w:pPr>
              <w:jc w:val="center"/>
              <w:rPr>
                <w:rFonts w:ascii="Arial Narrow" w:eastAsiaTheme="majorEastAsia" w:hAnsi="Arial Narrow" w:cstheme="majorBidi"/>
                <w:sz w:val="20"/>
                <w:szCs w:val="20"/>
              </w:rPr>
            </w:pPr>
            <w:r>
              <w:rPr>
                <w:rFonts w:ascii="Arial Narrow" w:eastAsiaTheme="majorEastAsia" w:hAnsi="Arial Narrow" w:cstheme="majorBidi"/>
                <w:sz w:val="20"/>
                <w:szCs w:val="20"/>
              </w:rPr>
              <w:t>$</w:t>
            </w:r>
            <w:r w:rsidR="00D52BD6" w:rsidRPr="00D52BD6">
              <w:rPr>
                <w:rFonts w:ascii="Arial Narrow" w:eastAsiaTheme="majorEastAsia" w:hAnsi="Arial Narrow" w:cstheme="majorBidi"/>
                <w:color w:val="000000"/>
                <w:sz w:val="20"/>
                <w:szCs w:val="20"/>
                <w:shd w:val="solid" w:color="000000" w:fill="000000"/>
                <w14:textFill>
                  <w14:solidFill>
                    <w14:srgbClr w14:val="000000">
                      <w14:alpha w14:val="100000"/>
                    </w14:srgbClr>
                  </w14:solidFill>
                </w14:textFill>
              </w:rPr>
              <w:t>|</w:t>
            </w:r>
            <w:r w:rsidR="002332A6" w:rsidRPr="00CD321D">
              <w:rPr>
                <w:rFonts w:ascii="Arial Narrow" w:eastAsiaTheme="majorEastAsia" w:hAnsi="Arial Narrow" w:cstheme="majorBidi"/>
                <w:sz w:val="20"/>
                <w:szCs w:val="20"/>
              </w:rPr>
              <w:t>(public)</w:t>
            </w:r>
          </w:p>
          <w:p w14:paraId="2CB7482D" w14:textId="257970BA" w:rsidR="002332A6" w:rsidRPr="00CD321D" w:rsidRDefault="001F3B65" w:rsidP="00AF781B">
            <w:pPr>
              <w:jc w:val="center"/>
              <w:rPr>
                <w:rFonts w:ascii="Arial Narrow" w:eastAsiaTheme="majorEastAsia" w:hAnsi="Arial Narrow" w:cstheme="majorBidi"/>
                <w:sz w:val="20"/>
                <w:szCs w:val="20"/>
              </w:rPr>
            </w:pPr>
            <w:r>
              <w:rPr>
                <w:rFonts w:ascii="Arial Narrow" w:eastAsiaTheme="majorEastAsia" w:hAnsi="Arial Narrow" w:cstheme="majorBidi"/>
                <w:sz w:val="20"/>
                <w:szCs w:val="20"/>
              </w:rPr>
              <w:t>$</w:t>
            </w:r>
            <w:r w:rsidR="00D52BD6" w:rsidRPr="00D52BD6">
              <w:rPr>
                <w:rFonts w:ascii="Arial Narrow" w:eastAsiaTheme="majorEastAsia" w:hAnsi="Arial Narrow" w:cstheme="majorBidi"/>
                <w:color w:val="000000"/>
                <w:sz w:val="20"/>
                <w:szCs w:val="20"/>
                <w:shd w:val="solid" w:color="000000" w:fill="000000"/>
                <w14:textFill>
                  <w14:solidFill>
                    <w14:srgbClr w14:val="000000">
                      <w14:alpha w14:val="100000"/>
                    </w14:srgbClr>
                  </w14:solidFill>
                </w14:textFill>
              </w:rPr>
              <w:t>|</w:t>
            </w:r>
            <w:r w:rsidR="002332A6" w:rsidRPr="00CD321D">
              <w:rPr>
                <w:rFonts w:ascii="Arial Narrow" w:eastAsiaTheme="majorEastAsia" w:hAnsi="Arial Narrow" w:cstheme="majorBidi"/>
                <w:sz w:val="20"/>
                <w:szCs w:val="20"/>
              </w:rPr>
              <w:t>(private)</w:t>
            </w:r>
          </w:p>
        </w:tc>
        <w:tc>
          <w:tcPr>
            <w:tcW w:w="835" w:type="pct"/>
            <w:vAlign w:val="center"/>
          </w:tcPr>
          <w:p w14:paraId="0E58C3DD" w14:textId="77777777" w:rsidR="002332A6" w:rsidRPr="00CD321D" w:rsidRDefault="002332A6" w:rsidP="00AF781B">
            <w:pPr>
              <w:jc w:val="center"/>
              <w:rPr>
                <w:rFonts w:ascii="Arial Narrow" w:eastAsiaTheme="majorEastAsia" w:hAnsi="Arial Narrow" w:cstheme="majorBidi"/>
                <w:sz w:val="20"/>
                <w:szCs w:val="20"/>
              </w:rPr>
            </w:pPr>
            <w:r w:rsidRPr="00CD321D">
              <w:rPr>
                <w:rFonts w:ascii="Arial Narrow" w:eastAsiaTheme="majorEastAsia" w:hAnsi="Arial Narrow" w:cstheme="majorBidi"/>
                <w:sz w:val="20"/>
                <w:szCs w:val="20"/>
              </w:rPr>
              <w:lastRenderedPageBreak/>
              <w:t>1,200 mg</w:t>
            </w:r>
          </w:p>
        </w:tc>
        <w:tc>
          <w:tcPr>
            <w:tcW w:w="1118" w:type="pct"/>
            <w:vAlign w:val="center"/>
          </w:tcPr>
          <w:p w14:paraId="7E5E9CC5" w14:textId="77777777" w:rsidR="002332A6" w:rsidRPr="00CD321D" w:rsidRDefault="002332A6" w:rsidP="00AF781B">
            <w:pPr>
              <w:jc w:val="center"/>
              <w:rPr>
                <w:rFonts w:ascii="Arial Narrow" w:eastAsiaTheme="majorEastAsia" w:hAnsi="Arial Narrow" w:cstheme="majorBidi"/>
                <w:sz w:val="20"/>
                <w:szCs w:val="20"/>
              </w:rPr>
            </w:pPr>
            <w:r w:rsidRPr="00CD321D">
              <w:rPr>
                <w:rFonts w:ascii="Arial Narrow" w:eastAsiaTheme="majorEastAsia" w:hAnsi="Arial Narrow" w:cstheme="majorBidi"/>
                <w:sz w:val="20"/>
                <w:szCs w:val="20"/>
              </w:rPr>
              <w:t>7 initial</w:t>
            </w:r>
          </w:p>
          <w:p w14:paraId="0EB12735" w14:textId="77777777" w:rsidR="002332A6" w:rsidRPr="00CD321D" w:rsidRDefault="002332A6" w:rsidP="00AF781B">
            <w:pPr>
              <w:jc w:val="center"/>
              <w:rPr>
                <w:rFonts w:ascii="Arial Narrow" w:eastAsiaTheme="majorEastAsia" w:hAnsi="Arial Narrow" w:cstheme="majorBidi"/>
                <w:sz w:val="20"/>
                <w:szCs w:val="20"/>
              </w:rPr>
            </w:pPr>
            <w:r w:rsidRPr="00CD321D">
              <w:rPr>
                <w:rFonts w:ascii="Arial Narrow" w:eastAsiaTheme="majorEastAsia" w:hAnsi="Arial Narrow" w:cstheme="majorBidi"/>
                <w:sz w:val="20"/>
                <w:szCs w:val="20"/>
              </w:rPr>
              <w:t>13 continuing</w:t>
            </w:r>
          </w:p>
        </w:tc>
      </w:tr>
      <w:tr w:rsidR="002332A6" w:rsidRPr="001B4BEA" w14:paraId="5B68C3A3" w14:textId="77777777" w:rsidTr="00AF781B">
        <w:trPr>
          <w:trHeight w:val="20"/>
        </w:trPr>
        <w:tc>
          <w:tcPr>
            <w:tcW w:w="5000" w:type="pct"/>
            <w:gridSpan w:val="5"/>
            <w:vAlign w:val="center"/>
          </w:tcPr>
          <w:p w14:paraId="6EEB7EB4" w14:textId="77777777" w:rsidR="002332A6" w:rsidRPr="00CD321D" w:rsidRDefault="002332A6" w:rsidP="00AF781B">
            <w:pPr>
              <w:rPr>
                <w:rFonts w:ascii="Arial Narrow" w:hAnsi="Arial Narrow"/>
                <w:b/>
                <w:bCs/>
                <w:sz w:val="20"/>
                <w:szCs w:val="20"/>
              </w:rPr>
            </w:pPr>
            <w:r w:rsidRPr="00CD321D">
              <w:rPr>
                <w:rFonts w:ascii="Arial Narrow" w:eastAsiaTheme="majorEastAsia" w:hAnsi="Arial Narrow"/>
                <w:b/>
                <w:bCs/>
                <w:sz w:val="20"/>
                <w:szCs w:val="20"/>
              </w:rPr>
              <w:t>Available brands</w:t>
            </w:r>
            <w:r w:rsidRPr="00CD321D">
              <w:rPr>
                <w:rFonts w:ascii="Arial Narrow" w:hAnsi="Arial Narrow"/>
                <w:b/>
                <w:bCs/>
                <w:sz w:val="20"/>
                <w:szCs w:val="20"/>
              </w:rPr>
              <w:t xml:space="preserve"> </w:t>
            </w:r>
          </w:p>
        </w:tc>
      </w:tr>
      <w:tr w:rsidR="002332A6" w:rsidRPr="001B4BEA" w14:paraId="1F8F0E69" w14:textId="77777777" w:rsidTr="00AF781B">
        <w:trPr>
          <w:trHeight w:val="20"/>
        </w:trPr>
        <w:tc>
          <w:tcPr>
            <w:tcW w:w="5000" w:type="pct"/>
            <w:gridSpan w:val="5"/>
            <w:vAlign w:val="center"/>
          </w:tcPr>
          <w:p w14:paraId="5D2634FB" w14:textId="77777777" w:rsidR="002332A6" w:rsidRPr="00CD321D" w:rsidRDefault="002332A6" w:rsidP="00AF781B">
            <w:pPr>
              <w:rPr>
                <w:rFonts w:ascii="Arial Narrow" w:eastAsiaTheme="majorEastAsia" w:hAnsi="Arial Narrow" w:cstheme="majorBidi"/>
                <w:sz w:val="20"/>
                <w:szCs w:val="20"/>
              </w:rPr>
            </w:pPr>
            <w:r w:rsidRPr="00CD321D">
              <w:rPr>
                <w:rFonts w:ascii="Arial Narrow" w:eastAsiaTheme="majorEastAsia" w:hAnsi="Arial Narrow" w:cstheme="majorBidi"/>
                <w:sz w:val="20"/>
                <w:szCs w:val="20"/>
              </w:rPr>
              <w:t>Trodelvy</w:t>
            </w:r>
          </w:p>
          <w:p w14:paraId="1DCB6930" w14:textId="77777777" w:rsidR="002332A6" w:rsidRPr="00CD321D" w:rsidRDefault="002332A6" w:rsidP="00AF781B">
            <w:pPr>
              <w:rPr>
                <w:rFonts w:ascii="Arial Narrow" w:eastAsiaTheme="majorEastAsia" w:hAnsi="Arial Narrow" w:cstheme="majorBidi"/>
                <w:sz w:val="20"/>
                <w:szCs w:val="20"/>
              </w:rPr>
            </w:pPr>
            <w:r w:rsidRPr="00CD321D">
              <w:rPr>
                <w:rFonts w:ascii="Arial Narrow" w:hAnsi="Arial Narrow"/>
                <w:sz w:val="20"/>
                <w:szCs w:val="20"/>
              </w:rPr>
              <w:t>(sacituzumab govitecan 180 mg injection, 1 vial)</w:t>
            </w:r>
          </w:p>
        </w:tc>
      </w:tr>
      <w:tr w:rsidR="002332A6" w:rsidRPr="001B4BEA" w14:paraId="078BE90B"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E289FEB" w14:textId="77777777" w:rsidR="002332A6" w:rsidRPr="00CD321D" w:rsidRDefault="002332A6" w:rsidP="00AF781B">
            <w:pPr>
              <w:rPr>
                <w:rFonts w:ascii="Arial Narrow" w:hAnsi="Arial Narrow"/>
                <w:sz w:val="20"/>
                <w:szCs w:val="20"/>
              </w:rPr>
            </w:pPr>
          </w:p>
        </w:tc>
      </w:tr>
      <w:tr w:rsidR="002332A6" w:rsidRPr="001B4BEA" w14:paraId="210B06E1"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D780957" w14:textId="77777777" w:rsidR="002332A6" w:rsidRPr="00CD321D" w:rsidRDefault="002332A6" w:rsidP="00AF781B">
            <w:pPr>
              <w:rPr>
                <w:rFonts w:ascii="Arial Narrow" w:hAnsi="Arial Narrow"/>
                <w:b/>
                <w:bCs/>
                <w:sz w:val="20"/>
                <w:szCs w:val="20"/>
              </w:rPr>
            </w:pPr>
            <w:r w:rsidRPr="00CD321D">
              <w:rPr>
                <w:rFonts w:ascii="Arial Narrow" w:hAnsi="Arial Narrow"/>
                <w:b/>
                <w:bCs/>
                <w:sz w:val="20"/>
                <w:szCs w:val="20"/>
              </w:rPr>
              <w:t xml:space="preserve">Restriction Summary [new] / Treatment of Concept: [new] </w:t>
            </w:r>
          </w:p>
        </w:tc>
      </w:tr>
      <w:tr w:rsidR="002332A6" w:rsidRPr="001B4BEA" w14:paraId="7048295D"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F13A906" w14:textId="77777777" w:rsidR="002332A6" w:rsidRPr="00CD321D" w:rsidRDefault="002332A6" w:rsidP="00AF781B">
            <w:pPr>
              <w:rPr>
                <w:rFonts w:ascii="Arial Narrow" w:hAnsi="Arial Narrow"/>
                <w:sz w:val="20"/>
                <w:szCs w:val="20"/>
              </w:rPr>
            </w:pPr>
            <w:r w:rsidRPr="00CD321D">
              <w:rPr>
                <w:rFonts w:ascii="Arial Narrow" w:hAnsi="Arial Narrow"/>
                <w:b/>
                <w:bCs/>
                <w:sz w:val="20"/>
                <w:szCs w:val="20"/>
              </w:rPr>
              <w:t>Category / Program:</w:t>
            </w:r>
            <w:r w:rsidRPr="00CD321D">
              <w:rPr>
                <w:rFonts w:ascii="Arial Narrow" w:hAnsi="Arial Narrow"/>
                <w:sz w:val="20"/>
                <w:szCs w:val="20"/>
              </w:rPr>
              <w:t xml:space="preserve"> Section 100 – Efficient Funding of Chemotherapy Public/Private hospitals </w:t>
            </w:r>
          </w:p>
        </w:tc>
      </w:tr>
      <w:tr w:rsidR="002332A6" w:rsidRPr="001B4BEA" w14:paraId="757D4C75"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B67BAFD" w14:textId="0D6F276F" w:rsidR="002332A6" w:rsidRPr="00CD321D" w:rsidRDefault="002332A6" w:rsidP="00AF781B">
            <w:pPr>
              <w:rPr>
                <w:rFonts w:ascii="Arial Narrow" w:hAnsi="Arial Narrow"/>
                <w:sz w:val="20"/>
                <w:szCs w:val="20"/>
              </w:rPr>
            </w:pPr>
            <w:r w:rsidRPr="00CD321D">
              <w:rPr>
                <w:rFonts w:ascii="Arial Narrow" w:hAnsi="Arial Narrow"/>
                <w:b/>
                <w:bCs/>
                <w:sz w:val="20"/>
                <w:szCs w:val="20"/>
              </w:rPr>
              <w:t>Prescriber type:</w:t>
            </w:r>
            <w:r w:rsidRPr="00CD321D">
              <w:rPr>
                <w:rFonts w:ascii="Arial Narrow" w:hAnsi="Arial Narrow"/>
                <w:sz w:val="20"/>
                <w:szCs w:val="20"/>
              </w:rPr>
              <w:t xml:space="preserve"> Medical Practitioners </w:t>
            </w:r>
          </w:p>
        </w:tc>
      </w:tr>
      <w:tr w:rsidR="002332A6" w:rsidRPr="001B4BEA" w14:paraId="6DB05654"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2EB0875" w14:textId="7C487CE6" w:rsidR="002332A6" w:rsidRPr="00CD321D" w:rsidRDefault="002332A6" w:rsidP="00AF781B">
            <w:pPr>
              <w:rPr>
                <w:rFonts w:ascii="Arial Narrow" w:eastAsia="Calibri" w:hAnsi="Arial Narrow"/>
                <w:sz w:val="20"/>
                <w:szCs w:val="20"/>
              </w:rPr>
            </w:pPr>
            <w:r w:rsidRPr="00CD321D">
              <w:rPr>
                <w:rFonts w:ascii="Arial Narrow" w:hAnsi="Arial Narrow"/>
                <w:b/>
                <w:bCs/>
                <w:sz w:val="20"/>
                <w:szCs w:val="20"/>
              </w:rPr>
              <w:t>Restriction type:</w:t>
            </w:r>
            <w:r w:rsidRPr="00CD321D">
              <w:rPr>
                <w:rFonts w:ascii="Arial Narrow" w:hAnsi="Arial Narrow"/>
                <w:sz w:val="20"/>
                <w:szCs w:val="20"/>
              </w:rPr>
              <w:t xml:space="preserve"> </w:t>
            </w:r>
            <w:r w:rsidRPr="00CD321D">
              <w:rPr>
                <w:rFonts w:ascii="Arial Narrow" w:eastAsia="Calibri" w:hAnsi="Arial Narrow"/>
                <w:sz w:val="20"/>
                <w:szCs w:val="20"/>
              </w:rPr>
              <w:t xml:space="preserve">Authority Required (STREAMLINED) </w:t>
            </w:r>
          </w:p>
        </w:tc>
      </w:tr>
      <w:tr w:rsidR="002332A6" w:rsidRPr="001B4BEA" w14:paraId="2AF34F81" w14:textId="77777777" w:rsidTr="00CD321D">
        <w:trPr>
          <w:trHeight w:val="454"/>
        </w:trPr>
        <w:tc>
          <w:tcPr>
            <w:tcW w:w="318" w:type="pct"/>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vAlign w:val="center"/>
            <w:hideMark/>
          </w:tcPr>
          <w:p w14:paraId="20ECCEF3" w14:textId="77777777" w:rsidR="002332A6" w:rsidRPr="00CD321D" w:rsidRDefault="002332A6" w:rsidP="00AF781B">
            <w:pPr>
              <w:ind w:right="113"/>
              <w:jc w:val="center"/>
              <w:rPr>
                <w:rFonts w:ascii="Arial Narrow" w:hAnsi="Arial Narrow"/>
                <w:sz w:val="20"/>
                <w:szCs w:val="20"/>
              </w:rPr>
            </w:pPr>
            <w:r w:rsidRPr="00CD321D">
              <w:rPr>
                <w:rFonts w:ascii="Arial Narrow" w:hAnsi="Arial Narrow"/>
                <w:sz w:val="20"/>
                <w:szCs w:val="20"/>
              </w:rPr>
              <w:t>Prescribing rule level</w:t>
            </w:r>
          </w:p>
        </w:tc>
        <w:tc>
          <w:tcPr>
            <w:tcW w:w="4682" w:type="pct"/>
            <w:gridSpan w:val="4"/>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CC12A0" w14:textId="77777777" w:rsidR="002332A6" w:rsidRPr="00CD321D" w:rsidRDefault="002332A6" w:rsidP="00AF781B">
            <w:pPr>
              <w:rPr>
                <w:rFonts w:ascii="Arial Narrow" w:hAnsi="Arial Narrow"/>
                <w:sz w:val="20"/>
                <w:szCs w:val="20"/>
              </w:rPr>
            </w:pPr>
            <w:r w:rsidRPr="00CD321D">
              <w:rPr>
                <w:rFonts w:ascii="Arial Narrow" w:hAnsi="Arial Narrow"/>
                <w:b/>
                <w:bCs/>
                <w:sz w:val="20"/>
                <w:szCs w:val="20"/>
              </w:rPr>
              <w:t>Administrative Advice:</w:t>
            </w:r>
            <w:r w:rsidRPr="00CD321D">
              <w:rPr>
                <w:rFonts w:ascii="Arial Narrow" w:hAnsi="Arial Narrow"/>
                <w:sz w:val="20"/>
                <w:szCs w:val="20"/>
              </w:rPr>
              <w:t xml:space="preserve"> Special Pricing Arrangements apply.</w:t>
            </w:r>
          </w:p>
        </w:tc>
      </w:tr>
      <w:tr w:rsidR="002332A6" w:rsidRPr="001B4BEA" w14:paraId="5863924A" w14:textId="77777777" w:rsidTr="00CD321D">
        <w:trPr>
          <w:trHeight w:val="472"/>
        </w:trPr>
        <w:tc>
          <w:tcPr>
            <w:tcW w:w="318" w:type="pct"/>
            <w:vMerge/>
            <w:vAlign w:val="center"/>
            <w:hideMark/>
          </w:tcPr>
          <w:p w14:paraId="533DD75D" w14:textId="77777777" w:rsidR="002332A6" w:rsidRPr="00CD321D" w:rsidRDefault="002332A6" w:rsidP="00AF781B">
            <w:pPr>
              <w:rPr>
                <w:rFonts w:ascii="Arial Narrow" w:hAnsi="Arial Narrow"/>
                <w:sz w:val="20"/>
                <w:szCs w:val="20"/>
              </w:rPr>
            </w:pPr>
          </w:p>
        </w:tc>
        <w:tc>
          <w:tcPr>
            <w:tcW w:w="4682" w:type="pct"/>
            <w:gridSpan w:val="4"/>
            <w:tcBorders>
              <w:top w:val="single" w:sz="4" w:space="0" w:color="auto"/>
              <w:left w:val="single" w:sz="4" w:space="0" w:color="auto"/>
              <w:right w:val="single" w:sz="4" w:space="0" w:color="auto"/>
            </w:tcBorders>
            <w:tcMar>
              <w:top w:w="15" w:type="dxa"/>
              <w:left w:w="108" w:type="dxa"/>
              <w:bottom w:w="15" w:type="dxa"/>
              <w:right w:w="108" w:type="dxa"/>
            </w:tcMar>
            <w:vAlign w:val="center"/>
            <w:hideMark/>
          </w:tcPr>
          <w:p w14:paraId="067BD9EA" w14:textId="77777777" w:rsidR="002332A6" w:rsidRPr="00CD321D" w:rsidRDefault="002332A6" w:rsidP="00AF781B">
            <w:pPr>
              <w:rPr>
                <w:rFonts w:ascii="Arial Narrow" w:hAnsi="Arial Narrow"/>
                <w:strike/>
                <w:sz w:val="20"/>
                <w:szCs w:val="20"/>
              </w:rPr>
            </w:pPr>
            <w:r w:rsidRPr="00CD321D">
              <w:rPr>
                <w:rFonts w:ascii="Arial Narrow" w:hAnsi="Arial Narrow"/>
                <w:b/>
                <w:bCs/>
                <w:sz w:val="20"/>
                <w:szCs w:val="20"/>
              </w:rPr>
              <w:t>Administrative Advice</w:t>
            </w:r>
            <w:r w:rsidRPr="00CD321D">
              <w:rPr>
                <w:rFonts w:ascii="Arial Narrow" w:eastAsiaTheme="majorEastAsia" w:hAnsi="Arial Narrow" w:cstheme="majorBidi"/>
                <w:b/>
                <w:bCs/>
                <w:sz w:val="20"/>
                <w:szCs w:val="20"/>
              </w:rPr>
              <w:t>:</w:t>
            </w:r>
            <w:r w:rsidRPr="00CD321D">
              <w:rPr>
                <w:rFonts w:ascii="Arial Narrow" w:eastAsiaTheme="majorEastAsia" w:hAnsi="Arial Narrow" w:cstheme="majorBidi"/>
                <w:sz w:val="20"/>
                <w:szCs w:val="20"/>
              </w:rPr>
              <w:t xml:space="preserve"> No increase in the maximum number of repeats may be authorised.</w:t>
            </w:r>
          </w:p>
        </w:tc>
      </w:tr>
      <w:tr w:rsidR="002332A6" w:rsidRPr="001B4BEA" w14:paraId="5974E5BA" w14:textId="77777777" w:rsidTr="00AF781B">
        <w:tblPrEx>
          <w:tblLook w:val="04A0" w:firstRow="1" w:lastRow="0" w:firstColumn="1" w:lastColumn="0" w:noHBand="0" w:noVBand="1"/>
        </w:tblPrEx>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EF00821" w14:textId="77777777" w:rsidR="002332A6" w:rsidRPr="00CD321D" w:rsidRDefault="002332A6" w:rsidP="00AF781B">
            <w:pPr>
              <w:rPr>
                <w:rFonts w:ascii="Arial Narrow" w:hAnsi="Arial Narrow"/>
                <w:sz w:val="20"/>
                <w:szCs w:val="20"/>
              </w:rPr>
            </w:pPr>
            <w:r w:rsidRPr="00CD321D">
              <w:rPr>
                <w:rFonts w:ascii="Arial Narrow" w:eastAsiaTheme="majorEastAsia" w:hAnsi="Arial Narrow" w:cstheme="majorBidi"/>
                <w:b/>
                <w:bCs/>
                <w:sz w:val="20"/>
                <w:szCs w:val="20"/>
              </w:rPr>
              <w:t>Caution:</w:t>
            </w:r>
            <w:r w:rsidRPr="00CD321D">
              <w:rPr>
                <w:rFonts w:ascii="Arial Narrow" w:eastAsiaTheme="majorEastAsia" w:hAnsi="Arial Narrow" w:cstheme="majorBidi"/>
                <w:sz w:val="20"/>
                <w:szCs w:val="20"/>
              </w:rPr>
              <w:t xml:space="preserve"> This medicine contains a cytotoxic component and causes chemotherapy-like toxicity, in particular, it can cause severe or life-threatening neutropenia and severe diarrhoea. For further information, refer to the Product Information.</w:t>
            </w:r>
          </w:p>
        </w:tc>
      </w:tr>
      <w:tr w:rsidR="002332A6" w:rsidRPr="001B4BEA" w14:paraId="6D979D60"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9E07A1" w14:textId="77777777" w:rsidR="002332A6" w:rsidRPr="00CD321D" w:rsidRDefault="002332A6" w:rsidP="00AF781B">
            <w:pPr>
              <w:rPr>
                <w:rFonts w:ascii="Arial Narrow" w:hAnsi="Arial Narrow"/>
                <w:sz w:val="20"/>
                <w:szCs w:val="20"/>
              </w:rPr>
            </w:pPr>
            <w:r w:rsidRPr="00CD321D">
              <w:rPr>
                <w:rFonts w:ascii="Arial Narrow" w:hAnsi="Arial Narrow"/>
                <w:b/>
                <w:bCs/>
                <w:sz w:val="20"/>
                <w:szCs w:val="20"/>
              </w:rPr>
              <w:t>Severity:</w:t>
            </w:r>
            <w:r w:rsidRPr="00CD321D">
              <w:rPr>
                <w:rFonts w:ascii="Arial Narrow" w:hAnsi="Arial Narrow"/>
                <w:sz w:val="20"/>
                <w:szCs w:val="20"/>
              </w:rPr>
              <w:t xml:space="preserve"> </w:t>
            </w:r>
            <w:r w:rsidRPr="00CD321D">
              <w:rPr>
                <w:rFonts w:ascii="Arial Narrow" w:eastAsiaTheme="majorEastAsia" w:hAnsi="Arial Narrow" w:cstheme="majorBidi"/>
                <w:sz w:val="20"/>
                <w:szCs w:val="20"/>
              </w:rPr>
              <w:t>Unresectable locally advanced or metastatic</w:t>
            </w:r>
          </w:p>
        </w:tc>
      </w:tr>
      <w:tr w:rsidR="002332A6" w:rsidRPr="001B4BEA" w14:paraId="233206CF"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7D6FAC" w14:textId="77777777" w:rsidR="002332A6" w:rsidRPr="00CD321D" w:rsidRDefault="002332A6" w:rsidP="00AF781B">
            <w:pPr>
              <w:rPr>
                <w:rFonts w:ascii="Arial Narrow" w:hAnsi="Arial Narrow"/>
                <w:sz w:val="20"/>
                <w:szCs w:val="20"/>
              </w:rPr>
            </w:pPr>
            <w:r w:rsidRPr="00CD321D">
              <w:rPr>
                <w:rFonts w:ascii="Arial Narrow" w:hAnsi="Arial Narrow"/>
                <w:b/>
                <w:bCs/>
                <w:sz w:val="20"/>
                <w:szCs w:val="20"/>
              </w:rPr>
              <w:t>Condition:</w:t>
            </w:r>
            <w:r w:rsidRPr="00CD321D">
              <w:rPr>
                <w:rFonts w:ascii="Arial Narrow" w:hAnsi="Arial Narrow"/>
                <w:sz w:val="20"/>
                <w:szCs w:val="20"/>
              </w:rPr>
              <w:t xml:space="preserve"> </w:t>
            </w:r>
            <w:r w:rsidRPr="00CD321D">
              <w:rPr>
                <w:rFonts w:ascii="Arial Narrow" w:eastAsiaTheme="majorEastAsia" w:hAnsi="Arial Narrow" w:cstheme="majorBidi"/>
                <w:sz w:val="20"/>
                <w:szCs w:val="20"/>
              </w:rPr>
              <w:t>Breast cancer</w:t>
            </w:r>
          </w:p>
        </w:tc>
      </w:tr>
      <w:tr w:rsidR="002332A6" w:rsidRPr="001B4BEA" w14:paraId="02244B7D"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3BE746" w14:textId="77777777" w:rsidR="002332A6" w:rsidRPr="00CD321D" w:rsidRDefault="002332A6" w:rsidP="00AF781B">
            <w:pPr>
              <w:rPr>
                <w:rFonts w:ascii="Arial Narrow" w:hAnsi="Arial Narrow"/>
                <w:sz w:val="20"/>
                <w:szCs w:val="20"/>
              </w:rPr>
            </w:pPr>
            <w:r w:rsidRPr="00CD321D">
              <w:rPr>
                <w:rFonts w:ascii="Arial Narrow" w:hAnsi="Arial Narrow"/>
                <w:b/>
                <w:bCs/>
                <w:sz w:val="20"/>
                <w:szCs w:val="20"/>
              </w:rPr>
              <w:t>Indication:</w:t>
            </w:r>
            <w:r w:rsidRPr="00CD321D">
              <w:rPr>
                <w:rFonts w:ascii="Arial Narrow" w:hAnsi="Arial Narrow"/>
                <w:sz w:val="20"/>
                <w:szCs w:val="20"/>
              </w:rPr>
              <w:t xml:space="preserve"> </w:t>
            </w:r>
            <w:r w:rsidRPr="00CD321D">
              <w:rPr>
                <w:rFonts w:ascii="Arial Narrow" w:eastAsiaTheme="majorEastAsia" w:hAnsi="Arial Narrow" w:cstheme="majorBidi"/>
                <w:sz w:val="20"/>
                <w:szCs w:val="20"/>
              </w:rPr>
              <w:t>Unresectable locally advanced or metastatic breast cancer</w:t>
            </w:r>
          </w:p>
        </w:tc>
      </w:tr>
      <w:tr w:rsidR="002332A6" w:rsidRPr="001B4BEA" w14:paraId="0F89669B"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70B2D5" w14:textId="77777777" w:rsidR="002332A6" w:rsidRPr="00CD321D" w:rsidRDefault="002332A6" w:rsidP="00AF781B">
            <w:pPr>
              <w:rPr>
                <w:rFonts w:ascii="Arial Narrow" w:hAnsi="Arial Narrow"/>
                <w:sz w:val="20"/>
                <w:szCs w:val="20"/>
              </w:rPr>
            </w:pPr>
          </w:p>
        </w:tc>
      </w:tr>
      <w:tr w:rsidR="002332A6" w:rsidRPr="001B4BEA" w14:paraId="0C721EB7" w14:textId="77777777" w:rsidTr="00AF781B">
        <w:tblPrEx>
          <w:tblLook w:val="04A0" w:firstRow="1" w:lastRow="0" w:firstColumn="1" w:lastColumn="0" w:noHBand="0" w:noVBand="1"/>
        </w:tblPrEx>
        <w:trPr>
          <w:cantSplit/>
          <w:trHeight w:val="180"/>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320EE5" w14:textId="77777777" w:rsidR="002332A6" w:rsidRPr="00CD321D" w:rsidRDefault="002332A6" w:rsidP="001F3B65">
            <w:pPr>
              <w:pStyle w:val="TableText"/>
              <w:keepNext w:val="0"/>
              <w:rPr>
                <w:b/>
                <w:bCs w:val="0"/>
                <w:szCs w:val="20"/>
              </w:rPr>
            </w:pPr>
            <w:r w:rsidRPr="00CD321D">
              <w:rPr>
                <w:b/>
                <w:szCs w:val="20"/>
              </w:rPr>
              <w:lastRenderedPageBreak/>
              <w:t>Treatment phase: Initial treatment</w:t>
            </w:r>
          </w:p>
        </w:tc>
      </w:tr>
      <w:tr w:rsidR="002332A6" w:rsidRPr="001B4BEA" w14:paraId="588B123B"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111CD0" w14:textId="77777777" w:rsidR="002332A6" w:rsidRPr="00CD321D" w:rsidRDefault="002332A6" w:rsidP="001F3B65">
            <w:pPr>
              <w:pStyle w:val="TableText"/>
              <w:keepNext w:val="0"/>
              <w:rPr>
                <w:b/>
                <w:bCs w:val="0"/>
                <w:szCs w:val="20"/>
              </w:rPr>
            </w:pPr>
            <w:r w:rsidRPr="00CD321D">
              <w:rPr>
                <w:b/>
                <w:szCs w:val="20"/>
              </w:rPr>
              <w:t>Clinical criteria:</w:t>
            </w:r>
          </w:p>
        </w:tc>
      </w:tr>
      <w:tr w:rsidR="002332A6" w:rsidRPr="001B4BEA" w14:paraId="4B044F3B"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4743E3" w14:textId="3FB15791" w:rsidR="002332A6" w:rsidRPr="00CD321D" w:rsidRDefault="002332A6" w:rsidP="001F3B65">
            <w:pPr>
              <w:pStyle w:val="TableText"/>
              <w:keepNext w:val="0"/>
              <w:rPr>
                <w:szCs w:val="20"/>
              </w:rPr>
            </w:pPr>
            <w:r w:rsidRPr="00CD321D">
              <w:rPr>
                <w:szCs w:val="20"/>
              </w:rPr>
              <w:t xml:space="preserve">Patient must have developed progressive disease after receiving treatment with at least two prior chemotherapeutic regimens in </w:t>
            </w:r>
            <w:r w:rsidR="008D6C6F">
              <w:rPr>
                <w:i/>
                <w:iCs/>
                <w:szCs w:val="20"/>
              </w:rPr>
              <w:t xml:space="preserve">either of the following settings: </w:t>
            </w:r>
            <w:r w:rsidRPr="008D6C6F">
              <w:rPr>
                <w:strike/>
                <w:szCs w:val="20"/>
              </w:rPr>
              <w:t>the</w:t>
            </w:r>
            <w:r w:rsidRPr="00CD321D">
              <w:rPr>
                <w:szCs w:val="20"/>
              </w:rPr>
              <w:t xml:space="preserve"> </w:t>
            </w:r>
            <w:r w:rsidR="008D6C6F" w:rsidRPr="008D6C6F">
              <w:rPr>
                <w:i/>
                <w:iCs/>
                <w:szCs w:val="20"/>
              </w:rPr>
              <w:t xml:space="preserve">(i) </w:t>
            </w:r>
            <w:r w:rsidRPr="00CD321D">
              <w:rPr>
                <w:szCs w:val="20"/>
              </w:rPr>
              <w:t>unresectable</w:t>
            </w:r>
            <w:r w:rsidR="00321C2B">
              <w:rPr>
                <w:szCs w:val="20"/>
              </w:rPr>
              <w:t xml:space="preserve"> </w:t>
            </w:r>
            <w:r w:rsidRPr="00CD321D">
              <w:rPr>
                <w:szCs w:val="20"/>
              </w:rPr>
              <w:t xml:space="preserve">locally advanced, </w:t>
            </w:r>
            <w:r w:rsidRPr="008D6C6F">
              <w:rPr>
                <w:strike/>
                <w:szCs w:val="20"/>
              </w:rPr>
              <w:t>or</w:t>
            </w:r>
            <w:r w:rsidRPr="00CD321D">
              <w:rPr>
                <w:szCs w:val="20"/>
              </w:rPr>
              <w:t xml:space="preserve"> </w:t>
            </w:r>
            <w:r w:rsidR="008D6C6F">
              <w:rPr>
                <w:i/>
                <w:iCs/>
                <w:szCs w:val="20"/>
              </w:rPr>
              <w:t xml:space="preserve">(ii) </w:t>
            </w:r>
            <w:r w:rsidRPr="00CD321D">
              <w:rPr>
                <w:szCs w:val="20"/>
              </w:rPr>
              <w:t>metastatic setting</w:t>
            </w:r>
          </w:p>
        </w:tc>
      </w:tr>
      <w:tr w:rsidR="002332A6" w:rsidRPr="001B4BEA" w14:paraId="2DDA1B49"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605642" w14:textId="77777777" w:rsidR="002332A6" w:rsidRPr="00CD321D" w:rsidRDefault="002332A6" w:rsidP="001F3B65">
            <w:pPr>
              <w:pStyle w:val="TableText"/>
              <w:keepNext w:val="0"/>
              <w:rPr>
                <w:b/>
                <w:bCs w:val="0"/>
                <w:szCs w:val="20"/>
              </w:rPr>
            </w:pPr>
            <w:r w:rsidRPr="00CD321D">
              <w:rPr>
                <w:b/>
                <w:bCs w:val="0"/>
                <w:szCs w:val="20"/>
              </w:rPr>
              <w:t>AND</w:t>
            </w:r>
          </w:p>
        </w:tc>
      </w:tr>
      <w:tr w:rsidR="002332A6" w:rsidRPr="001B4BEA" w14:paraId="265C2AEC"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559C5C" w14:textId="77777777" w:rsidR="002332A6" w:rsidRPr="00CD321D" w:rsidRDefault="002332A6" w:rsidP="001F3B65">
            <w:pPr>
              <w:pStyle w:val="TableText"/>
              <w:keepNext w:val="0"/>
              <w:rPr>
                <w:b/>
                <w:bCs w:val="0"/>
                <w:szCs w:val="20"/>
              </w:rPr>
            </w:pPr>
            <w:r w:rsidRPr="00CD321D">
              <w:rPr>
                <w:b/>
                <w:szCs w:val="20"/>
              </w:rPr>
              <w:t>Clinical criteria:</w:t>
            </w:r>
          </w:p>
        </w:tc>
      </w:tr>
      <w:tr w:rsidR="002332A6" w:rsidRPr="001B4BEA" w14:paraId="2169A283"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E76DBC" w14:textId="77777777" w:rsidR="002332A6" w:rsidRPr="00CD321D" w:rsidRDefault="002332A6" w:rsidP="001F3B65">
            <w:pPr>
              <w:pStyle w:val="TableText"/>
              <w:keepNext w:val="0"/>
              <w:rPr>
                <w:szCs w:val="20"/>
              </w:rPr>
            </w:pPr>
            <w:r w:rsidRPr="00CD321D">
              <w:rPr>
                <w:szCs w:val="20"/>
              </w:rPr>
              <w:t>The condition must be hormone receptor positive</w:t>
            </w:r>
          </w:p>
        </w:tc>
      </w:tr>
      <w:tr w:rsidR="002332A6" w:rsidRPr="001B4BEA" w14:paraId="58BCF36F"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8C2D91" w14:textId="77777777" w:rsidR="002332A6" w:rsidRPr="00CD321D" w:rsidRDefault="002332A6" w:rsidP="001F3B65">
            <w:pPr>
              <w:pStyle w:val="TableText"/>
              <w:keepNext w:val="0"/>
              <w:rPr>
                <w:b/>
                <w:bCs w:val="0"/>
                <w:szCs w:val="20"/>
              </w:rPr>
            </w:pPr>
            <w:r w:rsidRPr="00CD321D">
              <w:rPr>
                <w:b/>
                <w:bCs w:val="0"/>
                <w:szCs w:val="20"/>
              </w:rPr>
              <w:t>AND</w:t>
            </w:r>
          </w:p>
        </w:tc>
      </w:tr>
      <w:tr w:rsidR="002332A6" w:rsidRPr="001B4BEA" w14:paraId="4EC1EA9E"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D3C88E" w14:textId="77777777" w:rsidR="002332A6" w:rsidRPr="00CD321D" w:rsidRDefault="002332A6" w:rsidP="001F3B65">
            <w:pPr>
              <w:pStyle w:val="TableText"/>
              <w:keepNext w:val="0"/>
              <w:rPr>
                <w:b/>
                <w:bCs w:val="0"/>
                <w:szCs w:val="20"/>
              </w:rPr>
            </w:pPr>
            <w:r w:rsidRPr="00CD321D">
              <w:rPr>
                <w:b/>
                <w:szCs w:val="20"/>
              </w:rPr>
              <w:t>Clinical criteria:</w:t>
            </w:r>
          </w:p>
        </w:tc>
      </w:tr>
      <w:tr w:rsidR="002332A6" w:rsidRPr="001B4BEA" w14:paraId="7ADD6A04"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5292FB" w14:textId="77777777" w:rsidR="002332A6" w:rsidRPr="00CD321D" w:rsidRDefault="002332A6" w:rsidP="001F3B65">
            <w:pPr>
              <w:pStyle w:val="TableText"/>
              <w:keepNext w:val="0"/>
              <w:rPr>
                <w:szCs w:val="20"/>
              </w:rPr>
            </w:pPr>
            <w:r w:rsidRPr="00CD321D">
              <w:rPr>
                <w:szCs w:val="20"/>
              </w:rPr>
              <w:t>The condition must be human epidermal growth factor receptor 2 (HER2) negative</w:t>
            </w:r>
            <w:r w:rsidRPr="00CD321D">
              <w:rPr>
                <w:i/>
                <w:iCs/>
                <w:szCs w:val="20"/>
              </w:rPr>
              <w:t xml:space="preserve"> </w:t>
            </w:r>
            <w:r w:rsidRPr="00CD321D">
              <w:rPr>
                <w:szCs w:val="20"/>
              </w:rPr>
              <w:t>(defined as immunohistochemical (IHC) test score of 0, 1+, or 2+ and negative on in situ hybridization (ISH) test)</w:t>
            </w:r>
          </w:p>
        </w:tc>
      </w:tr>
      <w:tr w:rsidR="002332A6" w:rsidRPr="001B4BEA" w14:paraId="79095A9C"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B391C8F" w14:textId="77777777" w:rsidR="002332A6" w:rsidRPr="00CD321D" w:rsidRDefault="002332A6" w:rsidP="001F3B65">
            <w:pPr>
              <w:pStyle w:val="TableText"/>
              <w:keepNext w:val="0"/>
              <w:rPr>
                <w:b/>
                <w:bCs w:val="0"/>
                <w:szCs w:val="20"/>
              </w:rPr>
            </w:pPr>
            <w:r w:rsidRPr="00CD321D">
              <w:rPr>
                <w:b/>
                <w:bCs w:val="0"/>
                <w:szCs w:val="20"/>
              </w:rPr>
              <w:t>AND</w:t>
            </w:r>
          </w:p>
        </w:tc>
      </w:tr>
      <w:tr w:rsidR="002332A6" w:rsidRPr="001B4BEA" w14:paraId="72079D5C"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E60981" w14:textId="77777777" w:rsidR="002332A6" w:rsidRPr="00CD321D" w:rsidRDefault="002332A6" w:rsidP="001F3B65">
            <w:pPr>
              <w:pStyle w:val="TableText"/>
              <w:keepNext w:val="0"/>
              <w:rPr>
                <w:b/>
                <w:bCs w:val="0"/>
                <w:szCs w:val="20"/>
              </w:rPr>
            </w:pPr>
            <w:r w:rsidRPr="00CD321D">
              <w:rPr>
                <w:b/>
                <w:szCs w:val="20"/>
              </w:rPr>
              <w:t>Clinical criteria:</w:t>
            </w:r>
          </w:p>
        </w:tc>
      </w:tr>
      <w:tr w:rsidR="002332A6" w:rsidRPr="001B4BEA" w14:paraId="3657245B"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2CCA3C" w14:textId="77777777" w:rsidR="002332A6" w:rsidRPr="00CD321D" w:rsidRDefault="002332A6" w:rsidP="001F3B65">
            <w:pPr>
              <w:pStyle w:val="TableText"/>
              <w:keepNext w:val="0"/>
              <w:rPr>
                <w:szCs w:val="20"/>
              </w:rPr>
            </w:pPr>
            <w:r w:rsidRPr="00CD321D">
              <w:rPr>
                <w:szCs w:val="20"/>
              </w:rPr>
              <w:t>The condition must be inoperable</w:t>
            </w:r>
          </w:p>
        </w:tc>
      </w:tr>
      <w:tr w:rsidR="002332A6" w:rsidRPr="001B4BEA" w14:paraId="3F5DABE8"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1A989D" w14:textId="77777777" w:rsidR="002332A6" w:rsidRPr="00CD321D" w:rsidRDefault="002332A6" w:rsidP="001F3B65">
            <w:pPr>
              <w:pStyle w:val="TableText"/>
              <w:keepNext w:val="0"/>
              <w:rPr>
                <w:b/>
                <w:bCs w:val="0"/>
                <w:szCs w:val="20"/>
              </w:rPr>
            </w:pPr>
            <w:r w:rsidRPr="00CD321D">
              <w:rPr>
                <w:b/>
                <w:bCs w:val="0"/>
                <w:szCs w:val="20"/>
              </w:rPr>
              <w:t>AND</w:t>
            </w:r>
          </w:p>
        </w:tc>
      </w:tr>
      <w:tr w:rsidR="002332A6" w:rsidRPr="001B4BEA" w14:paraId="092C04FB" w14:textId="77777777" w:rsidTr="00AF781B">
        <w:tblPrEx>
          <w:tblLook w:val="04A0" w:firstRow="1" w:lastRow="0" w:firstColumn="1" w:lastColumn="0" w:noHBand="0" w:noVBand="1"/>
        </w:tblPrEx>
        <w:trPr>
          <w:cantSplit/>
          <w:trHeight w:val="45"/>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98BA34" w14:textId="77777777" w:rsidR="002332A6" w:rsidRPr="00CD321D" w:rsidRDefault="002332A6" w:rsidP="001F3B65">
            <w:pPr>
              <w:pStyle w:val="TableText"/>
              <w:keepNext w:val="0"/>
              <w:rPr>
                <w:b/>
                <w:bCs w:val="0"/>
                <w:szCs w:val="20"/>
              </w:rPr>
            </w:pPr>
            <w:r w:rsidRPr="00CD321D">
              <w:rPr>
                <w:b/>
                <w:szCs w:val="20"/>
              </w:rPr>
              <w:t>Clinical criteria:</w:t>
            </w:r>
          </w:p>
        </w:tc>
      </w:tr>
      <w:tr w:rsidR="002332A6" w:rsidRPr="001B4BEA" w14:paraId="23D5ED4D"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C7CB7A" w14:textId="77777777" w:rsidR="002332A6" w:rsidRPr="00CD321D" w:rsidRDefault="002332A6" w:rsidP="001F3B65">
            <w:pPr>
              <w:pStyle w:val="TableText"/>
              <w:keepNext w:val="0"/>
              <w:rPr>
                <w:szCs w:val="20"/>
              </w:rPr>
            </w:pPr>
            <w:r w:rsidRPr="00CD321D">
              <w:rPr>
                <w:szCs w:val="20"/>
              </w:rPr>
              <w:t>The treatment must be the sole PBS-subsidised therapy for this PBS indication</w:t>
            </w:r>
          </w:p>
        </w:tc>
      </w:tr>
      <w:tr w:rsidR="002332A6" w:rsidRPr="001B4BEA" w14:paraId="73267D38"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FD5EB0" w14:textId="77777777" w:rsidR="002332A6" w:rsidRPr="00CD321D" w:rsidRDefault="002332A6" w:rsidP="001F3B65">
            <w:pPr>
              <w:pStyle w:val="TableText"/>
              <w:keepNext w:val="0"/>
              <w:rPr>
                <w:b/>
                <w:bCs w:val="0"/>
                <w:szCs w:val="20"/>
              </w:rPr>
            </w:pPr>
            <w:r w:rsidRPr="00CD321D">
              <w:rPr>
                <w:b/>
                <w:bCs w:val="0"/>
                <w:szCs w:val="20"/>
              </w:rPr>
              <w:t>AND</w:t>
            </w:r>
          </w:p>
        </w:tc>
      </w:tr>
      <w:tr w:rsidR="002332A6" w:rsidRPr="001B4BEA" w14:paraId="363D3A3A"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9ED424" w14:textId="77777777" w:rsidR="002332A6" w:rsidRPr="00CD321D" w:rsidRDefault="002332A6" w:rsidP="001F3B65">
            <w:pPr>
              <w:pStyle w:val="TableText"/>
              <w:keepNext w:val="0"/>
              <w:rPr>
                <w:b/>
                <w:bCs w:val="0"/>
                <w:szCs w:val="20"/>
              </w:rPr>
            </w:pPr>
            <w:r w:rsidRPr="00CD321D">
              <w:rPr>
                <w:b/>
                <w:szCs w:val="20"/>
              </w:rPr>
              <w:t>Clinical criteria:</w:t>
            </w:r>
          </w:p>
        </w:tc>
      </w:tr>
      <w:tr w:rsidR="002332A6" w:rsidRPr="001B4BEA" w14:paraId="32C29B12" w14:textId="77777777" w:rsidTr="00AF781B">
        <w:tblPrEx>
          <w:tblLook w:val="04A0" w:firstRow="1" w:lastRow="0" w:firstColumn="1" w:lastColumn="0" w:noHBand="0" w:noVBand="1"/>
        </w:tblPrEx>
        <w:trPr>
          <w:cantSplit/>
          <w:trHeight w:val="166"/>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EF920B" w14:textId="77777777" w:rsidR="002332A6" w:rsidRPr="00CD321D" w:rsidRDefault="002332A6" w:rsidP="001F3B65">
            <w:pPr>
              <w:pStyle w:val="TableText"/>
              <w:keepNext w:val="0"/>
              <w:rPr>
                <w:szCs w:val="20"/>
              </w:rPr>
            </w:pPr>
            <w:r w:rsidRPr="00CD321D">
              <w:rPr>
                <w:szCs w:val="20"/>
              </w:rPr>
              <w:t>Patient must have a World Health Organisation (WHO) Eastern Cooperative Oncology Group (ECOG) performance status score of no higher than 1 prior to treatment initiation</w:t>
            </w:r>
          </w:p>
        </w:tc>
      </w:tr>
      <w:tr w:rsidR="002332A6" w:rsidRPr="001B4BEA" w14:paraId="6842E6BF" w14:textId="77777777" w:rsidTr="00AF781B">
        <w:tblPrEx>
          <w:tblLook w:val="04A0" w:firstRow="1" w:lastRow="0" w:firstColumn="1" w:lastColumn="0" w:noHBand="0" w:noVBand="1"/>
        </w:tblPrEx>
        <w:trPr>
          <w:cantSplit/>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C3CAAB" w14:textId="77777777" w:rsidR="002332A6" w:rsidRPr="00CD321D" w:rsidRDefault="002332A6" w:rsidP="001F3B65">
            <w:pPr>
              <w:rPr>
                <w:rFonts w:ascii="Arial Narrow" w:hAnsi="Arial Narrow"/>
                <w:color w:val="FF0000"/>
                <w:sz w:val="20"/>
                <w:szCs w:val="20"/>
              </w:rPr>
            </w:pPr>
          </w:p>
        </w:tc>
      </w:tr>
      <w:tr w:rsidR="002332A6" w:rsidRPr="001B4BEA" w14:paraId="00E04F27" w14:textId="77777777" w:rsidTr="00AF781B">
        <w:tblPrEx>
          <w:tblLook w:val="04A0" w:firstRow="1" w:lastRow="0" w:firstColumn="1" w:lastColumn="0" w:noHBand="0" w:noVBand="1"/>
        </w:tblPrEx>
        <w:trPr>
          <w:cantSplit/>
          <w:trHeight w:val="208"/>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9B2B7D" w14:textId="77777777" w:rsidR="002332A6" w:rsidRPr="00CD321D" w:rsidRDefault="002332A6" w:rsidP="001F3B65">
            <w:pPr>
              <w:pStyle w:val="TableText"/>
              <w:keepNext w:val="0"/>
              <w:rPr>
                <w:b/>
                <w:bCs w:val="0"/>
                <w:szCs w:val="20"/>
              </w:rPr>
            </w:pPr>
            <w:r w:rsidRPr="00CD321D">
              <w:rPr>
                <w:b/>
                <w:szCs w:val="20"/>
              </w:rPr>
              <w:t>Treatment Phase: Continuing treatment</w:t>
            </w:r>
          </w:p>
        </w:tc>
      </w:tr>
      <w:tr w:rsidR="002332A6" w:rsidRPr="001B4BEA" w14:paraId="6CEF51DF" w14:textId="77777777" w:rsidTr="00AF781B">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8493E7F" w14:textId="77777777" w:rsidR="002332A6" w:rsidRPr="00CD321D" w:rsidRDefault="002332A6" w:rsidP="001F3B65">
            <w:pPr>
              <w:pStyle w:val="TableText"/>
              <w:keepNext w:val="0"/>
              <w:rPr>
                <w:b/>
                <w:bCs w:val="0"/>
                <w:szCs w:val="20"/>
              </w:rPr>
            </w:pPr>
            <w:r w:rsidRPr="00CD321D">
              <w:rPr>
                <w:b/>
                <w:szCs w:val="20"/>
              </w:rPr>
              <w:t>Clinical criteria:</w:t>
            </w:r>
          </w:p>
        </w:tc>
      </w:tr>
      <w:tr w:rsidR="002332A6" w:rsidRPr="001B4BEA" w14:paraId="01AA88A2" w14:textId="77777777" w:rsidTr="00AF781B">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24C51C" w14:textId="77777777" w:rsidR="002332A6" w:rsidRPr="00CD321D" w:rsidRDefault="002332A6" w:rsidP="001F3B65">
            <w:pPr>
              <w:pStyle w:val="TableText"/>
              <w:keepNext w:val="0"/>
              <w:rPr>
                <w:szCs w:val="20"/>
              </w:rPr>
            </w:pPr>
            <w:r w:rsidRPr="00CD321D">
              <w:rPr>
                <w:szCs w:val="20"/>
              </w:rPr>
              <w:t>Patient must have previously received PBS-subsidised treatment with this drug for this condition,</w:t>
            </w:r>
          </w:p>
        </w:tc>
      </w:tr>
      <w:tr w:rsidR="002332A6" w:rsidRPr="001B4BEA" w14:paraId="242188F9" w14:textId="77777777" w:rsidTr="00AF781B">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64870F1" w14:textId="77777777" w:rsidR="002332A6" w:rsidRPr="00CD321D" w:rsidRDefault="002332A6" w:rsidP="001F3B65">
            <w:pPr>
              <w:pStyle w:val="TableText"/>
              <w:keepNext w:val="0"/>
              <w:rPr>
                <w:b/>
                <w:bCs w:val="0"/>
                <w:szCs w:val="20"/>
              </w:rPr>
            </w:pPr>
            <w:r w:rsidRPr="00CD321D">
              <w:rPr>
                <w:b/>
                <w:bCs w:val="0"/>
                <w:szCs w:val="20"/>
              </w:rPr>
              <w:t>AND</w:t>
            </w:r>
          </w:p>
        </w:tc>
      </w:tr>
      <w:tr w:rsidR="002332A6" w:rsidRPr="001B4BEA" w14:paraId="0437FB1B" w14:textId="77777777" w:rsidTr="00AF781B">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908480" w14:textId="77777777" w:rsidR="002332A6" w:rsidRPr="00CD321D" w:rsidRDefault="002332A6" w:rsidP="001F3B65">
            <w:pPr>
              <w:pStyle w:val="TableText"/>
              <w:keepNext w:val="0"/>
              <w:rPr>
                <w:b/>
                <w:bCs w:val="0"/>
                <w:szCs w:val="20"/>
              </w:rPr>
            </w:pPr>
            <w:r w:rsidRPr="00CD321D">
              <w:rPr>
                <w:b/>
                <w:szCs w:val="20"/>
              </w:rPr>
              <w:t>Clinical criteria:</w:t>
            </w:r>
          </w:p>
        </w:tc>
      </w:tr>
      <w:tr w:rsidR="002332A6" w:rsidRPr="001B4BEA" w14:paraId="577684EC" w14:textId="77777777" w:rsidTr="00AF781B">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A8F972" w14:textId="77777777" w:rsidR="002332A6" w:rsidRPr="00CD321D" w:rsidRDefault="002332A6" w:rsidP="001F3B65">
            <w:pPr>
              <w:pStyle w:val="TableText"/>
              <w:keepNext w:val="0"/>
              <w:rPr>
                <w:szCs w:val="20"/>
              </w:rPr>
            </w:pPr>
            <w:r w:rsidRPr="00CD321D">
              <w:rPr>
                <w:szCs w:val="20"/>
              </w:rPr>
              <w:t>Patient must not have developed disease progression while being treated with this drug for this condition</w:t>
            </w:r>
          </w:p>
        </w:tc>
      </w:tr>
      <w:tr w:rsidR="002332A6" w:rsidRPr="001B4BEA" w14:paraId="4B3B791C" w14:textId="77777777" w:rsidTr="00AF781B">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D62AF9" w14:textId="77777777" w:rsidR="002332A6" w:rsidRPr="00CD321D" w:rsidRDefault="002332A6" w:rsidP="001F3B65">
            <w:pPr>
              <w:pStyle w:val="TableText"/>
              <w:keepLines/>
              <w:rPr>
                <w:b/>
                <w:bCs w:val="0"/>
                <w:szCs w:val="20"/>
              </w:rPr>
            </w:pPr>
            <w:r w:rsidRPr="00CD321D">
              <w:rPr>
                <w:b/>
                <w:bCs w:val="0"/>
                <w:szCs w:val="20"/>
              </w:rPr>
              <w:t>AND</w:t>
            </w:r>
          </w:p>
        </w:tc>
      </w:tr>
      <w:tr w:rsidR="002332A6" w:rsidRPr="001B4BEA" w14:paraId="38332B97" w14:textId="77777777" w:rsidTr="00AF781B">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A1FB51" w14:textId="77777777" w:rsidR="002332A6" w:rsidRPr="00CD321D" w:rsidRDefault="002332A6" w:rsidP="001F3B65">
            <w:pPr>
              <w:pStyle w:val="TableText"/>
              <w:keepLines/>
              <w:rPr>
                <w:b/>
                <w:bCs w:val="0"/>
                <w:szCs w:val="20"/>
              </w:rPr>
            </w:pPr>
            <w:r w:rsidRPr="00CD321D">
              <w:rPr>
                <w:b/>
                <w:szCs w:val="20"/>
              </w:rPr>
              <w:t>Clinical criteria:</w:t>
            </w:r>
          </w:p>
        </w:tc>
      </w:tr>
      <w:tr w:rsidR="002332A6" w:rsidRPr="001B4BEA" w14:paraId="37F2C940" w14:textId="77777777" w:rsidTr="00AF781B">
        <w:tblPrEx>
          <w:tblLook w:val="04A0" w:firstRow="1" w:lastRow="0" w:firstColumn="1" w:lastColumn="0" w:noHBand="0" w:noVBand="1"/>
        </w:tblPrEx>
        <w:trPr>
          <w:cantSplit/>
          <w:trHeight w:val="203"/>
        </w:trPr>
        <w:tc>
          <w:tcPr>
            <w:tcW w:w="5000" w:type="pct"/>
            <w:gridSpan w:val="5"/>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E1C1F8B" w14:textId="77777777" w:rsidR="002332A6" w:rsidRPr="00CD321D" w:rsidRDefault="002332A6" w:rsidP="001F3B65">
            <w:pPr>
              <w:pStyle w:val="TableText"/>
              <w:keepNext w:val="0"/>
              <w:rPr>
                <w:szCs w:val="20"/>
              </w:rPr>
            </w:pPr>
            <w:r w:rsidRPr="00CD321D">
              <w:rPr>
                <w:szCs w:val="20"/>
              </w:rPr>
              <w:t>The treatment must be the sole PBS-subsidised therapy for this PBS indication</w:t>
            </w:r>
          </w:p>
        </w:tc>
      </w:tr>
    </w:tbl>
    <w:p w14:paraId="5D3AC839" w14:textId="49024A81" w:rsidR="00A36FBD" w:rsidRDefault="00A36FBD" w:rsidP="001F3B65">
      <w:pPr>
        <w:pStyle w:val="3-BodyText"/>
        <w:spacing w:before="120"/>
      </w:pPr>
      <w:r>
        <w:t>The maximum amount proposed in the resubmission has been reduced from 1,620</w:t>
      </w:r>
      <w:r w:rsidR="00CC6F1D">
        <w:t> </w:t>
      </w:r>
      <w:r>
        <w:t>mg to 1,200</w:t>
      </w:r>
      <w:r w:rsidR="00CC6F1D">
        <w:t> </w:t>
      </w:r>
      <w:r>
        <w:t xml:space="preserve">mg. </w:t>
      </w:r>
      <w:r w:rsidRPr="0070023C">
        <w:rPr>
          <w:iCs/>
        </w:rPr>
        <w:t>This is consistent with the PBS listing of SG in</w:t>
      </w:r>
      <w:r w:rsidR="00E14D25" w:rsidRPr="0070023C">
        <w:rPr>
          <w:iCs/>
        </w:rPr>
        <w:t xml:space="preserve"> the</w:t>
      </w:r>
      <w:r w:rsidRPr="0070023C">
        <w:rPr>
          <w:iCs/>
        </w:rPr>
        <w:t xml:space="preserve"> mTNBC</w:t>
      </w:r>
      <w:r w:rsidR="00E14D25" w:rsidRPr="0070023C">
        <w:rPr>
          <w:iCs/>
        </w:rPr>
        <w:t xml:space="preserve"> setting.</w:t>
      </w:r>
    </w:p>
    <w:p w14:paraId="7E401476" w14:textId="0712197A" w:rsidR="00D12EA8" w:rsidRPr="00D12EA8" w:rsidRDefault="00D12EA8" w:rsidP="00CC6F1D">
      <w:pPr>
        <w:pStyle w:val="3-BodyText"/>
      </w:pPr>
      <w:r w:rsidRPr="00D12EA8">
        <w:t>The submission requested a published ex-manufacturer price (EMP) per 180</w:t>
      </w:r>
      <w:r w:rsidR="00CC6F1D">
        <w:t> </w:t>
      </w:r>
      <w:r w:rsidRPr="00D12EA8">
        <w:t xml:space="preserve">mg vial of $1,484.59 </w:t>
      </w:r>
      <w:r w:rsidR="00E262D6">
        <w:t>and</w:t>
      </w:r>
      <w:r w:rsidRPr="00D12EA8">
        <w:t xml:space="preserve"> an effective EMP of </w:t>
      </w:r>
      <w:r w:rsidR="001F3B65">
        <w:t>$</w:t>
      </w:r>
      <w:r w:rsidR="00D52BD6" w:rsidRPr="006D1797">
        <w:rPr>
          <w:color w:val="000000"/>
          <w:w w:val="15"/>
          <w:shd w:val="solid" w:color="000000" w:fill="000000"/>
          <w:fitText w:val="-20" w:id="-1032058616"/>
          <w14:textFill>
            <w14:solidFill>
              <w14:srgbClr w14:val="000000">
                <w14:alpha w14:val="100000"/>
              </w14:srgbClr>
            </w14:solidFill>
          </w14:textFill>
        </w:rPr>
        <w:t xml:space="preserve">|  </w:t>
      </w:r>
      <w:r w:rsidR="00D52BD6" w:rsidRPr="006D1797">
        <w:rPr>
          <w:color w:val="000000"/>
          <w:spacing w:val="-69"/>
          <w:w w:val="15"/>
          <w:shd w:val="solid" w:color="000000" w:fill="000000"/>
          <w:fitText w:val="-20" w:id="-1032058616"/>
          <w14:textFill>
            <w14:solidFill>
              <w14:srgbClr w14:val="000000">
                <w14:alpha w14:val="100000"/>
              </w14:srgbClr>
            </w14:solidFill>
          </w14:textFill>
        </w:rPr>
        <w:t>|</w:t>
      </w:r>
      <w:r w:rsidR="001209A6">
        <w:t>.</w:t>
      </w:r>
      <w:r w:rsidR="001209A6" w:rsidRPr="0070023C">
        <w:rPr>
          <w:iCs/>
        </w:rPr>
        <w:t xml:space="preserve"> This is unchanged from the original submission.</w:t>
      </w:r>
      <w:r w:rsidRPr="00D12EA8">
        <w:t xml:space="preserve"> </w:t>
      </w:r>
      <w:r w:rsidR="001209A6">
        <w:t xml:space="preserve">The </w:t>
      </w:r>
      <w:r w:rsidR="00E262D6">
        <w:t>published</w:t>
      </w:r>
      <w:r w:rsidR="001209A6">
        <w:t xml:space="preserve"> and </w:t>
      </w:r>
      <w:r w:rsidR="00E262D6">
        <w:t>effective</w:t>
      </w:r>
      <w:r w:rsidR="001209A6">
        <w:t xml:space="preserve"> </w:t>
      </w:r>
      <w:r w:rsidR="00E262D6" w:rsidRPr="00E74297">
        <w:t>dispensed price</w:t>
      </w:r>
      <w:r w:rsidR="00E262D6">
        <w:t>s</w:t>
      </w:r>
      <w:r w:rsidR="00E262D6" w:rsidRPr="00E74297">
        <w:t xml:space="preserve"> for maximum amount </w:t>
      </w:r>
      <w:r w:rsidR="00E262D6">
        <w:t>(</w:t>
      </w:r>
      <w:r w:rsidR="001209A6">
        <w:t>DP</w:t>
      </w:r>
      <w:r w:rsidR="00E262D6">
        <w:t>M</w:t>
      </w:r>
      <w:r w:rsidR="001209A6">
        <w:t>A</w:t>
      </w:r>
      <w:r w:rsidR="00E262D6">
        <w:t>)</w:t>
      </w:r>
      <w:r w:rsidR="001209A6">
        <w:t xml:space="preserve"> have been </w:t>
      </w:r>
      <w:r w:rsidR="00E262D6">
        <w:t>recalculated</w:t>
      </w:r>
      <w:r w:rsidR="001209A6">
        <w:t xml:space="preserve"> to account for the change in maximum </w:t>
      </w:r>
      <w:r w:rsidR="00A36FBD">
        <w:t>amount</w:t>
      </w:r>
      <w:r w:rsidR="001209A6">
        <w:t xml:space="preserve"> (1,620</w:t>
      </w:r>
      <w:r w:rsidR="00CC6F1D">
        <w:t> </w:t>
      </w:r>
      <w:r w:rsidR="001209A6">
        <w:t>mg to 1,200 mg)</w:t>
      </w:r>
      <w:r w:rsidR="00E262D6">
        <w:t xml:space="preserve"> and </w:t>
      </w:r>
      <w:r w:rsidR="00A36FBD">
        <w:t xml:space="preserve">the </w:t>
      </w:r>
      <w:r w:rsidR="00E262D6">
        <w:t>updated</w:t>
      </w:r>
      <w:r w:rsidR="00A36FBD">
        <w:t xml:space="preserve"> PBS </w:t>
      </w:r>
      <w:r w:rsidR="00E262D6">
        <w:t>mark-ups</w:t>
      </w:r>
      <w:r w:rsidR="00A36FBD">
        <w:t xml:space="preserve"> and dispensing fees (1</w:t>
      </w:r>
      <w:r w:rsidR="00CC6F1D">
        <w:t> </w:t>
      </w:r>
      <w:r w:rsidR="00A36FBD">
        <w:t>July</w:t>
      </w:r>
      <w:r w:rsidR="00CC6F1D">
        <w:t> </w:t>
      </w:r>
      <w:r w:rsidR="00A36FBD">
        <w:t>2023)</w:t>
      </w:r>
      <w:r w:rsidR="001209A6">
        <w:t>.</w:t>
      </w:r>
    </w:p>
    <w:p w14:paraId="2CE5A04B" w14:textId="01EFAA90" w:rsidR="002332A6" w:rsidRPr="00F64997" w:rsidRDefault="002332A6" w:rsidP="00396E49">
      <w:pPr>
        <w:pStyle w:val="3-BodyText"/>
      </w:pPr>
      <w:bookmarkStart w:id="5" w:name="_Ref152059465"/>
      <w:r>
        <w:t>The resubmission made amendments to the previously considered PBS restriction in response to the</w:t>
      </w:r>
      <w:r w:rsidR="00F04B99">
        <w:t xml:space="preserve"> following</w:t>
      </w:r>
      <w:r>
        <w:t xml:space="preserve"> PBAC recommendations</w:t>
      </w:r>
      <w:r>
        <w:rPr>
          <w:rFonts w:cstheme="minorHAnsi"/>
          <w:iCs/>
          <w:szCs w:val="20"/>
        </w:rPr>
        <w:t>:</w:t>
      </w:r>
      <w:bookmarkEnd w:id="5"/>
    </w:p>
    <w:p w14:paraId="5ED5E528" w14:textId="4991ADDB" w:rsidR="00301796" w:rsidRPr="006627D3" w:rsidRDefault="00301796" w:rsidP="00CC6F1D">
      <w:pPr>
        <w:pStyle w:val="ListParagraph"/>
        <w:rPr>
          <w:bCs/>
        </w:rPr>
      </w:pPr>
      <w:r w:rsidRPr="00E74297">
        <w:t xml:space="preserve">The PBAC considered that the restriction for SG should reflect the inclusion criteria for TROPiCS-02 of at least two prior chemotherapy regimens in the </w:t>
      </w:r>
      <w:r w:rsidRPr="006627D3">
        <w:t>metastatic setting (para 7.4,</w:t>
      </w:r>
      <w:r w:rsidRPr="006627D3">
        <w:rPr>
          <w:rFonts w:cstheme="minorHAnsi"/>
          <w:iCs/>
          <w:szCs w:val="20"/>
        </w:rPr>
        <w:t xml:space="preserve"> SG </w:t>
      </w:r>
      <w:r w:rsidR="00DE5ED8">
        <w:rPr>
          <w:rFonts w:cstheme="minorHAnsi"/>
          <w:iCs/>
          <w:szCs w:val="20"/>
        </w:rPr>
        <w:t>Public Summary Document (PSD)</w:t>
      </w:r>
      <w:r w:rsidRPr="006627D3">
        <w:rPr>
          <w:rFonts w:cstheme="minorHAnsi"/>
          <w:iCs/>
          <w:szCs w:val="20"/>
        </w:rPr>
        <w:t>, July 2023 PBAC meeting).</w:t>
      </w:r>
    </w:p>
    <w:p w14:paraId="35BC0D7E" w14:textId="299F81C2" w:rsidR="002332A6" w:rsidRPr="006627D3" w:rsidRDefault="002332A6" w:rsidP="00CC6F1D">
      <w:pPr>
        <w:pStyle w:val="ListParagraph"/>
        <w:rPr>
          <w:bCs/>
        </w:rPr>
      </w:pPr>
      <w:r w:rsidRPr="006627D3">
        <w:lastRenderedPageBreak/>
        <w:t>The PBAC noted that there was little evidence for treatment of patients with locally advanced disease, however considered that it may be appropriate for the small number of patients in this category to be included in the restriction, consistent with the TNBC restriction (para 7.4,</w:t>
      </w:r>
      <w:r w:rsidRPr="006627D3">
        <w:rPr>
          <w:rFonts w:cstheme="minorHAnsi"/>
          <w:iCs/>
          <w:szCs w:val="20"/>
        </w:rPr>
        <w:t xml:space="preserve"> SG </w:t>
      </w:r>
      <w:r w:rsidR="00DE5ED8">
        <w:rPr>
          <w:rFonts w:cstheme="minorHAnsi"/>
          <w:iCs/>
          <w:szCs w:val="20"/>
        </w:rPr>
        <w:t>PSD</w:t>
      </w:r>
      <w:r w:rsidRPr="006627D3">
        <w:rPr>
          <w:rFonts w:cstheme="minorHAnsi"/>
          <w:iCs/>
          <w:szCs w:val="20"/>
        </w:rPr>
        <w:t>, July 2023 PBAC meeting).</w:t>
      </w:r>
    </w:p>
    <w:p w14:paraId="0A5E61A9" w14:textId="5D718C8A" w:rsidR="002332A6" w:rsidRPr="006627D3" w:rsidRDefault="002332A6" w:rsidP="00CC6F1D">
      <w:pPr>
        <w:pStyle w:val="ListParagraph"/>
        <w:rPr>
          <w:bCs/>
        </w:rPr>
      </w:pPr>
      <w:r w:rsidRPr="006627D3">
        <w:t xml:space="preserve">The PBS listing for SG in the mTNBC setting includes a caution regarding toxicity and the PBAC considered this information should also be included as a caution in the HR+/HER2- restriction (para 7.4, </w:t>
      </w:r>
      <w:r w:rsidRPr="006627D3">
        <w:rPr>
          <w:rFonts w:cstheme="minorHAnsi"/>
          <w:iCs/>
          <w:szCs w:val="20"/>
        </w:rPr>
        <w:t xml:space="preserve">SG </w:t>
      </w:r>
      <w:r w:rsidR="00DE5ED8">
        <w:rPr>
          <w:rFonts w:cstheme="minorHAnsi"/>
          <w:iCs/>
          <w:szCs w:val="20"/>
        </w:rPr>
        <w:t>PSD</w:t>
      </w:r>
      <w:r w:rsidRPr="006627D3">
        <w:rPr>
          <w:rFonts w:cstheme="minorHAnsi"/>
          <w:iCs/>
          <w:szCs w:val="20"/>
        </w:rPr>
        <w:t>, July 2023 PBAC meeting).</w:t>
      </w:r>
    </w:p>
    <w:p w14:paraId="7170B0DC" w14:textId="5F58EE51" w:rsidR="009D3CE5" w:rsidRPr="00CC6F1D" w:rsidRDefault="00B65292" w:rsidP="00CC6F1D">
      <w:pPr>
        <w:pStyle w:val="ListParagraph"/>
      </w:pPr>
      <w:r w:rsidRPr="00CC6F1D">
        <w:t xml:space="preserve">The PBAC considered the proposed initial treatment restrictions could be amended to allow patients who have been treated with non-PBS subsidised supply to qualify for treatment, such that a separate grandfather listing is not required (para 3.9, SG </w:t>
      </w:r>
      <w:r w:rsidR="00DE5ED8">
        <w:t>PSD</w:t>
      </w:r>
      <w:r w:rsidRPr="00CC6F1D">
        <w:t>, July 2023 PBAC meeting).</w:t>
      </w:r>
    </w:p>
    <w:p w14:paraId="4D91478D" w14:textId="473CCCBD" w:rsidR="009D3CE5" w:rsidRPr="008122B2" w:rsidRDefault="009D3CE5" w:rsidP="00E566C2">
      <w:pPr>
        <w:pStyle w:val="3-BodyText"/>
      </w:pPr>
      <w:bookmarkStart w:id="6" w:name="_Ref152059292"/>
      <w:bookmarkStart w:id="7" w:name="_Hlk152056532"/>
      <w:r>
        <w:t xml:space="preserve">The PBAC </w:t>
      </w:r>
      <w:r w:rsidR="00827149">
        <w:t xml:space="preserve">noted that </w:t>
      </w:r>
      <w:r w:rsidR="00827149" w:rsidRPr="00827149">
        <w:t xml:space="preserve">the </w:t>
      </w:r>
      <w:r w:rsidR="004E5B2A">
        <w:t xml:space="preserve">resubmission’s </w:t>
      </w:r>
      <w:bookmarkStart w:id="8" w:name="_Hlk151988779"/>
      <w:r w:rsidR="00827149" w:rsidRPr="00827149">
        <w:t xml:space="preserve">revised </w:t>
      </w:r>
      <w:r w:rsidR="00E566C2">
        <w:t>listing of SG</w:t>
      </w:r>
      <w:r w:rsidR="00827149" w:rsidRPr="00827149">
        <w:t xml:space="preserve"> restricts </w:t>
      </w:r>
      <w:r w:rsidR="00827149">
        <w:t xml:space="preserve">treatment </w:t>
      </w:r>
      <w:r w:rsidR="00827149" w:rsidRPr="00827149">
        <w:t xml:space="preserve">to </w:t>
      </w:r>
      <w:r w:rsidR="00827149">
        <w:t>patients who develop progressive disease after receiving treatment with</w:t>
      </w:r>
      <w:r w:rsidR="00827149" w:rsidRPr="00827149">
        <w:t xml:space="preserve"> at least two prior chemotherapeutic regimens in the unresectable, locally advanced, or metastatic setting. </w:t>
      </w:r>
      <w:r w:rsidR="00827149">
        <w:t xml:space="preserve">The PBAC considered that this amendment to the restriction </w:t>
      </w:r>
      <w:r>
        <w:t>accurately reflect</w:t>
      </w:r>
      <w:r w:rsidR="00924891">
        <w:t>s</w:t>
      </w:r>
      <w:r>
        <w:t xml:space="preserve"> </w:t>
      </w:r>
      <w:r w:rsidR="00924891" w:rsidRPr="00924891">
        <w:t>the population of the TROPiCS-02 trial</w:t>
      </w:r>
      <w:r w:rsidR="00E566C2">
        <w:t xml:space="preserve"> and</w:t>
      </w:r>
      <w:r w:rsidR="001009C3">
        <w:t xml:space="preserve"> therefore</w:t>
      </w:r>
      <w:r w:rsidR="00E566C2">
        <w:t xml:space="preserve"> addresses the Committee’s previous concerns</w:t>
      </w:r>
      <w:r w:rsidR="00924891">
        <w:t>.</w:t>
      </w:r>
      <w:bookmarkEnd w:id="6"/>
    </w:p>
    <w:bookmarkEnd w:id="7"/>
    <w:bookmarkEnd w:id="8"/>
    <w:p w14:paraId="4F4263AF" w14:textId="7A4BDEF6" w:rsidR="00B74D90" w:rsidRPr="0070023C" w:rsidRDefault="008122B2" w:rsidP="00396E49">
      <w:pPr>
        <w:pStyle w:val="3-BodyText"/>
        <w:rPr>
          <w:rFonts w:cstheme="minorHAnsi"/>
          <w:szCs w:val="20"/>
        </w:rPr>
      </w:pPr>
      <w:r w:rsidRPr="0070023C">
        <w:rPr>
          <w:rFonts w:cstheme="minorHAnsi"/>
          <w:szCs w:val="20"/>
        </w:rPr>
        <w:t>T</w:t>
      </w:r>
      <w:r w:rsidR="00B74D90" w:rsidRPr="0070023C">
        <w:rPr>
          <w:rFonts w:cstheme="minorHAnsi"/>
          <w:szCs w:val="20"/>
        </w:rPr>
        <w:t>he</w:t>
      </w:r>
      <w:r w:rsidR="00E50E2B" w:rsidRPr="0070023C">
        <w:rPr>
          <w:rFonts w:cstheme="minorHAnsi"/>
          <w:szCs w:val="20"/>
        </w:rPr>
        <w:t xml:space="preserve"> </w:t>
      </w:r>
      <w:r w:rsidR="00025A71">
        <w:rPr>
          <w:rFonts w:cstheme="minorHAnsi"/>
          <w:szCs w:val="20"/>
        </w:rPr>
        <w:t xml:space="preserve">revised </w:t>
      </w:r>
      <w:r w:rsidR="00B74D90" w:rsidRPr="0070023C">
        <w:rPr>
          <w:rFonts w:cstheme="minorHAnsi"/>
          <w:szCs w:val="20"/>
        </w:rPr>
        <w:t xml:space="preserve">restriction remains </w:t>
      </w:r>
      <w:r w:rsidR="00394A9B">
        <w:rPr>
          <w:rFonts w:cstheme="minorHAnsi"/>
          <w:szCs w:val="20"/>
        </w:rPr>
        <w:t xml:space="preserve">somewhat </w:t>
      </w:r>
      <w:r w:rsidR="00B74D90" w:rsidRPr="0070023C">
        <w:rPr>
          <w:rFonts w:cstheme="minorHAnsi"/>
          <w:szCs w:val="20"/>
        </w:rPr>
        <w:t xml:space="preserve">broader than the TROPiCS-02 trial inclusion criteria, which states: </w:t>
      </w:r>
    </w:p>
    <w:p w14:paraId="40F70445" w14:textId="0B451A2C" w:rsidR="00B74D90" w:rsidRPr="0070023C" w:rsidRDefault="00E50E2B" w:rsidP="00CC6F1D">
      <w:pPr>
        <w:pStyle w:val="ListParagraph"/>
      </w:pPr>
      <w:r w:rsidRPr="0070023C">
        <w:t>Patient s</w:t>
      </w:r>
      <w:r w:rsidR="00B74D90" w:rsidRPr="0070023C">
        <w:t>hould have been previously treated with at least 1 taxane, 1 prior anticancer hormonal treatment, and at least 1 CD</w:t>
      </w:r>
      <w:r w:rsidR="00394A9B">
        <w:t>K</w:t>
      </w:r>
      <w:r w:rsidR="00B74D90" w:rsidRPr="0070023C">
        <w:t xml:space="preserve"> 4/6 inhibitor, in any setting; </w:t>
      </w:r>
    </w:p>
    <w:p w14:paraId="5F6BA0C8" w14:textId="1F0EF7F6" w:rsidR="00B74D90" w:rsidRPr="0070023C" w:rsidRDefault="00B74D90" w:rsidP="00CC6F1D">
      <w:pPr>
        <w:pStyle w:val="ListParagraph"/>
      </w:pPr>
      <w:r w:rsidRPr="0070023C">
        <w:t>Refractory to or relapsed after at least 2 but no more than 4 prior systemic chemotherapy regimens for metastatic disease; and</w:t>
      </w:r>
    </w:p>
    <w:p w14:paraId="1E90A94E" w14:textId="5BB8677B" w:rsidR="00B74D90" w:rsidRPr="0070023C" w:rsidRDefault="00B74D90" w:rsidP="00CC6F1D">
      <w:pPr>
        <w:pStyle w:val="ListParagraph"/>
      </w:pPr>
      <w:r w:rsidRPr="0070023C">
        <w:t>Adjuvant or neoadjuvant therapy for early-stage disease qualified as 1 of the required prior chemotherapy regimens if the development of unresectable, locally advanced, or metastatic disease occurred within a 12-month period of time of the therapy.</w:t>
      </w:r>
    </w:p>
    <w:p w14:paraId="72551B42" w14:textId="616B0E09" w:rsidR="00E50E2B" w:rsidRPr="0070023C" w:rsidRDefault="00267AFC" w:rsidP="009D3CE5">
      <w:pPr>
        <w:pStyle w:val="3-BodyText"/>
        <w:numPr>
          <w:ilvl w:val="0"/>
          <w:numId w:val="0"/>
        </w:numPr>
        <w:ind w:left="720"/>
      </w:pPr>
      <w:r>
        <w:rPr>
          <w:iCs/>
        </w:rPr>
        <w:t xml:space="preserve">The PBAC considered that </w:t>
      </w:r>
      <w:r w:rsidR="00F815CC">
        <w:rPr>
          <w:iCs/>
        </w:rPr>
        <w:t xml:space="preserve">it would be unlikely for </w:t>
      </w:r>
      <w:r w:rsidR="00025A71">
        <w:rPr>
          <w:iCs/>
        </w:rPr>
        <w:t xml:space="preserve">a </w:t>
      </w:r>
      <w:r w:rsidR="00F815CC">
        <w:rPr>
          <w:iCs/>
        </w:rPr>
        <w:t xml:space="preserve">patient to receive SG prior to </w:t>
      </w:r>
      <w:r>
        <w:rPr>
          <w:iCs/>
        </w:rPr>
        <w:t>endocrine therapy</w:t>
      </w:r>
      <w:r w:rsidR="00025A71">
        <w:rPr>
          <w:iCs/>
        </w:rPr>
        <w:t xml:space="preserve"> (ET)</w:t>
      </w:r>
      <w:r>
        <w:rPr>
          <w:iCs/>
        </w:rPr>
        <w:t>, as it is</w:t>
      </w:r>
      <w:r w:rsidR="00025A71">
        <w:rPr>
          <w:iCs/>
        </w:rPr>
        <w:t xml:space="preserve"> an</w:t>
      </w:r>
      <w:r>
        <w:rPr>
          <w:iCs/>
        </w:rPr>
        <w:t xml:space="preserve"> </w:t>
      </w:r>
      <w:r w:rsidR="00F815CC">
        <w:rPr>
          <w:iCs/>
        </w:rPr>
        <w:t xml:space="preserve">effective </w:t>
      </w:r>
      <w:r w:rsidR="00025A71">
        <w:rPr>
          <w:iCs/>
        </w:rPr>
        <w:t xml:space="preserve">and </w:t>
      </w:r>
      <w:r w:rsidR="00F815CC">
        <w:rPr>
          <w:iCs/>
        </w:rPr>
        <w:t xml:space="preserve">less toxic </w:t>
      </w:r>
      <w:r w:rsidR="00025A71">
        <w:rPr>
          <w:iCs/>
        </w:rPr>
        <w:t xml:space="preserve">treatment option compared to SG </w:t>
      </w:r>
      <w:r>
        <w:rPr>
          <w:iCs/>
        </w:rPr>
        <w:t>in the HR+ MBC setting</w:t>
      </w:r>
      <w:r w:rsidR="00025A71">
        <w:rPr>
          <w:iCs/>
        </w:rPr>
        <w:t>. Furthermore, the PBAC</w:t>
      </w:r>
      <w:r>
        <w:rPr>
          <w:iCs/>
        </w:rPr>
        <w:t xml:space="preserve"> considered that it was unlikely that a patient who ha</w:t>
      </w:r>
      <w:r w:rsidR="00025A71">
        <w:rPr>
          <w:iCs/>
        </w:rPr>
        <w:t>d</w:t>
      </w:r>
      <w:r>
        <w:rPr>
          <w:iCs/>
        </w:rPr>
        <w:t xml:space="preserve"> not received</w:t>
      </w:r>
      <w:r w:rsidR="00394A9B">
        <w:rPr>
          <w:iCs/>
        </w:rPr>
        <w:t xml:space="preserve"> a</w:t>
      </w:r>
      <w:r w:rsidR="00F815CC">
        <w:rPr>
          <w:iCs/>
        </w:rPr>
        <w:t xml:space="preserve"> </w:t>
      </w:r>
      <w:r w:rsidR="00F815CC" w:rsidRPr="0070023C">
        <w:t>CD</w:t>
      </w:r>
      <w:r w:rsidR="00394A9B">
        <w:t>K 4</w:t>
      </w:r>
      <w:r w:rsidR="00F815CC" w:rsidRPr="0070023C">
        <w:t>/6 inhibitor</w:t>
      </w:r>
      <w:r>
        <w:t xml:space="preserve"> would be considered fit for SG</w:t>
      </w:r>
      <w:r w:rsidR="00F815CC">
        <w:t>.</w:t>
      </w:r>
      <w:r w:rsidR="00025A71">
        <w:t xml:space="preserve"> For these reasons, the PBAC considered the omission of the above </w:t>
      </w:r>
      <w:r w:rsidR="00025A71" w:rsidRPr="0070023C">
        <w:rPr>
          <w:iCs/>
        </w:rPr>
        <w:t>TROPiCS-02 trial inclusion criteria</w:t>
      </w:r>
      <w:r w:rsidR="00025A71">
        <w:rPr>
          <w:iCs/>
        </w:rPr>
        <w:t xml:space="preserve"> was likely </w:t>
      </w:r>
      <w:r w:rsidR="001009C3">
        <w:rPr>
          <w:iCs/>
        </w:rPr>
        <w:t>reasonable</w:t>
      </w:r>
      <w:r w:rsidR="00025A71">
        <w:rPr>
          <w:iCs/>
        </w:rPr>
        <w:t>.</w:t>
      </w:r>
    </w:p>
    <w:p w14:paraId="5A72EB0C" w14:textId="7DF29D29" w:rsidR="00B320B5" w:rsidRDefault="00B47061" w:rsidP="005C43DE">
      <w:pPr>
        <w:pStyle w:val="3-BodyText"/>
        <w:rPr>
          <w:iCs/>
        </w:rPr>
      </w:pPr>
      <w:r>
        <w:t>The resubmission stated that t</w:t>
      </w:r>
      <w:r w:rsidRPr="00B47061">
        <w:t xml:space="preserve">o further ensure the patient population is consistent with TROPiCS-02 population, a definition for HER2 status </w:t>
      </w:r>
      <w:r w:rsidR="00127D8A">
        <w:t>had been</w:t>
      </w:r>
      <w:r>
        <w:t xml:space="preserve"> amended</w:t>
      </w:r>
      <w:r w:rsidR="00127D8A">
        <w:t>,</w:t>
      </w:r>
      <w:r>
        <w:t xml:space="preserve"> from that previously proposed by the sponsor, ‘</w:t>
      </w:r>
      <w:r w:rsidRPr="00F90252">
        <w:rPr>
          <w:szCs w:val="20"/>
          <w:lang w:eastAsia="en-US"/>
        </w:rPr>
        <w:t>immunohistochemical (IHC) test score of 0 and 1+; and IHC test score of 2+ and negative on in situ hybridization (ISH) test)</w:t>
      </w:r>
      <w:r w:rsidR="00F90252">
        <w:rPr>
          <w:szCs w:val="20"/>
          <w:lang w:eastAsia="en-US"/>
        </w:rPr>
        <w:t>’</w:t>
      </w:r>
      <w:r w:rsidR="00F90252" w:rsidRPr="00F90252">
        <w:rPr>
          <w:szCs w:val="20"/>
          <w:lang w:eastAsia="en-US"/>
        </w:rPr>
        <w:t>,</w:t>
      </w:r>
      <w:r w:rsidR="00F90252">
        <w:t xml:space="preserve"> </w:t>
      </w:r>
      <w:r w:rsidRPr="00F90252">
        <w:t>to ‘immunohistochemical (IHC) test score of 0, 1+, or 2+ and negative on in situ hybridization (ISH) test)’.</w:t>
      </w:r>
      <w:r w:rsidR="00127D8A">
        <w:t xml:space="preserve"> </w:t>
      </w:r>
      <w:r w:rsidR="00127D8A" w:rsidRPr="0070023C">
        <w:rPr>
          <w:iCs/>
        </w:rPr>
        <w:t xml:space="preserve">The definition used for the TROPiCS-02 trial was ‘IHC ≤ 2+ or </w:t>
      </w:r>
      <w:r w:rsidR="00127D8A" w:rsidRPr="0070023C">
        <w:rPr>
          <w:iCs/>
        </w:rPr>
        <w:lastRenderedPageBreak/>
        <w:t xml:space="preserve">fluorescence in situ hybridization negative’. </w:t>
      </w:r>
      <w:r w:rsidR="00DC3C30" w:rsidRPr="0070023C">
        <w:rPr>
          <w:iCs/>
        </w:rPr>
        <w:t xml:space="preserve">However, it was previously considered that a definition for HER2 status </w:t>
      </w:r>
      <w:r w:rsidR="00026905" w:rsidRPr="0070023C">
        <w:rPr>
          <w:iCs/>
        </w:rPr>
        <w:t>was</w:t>
      </w:r>
      <w:r w:rsidR="00DC3C30" w:rsidRPr="0070023C">
        <w:rPr>
          <w:iCs/>
        </w:rPr>
        <w:t xml:space="preserve"> </w:t>
      </w:r>
      <w:r w:rsidR="005E19BF" w:rsidRPr="0070023C">
        <w:rPr>
          <w:iCs/>
        </w:rPr>
        <w:t>unnecessarily</w:t>
      </w:r>
      <w:r w:rsidR="00DC3C30" w:rsidRPr="0070023C">
        <w:rPr>
          <w:iCs/>
        </w:rPr>
        <w:t xml:space="preserve"> </w:t>
      </w:r>
      <w:r w:rsidR="005E19BF" w:rsidRPr="0070023C">
        <w:rPr>
          <w:iCs/>
        </w:rPr>
        <w:t>restrictive</w:t>
      </w:r>
      <w:r w:rsidR="00DC3C30" w:rsidRPr="0070023C">
        <w:rPr>
          <w:iCs/>
        </w:rPr>
        <w:t xml:space="preserve"> and </w:t>
      </w:r>
      <w:r w:rsidR="005E19BF" w:rsidRPr="0070023C">
        <w:rPr>
          <w:iCs/>
        </w:rPr>
        <w:t xml:space="preserve">therefore </w:t>
      </w:r>
      <w:r w:rsidR="00026905" w:rsidRPr="0070023C">
        <w:rPr>
          <w:iCs/>
        </w:rPr>
        <w:t>it was previously suggested by the Secretariat that</w:t>
      </w:r>
      <w:r w:rsidR="00DC3C30" w:rsidRPr="0070023C">
        <w:rPr>
          <w:iCs/>
        </w:rPr>
        <w:t xml:space="preserve"> </w:t>
      </w:r>
      <w:r w:rsidR="005E4F34" w:rsidRPr="0070023C">
        <w:rPr>
          <w:iCs/>
        </w:rPr>
        <w:t>the definition</w:t>
      </w:r>
      <w:r w:rsidR="00DC3C30" w:rsidRPr="0070023C">
        <w:rPr>
          <w:iCs/>
        </w:rPr>
        <w:t xml:space="preserve"> be removed.</w:t>
      </w:r>
      <w:r w:rsidR="004E5B2A">
        <w:rPr>
          <w:iCs/>
        </w:rPr>
        <w:t xml:space="preserve"> The PBAC </w:t>
      </w:r>
      <w:r w:rsidR="00B320B5">
        <w:rPr>
          <w:iCs/>
        </w:rPr>
        <w:t xml:space="preserve">noted the Pre-PBAC response </w:t>
      </w:r>
      <w:r w:rsidR="0039769B">
        <w:rPr>
          <w:iCs/>
        </w:rPr>
        <w:t>reiterated</w:t>
      </w:r>
      <w:r w:rsidR="00B320B5">
        <w:rPr>
          <w:iCs/>
        </w:rPr>
        <w:t xml:space="preserve"> that</w:t>
      </w:r>
      <w:r w:rsidR="0039769B" w:rsidRPr="0039769B">
        <w:rPr>
          <w:iCs/>
        </w:rPr>
        <w:t xml:space="preserve"> </w:t>
      </w:r>
      <w:r w:rsidR="0039769B" w:rsidRPr="00B320B5">
        <w:rPr>
          <w:rFonts w:ascii="Calibri" w:eastAsia="Times New Roman" w:hAnsi="Calibri" w:cs="Times New Roman"/>
          <w:iCs/>
        </w:rPr>
        <w:t xml:space="preserve">a definition for HER2 status </w:t>
      </w:r>
      <w:r w:rsidR="0039769B">
        <w:rPr>
          <w:iCs/>
        </w:rPr>
        <w:t xml:space="preserve">is required </w:t>
      </w:r>
      <w:r w:rsidR="00B320B5" w:rsidRPr="00B320B5">
        <w:rPr>
          <w:rFonts w:ascii="Calibri" w:hAnsi="Calibri" w:cs="Times New Roman"/>
          <w:iCs/>
        </w:rPr>
        <w:t>t</w:t>
      </w:r>
      <w:r w:rsidR="00B320B5" w:rsidRPr="00B320B5">
        <w:rPr>
          <w:rFonts w:ascii="Calibri" w:eastAsia="Times New Roman" w:hAnsi="Calibri" w:cs="Times New Roman"/>
          <w:iCs/>
        </w:rPr>
        <w:t>o ensure the patient population is consistent with the TROPiCS-02 population</w:t>
      </w:r>
      <w:r w:rsidR="0039769B">
        <w:rPr>
          <w:iCs/>
        </w:rPr>
        <w:t>. The Response</w:t>
      </w:r>
      <w:r w:rsidR="00B320B5" w:rsidRPr="00B320B5">
        <w:rPr>
          <w:rFonts w:ascii="Calibri" w:eastAsia="Times New Roman" w:hAnsi="Calibri" w:cs="Times New Roman"/>
          <w:iCs/>
        </w:rPr>
        <w:t xml:space="preserve"> </w:t>
      </w:r>
      <w:r w:rsidR="00B320B5" w:rsidRPr="00B320B5">
        <w:rPr>
          <w:rFonts w:ascii="Calibri" w:hAnsi="Calibri" w:cs="Times New Roman"/>
          <w:iCs/>
        </w:rPr>
        <w:t>considered</w:t>
      </w:r>
      <w:r w:rsidR="00B320B5" w:rsidRPr="00B320B5">
        <w:rPr>
          <w:rFonts w:ascii="Calibri" w:eastAsia="Times New Roman" w:hAnsi="Calibri" w:cs="Times New Roman"/>
          <w:iCs/>
        </w:rPr>
        <w:t xml:space="preserve"> </w:t>
      </w:r>
      <w:r w:rsidR="0039769B">
        <w:rPr>
          <w:iCs/>
        </w:rPr>
        <w:t xml:space="preserve">that </w:t>
      </w:r>
      <w:r w:rsidR="00B320B5" w:rsidRPr="00B320B5">
        <w:rPr>
          <w:rFonts w:ascii="Calibri" w:hAnsi="Calibri" w:cs="Times New Roman"/>
          <w:iCs/>
        </w:rPr>
        <w:t xml:space="preserve">a definition </w:t>
      </w:r>
      <w:r w:rsidR="005C43DE">
        <w:rPr>
          <w:iCs/>
        </w:rPr>
        <w:t xml:space="preserve">for HER2 status </w:t>
      </w:r>
      <w:r w:rsidR="0039769B">
        <w:rPr>
          <w:iCs/>
        </w:rPr>
        <w:t>was an</w:t>
      </w:r>
      <w:r w:rsidR="00B320B5" w:rsidRPr="00B320B5">
        <w:rPr>
          <w:rFonts w:ascii="Calibri" w:eastAsia="Times New Roman" w:hAnsi="Calibri" w:cs="Times New Roman"/>
          <w:iCs/>
        </w:rPr>
        <w:t xml:space="preserve"> important aspect of the PBS restriction to retain</w:t>
      </w:r>
      <w:r w:rsidR="0039769B">
        <w:rPr>
          <w:iCs/>
        </w:rPr>
        <w:t xml:space="preserve">, as </w:t>
      </w:r>
      <w:r w:rsidR="00B320B5" w:rsidRPr="00B320B5">
        <w:rPr>
          <w:rFonts w:ascii="Calibri" w:hAnsi="Calibri"/>
          <w:iCs/>
        </w:rPr>
        <w:t xml:space="preserve">HER2 expression is increasingly being recognised as a spectrum of expression rather than a dichotomous </w:t>
      </w:r>
      <w:r w:rsidR="005C43DE">
        <w:rPr>
          <w:iCs/>
        </w:rPr>
        <w:t xml:space="preserve">attribute </w:t>
      </w:r>
      <w:r w:rsidR="00B320B5" w:rsidRPr="00B320B5">
        <w:rPr>
          <w:rFonts w:ascii="Calibri" w:hAnsi="Calibri"/>
          <w:iCs/>
        </w:rPr>
        <w:t>between HER2-positive and HER2-negative cancer</w:t>
      </w:r>
      <w:r w:rsidR="005C43DE">
        <w:rPr>
          <w:iCs/>
        </w:rPr>
        <w:t xml:space="preserve">, and therefore a </w:t>
      </w:r>
      <w:r w:rsidR="005C43DE" w:rsidRPr="005C43DE">
        <w:rPr>
          <w:rFonts w:ascii="Calibri" w:hAnsi="Calibri"/>
          <w:iCs/>
        </w:rPr>
        <w:t xml:space="preserve">definition including assessment criteria would ensure patients eligible for treatment will be able to </w:t>
      </w:r>
      <w:r w:rsidR="005C43DE" w:rsidRPr="005C43DE">
        <w:rPr>
          <w:rFonts w:ascii="Calibri" w:eastAsia="Times New Roman" w:hAnsi="Calibri" w:cs="Times New Roman"/>
          <w:iCs/>
        </w:rPr>
        <w:t>access SG now and into the future.</w:t>
      </w:r>
      <w:r w:rsidR="005C43DE">
        <w:rPr>
          <w:iCs/>
        </w:rPr>
        <w:t xml:space="preserve"> The PBAC considered that this was reasonable.</w:t>
      </w:r>
    </w:p>
    <w:p w14:paraId="5A1D1449" w14:textId="4A15AFF4" w:rsidR="005C43DE" w:rsidRDefault="005C43DE" w:rsidP="005C43DE">
      <w:pPr>
        <w:pStyle w:val="3-BodyText"/>
        <w:rPr>
          <w:shd w:val="clear" w:color="auto" w:fill="FFFFFF"/>
        </w:rPr>
      </w:pPr>
      <w:bookmarkStart w:id="9" w:name="_Ref152059304"/>
      <w:r>
        <w:rPr>
          <w:shd w:val="clear" w:color="auto" w:fill="FFFFFF"/>
        </w:rPr>
        <w:t xml:space="preserve">The PBAC noted the restriction type proposed for SG was Authority Required (Streamlined) and a caution </w:t>
      </w:r>
      <w:r w:rsidR="003F2880">
        <w:rPr>
          <w:shd w:val="clear" w:color="auto" w:fill="FFFFFF"/>
        </w:rPr>
        <w:t>was</w:t>
      </w:r>
      <w:r>
        <w:rPr>
          <w:shd w:val="clear" w:color="auto" w:fill="FFFFFF"/>
        </w:rPr>
        <w:t xml:space="preserve"> included </w:t>
      </w:r>
      <w:r w:rsidR="003F2880">
        <w:rPr>
          <w:shd w:val="clear" w:color="auto" w:fill="FFFFFF"/>
        </w:rPr>
        <w:t>in the restriction stating</w:t>
      </w:r>
      <w:r>
        <w:rPr>
          <w:shd w:val="clear" w:color="auto" w:fill="FFFFFF"/>
        </w:rPr>
        <w:t xml:space="preserve"> that the medicine </w:t>
      </w:r>
      <w:r w:rsidR="003F2880" w:rsidRPr="003F2880">
        <w:rPr>
          <w:shd w:val="clear" w:color="auto" w:fill="FFFFFF"/>
        </w:rPr>
        <w:t xml:space="preserve">contains a cytotoxic component and causes chemotherapy-like toxicity, in particular, it can cause severe or life-threatening neutropenia and severe diarrhoea. The PBAC noted that </w:t>
      </w:r>
      <w:r w:rsidR="003F2880">
        <w:rPr>
          <w:shd w:val="clear" w:color="auto" w:fill="FFFFFF"/>
        </w:rPr>
        <w:t>these</w:t>
      </w:r>
      <w:r w:rsidR="003F2880" w:rsidRPr="003F2880">
        <w:rPr>
          <w:shd w:val="clear" w:color="auto" w:fill="FFFFFF"/>
        </w:rPr>
        <w:t xml:space="preserve"> </w:t>
      </w:r>
      <w:r w:rsidR="003F2880">
        <w:rPr>
          <w:shd w:val="clear" w:color="auto" w:fill="FFFFFF"/>
        </w:rPr>
        <w:t>components of the restriction were</w:t>
      </w:r>
      <w:r w:rsidR="003F2880" w:rsidRPr="003F2880">
        <w:rPr>
          <w:shd w:val="clear" w:color="auto" w:fill="FFFFFF"/>
        </w:rPr>
        <w:t xml:space="preserve"> consistent with triple negative BC lis</w:t>
      </w:r>
      <w:r w:rsidR="003F2880">
        <w:rPr>
          <w:shd w:val="clear" w:color="auto" w:fill="FFFFFF"/>
        </w:rPr>
        <w:t>t</w:t>
      </w:r>
      <w:r w:rsidR="003F2880" w:rsidRPr="003F2880">
        <w:rPr>
          <w:shd w:val="clear" w:color="auto" w:fill="FFFFFF"/>
        </w:rPr>
        <w:t xml:space="preserve">ing of </w:t>
      </w:r>
      <w:r w:rsidR="003F2880">
        <w:rPr>
          <w:shd w:val="clear" w:color="auto" w:fill="FFFFFF"/>
        </w:rPr>
        <w:t>SG</w:t>
      </w:r>
      <w:r w:rsidR="003F2880" w:rsidRPr="003F2880">
        <w:rPr>
          <w:shd w:val="clear" w:color="auto" w:fill="FFFFFF"/>
        </w:rPr>
        <w:t xml:space="preserve"> and </w:t>
      </w:r>
      <w:r w:rsidR="003F2880">
        <w:rPr>
          <w:shd w:val="clear" w:color="auto" w:fill="FFFFFF"/>
        </w:rPr>
        <w:t xml:space="preserve">considered </w:t>
      </w:r>
      <w:r w:rsidR="001009C3">
        <w:rPr>
          <w:shd w:val="clear" w:color="auto" w:fill="FFFFFF"/>
        </w:rPr>
        <w:t>these were</w:t>
      </w:r>
      <w:r w:rsidR="003F2880" w:rsidRPr="003F2880">
        <w:rPr>
          <w:shd w:val="clear" w:color="auto" w:fill="FFFFFF"/>
        </w:rPr>
        <w:t xml:space="preserve"> appropriate.</w:t>
      </w:r>
      <w:bookmarkEnd w:id="9"/>
    </w:p>
    <w:p w14:paraId="4802EB5E" w14:textId="4571767E" w:rsidR="0019198E" w:rsidRPr="00DC59D4" w:rsidRDefault="0019198E" w:rsidP="00CC6F1D">
      <w:pPr>
        <w:ind w:left="709"/>
        <w:rPr>
          <w:i/>
          <w:iCs/>
        </w:rPr>
      </w:pPr>
      <w:r w:rsidRPr="00DC59D4">
        <w:rPr>
          <w:i/>
          <w:iCs/>
          <w:lang w:eastAsia="en-US"/>
        </w:rPr>
        <w:t>For more detail on PBAC’s view, see section 5 PBAC outcome.</w:t>
      </w:r>
    </w:p>
    <w:p w14:paraId="3FA283A2" w14:textId="4D97934F" w:rsidR="00A36FBD" w:rsidRDefault="00A36FBD" w:rsidP="00396E49">
      <w:pPr>
        <w:pStyle w:val="2-SectionHeading"/>
      </w:pPr>
      <w:r>
        <w:t>Consideration of the evidence</w:t>
      </w:r>
    </w:p>
    <w:p w14:paraId="47CBEE66" w14:textId="77777777" w:rsidR="0019198E" w:rsidRPr="001F3B65" w:rsidRDefault="0019198E" w:rsidP="001F3B65">
      <w:pPr>
        <w:pStyle w:val="4-SubsectionHeading"/>
        <w:keepNext w:val="0"/>
        <w:jc w:val="left"/>
        <w:rPr>
          <w:lang w:eastAsia="en-US"/>
        </w:rPr>
      </w:pPr>
      <w:bookmarkStart w:id="10" w:name="_Hlk76375935"/>
      <w:r w:rsidRPr="0019198E">
        <w:rPr>
          <w:lang w:eastAsia="en-US"/>
        </w:rPr>
        <w:t>Sponsor hearing</w:t>
      </w:r>
    </w:p>
    <w:p w14:paraId="2C53BA66" w14:textId="6609D615" w:rsidR="00941E2C" w:rsidRDefault="0019198E" w:rsidP="00941E2C">
      <w:pPr>
        <w:pStyle w:val="3-BodyText"/>
        <w:rPr>
          <w:snapToGrid w:val="0"/>
          <w:lang w:eastAsia="en-US"/>
        </w:rPr>
      </w:pPr>
      <w:r w:rsidRPr="0019198E">
        <w:rPr>
          <w:snapToGrid w:val="0"/>
          <w:lang w:eastAsia="en-US"/>
        </w:rPr>
        <w:t>There was no hearing for this item</w:t>
      </w:r>
      <w:r w:rsidR="00941E2C">
        <w:rPr>
          <w:snapToGrid w:val="0"/>
          <w:lang w:eastAsia="en-US"/>
        </w:rPr>
        <w:t>.</w:t>
      </w:r>
    </w:p>
    <w:p w14:paraId="6EECD2D6" w14:textId="479EA604" w:rsidR="0019198E" w:rsidRPr="001F3B65" w:rsidRDefault="0019198E" w:rsidP="001F3B65">
      <w:pPr>
        <w:pStyle w:val="4-SubsectionHeading"/>
        <w:keepNext w:val="0"/>
        <w:jc w:val="left"/>
        <w:rPr>
          <w:lang w:eastAsia="en-US"/>
        </w:rPr>
      </w:pPr>
      <w:r w:rsidRPr="00941E2C">
        <w:rPr>
          <w:lang w:eastAsia="en-US"/>
        </w:rPr>
        <w:t>Consumer comments</w:t>
      </w:r>
    </w:p>
    <w:p w14:paraId="326EEDB3" w14:textId="0C15B00E" w:rsidR="002425A6" w:rsidRPr="002425A6" w:rsidRDefault="00DA44B8" w:rsidP="002425A6">
      <w:pPr>
        <w:pStyle w:val="3-BodyText"/>
        <w:rPr>
          <w:bCs/>
          <w:snapToGrid w:val="0"/>
        </w:rPr>
      </w:pPr>
      <w:bookmarkStart w:id="11" w:name="_Hlk76382618"/>
      <w:r w:rsidRPr="00DA44B8">
        <w:rPr>
          <w:snapToGrid w:val="0"/>
          <w:lang w:eastAsia="en-US"/>
        </w:rPr>
        <w:t xml:space="preserve">The PBAC recalled it had previously received input from </w:t>
      </w:r>
      <w:r w:rsidR="001D4569">
        <w:rPr>
          <w:snapToGrid w:val="0"/>
          <w:lang w:eastAsia="en-US"/>
        </w:rPr>
        <w:t>4</w:t>
      </w:r>
      <w:r w:rsidRPr="00DA44B8">
        <w:rPr>
          <w:snapToGrid w:val="0"/>
          <w:lang w:eastAsia="en-US"/>
        </w:rPr>
        <w:t xml:space="preserve"> </w:t>
      </w:r>
      <w:r w:rsidR="001D4569">
        <w:rPr>
          <w:snapToGrid w:val="0"/>
          <w:lang w:eastAsia="en-US"/>
        </w:rPr>
        <w:t>Consumer Group Organisations</w:t>
      </w:r>
      <w:r w:rsidR="00A74223">
        <w:rPr>
          <w:snapToGrid w:val="0"/>
          <w:lang w:eastAsia="en-US"/>
        </w:rPr>
        <w:t xml:space="preserve"> </w:t>
      </w:r>
      <w:r w:rsidR="001D4569">
        <w:rPr>
          <w:snapToGrid w:val="0"/>
          <w:lang w:eastAsia="en-US"/>
        </w:rPr>
        <w:t>(</w:t>
      </w:r>
      <w:r w:rsidR="001D4569" w:rsidRPr="00E74297">
        <w:rPr>
          <w:snapToGrid w:val="0"/>
        </w:rPr>
        <w:t xml:space="preserve">So Brave, </w:t>
      </w:r>
      <w:r w:rsidR="001D4569" w:rsidRPr="002C590F">
        <w:rPr>
          <w:snapToGrid w:val="0"/>
        </w:rPr>
        <w:t xml:space="preserve">Breast Cancer Network Australia </w:t>
      </w:r>
      <w:r w:rsidR="001D4569">
        <w:rPr>
          <w:snapToGrid w:val="0"/>
        </w:rPr>
        <w:t>[</w:t>
      </w:r>
      <w:r w:rsidR="001D4569" w:rsidRPr="002C590F">
        <w:rPr>
          <w:snapToGrid w:val="0"/>
        </w:rPr>
        <w:t>BCNA</w:t>
      </w:r>
      <w:r w:rsidR="001D4569">
        <w:rPr>
          <w:snapToGrid w:val="0"/>
        </w:rPr>
        <w:t>]</w:t>
      </w:r>
      <w:r w:rsidR="001D4569" w:rsidRPr="002C590F">
        <w:rPr>
          <w:snapToGrid w:val="0"/>
        </w:rPr>
        <w:t xml:space="preserve">, </w:t>
      </w:r>
      <w:r w:rsidR="001D4569" w:rsidRPr="002C590F">
        <w:rPr>
          <w:bCs/>
          <w:snapToGrid w:val="0"/>
        </w:rPr>
        <w:t>Centre for Community-Driven Research</w:t>
      </w:r>
      <w:r w:rsidR="00F27651">
        <w:rPr>
          <w:bCs/>
          <w:snapToGrid w:val="0"/>
        </w:rPr>
        <w:t xml:space="preserve"> [CCDR]</w:t>
      </w:r>
      <w:r w:rsidR="001D4569" w:rsidRPr="002C590F">
        <w:rPr>
          <w:bCs/>
          <w:snapToGrid w:val="0"/>
        </w:rPr>
        <w:t xml:space="preserve"> and Pink Hope)</w:t>
      </w:r>
      <w:r w:rsidR="00A74223">
        <w:rPr>
          <w:snapToGrid w:val="0"/>
          <w:lang w:eastAsia="en-US"/>
        </w:rPr>
        <w:t xml:space="preserve"> </w:t>
      </w:r>
      <w:r w:rsidR="008A17A2">
        <w:rPr>
          <w:snapToGrid w:val="0"/>
          <w:lang w:eastAsia="en-US"/>
        </w:rPr>
        <w:t>(</w:t>
      </w:r>
      <w:r w:rsidR="008A17A2" w:rsidRPr="006627D3">
        <w:t xml:space="preserve">para </w:t>
      </w:r>
      <w:r w:rsidR="008A17A2">
        <w:t>6.2</w:t>
      </w:r>
      <w:r w:rsidR="008A17A2" w:rsidRPr="006627D3">
        <w:t xml:space="preserve">, </w:t>
      </w:r>
      <w:r w:rsidR="008A17A2" w:rsidRPr="006627D3">
        <w:rPr>
          <w:rFonts w:cstheme="minorHAnsi"/>
          <w:iCs/>
          <w:szCs w:val="20"/>
        </w:rPr>
        <w:t xml:space="preserve">SG </w:t>
      </w:r>
      <w:r w:rsidR="00DE5ED8">
        <w:rPr>
          <w:rFonts w:cstheme="minorHAnsi"/>
          <w:iCs/>
          <w:szCs w:val="20"/>
        </w:rPr>
        <w:t>PSD</w:t>
      </w:r>
      <w:r w:rsidR="008A17A2" w:rsidRPr="006627D3">
        <w:rPr>
          <w:rFonts w:cstheme="minorHAnsi"/>
          <w:iCs/>
          <w:szCs w:val="20"/>
        </w:rPr>
        <w:t>, July</w:t>
      </w:r>
      <w:r w:rsidR="00CC6F1D">
        <w:rPr>
          <w:rFonts w:cstheme="minorHAnsi"/>
          <w:iCs/>
          <w:szCs w:val="20"/>
        </w:rPr>
        <w:t> </w:t>
      </w:r>
      <w:r w:rsidR="008A17A2" w:rsidRPr="006627D3">
        <w:rPr>
          <w:rFonts w:cstheme="minorHAnsi"/>
          <w:iCs/>
          <w:szCs w:val="20"/>
        </w:rPr>
        <w:t>2023 PBAC meeting)</w:t>
      </w:r>
      <w:r w:rsidR="008A17A2">
        <w:rPr>
          <w:rFonts w:cstheme="minorHAnsi"/>
          <w:iCs/>
          <w:szCs w:val="20"/>
        </w:rPr>
        <w:t xml:space="preserve"> </w:t>
      </w:r>
      <w:r w:rsidR="00917203">
        <w:rPr>
          <w:snapToGrid w:val="0"/>
          <w:lang w:eastAsia="en-US"/>
        </w:rPr>
        <w:t xml:space="preserve">and </w:t>
      </w:r>
      <w:r w:rsidR="00941E2C">
        <w:rPr>
          <w:snapToGrid w:val="0"/>
          <w:lang w:eastAsia="en-US"/>
        </w:rPr>
        <w:t xml:space="preserve">noted and welcomed </w:t>
      </w:r>
      <w:r>
        <w:rPr>
          <w:snapToGrid w:val="0"/>
          <w:lang w:eastAsia="en-US"/>
        </w:rPr>
        <w:t>further</w:t>
      </w:r>
      <w:r w:rsidR="00941E2C">
        <w:rPr>
          <w:snapToGrid w:val="0"/>
          <w:lang w:eastAsia="en-US"/>
        </w:rPr>
        <w:t xml:space="preserve"> input</w:t>
      </w:r>
      <w:r w:rsidR="00917203" w:rsidRPr="00917203">
        <w:rPr>
          <w:bCs/>
          <w:snapToGrid w:val="0"/>
        </w:rPr>
        <w:t xml:space="preserve"> </w:t>
      </w:r>
      <w:r w:rsidR="00917203">
        <w:rPr>
          <w:bCs/>
          <w:snapToGrid w:val="0"/>
        </w:rPr>
        <w:t>from the</w:t>
      </w:r>
      <w:r w:rsidR="00287032">
        <w:rPr>
          <w:bCs/>
          <w:snapToGrid w:val="0"/>
        </w:rPr>
        <w:t>se</w:t>
      </w:r>
      <w:r w:rsidR="00917203">
        <w:rPr>
          <w:bCs/>
          <w:snapToGrid w:val="0"/>
        </w:rPr>
        <w:t xml:space="preserve"> organisations </w:t>
      </w:r>
      <w:r w:rsidR="00917203" w:rsidRPr="00E74297">
        <w:rPr>
          <w:bCs/>
          <w:snapToGrid w:val="0"/>
        </w:rPr>
        <w:t>via the Consumer Comments facility on the PBS website</w:t>
      </w:r>
      <w:r w:rsidR="00917203">
        <w:rPr>
          <w:snapToGrid w:val="0"/>
          <w:lang w:eastAsia="en-US"/>
        </w:rPr>
        <w:t xml:space="preserve">. </w:t>
      </w:r>
      <w:r w:rsidR="00287032">
        <w:rPr>
          <w:snapToGrid w:val="0"/>
          <w:lang w:eastAsia="en-US"/>
        </w:rPr>
        <w:t xml:space="preserve">The organisations </w:t>
      </w:r>
      <w:r w:rsidR="006D676B">
        <w:rPr>
          <w:snapToGrid w:val="0"/>
          <w:lang w:eastAsia="en-US"/>
        </w:rPr>
        <w:t xml:space="preserve">highlighted </w:t>
      </w:r>
      <w:r w:rsidR="00A20F6F">
        <w:rPr>
          <w:snapToGrid w:val="0"/>
          <w:lang w:eastAsia="en-US"/>
        </w:rPr>
        <w:t xml:space="preserve">there remains a clinical need for additional treatment options for </w:t>
      </w:r>
      <w:r w:rsidR="00A20F6F" w:rsidRPr="00E74297">
        <w:t xml:space="preserve">patients with unresectable locally advanced or metastatic </w:t>
      </w:r>
      <w:r w:rsidR="00A20F6F" w:rsidRPr="005D0853">
        <w:rPr>
          <w:snapToGrid w:val="0"/>
          <w:lang w:eastAsia="en-US"/>
        </w:rPr>
        <w:t>HR+/HER2- breast cancer</w:t>
      </w:r>
      <w:r w:rsidR="00A20F6F">
        <w:rPr>
          <w:snapToGrid w:val="0"/>
          <w:lang w:eastAsia="en-US"/>
        </w:rPr>
        <w:t xml:space="preserve"> and reiterated </w:t>
      </w:r>
      <w:r w:rsidR="006D676B" w:rsidRPr="00A20F6F">
        <w:rPr>
          <w:snapToGrid w:val="0"/>
          <w:lang w:eastAsia="en-US"/>
        </w:rPr>
        <w:t xml:space="preserve">their </w:t>
      </w:r>
      <w:r w:rsidR="005D0853" w:rsidRPr="00A20F6F">
        <w:rPr>
          <w:snapToGrid w:val="0"/>
          <w:lang w:eastAsia="en-US"/>
        </w:rPr>
        <w:t xml:space="preserve">strong and </w:t>
      </w:r>
      <w:r w:rsidR="006D676B" w:rsidRPr="00A20F6F">
        <w:rPr>
          <w:snapToGrid w:val="0"/>
          <w:lang w:eastAsia="en-US"/>
        </w:rPr>
        <w:t>continued support for the</w:t>
      </w:r>
      <w:r w:rsidR="005D0853" w:rsidRPr="00A20F6F">
        <w:rPr>
          <w:snapToGrid w:val="0"/>
          <w:lang w:eastAsia="en-US"/>
        </w:rPr>
        <w:t xml:space="preserve"> PBS</w:t>
      </w:r>
      <w:r w:rsidR="006D676B" w:rsidRPr="00A20F6F">
        <w:rPr>
          <w:snapToGrid w:val="0"/>
          <w:lang w:eastAsia="en-US"/>
        </w:rPr>
        <w:t xml:space="preserve"> listing of SG </w:t>
      </w:r>
      <w:r w:rsidR="005D0853" w:rsidRPr="00A20F6F">
        <w:rPr>
          <w:snapToGrid w:val="0"/>
          <w:lang w:eastAsia="en-US"/>
        </w:rPr>
        <w:t xml:space="preserve">for </w:t>
      </w:r>
      <w:r w:rsidR="00A20F6F">
        <w:t>these patients</w:t>
      </w:r>
      <w:r w:rsidR="005D0853" w:rsidRPr="00A20F6F">
        <w:rPr>
          <w:snapToGrid w:val="0"/>
          <w:lang w:eastAsia="en-US"/>
        </w:rPr>
        <w:t xml:space="preserve">. </w:t>
      </w:r>
      <w:r w:rsidR="005D0853" w:rsidRPr="00A20F6F">
        <w:rPr>
          <w:bCs/>
          <w:snapToGrid w:val="0"/>
        </w:rPr>
        <w:t xml:space="preserve">The Organisations emphasised that the demonstrated improved progression-free survival and overall survival rates for patients treated with SG are highly valuable to patients with </w:t>
      </w:r>
      <w:r w:rsidR="006E6443" w:rsidRPr="00A20F6F">
        <w:rPr>
          <w:bCs/>
          <w:snapToGrid w:val="0"/>
        </w:rPr>
        <w:t xml:space="preserve">metastatic </w:t>
      </w:r>
      <w:r w:rsidR="005D0853" w:rsidRPr="00A20F6F">
        <w:rPr>
          <w:bCs/>
          <w:snapToGrid w:val="0"/>
        </w:rPr>
        <w:t>breast cancer</w:t>
      </w:r>
      <w:r w:rsidR="00A20F6F" w:rsidRPr="00A20F6F">
        <w:rPr>
          <w:bCs/>
          <w:snapToGrid w:val="0"/>
        </w:rPr>
        <w:t xml:space="preserve"> and reiterated that the private cost of SG represents a significant financial barrier that currently prevents many Australians from accessing this treatment option.</w:t>
      </w:r>
    </w:p>
    <w:p w14:paraId="343D16A6" w14:textId="72C4B2CA" w:rsidR="008A17A2" w:rsidRDefault="002425A6" w:rsidP="008A17A2">
      <w:pPr>
        <w:pStyle w:val="3-BodyText"/>
        <w:rPr>
          <w:snapToGrid w:val="0"/>
        </w:rPr>
      </w:pPr>
      <w:r>
        <w:rPr>
          <w:snapToGrid w:val="0"/>
        </w:rPr>
        <w:t xml:space="preserve">The </w:t>
      </w:r>
      <w:r w:rsidR="00F27651">
        <w:rPr>
          <w:bCs/>
          <w:snapToGrid w:val="0"/>
        </w:rPr>
        <w:t>CCDR</w:t>
      </w:r>
      <w:r>
        <w:rPr>
          <w:bCs/>
          <w:snapToGrid w:val="0"/>
        </w:rPr>
        <w:t xml:space="preserve"> </w:t>
      </w:r>
      <w:r w:rsidR="00F27651">
        <w:rPr>
          <w:bCs/>
          <w:snapToGrid w:val="0"/>
        </w:rPr>
        <w:t>conducted a structured interview of 52 people diagnosed with HR+ breast cancer. The CCDR stated that the participants interview</w:t>
      </w:r>
      <w:r w:rsidR="00A03C71">
        <w:rPr>
          <w:bCs/>
          <w:snapToGrid w:val="0"/>
        </w:rPr>
        <w:t>ed</w:t>
      </w:r>
      <w:r w:rsidR="00F27651">
        <w:rPr>
          <w:bCs/>
          <w:snapToGrid w:val="0"/>
        </w:rPr>
        <w:t xml:space="preserve"> </w:t>
      </w:r>
      <w:r w:rsidR="00F93948">
        <w:rPr>
          <w:bCs/>
          <w:snapToGrid w:val="0"/>
        </w:rPr>
        <w:t xml:space="preserve">expressed the view that future treatment </w:t>
      </w:r>
      <w:r w:rsidR="00245F52">
        <w:rPr>
          <w:bCs/>
          <w:snapToGrid w:val="0"/>
        </w:rPr>
        <w:t>options should</w:t>
      </w:r>
      <w:r w:rsidR="00F93948" w:rsidRPr="00F93948">
        <w:rPr>
          <w:bCs/>
          <w:snapToGrid w:val="0"/>
        </w:rPr>
        <w:t xml:space="preserve"> </w:t>
      </w:r>
      <w:r w:rsidR="00245F52">
        <w:rPr>
          <w:bCs/>
          <w:snapToGrid w:val="0"/>
        </w:rPr>
        <w:t>be associated with</w:t>
      </w:r>
      <w:r w:rsidR="00F93948" w:rsidRPr="00F93948">
        <w:rPr>
          <w:bCs/>
          <w:snapToGrid w:val="0"/>
        </w:rPr>
        <w:t xml:space="preserve"> fewer or less </w:t>
      </w:r>
      <w:r w:rsidR="00F93948">
        <w:rPr>
          <w:bCs/>
          <w:snapToGrid w:val="0"/>
        </w:rPr>
        <w:t>severe</w:t>
      </w:r>
      <w:r w:rsidR="00F93948" w:rsidRPr="00F93948">
        <w:rPr>
          <w:bCs/>
          <w:snapToGrid w:val="0"/>
        </w:rPr>
        <w:t xml:space="preserve"> side effects, </w:t>
      </w:r>
      <w:r w:rsidR="00245F52">
        <w:rPr>
          <w:bCs/>
          <w:snapToGrid w:val="0"/>
        </w:rPr>
        <w:t>a lower</w:t>
      </w:r>
      <w:r w:rsidR="00F93948" w:rsidRPr="00F93948">
        <w:rPr>
          <w:bCs/>
          <w:snapToGrid w:val="0"/>
        </w:rPr>
        <w:t xml:space="preserve"> cost burden, be more effective</w:t>
      </w:r>
      <w:r w:rsidR="00245F52">
        <w:rPr>
          <w:bCs/>
          <w:snapToGrid w:val="0"/>
        </w:rPr>
        <w:t>,</w:t>
      </w:r>
      <w:r w:rsidR="00F93948" w:rsidRPr="00F93948">
        <w:rPr>
          <w:bCs/>
          <w:snapToGrid w:val="0"/>
        </w:rPr>
        <w:t xml:space="preserve"> and more accessible.</w:t>
      </w:r>
      <w:r w:rsidR="00F93948">
        <w:rPr>
          <w:bCs/>
          <w:snapToGrid w:val="0"/>
        </w:rPr>
        <w:t xml:space="preserve"> The CCDR noted that </w:t>
      </w:r>
      <w:r w:rsidR="00F93948" w:rsidRPr="00F93948">
        <w:rPr>
          <w:bCs/>
          <w:snapToGrid w:val="0"/>
        </w:rPr>
        <w:lastRenderedPageBreak/>
        <w:t>there was no evidence to suggest that women with metastatic disease did not value or were not seeking treatment and care options, despite often having a poor prognosis</w:t>
      </w:r>
      <w:r w:rsidR="00F93948">
        <w:rPr>
          <w:bCs/>
          <w:snapToGrid w:val="0"/>
        </w:rPr>
        <w:t>.</w:t>
      </w:r>
      <w:bookmarkEnd w:id="10"/>
      <w:bookmarkEnd w:id="11"/>
    </w:p>
    <w:p w14:paraId="223D4983" w14:textId="4A7ED7D0" w:rsidR="0019198E" w:rsidRPr="006B24BD" w:rsidRDefault="0019198E" w:rsidP="006B24BD">
      <w:pPr>
        <w:pStyle w:val="3-BodyText"/>
        <w:rPr>
          <w:bCs/>
          <w:snapToGrid w:val="0"/>
        </w:rPr>
      </w:pPr>
      <w:r w:rsidRPr="006B24BD">
        <w:rPr>
          <w:bCs/>
          <w:snapToGrid w:val="0"/>
        </w:rPr>
        <w:t>The</w:t>
      </w:r>
      <w:r w:rsidR="00A87810" w:rsidRPr="006B24BD">
        <w:rPr>
          <w:bCs/>
          <w:snapToGrid w:val="0"/>
        </w:rPr>
        <w:t xml:space="preserve"> PBAC noted that the</w:t>
      </w:r>
      <w:r w:rsidRPr="006B24BD">
        <w:rPr>
          <w:bCs/>
          <w:snapToGrid w:val="0"/>
        </w:rPr>
        <w:t xml:space="preserve"> Medical Oncology Group of Australia (MOGA) expressed its strong support for the </w:t>
      </w:r>
      <w:r w:rsidR="00A87810" w:rsidRPr="006B24BD">
        <w:rPr>
          <w:bCs/>
          <w:snapToGrid w:val="0"/>
        </w:rPr>
        <w:t>SG</w:t>
      </w:r>
      <w:r w:rsidRPr="006B24BD">
        <w:rPr>
          <w:bCs/>
          <w:snapToGrid w:val="0"/>
        </w:rPr>
        <w:t xml:space="preserve"> submission, categorising it as one of the therapies of “highest priority for PBS listing”. The PBAC noted that the MOGA presented a European Society for Medical Oncology Magnitude of Clinical Benefit Scale (ESMO-MCBS) for </w:t>
      </w:r>
      <w:r w:rsidR="00A87810" w:rsidRPr="006B24BD">
        <w:rPr>
          <w:bCs/>
          <w:snapToGrid w:val="0"/>
        </w:rPr>
        <w:t>SG</w:t>
      </w:r>
      <w:r w:rsidRPr="006B24BD">
        <w:rPr>
          <w:bCs/>
          <w:snapToGrid w:val="0"/>
        </w:rPr>
        <w:t xml:space="preserve">, which was limited to </w:t>
      </w:r>
      <w:r w:rsidR="00087831" w:rsidRPr="006B24BD">
        <w:rPr>
          <w:bCs/>
          <w:snapToGrid w:val="0"/>
        </w:rPr>
        <w:t>4</w:t>
      </w:r>
      <w:r w:rsidRPr="006B24BD">
        <w:rPr>
          <w:bCs/>
          <w:snapToGrid w:val="0"/>
        </w:rPr>
        <w:t xml:space="preserve"> (out of a maximum of 5, where 5 and 4 represent the grades with substantial improvement)</w:t>
      </w:r>
      <w:r w:rsidR="008A17A2" w:rsidRPr="006B24BD">
        <w:rPr>
          <w:vertAlign w:val="superscript"/>
        </w:rPr>
        <w:footnoteReference w:id="2"/>
      </w:r>
      <w:r w:rsidRPr="006B24BD">
        <w:rPr>
          <w:bCs/>
          <w:snapToGrid w:val="0"/>
        </w:rPr>
        <w:t>.</w:t>
      </w:r>
      <w:r w:rsidR="008A17A2" w:rsidRPr="006B24BD">
        <w:rPr>
          <w:bCs/>
          <w:snapToGrid w:val="0"/>
        </w:rPr>
        <w:t xml:space="preserve"> The PBAC noted that the ESMO-MCBS grading had increased </w:t>
      </w:r>
      <w:r w:rsidR="00245F52">
        <w:rPr>
          <w:bCs/>
          <w:snapToGrid w:val="0"/>
        </w:rPr>
        <w:t>compared to</w:t>
      </w:r>
      <w:r w:rsidR="008A17A2" w:rsidRPr="006B24BD">
        <w:rPr>
          <w:bCs/>
          <w:snapToGrid w:val="0"/>
        </w:rPr>
        <w:t xml:space="preserve"> the </w:t>
      </w:r>
      <w:r w:rsidR="00245F52">
        <w:rPr>
          <w:bCs/>
          <w:snapToGrid w:val="0"/>
        </w:rPr>
        <w:t xml:space="preserve">July 2023 </w:t>
      </w:r>
      <w:r w:rsidR="008A17A2" w:rsidRPr="006B24BD">
        <w:rPr>
          <w:bCs/>
          <w:snapToGrid w:val="0"/>
        </w:rPr>
        <w:t xml:space="preserve">submission, which had been limited to 3 (para 6.3, SG </w:t>
      </w:r>
      <w:r w:rsidR="00DE5ED8">
        <w:rPr>
          <w:bCs/>
          <w:snapToGrid w:val="0"/>
        </w:rPr>
        <w:t>PSD</w:t>
      </w:r>
      <w:r w:rsidR="008A17A2" w:rsidRPr="006B24BD">
        <w:rPr>
          <w:bCs/>
          <w:snapToGrid w:val="0"/>
        </w:rPr>
        <w:t>, July 2023 PBAC meeting).</w:t>
      </w:r>
      <w:r w:rsidR="00AB38E2">
        <w:rPr>
          <w:bCs/>
          <w:snapToGrid w:val="0"/>
        </w:rPr>
        <w:t xml:space="preserve"> </w:t>
      </w:r>
      <w:r w:rsidR="00A03C71">
        <w:rPr>
          <w:bCs/>
          <w:snapToGrid w:val="0"/>
        </w:rPr>
        <w:t>T</w:t>
      </w:r>
      <w:r w:rsidR="00245F52">
        <w:rPr>
          <w:bCs/>
          <w:snapToGrid w:val="0"/>
        </w:rPr>
        <w:t>he</w:t>
      </w:r>
      <w:r w:rsidR="006B24BD">
        <w:rPr>
          <w:bCs/>
          <w:snapToGrid w:val="0"/>
        </w:rPr>
        <w:t xml:space="preserve"> PBAC considered that </w:t>
      </w:r>
      <w:r w:rsidR="00A03C71">
        <w:rPr>
          <w:bCs/>
          <w:snapToGrid w:val="0"/>
        </w:rPr>
        <w:t>the revised</w:t>
      </w:r>
      <w:r w:rsidR="006B24BD">
        <w:rPr>
          <w:bCs/>
          <w:snapToGrid w:val="0"/>
        </w:rPr>
        <w:t xml:space="preserve"> rating of 4 appeared </w:t>
      </w:r>
      <w:r w:rsidR="00162F48">
        <w:rPr>
          <w:bCs/>
          <w:snapToGrid w:val="0"/>
        </w:rPr>
        <w:t xml:space="preserve">inconsistent with a </w:t>
      </w:r>
      <w:r w:rsidR="00245F52">
        <w:rPr>
          <w:bCs/>
          <w:snapToGrid w:val="0"/>
        </w:rPr>
        <w:t>G</w:t>
      </w:r>
      <w:r w:rsidR="00162F48">
        <w:rPr>
          <w:bCs/>
          <w:snapToGrid w:val="0"/>
        </w:rPr>
        <w:t>rade 1 rating for overall survival (HR &gt; 0.70 OR &lt; 1.5 months).</w:t>
      </w:r>
    </w:p>
    <w:p w14:paraId="4AFB0ED9" w14:textId="4E8D6A8C" w:rsidR="00A36FBD" w:rsidRDefault="00A36FBD" w:rsidP="00A36FBD">
      <w:pPr>
        <w:pStyle w:val="4-SubsectionHeading"/>
        <w:keepNext w:val="0"/>
        <w:jc w:val="left"/>
        <w:rPr>
          <w:lang w:eastAsia="en-US"/>
        </w:rPr>
      </w:pPr>
      <w:r>
        <w:rPr>
          <w:lang w:eastAsia="en-US"/>
        </w:rPr>
        <w:t>Clinical evaluation</w:t>
      </w:r>
    </w:p>
    <w:p w14:paraId="7C8C0E0A" w14:textId="0A0AE7D9" w:rsidR="00AC572E" w:rsidRPr="00AC572E" w:rsidRDefault="00336278" w:rsidP="00CC6F1D">
      <w:pPr>
        <w:pStyle w:val="3-BodyText"/>
        <w:rPr>
          <w:lang w:eastAsia="en-US"/>
        </w:rPr>
      </w:pPr>
      <w:r>
        <w:rPr>
          <w:lang w:eastAsia="en-US"/>
        </w:rPr>
        <w:t xml:space="preserve">No additional clinical evidence was provided. </w:t>
      </w:r>
    </w:p>
    <w:p w14:paraId="371551D6" w14:textId="0C9470D0" w:rsidR="00A36FBD" w:rsidRDefault="00F71AD1" w:rsidP="00CC6F1D">
      <w:pPr>
        <w:pStyle w:val="3-BodyText"/>
        <w:rPr>
          <w:lang w:eastAsia="en-US"/>
        </w:rPr>
      </w:pPr>
      <w:r>
        <w:rPr>
          <w:lang w:eastAsia="en-US"/>
        </w:rPr>
        <w:t xml:space="preserve">The PBAC previously considered that </w:t>
      </w:r>
      <w:r w:rsidRPr="00F71AD1">
        <w:rPr>
          <w:lang w:eastAsia="en-US"/>
        </w:rPr>
        <w:t>subgroup analyses by type of chemotherapy agent indicated that the observed superiority of SG over TPC may have been driven by the relatively larger benefit of SG over vinorelbine, which is usually used as a later line of therapy than other TPCs (eribulin, capecitabine, gemcitabine)</w:t>
      </w:r>
      <w:r>
        <w:rPr>
          <w:lang w:eastAsia="en-US"/>
        </w:rPr>
        <w:t xml:space="preserve"> (para 7.7, SG </w:t>
      </w:r>
      <w:r w:rsidR="00DE5ED8">
        <w:rPr>
          <w:lang w:eastAsia="en-US"/>
        </w:rPr>
        <w:t>PSD</w:t>
      </w:r>
      <w:r>
        <w:rPr>
          <w:lang w:eastAsia="en-US"/>
        </w:rPr>
        <w:t xml:space="preserve">, July 2023 PBAC meeting). </w:t>
      </w:r>
      <w:r w:rsidR="00717C71">
        <w:rPr>
          <w:lang w:eastAsia="en-US"/>
        </w:rPr>
        <w:t xml:space="preserve">The </w:t>
      </w:r>
      <w:r>
        <w:rPr>
          <w:lang w:eastAsia="en-US"/>
        </w:rPr>
        <w:t>re</w:t>
      </w:r>
      <w:r w:rsidR="00717C71">
        <w:rPr>
          <w:lang w:eastAsia="en-US"/>
        </w:rPr>
        <w:t xml:space="preserve">submission stated that </w:t>
      </w:r>
      <w:r w:rsidR="00717C71" w:rsidRPr="00F71AD1">
        <w:rPr>
          <w:lang w:val="en-GB"/>
        </w:rPr>
        <w:t xml:space="preserve">TPC was required to be specified prior to randomisation by the investigator and was included as </w:t>
      </w:r>
      <w:r w:rsidR="00717C71" w:rsidRPr="00F71AD1">
        <w:t xml:space="preserve">a stratification factor in TROPiCS-02 to ensure that patients who were candidates for vinorelbine (and each of the other TPC agents) were balanced between the two arms and that the overall comparison of the SG </w:t>
      </w:r>
      <w:r w:rsidR="00A03C71">
        <w:t>and</w:t>
      </w:r>
      <w:r w:rsidR="00717C71" w:rsidRPr="00F71AD1">
        <w:t xml:space="preserve"> TPC arm</w:t>
      </w:r>
      <w:r w:rsidR="00A03C71">
        <w:t>s</w:t>
      </w:r>
      <w:r w:rsidR="00717C71" w:rsidRPr="00F71AD1">
        <w:t xml:space="preserve"> </w:t>
      </w:r>
      <w:r w:rsidRPr="00F71AD1">
        <w:t>would be</w:t>
      </w:r>
      <w:r w:rsidR="00717C71" w:rsidRPr="00F71AD1">
        <w:t xml:space="preserve"> valid</w:t>
      </w:r>
      <w:r w:rsidRPr="00F71AD1">
        <w:t>.</w:t>
      </w:r>
      <w:r w:rsidR="00AC572E">
        <w:t xml:space="preserve"> </w:t>
      </w:r>
      <w:r w:rsidR="00336278" w:rsidRPr="00F71AD1">
        <w:rPr>
          <w:lang w:eastAsia="en-US"/>
        </w:rPr>
        <w:t xml:space="preserve">The resubmission claimed the analysis </w:t>
      </w:r>
      <w:r w:rsidRPr="00F71AD1">
        <w:rPr>
          <w:lang w:eastAsia="en-US"/>
        </w:rPr>
        <w:t xml:space="preserve">by matched pre-specified chemotherapy agents </w:t>
      </w:r>
      <w:r w:rsidR="00336278" w:rsidRPr="00F71AD1">
        <w:rPr>
          <w:lang w:eastAsia="en-US"/>
        </w:rPr>
        <w:t xml:space="preserve">showed that the </w:t>
      </w:r>
      <w:r w:rsidRPr="00F71AD1">
        <w:rPr>
          <w:lang w:eastAsia="en-US"/>
        </w:rPr>
        <w:t>observed benefit</w:t>
      </w:r>
      <w:r w:rsidR="00336278" w:rsidRPr="00F71AD1">
        <w:rPr>
          <w:lang w:eastAsia="en-US"/>
        </w:rPr>
        <w:t xml:space="preserve"> </w:t>
      </w:r>
      <w:r w:rsidRPr="00F71AD1">
        <w:rPr>
          <w:lang w:eastAsia="en-US"/>
        </w:rPr>
        <w:t>of</w:t>
      </w:r>
      <w:r w:rsidR="00336278" w:rsidRPr="00F71AD1">
        <w:rPr>
          <w:lang w:eastAsia="en-US"/>
        </w:rPr>
        <w:t xml:space="preserve"> SG </w:t>
      </w:r>
      <w:r w:rsidRPr="00F71AD1">
        <w:rPr>
          <w:lang w:eastAsia="en-US"/>
        </w:rPr>
        <w:t>compared with each of</w:t>
      </w:r>
      <w:r w:rsidR="00336278" w:rsidRPr="00F71AD1">
        <w:rPr>
          <w:lang w:eastAsia="en-US"/>
        </w:rPr>
        <w:t xml:space="preserve"> eribulin, gemcitabine, and vinorelbine, is greater than that reported in the subgroup analyses and is greater than the OS gain reported in the ITT population. The submission argued that while the data is not as favourable for SG in patients pre-specified for capecitabine, this is not unexpected as capecitabine is generally used as </w:t>
      </w:r>
      <w:r w:rsidR="00717C71" w:rsidRPr="00F71AD1">
        <w:rPr>
          <w:lang w:eastAsia="en-US"/>
        </w:rPr>
        <w:t>a</w:t>
      </w:r>
      <w:r w:rsidR="00336278" w:rsidRPr="00F71AD1">
        <w:rPr>
          <w:lang w:eastAsia="en-US"/>
        </w:rPr>
        <w:t xml:space="preserve"> first</w:t>
      </w:r>
      <w:r w:rsidR="00717C71" w:rsidRPr="00F71AD1">
        <w:rPr>
          <w:lang w:eastAsia="en-US"/>
        </w:rPr>
        <w:t>-line</w:t>
      </w:r>
      <w:r w:rsidR="00336278" w:rsidRPr="00F71AD1">
        <w:rPr>
          <w:lang w:eastAsia="en-US"/>
        </w:rPr>
        <w:t xml:space="preserve"> chemotherapeutic </w:t>
      </w:r>
      <w:r w:rsidR="00717C71" w:rsidRPr="00F71AD1">
        <w:rPr>
          <w:lang w:eastAsia="en-US"/>
        </w:rPr>
        <w:t>agent in Australia for HR+/HER2- mBC patients and SG is</w:t>
      </w:r>
      <w:r w:rsidR="00AC572E">
        <w:rPr>
          <w:lang w:eastAsia="en-US"/>
        </w:rPr>
        <w:t xml:space="preserve"> now</w:t>
      </w:r>
      <w:r w:rsidR="00717C71" w:rsidRPr="00F71AD1">
        <w:rPr>
          <w:lang w:eastAsia="en-US"/>
        </w:rPr>
        <w:t xml:space="preserve"> positioned after two prior chemotherapeutic regimens,</w:t>
      </w:r>
      <w:r w:rsidR="00336278" w:rsidRPr="00F71AD1">
        <w:rPr>
          <w:lang w:eastAsia="en-US"/>
        </w:rPr>
        <w:t xml:space="preserve"> and </w:t>
      </w:r>
      <w:r w:rsidR="00717C71" w:rsidRPr="00F71AD1">
        <w:rPr>
          <w:lang w:eastAsia="en-US"/>
        </w:rPr>
        <w:t>further</w:t>
      </w:r>
      <w:r w:rsidR="00AC572E">
        <w:rPr>
          <w:lang w:eastAsia="en-US"/>
        </w:rPr>
        <w:t xml:space="preserve"> argued that</w:t>
      </w:r>
      <w:r w:rsidR="00717C71" w:rsidRPr="00F71AD1">
        <w:rPr>
          <w:lang w:eastAsia="en-US"/>
        </w:rPr>
        <w:t xml:space="preserve"> </w:t>
      </w:r>
      <w:r w:rsidR="00336278" w:rsidRPr="00F71AD1">
        <w:rPr>
          <w:lang w:eastAsia="en-US"/>
        </w:rPr>
        <w:t>the patient numbers</w:t>
      </w:r>
      <w:r w:rsidR="00AC572E">
        <w:rPr>
          <w:lang w:eastAsia="en-US"/>
        </w:rPr>
        <w:t xml:space="preserve"> for this analysis</w:t>
      </w:r>
      <w:r w:rsidR="00336278" w:rsidRPr="00F71AD1">
        <w:rPr>
          <w:lang w:eastAsia="en-US"/>
        </w:rPr>
        <w:t xml:space="preserve"> </w:t>
      </w:r>
      <w:r w:rsidR="00AC572E">
        <w:rPr>
          <w:lang w:eastAsia="en-US"/>
        </w:rPr>
        <w:t>were</w:t>
      </w:r>
      <w:r w:rsidR="00336278" w:rsidRPr="00F71AD1">
        <w:rPr>
          <w:lang w:eastAsia="en-US"/>
        </w:rPr>
        <w:t xml:space="preserve"> small (approximately 20 patients in each arm). </w:t>
      </w:r>
    </w:p>
    <w:p w14:paraId="51A6AEEE" w14:textId="30EBFC03" w:rsidR="00E23E26" w:rsidRDefault="00DC59D4" w:rsidP="00E23E26">
      <w:pPr>
        <w:pStyle w:val="4-SubsectionHeading"/>
        <w:keepNext w:val="0"/>
        <w:spacing w:before="240"/>
        <w:jc w:val="left"/>
        <w:rPr>
          <w:lang w:eastAsia="en-US"/>
        </w:rPr>
      </w:pPr>
      <w:r>
        <w:rPr>
          <w:lang w:eastAsia="en-US"/>
        </w:rPr>
        <w:t>Clinical claim</w:t>
      </w:r>
    </w:p>
    <w:p w14:paraId="0DAE982C" w14:textId="735F4BA5" w:rsidR="00DC59D4" w:rsidRDefault="00DC59D4" w:rsidP="00CC6F1D">
      <w:pPr>
        <w:pStyle w:val="3-BodyText"/>
      </w:pPr>
      <w:bookmarkStart w:id="12" w:name="_Hlk76376200"/>
      <w:r w:rsidRPr="00CE42B4">
        <w:rPr>
          <w:iCs/>
        </w:rPr>
        <w:t>The</w:t>
      </w:r>
      <w:r w:rsidRPr="00CE42B4">
        <w:t xml:space="preserve"> PBAC </w:t>
      </w:r>
      <w:r w:rsidR="00830F1C">
        <w:t xml:space="preserve">reaffirmed that based on the available data, the claim that SG is of superior comparative effectiveness to TPC was supported. </w:t>
      </w:r>
    </w:p>
    <w:p w14:paraId="682FDDF2" w14:textId="1E5D5D49" w:rsidR="00DC59D4" w:rsidRPr="00DC59D4" w:rsidRDefault="00DC59D4" w:rsidP="00CC6F1D">
      <w:pPr>
        <w:pStyle w:val="3-BodyText"/>
      </w:pPr>
      <w:r w:rsidRPr="00DC59D4">
        <w:lastRenderedPageBreak/>
        <w:t>The PBAC</w:t>
      </w:r>
      <w:r w:rsidR="00830F1C">
        <w:t xml:space="preserve"> also reaffirmed its previously expressed view that</w:t>
      </w:r>
      <w:r w:rsidRPr="00DC59D4">
        <w:t xml:space="preserve"> </w:t>
      </w:r>
      <w:r w:rsidR="00F40899">
        <w:t>SG was associated with</w:t>
      </w:r>
      <w:r w:rsidRPr="00DC59D4">
        <w:t xml:space="preserve"> inferior comparative safety.</w:t>
      </w:r>
      <w:bookmarkEnd w:id="12"/>
    </w:p>
    <w:p w14:paraId="510FE9D2" w14:textId="1780E450" w:rsidR="00A345F0" w:rsidRDefault="00A345F0" w:rsidP="00CD321D">
      <w:pPr>
        <w:pStyle w:val="4-SubsectionHeading"/>
        <w:keepNext w:val="0"/>
        <w:spacing w:before="240"/>
        <w:jc w:val="left"/>
        <w:rPr>
          <w:lang w:eastAsia="en-US"/>
        </w:rPr>
      </w:pPr>
      <w:r>
        <w:rPr>
          <w:lang w:eastAsia="en-US"/>
        </w:rPr>
        <w:t>Economic analysis</w:t>
      </w:r>
    </w:p>
    <w:p w14:paraId="46C3A069" w14:textId="53FC30F9" w:rsidR="0079124D" w:rsidRDefault="00B92A7C" w:rsidP="00CC6F1D">
      <w:pPr>
        <w:pStyle w:val="3-BodyText"/>
      </w:pPr>
      <w:r w:rsidRPr="00B92A7C">
        <w:t>As an early re-entry resubmission, the economic analysis has not been independently evaluated.</w:t>
      </w:r>
      <w:r>
        <w:t xml:space="preserve"> </w:t>
      </w:r>
      <w:r w:rsidR="0079124D">
        <w:t xml:space="preserve">The updated TROPiCS-02 data provided in the </w:t>
      </w:r>
      <w:r w:rsidR="00DE5ED8">
        <w:t>Pre-Sub-Committee Response (</w:t>
      </w:r>
      <w:r w:rsidR="0079124D">
        <w:t>PSCR</w:t>
      </w:r>
      <w:r w:rsidR="00DE5ED8">
        <w:t>)</w:t>
      </w:r>
      <w:r w:rsidR="0079124D">
        <w:t xml:space="preserve"> to the July</w:t>
      </w:r>
      <w:r w:rsidR="00CC6F1D">
        <w:t> </w:t>
      </w:r>
      <w:r w:rsidR="0079124D">
        <w:t xml:space="preserve">2023 submission </w:t>
      </w:r>
      <w:r w:rsidR="005B605C">
        <w:t>(</w:t>
      </w:r>
      <w:r w:rsidR="005B605C" w:rsidRPr="00CD321D">
        <w:t>mean follow up of 14.4 months versus 13.1 months in the submission)</w:t>
      </w:r>
      <w:r w:rsidR="00350DE1">
        <w:t xml:space="preserve"> </w:t>
      </w:r>
      <w:r w:rsidR="0079124D">
        <w:t>w</w:t>
      </w:r>
      <w:r w:rsidR="005B605C">
        <w:t>ere</w:t>
      </w:r>
      <w:r w:rsidR="0079124D">
        <w:t xml:space="preserve"> not incorporated into the economic model for the resubmission.</w:t>
      </w:r>
      <w:r w:rsidR="00350DE1">
        <w:t xml:space="preserve"> </w:t>
      </w:r>
      <w:r w:rsidR="00350DE1" w:rsidRPr="0070023C">
        <w:rPr>
          <w:iCs/>
        </w:rPr>
        <w:t xml:space="preserve">There was minimal difference in the OS </w:t>
      </w:r>
      <w:r w:rsidR="00EE51F9" w:rsidRPr="0070023C">
        <w:rPr>
          <w:iCs/>
        </w:rPr>
        <w:t>reported</w:t>
      </w:r>
      <w:r w:rsidR="00350DE1" w:rsidRPr="0070023C">
        <w:rPr>
          <w:iCs/>
        </w:rPr>
        <w:t xml:space="preserve"> </w:t>
      </w:r>
      <w:r w:rsidR="00EE51F9" w:rsidRPr="0070023C">
        <w:rPr>
          <w:iCs/>
        </w:rPr>
        <w:t>at</w:t>
      </w:r>
      <w:r w:rsidR="00350DE1" w:rsidRPr="0070023C">
        <w:rPr>
          <w:iCs/>
        </w:rPr>
        <w:t xml:space="preserve"> the two data cuts (HR=0.788; 95%CI: 0.652, 0.952 </w:t>
      </w:r>
      <w:r w:rsidR="00EE51F9" w:rsidRPr="0070023C">
        <w:rPr>
          <w:iCs/>
        </w:rPr>
        <w:t xml:space="preserve">for the December 2022 data cut </w:t>
      </w:r>
      <w:r w:rsidR="00350DE1" w:rsidRPr="0070023C">
        <w:rPr>
          <w:iCs/>
        </w:rPr>
        <w:t>v</w:t>
      </w:r>
      <w:r w:rsidR="00EE51F9" w:rsidRPr="0070023C">
        <w:rPr>
          <w:iCs/>
        </w:rPr>
        <w:t>ersu</w:t>
      </w:r>
      <w:r w:rsidR="00350DE1" w:rsidRPr="0070023C">
        <w:rPr>
          <w:iCs/>
        </w:rPr>
        <w:t xml:space="preserve">s HR=0.789; 95%CI: 0.646, 0.964 for </w:t>
      </w:r>
      <w:r w:rsidR="00EE51F9" w:rsidRPr="0070023C">
        <w:rPr>
          <w:iCs/>
        </w:rPr>
        <w:t>the J</w:t>
      </w:r>
      <w:r w:rsidR="00F21C25" w:rsidRPr="0070023C">
        <w:rPr>
          <w:iCs/>
        </w:rPr>
        <w:t>uly</w:t>
      </w:r>
      <w:r w:rsidR="00EE51F9" w:rsidRPr="0070023C">
        <w:rPr>
          <w:iCs/>
        </w:rPr>
        <w:t xml:space="preserve"> 2022 data cut</w:t>
      </w:r>
      <w:r w:rsidR="00350DE1" w:rsidRPr="0070023C">
        <w:rPr>
          <w:iCs/>
        </w:rPr>
        <w:t>)</w:t>
      </w:r>
      <w:r w:rsidR="00EE51F9" w:rsidRPr="0070023C">
        <w:rPr>
          <w:iCs/>
        </w:rPr>
        <w:t>.</w:t>
      </w:r>
    </w:p>
    <w:p w14:paraId="08ED95C3" w14:textId="4785E6B1" w:rsidR="00A36E01" w:rsidRDefault="00A36E01" w:rsidP="00CC6F1D">
      <w:pPr>
        <w:pStyle w:val="3-BodyText"/>
      </w:pPr>
      <w:r>
        <w:t>The resubmission stated that a</w:t>
      </w:r>
      <w:r w:rsidRPr="00A36E01">
        <w:t xml:space="preserve">ll the unit costs of the drugs and health care resources quantified based on AR-DRG, MBS, and PBS codes </w:t>
      </w:r>
      <w:r>
        <w:t>were</w:t>
      </w:r>
      <w:r w:rsidRPr="00A36E01">
        <w:t xml:space="preserve"> updated as of 1 July 2023</w:t>
      </w:r>
      <w:r>
        <w:t>.</w:t>
      </w:r>
    </w:p>
    <w:p w14:paraId="76F00032" w14:textId="76ED87FF" w:rsidR="006763E1" w:rsidRPr="006763E1" w:rsidRDefault="006763E1" w:rsidP="00396E49">
      <w:pPr>
        <w:pStyle w:val="3-BodyText"/>
        <w:rPr>
          <w:lang w:val="en-GB"/>
        </w:rPr>
      </w:pPr>
      <w:r>
        <w:t>The resubmission</w:t>
      </w:r>
      <w:r w:rsidR="00EE51F9">
        <w:t>’</w:t>
      </w:r>
      <w:r>
        <w:t xml:space="preserve">s model </w:t>
      </w:r>
      <w:r w:rsidR="0093376A">
        <w:t xml:space="preserve">maintained </w:t>
      </w:r>
      <w:r>
        <w:t>the u</w:t>
      </w:r>
      <w:r w:rsidRPr="00060494">
        <w:t xml:space="preserve">se of the </w:t>
      </w:r>
      <w:r w:rsidRPr="00060494">
        <w:rPr>
          <w:lang w:val="en-GB"/>
        </w:rPr>
        <w:t>maximum quantity of 1</w:t>
      </w:r>
      <w:r w:rsidR="00C073C8">
        <w:rPr>
          <w:lang w:val="en-GB"/>
        </w:rPr>
        <w:t>,</w:t>
      </w:r>
      <w:r w:rsidRPr="00060494">
        <w:rPr>
          <w:lang w:val="en-GB"/>
        </w:rPr>
        <w:t>620</w:t>
      </w:r>
      <w:r w:rsidR="00CC6F1D">
        <w:rPr>
          <w:lang w:val="en-GB"/>
        </w:rPr>
        <w:t> </w:t>
      </w:r>
      <w:r w:rsidRPr="00060494">
        <w:rPr>
          <w:lang w:val="en-GB"/>
        </w:rPr>
        <w:t>mg</w:t>
      </w:r>
      <w:r>
        <w:rPr>
          <w:lang w:val="en-GB"/>
        </w:rPr>
        <w:t xml:space="preserve">. The resubmission stated </w:t>
      </w:r>
      <w:r w:rsidRPr="00060494">
        <w:rPr>
          <w:lang w:val="en-GB"/>
        </w:rPr>
        <w:t xml:space="preserve">the use of </w:t>
      </w:r>
      <w:r>
        <w:rPr>
          <w:lang w:val="en-GB"/>
        </w:rPr>
        <w:t xml:space="preserve">a </w:t>
      </w:r>
      <w:r w:rsidRPr="00060494">
        <w:rPr>
          <w:lang w:val="en-GB"/>
        </w:rPr>
        <w:t>1</w:t>
      </w:r>
      <w:r>
        <w:rPr>
          <w:lang w:val="en-GB"/>
        </w:rPr>
        <w:t>,</w:t>
      </w:r>
      <w:r w:rsidRPr="00060494">
        <w:rPr>
          <w:lang w:val="en-GB"/>
        </w:rPr>
        <w:t>200</w:t>
      </w:r>
      <w:r w:rsidR="00CC6F1D">
        <w:rPr>
          <w:lang w:val="en-GB"/>
        </w:rPr>
        <w:t> </w:t>
      </w:r>
      <w:r w:rsidRPr="00060494">
        <w:rPr>
          <w:lang w:val="en-GB"/>
        </w:rPr>
        <w:t xml:space="preserve">mg </w:t>
      </w:r>
      <w:r>
        <w:rPr>
          <w:lang w:val="en-GB"/>
        </w:rPr>
        <w:t xml:space="preserve">maximum quantity </w:t>
      </w:r>
      <w:r w:rsidRPr="00060494">
        <w:rPr>
          <w:lang w:val="en-GB"/>
        </w:rPr>
        <w:t xml:space="preserve">would underestimate </w:t>
      </w:r>
      <w:r w:rsidR="00C073C8">
        <w:rPr>
          <w:lang w:val="en-GB"/>
        </w:rPr>
        <w:t xml:space="preserve">the </w:t>
      </w:r>
      <w:r w:rsidRPr="00060494">
        <w:rPr>
          <w:lang w:val="en-GB"/>
        </w:rPr>
        <w:t>cost in the model</w:t>
      </w:r>
      <w:r>
        <w:rPr>
          <w:lang w:val="en-GB"/>
        </w:rPr>
        <w:t>.</w:t>
      </w:r>
      <w:r w:rsidR="00A27305">
        <w:rPr>
          <w:lang w:val="en-GB"/>
        </w:rPr>
        <w:t xml:space="preserve"> </w:t>
      </w:r>
      <w:r w:rsidR="006D01DD" w:rsidRPr="0070023C">
        <w:rPr>
          <w:iCs/>
          <w:lang w:val="en-GB"/>
        </w:rPr>
        <w:t>When</w:t>
      </w:r>
      <w:r w:rsidR="00D84107" w:rsidRPr="0070023C">
        <w:rPr>
          <w:iCs/>
          <w:lang w:val="en-GB"/>
        </w:rPr>
        <w:t xml:space="preserve"> wastage was not incorporated, </w:t>
      </w:r>
      <w:r w:rsidR="003B4FCF" w:rsidRPr="0070023C">
        <w:rPr>
          <w:iCs/>
          <w:lang w:val="en-GB"/>
        </w:rPr>
        <w:t>using a maximum quantity of 1,200 mg resulted in a</w:t>
      </w:r>
      <w:r w:rsidR="00DC1E30" w:rsidRPr="0070023C">
        <w:rPr>
          <w:iCs/>
          <w:lang w:val="en-GB"/>
        </w:rPr>
        <w:t>n increase in the</w:t>
      </w:r>
      <w:r w:rsidR="003B4FCF" w:rsidRPr="0070023C">
        <w:rPr>
          <w:iCs/>
          <w:lang w:val="en-GB"/>
        </w:rPr>
        <w:t xml:space="preserve"> cost per dose </w:t>
      </w:r>
      <w:r w:rsidR="00DC1E30" w:rsidRPr="0070023C">
        <w:rPr>
          <w:iCs/>
          <w:lang w:val="en-GB"/>
        </w:rPr>
        <w:t xml:space="preserve">from </w:t>
      </w:r>
      <w:r w:rsidR="001F3B65">
        <w:rPr>
          <w:iCs/>
          <w:lang w:val="en-GB"/>
        </w:rPr>
        <w:t>$</w:t>
      </w:r>
      <w:r w:rsidR="00D52BD6" w:rsidRPr="006D1797">
        <w:rPr>
          <w:iCs/>
          <w:color w:val="000000"/>
          <w:w w:val="15"/>
          <w:shd w:val="solid" w:color="000000" w:fill="000000"/>
          <w:fitText w:val="-20" w:id="-1032058615"/>
          <w:lang w:val="en-GB"/>
          <w14:textFill>
            <w14:solidFill>
              <w14:srgbClr w14:val="000000">
                <w14:alpha w14:val="100000"/>
              </w14:srgbClr>
            </w14:solidFill>
          </w14:textFill>
        </w:rPr>
        <w:t xml:space="preserve">|  </w:t>
      </w:r>
      <w:r w:rsidR="00D52BD6" w:rsidRPr="006D1797">
        <w:rPr>
          <w:iCs/>
          <w:color w:val="000000"/>
          <w:spacing w:val="-69"/>
          <w:w w:val="15"/>
          <w:shd w:val="solid" w:color="000000" w:fill="000000"/>
          <w:fitText w:val="-20" w:id="-1032058615"/>
          <w:lang w:val="en-GB"/>
          <w14:textFill>
            <w14:solidFill>
              <w14:srgbClr w14:val="000000">
                <w14:alpha w14:val="100000"/>
              </w14:srgbClr>
            </w14:solidFill>
          </w14:textFill>
        </w:rPr>
        <w:t>|</w:t>
      </w:r>
      <w:r w:rsidR="00DC1E30" w:rsidRPr="0070023C">
        <w:rPr>
          <w:iCs/>
          <w:lang w:val="en-GB"/>
        </w:rPr>
        <w:t xml:space="preserve"> to </w:t>
      </w:r>
      <w:r w:rsidR="001F3B65">
        <w:rPr>
          <w:iCs/>
          <w:lang w:val="en-GB"/>
        </w:rPr>
        <w:t>$</w:t>
      </w:r>
      <w:r w:rsidR="00D52BD6" w:rsidRPr="006D1797">
        <w:rPr>
          <w:iCs/>
          <w:color w:val="000000"/>
          <w:w w:val="15"/>
          <w:shd w:val="solid" w:color="000000" w:fill="000000"/>
          <w:fitText w:val="-20" w:id="-1032058614"/>
          <w:lang w:val="en-GB"/>
          <w14:textFill>
            <w14:solidFill>
              <w14:srgbClr w14:val="000000">
                <w14:alpha w14:val="100000"/>
              </w14:srgbClr>
            </w14:solidFill>
          </w14:textFill>
        </w:rPr>
        <w:t xml:space="preserve">|  </w:t>
      </w:r>
      <w:r w:rsidR="00D52BD6" w:rsidRPr="006D1797">
        <w:rPr>
          <w:iCs/>
          <w:color w:val="000000"/>
          <w:spacing w:val="-69"/>
          <w:w w:val="15"/>
          <w:shd w:val="solid" w:color="000000" w:fill="000000"/>
          <w:fitText w:val="-20" w:id="-1032058614"/>
          <w:lang w:val="en-GB"/>
          <w14:textFill>
            <w14:solidFill>
              <w14:srgbClr w14:val="000000">
                <w14:alpha w14:val="100000"/>
              </w14:srgbClr>
            </w14:solidFill>
          </w14:textFill>
        </w:rPr>
        <w:t>|</w:t>
      </w:r>
      <w:r w:rsidR="00DC1E30" w:rsidRPr="0070023C">
        <w:rPr>
          <w:iCs/>
          <w:lang w:val="en-GB"/>
        </w:rPr>
        <w:t xml:space="preserve">. </w:t>
      </w:r>
      <w:r w:rsidR="001A33A0" w:rsidRPr="0070023C">
        <w:rPr>
          <w:iCs/>
          <w:lang w:val="en-GB"/>
        </w:rPr>
        <w:t>When wastage was included there was no difference in the cost per dose</w:t>
      </w:r>
      <w:r w:rsidR="00DC1E30" w:rsidRPr="0070023C">
        <w:rPr>
          <w:iCs/>
          <w:lang w:val="en-GB"/>
        </w:rPr>
        <w:t xml:space="preserve"> from changing the maximum quantity</w:t>
      </w:r>
      <w:r w:rsidR="001A33A0" w:rsidRPr="0070023C">
        <w:rPr>
          <w:iCs/>
          <w:lang w:val="en-GB"/>
        </w:rPr>
        <w:t xml:space="preserve"> (</w:t>
      </w:r>
      <w:r w:rsidR="001F3B65">
        <w:rPr>
          <w:iCs/>
          <w:lang w:val="en-GB"/>
        </w:rPr>
        <w:t>$</w:t>
      </w:r>
      <w:r w:rsidR="00D52BD6" w:rsidRPr="006D1797">
        <w:rPr>
          <w:iCs/>
          <w:color w:val="000000"/>
          <w:w w:val="15"/>
          <w:shd w:val="solid" w:color="000000" w:fill="000000"/>
          <w:fitText w:val="-20" w:id="-1032058613"/>
          <w:lang w:val="en-GB"/>
          <w14:textFill>
            <w14:solidFill>
              <w14:srgbClr w14:val="000000">
                <w14:alpha w14:val="100000"/>
              </w14:srgbClr>
            </w14:solidFill>
          </w14:textFill>
        </w:rPr>
        <w:t xml:space="preserve">|  </w:t>
      </w:r>
      <w:r w:rsidR="00D52BD6" w:rsidRPr="006D1797">
        <w:rPr>
          <w:iCs/>
          <w:color w:val="000000"/>
          <w:spacing w:val="-69"/>
          <w:w w:val="15"/>
          <w:shd w:val="solid" w:color="000000" w:fill="000000"/>
          <w:fitText w:val="-20" w:id="-1032058613"/>
          <w:lang w:val="en-GB"/>
          <w14:textFill>
            <w14:solidFill>
              <w14:srgbClr w14:val="000000">
                <w14:alpha w14:val="100000"/>
              </w14:srgbClr>
            </w14:solidFill>
          </w14:textFill>
        </w:rPr>
        <w:t>|</w:t>
      </w:r>
      <w:r w:rsidR="001A33A0" w:rsidRPr="0070023C">
        <w:rPr>
          <w:iCs/>
          <w:lang w:val="en-GB"/>
        </w:rPr>
        <w:t>).</w:t>
      </w:r>
    </w:p>
    <w:p w14:paraId="5BC0286D" w14:textId="1B87A3EB" w:rsidR="00174CF1" w:rsidRPr="00396E49" w:rsidRDefault="00174CF1" w:rsidP="00396E49">
      <w:pPr>
        <w:pStyle w:val="3-BodyText"/>
        <w:numPr>
          <w:ilvl w:val="0"/>
          <w:numId w:val="0"/>
        </w:numPr>
        <w:rPr>
          <w:u w:val="single"/>
          <w:lang w:eastAsia="en-US"/>
        </w:rPr>
      </w:pPr>
      <w:r w:rsidRPr="00396E49">
        <w:rPr>
          <w:u w:val="single"/>
          <w:lang w:eastAsia="en-US"/>
        </w:rPr>
        <w:t>Time horizon</w:t>
      </w:r>
    </w:p>
    <w:p w14:paraId="44442AEE" w14:textId="1152015A" w:rsidR="009847FE" w:rsidRDefault="00086EA5" w:rsidP="00CC6F1D">
      <w:pPr>
        <w:pStyle w:val="3-BodyText"/>
      </w:pPr>
      <w:bookmarkStart w:id="13" w:name="_Ref152148988"/>
      <w:r>
        <w:t xml:space="preserve">The resubmission reduced the time horizon from 10 years to 7 years. </w:t>
      </w:r>
      <w:r w:rsidRPr="0070023C">
        <w:t>This is not consistent with previous PBAC advice.</w:t>
      </w:r>
      <w:r w:rsidR="009847FE" w:rsidRPr="0070023C">
        <w:t xml:space="preserve"> </w:t>
      </w:r>
      <w:r w:rsidRPr="0070023C">
        <w:t>T</w:t>
      </w:r>
      <w:r w:rsidR="009847FE" w:rsidRPr="0070023C">
        <w:t>he PBAC</w:t>
      </w:r>
      <w:r w:rsidRPr="0070023C">
        <w:t xml:space="preserve"> previously</w:t>
      </w:r>
      <w:r w:rsidR="009847FE" w:rsidRPr="0070023C">
        <w:t xml:space="preserve"> considered if the proposed PBS population is aligned to the TROPiCS-02 trial a time horizon of 5 years would be more appropriate for a heavily pre-treated population (para 7.9, SG </w:t>
      </w:r>
      <w:r w:rsidR="00DE5ED8">
        <w:t>PSD</w:t>
      </w:r>
      <w:r w:rsidR="009847FE" w:rsidRPr="0070023C">
        <w:t>, July</w:t>
      </w:r>
      <w:r w:rsidR="00CC6F1D">
        <w:t> </w:t>
      </w:r>
      <w:r w:rsidR="009847FE" w:rsidRPr="0070023C">
        <w:t>2023 PBAC meeting).</w:t>
      </w:r>
      <w:bookmarkEnd w:id="13"/>
      <w:r w:rsidR="009847FE" w:rsidRPr="0070023C">
        <w:t xml:space="preserve"> </w:t>
      </w:r>
    </w:p>
    <w:p w14:paraId="1FC1938A" w14:textId="77777777" w:rsidR="00131DA5" w:rsidRDefault="00131DA5" w:rsidP="00CC6F1D">
      <w:pPr>
        <w:pStyle w:val="3-BodyText"/>
      </w:pPr>
      <w:bookmarkStart w:id="14" w:name="_Ref152154113"/>
      <w:r>
        <w:t>The resubmission provided two justifications for the extended time horizon:</w:t>
      </w:r>
      <w:bookmarkEnd w:id="14"/>
    </w:p>
    <w:p w14:paraId="2909ACEE" w14:textId="602A555B" w:rsidR="00131DA5" w:rsidRPr="00CC6F1D" w:rsidRDefault="009847FE" w:rsidP="00CC6F1D">
      <w:pPr>
        <w:pStyle w:val="ListParagraph"/>
      </w:pPr>
      <w:r w:rsidRPr="00CC6F1D">
        <w:t xml:space="preserve">The resubmission argued </w:t>
      </w:r>
      <w:r w:rsidR="008118B5" w:rsidRPr="00CC6F1D">
        <w:t xml:space="preserve">that </w:t>
      </w:r>
      <w:r w:rsidRPr="00CC6F1D">
        <w:t xml:space="preserve">the PBAC previously considered a 7-year time horizon was appropriate in its consideration of everolimus for this setting (Section 10, everolimus PSD, March 2013 PBAC meeting). </w:t>
      </w:r>
      <w:r w:rsidR="00EF0B19" w:rsidRPr="00CC6F1D">
        <w:t xml:space="preserve">The </w:t>
      </w:r>
      <w:r w:rsidR="000931B5" w:rsidRPr="00CC6F1D">
        <w:t xml:space="preserve">PBAC noted that the </w:t>
      </w:r>
      <w:r w:rsidR="00EF0B19" w:rsidRPr="00CC6F1D">
        <w:t xml:space="preserve">everolimus submission sought listing for post-menopausal women with HR+/HER2- advanced breast cancer after failure of an aromatase inhibitor (letrozole or anastrozole), therefore </w:t>
      </w:r>
      <w:r w:rsidR="001B5699" w:rsidRPr="00CC6F1D">
        <w:t xml:space="preserve">it </w:t>
      </w:r>
      <w:r w:rsidR="00EF0B19" w:rsidRPr="00CC6F1D">
        <w:t>would be considered earlier in the clinical pathway compared with SG.</w:t>
      </w:r>
      <w:r w:rsidR="001B5699" w:rsidRPr="00CC6F1D">
        <w:t xml:space="preserve"> </w:t>
      </w:r>
      <w:r w:rsidR="00AD0418" w:rsidRPr="00CC6F1D">
        <w:t>The</w:t>
      </w:r>
      <w:r w:rsidR="003562D2" w:rsidRPr="00CC6F1D">
        <w:t xml:space="preserve"> PBAC </w:t>
      </w:r>
      <w:r w:rsidR="00AD0418" w:rsidRPr="00CC6F1D">
        <w:t>also noted</w:t>
      </w:r>
      <w:r w:rsidR="003562D2" w:rsidRPr="00CC6F1D">
        <w:t xml:space="preserve"> that </w:t>
      </w:r>
      <w:r w:rsidR="00007DE3" w:rsidRPr="00CC6F1D">
        <w:t>the clinical claim for the everolimus submission was based on the</w:t>
      </w:r>
      <w:r w:rsidR="003562D2" w:rsidRPr="00CC6F1D">
        <w:t xml:space="preserve"> BOLERO-2 trial</w:t>
      </w:r>
      <w:r w:rsidR="00007DE3" w:rsidRPr="00CC6F1D">
        <w:t>, which included patients</w:t>
      </w:r>
      <w:r w:rsidR="003562D2" w:rsidRPr="00CC6F1D">
        <w:t xml:space="preserve"> earlier in the MBC disease course compared to</w:t>
      </w:r>
      <w:r w:rsidR="00AD0418" w:rsidRPr="00CC6F1D">
        <w:t xml:space="preserve"> patients in</w:t>
      </w:r>
      <w:r w:rsidR="003562D2" w:rsidRPr="00CC6F1D">
        <w:t xml:space="preserve"> the TROPiCS-02 trial, </w:t>
      </w:r>
      <w:r w:rsidR="00AD0418" w:rsidRPr="00CC6F1D">
        <w:t>as</w:t>
      </w:r>
      <w:r w:rsidR="003562D2" w:rsidRPr="00CC6F1D">
        <w:t xml:space="preserve"> only 26% of patients had received chemotherapy for metastatic disease compared to </w:t>
      </w:r>
      <w:r w:rsidR="00AD0418" w:rsidRPr="00CC6F1D">
        <w:t>all patients</w:t>
      </w:r>
      <w:r w:rsidR="003562D2" w:rsidRPr="00CC6F1D">
        <w:t xml:space="preserve"> in the TROPiCS-02</w:t>
      </w:r>
      <w:r w:rsidR="00007DE3" w:rsidRPr="00CC6F1D">
        <w:t xml:space="preserve"> </w:t>
      </w:r>
      <w:r w:rsidR="00335163" w:rsidRPr="00CC6F1D">
        <w:t>trial that were</w:t>
      </w:r>
      <w:r w:rsidR="00007DE3" w:rsidRPr="00CC6F1D">
        <w:t xml:space="preserve"> refractory to or relapsed after at least 2 chemotherapy regimens for metastatic disease</w:t>
      </w:r>
      <w:r w:rsidR="003562D2" w:rsidRPr="00CC6F1D">
        <w:t xml:space="preserve">. </w:t>
      </w:r>
    </w:p>
    <w:p w14:paraId="3E71F2B1" w14:textId="46032854" w:rsidR="009847FE" w:rsidRPr="00CC6F1D" w:rsidRDefault="00086EA5" w:rsidP="00CC6F1D">
      <w:pPr>
        <w:pStyle w:val="ListParagraph"/>
      </w:pPr>
      <w:r w:rsidRPr="00CC6F1D">
        <w:t xml:space="preserve">The resubmission further argued that </w:t>
      </w:r>
      <w:r w:rsidR="009847FE" w:rsidRPr="00CC6F1D">
        <w:t xml:space="preserve">the model predicts 5.8% of </w:t>
      </w:r>
      <w:r w:rsidRPr="00CC6F1D">
        <w:t xml:space="preserve">SG </w:t>
      </w:r>
      <w:r w:rsidR="009847FE" w:rsidRPr="00CC6F1D">
        <w:t xml:space="preserve">patients </w:t>
      </w:r>
      <w:r w:rsidRPr="00CC6F1D">
        <w:t>remain</w:t>
      </w:r>
      <w:r w:rsidR="009847FE" w:rsidRPr="00CC6F1D">
        <w:t xml:space="preserve"> alive at 5 years using the log-logistic distribution</w:t>
      </w:r>
      <w:r w:rsidR="00843779" w:rsidRPr="00CC6F1D">
        <w:t xml:space="preserve"> and argued that this </w:t>
      </w:r>
      <w:r w:rsidR="00843779" w:rsidRPr="00CC6F1D">
        <w:lastRenderedPageBreak/>
        <w:t>should be a sufficient basis for a longer time horizon</w:t>
      </w:r>
      <w:r w:rsidR="00131DA5" w:rsidRPr="00CC6F1D">
        <w:t>.</w:t>
      </w:r>
      <w:r w:rsidR="0079124D" w:rsidRPr="00CC6F1D">
        <w:t xml:space="preserve"> </w:t>
      </w:r>
      <w:r w:rsidR="00494263" w:rsidRPr="00CC6F1D">
        <w:t xml:space="preserve">The </w:t>
      </w:r>
      <w:r w:rsidR="000931B5" w:rsidRPr="00CC6F1D">
        <w:t xml:space="preserve">PBAC noted that the </w:t>
      </w:r>
      <w:r w:rsidR="00494263" w:rsidRPr="00CC6F1D">
        <w:t xml:space="preserve">pre-PBAC response reiterated this point, </w:t>
      </w:r>
      <w:r w:rsidR="007426BB" w:rsidRPr="00CC6F1D">
        <w:t xml:space="preserve">and </w:t>
      </w:r>
      <w:r w:rsidR="000931B5" w:rsidRPr="00CC6F1D">
        <w:t xml:space="preserve">also </w:t>
      </w:r>
      <w:r w:rsidR="00B554A2" w:rsidRPr="00CC6F1D">
        <w:t>noted</w:t>
      </w:r>
      <w:r w:rsidR="00494263" w:rsidRPr="00CC6F1D">
        <w:t xml:space="preserve"> that updated survival data</w:t>
      </w:r>
      <w:r w:rsidR="00B442E8" w:rsidRPr="00CC6F1D">
        <w:t xml:space="preserve">, </w:t>
      </w:r>
      <w:r w:rsidR="00494263" w:rsidRPr="00CC6F1D">
        <w:t xml:space="preserve">although not included in the economic model, </w:t>
      </w:r>
      <w:r w:rsidR="00B554A2" w:rsidRPr="00CC6F1D">
        <w:t>were</w:t>
      </w:r>
      <w:r w:rsidR="00494263" w:rsidRPr="00CC6F1D">
        <w:t xml:space="preserve"> more mature and consistent with the log-logistic extrapolation</w:t>
      </w:r>
      <w:r w:rsidR="00AB0628" w:rsidRPr="00CC6F1D">
        <w:t>.</w:t>
      </w:r>
      <w:r w:rsidR="00494263" w:rsidRPr="00CC6F1D">
        <w:t xml:space="preserve"> </w:t>
      </w:r>
      <w:r w:rsidR="000931B5" w:rsidRPr="00CC6F1D">
        <w:t xml:space="preserve">However, the PBAC </w:t>
      </w:r>
      <w:r w:rsidR="00335163" w:rsidRPr="00CC6F1D">
        <w:t>noted</w:t>
      </w:r>
      <w:r w:rsidR="000931B5" w:rsidRPr="00CC6F1D">
        <w:t xml:space="preserve"> that the modelled extrapolation of OS </w:t>
      </w:r>
      <w:r w:rsidR="00843779" w:rsidRPr="00CC6F1D">
        <w:t xml:space="preserve">for patients treated with SG beyond 30 months </w:t>
      </w:r>
      <w:r w:rsidR="00335163" w:rsidRPr="00CC6F1D">
        <w:t>w</w:t>
      </w:r>
      <w:r w:rsidR="00843779" w:rsidRPr="00CC6F1D">
        <w:t>as</w:t>
      </w:r>
      <w:r w:rsidR="00157199" w:rsidRPr="00CC6F1D">
        <w:t xml:space="preserve"> uncertain</w:t>
      </w:r>
      <w:r w:rsidR="00843779" w:rsidRPr="00CC6F1D">
        <w:t xml:space="preserve"> and was not a sufficient basis for use of a time horizon beyond 5 years</w:t>
      </w:r>
      <w:r w:rsidR="00157199" w:rsidRPr="00CC6F1D">
        <w:t xml:space="preserve">. </w:t>
      </w:r>
    </w:p>
    <w:p w14:paraId="612F5192" w14:textId="53602FAA" w:rsidR="00A345F0" w:rsidRPr="00494263" w:rsidRDefault="0032703D" w:rsidP="00335163">
      <w:pPr>
        <w:pStyle w:val="3-BodyText"/>
        <w:keepNext/>
        <w:numPr>
          <w:ilvl w:val="0"/>
          <w:numId w:val="0"/>
        </w:numPr>
        <w:ind w:left="720" w:hanging="720"/>
        <w:rPr>
          <w:u w:val="single"/>
          <w:lang w:eastAsia="en-US"/>
        </w:rPr>
      </w:pPr>
      <w:r w:rsidRPr="00494263">
        <w:rPr>
          <w:u w:val="single"/>
          <w:lang w:eastAsia="en-US"/>
        </w:rPr>
        <w:t xml:space="preserve">Kaplan-Meier </w:t>
      </w:r>
      <w:r w:rsidR="00B96E93" w:rsidRPr="00494263">
        <w:rPr>
          <w:u w:val="single"/>
          <w:lang w:eastAsia="en-US"/>
        </w:rPr>
        <w:t xml:space="preserve">overall survival </w:t>
      </w:r>
      <w:r w:rsidRPr="00494263">
        <w:rPr>
          <w:u w:val="single"/>
          <w:lang w:eastAsia="en-US"/>
        </w:rPr>
        <w:t>data truncation point</w:t>
      </w:r>
    </w:p>
    <w:p w14:paraId="111697A7" w14:textId="05632B1F" w:rsidR="00B60744" w:rsidRDefault="00B96E93" w:rsidP="00CC6F1D">
      <w:pPr>
        <w:pStyle w:val="3-BodyText"/>
        <w:rPr>
          <w:rFonts w:cstheme="minorHAnsi"/>
          <w:szCs w:val="20"/>
        </w:rPr>
      </w:pPr>
      <w:r>
        <w:t xml:space="preserve">The data truncation point for overall survival was increased from </w:t>
      </w:r>
      <w:r w:rsidRPr="00451998">
        <w:t>13.1 months</w:t>
      </w:r>
      <w:r w:rsidR="00F1748B">
        <w:t xml:space="preserve"> to </w:t>
      </w:r>
      <w:r w:rsidRPr="00451998">
        <w:t>30</w:t>
      </w:r>
      <w:r w:rsidR="00CC6F1D">
        <w:t> </w:t>
      </w:r>
      <w:r w:rsidRPr="00451998">
        <w:t>months</w:t>
      </w:r>
      <w:r w:rsidR="00F1748B">
        <w:t xml:space="preserve">. </w:t>
      </w:r>
      <w:r w:rsidR="00F1748B" w:rsidRPr="0070023C">
        <w:t>This is consistent with previous PBAC advice</w:t>
      </w:r>
      <w:r w:rsidRPr="0070023C">
        <w:t xml:space="preserve"> (para 7.9, </w:t>
      </w:r>
      <w:r w:rsidRPr="0070023C">
        <w:rPr>
          <w:rFonts w:cstheme="minorHAnsi"/>
          <w:szCs w:val="20"/>
        </w:rPr>
        <w:t xml:space="preserve">SG </w:t>
      </w:r>
      <w:r w:rsidR="00DE5ED8">
        <w:rPr>
          <w:rFonts w:cstheme="minorHAnsi"/>
          <w:szCs w:val="20"/>
        </w:rPr>
        <w:t>PSD</w:t>
      </w:r>
      <w:r w:rsidRPr="0070023C">
        <w:rPr>
          <w:rFonts w:cstheme="minorHAnsi"/>
          <w:szCs w:val="20"/>
        </w:rPr>
        <w:t>, July</w:t>
      </w:r>
      <w:r w:rsidR="00CC6F1D">
        <w:rPr>
          <w:rFonts w:cstheme="minorHAnsi"/>
          <w:szCs w:val="20"/>
        </w:rPr>
        <w:t> </w:t>
      </w:r>
      <w:r w:rsidRPr="0070023C">
        <w:rPr>
          <w:rFonts w:cstheme="minorHAnsi"/>
          <w:szCs w:val="20"/>
        </w:rPr>
        <w:t>2023 PBAC meeting).</w:t>
      </w:r>
      <w:r w:rsidR="00F1748B">
        <w:rPr>
          <w:rFonts w:cstheme="minorHAnsi"/>
          <w:szCs w:val="20"/>
        </w:rPr>
        <w:t xml:space="preserve"> </w:t>
      </w:r>
    </w:p>
    <w:p w14:paraId="4D7814EE" w14:textId="4D67F244" w:rsidR="00EC2222" w:rsidRPr="00EC2222" w:rsidRDefault="00F1748B" w:rsidP="00CC6F1D">
      <w:pPr>
        <w:pStyle w:val="3-BodyText"/>
      </w:pPr>
      <w:r>
        <w:t xml:space="preserve">The KM </w:t>
      </w:r>
      <w:r w:rsidR="00B60744">
        <w:t xml:space="preserve">OS </w:t>
      </w:r>
      <w:r>
        <w:t>data with projected extrapolation over the model</w:t>
      </w:r>
      <w:r w:rsidR="00B60744">
        <w:t>led</w:t>
      </w:r>
      <w:r>
        <w:t xml:space="preserve"> time horizon (84</w:t>
      </w:r>
      <w:r w:rsidR="00CC6F1D">
        <w:t> </w:t>
      </w:r>
      <w:r>
        <w:t xml:space="preserve">months [7 years]) is shown </w:t>
      </w:r>
      <w:r w:rsidRPr="00B60744">
        <w:t xml:space="preserve">in </w:t>
      </w:r>
      <w:r w:rsidR="00B60744" w:rsidRPr="00B60744">
        <w:fldChar w:fldCharType="begin" w:fldLock="1"/>
      </w:r>
      <w:r w:rsidR="00B60744" w:rsidRPr="00B60744">
        <w:instrText xml:space="preserve"> REF _Ref132276943 \h  \* MERGEFORMAT </w:instrText>
      </w:r>
      <w:r w:rsidR="00B60744" w:rsidRPr="00B60744">
        <w:fldChar w:fldCharType="separate"/>
      </w:r>
      <w:r w:rsidR="0086428F" w:rsidRPr="0086428F">
        <w:t>Figure 1</w:t>
      </w:r>
      <w:r w:rsidR="00B60744" w:rsidRPr="00B60744">
        <w:fldChar w:fldCharType="end"/>
      </w:r>
      <w:r w:rsidR="00B60744" w:rsidRPr="00B60744">
        <w:t>.</w:t>
      </w:r>
    </w:p>
    <w:p w14:paraId="440AB24E" w14:textId="0A0ADC51" w:rsidR="00F1748B" w:rsidRPr="00F1748B" w:rsidRDefault="00F1748B" w:rsidP="001F3B65">
      <w:pPr>
        <w:pStyle w:val="3-BodyText"/>
        <w:keepNext/>
        <w:numPr>
          <w:ilvl w:val="0"/>
          <w:numId w:val="0"/>
        </w:numPr>
        <w:spacing w:after="0"/>
        <w:rPr>
          <w:rStyle w:val="CommentReference"/>
          <w:bCs/>
          <w:szCs w:val="24"/>
        </w:rPr>
      </w:pPr>
      <w:bookmarkStart w:id="15" w:name="_Ref132276943"/>
      <w:r w:rsidRPr="00F1748B">
        <w:rPr>
          <w:rStyle w:val="CommentReference"/>
          <w:bCs/>
          <w:szCs w:val="24"/>
        </w:rPr>
        <w:t xml:space="preserve">Figure </w:t>
      </w:r>
      <w:r w:rsidRPr="00F1748B">
        <w:rPr>
          <w:rStyle w:val="CommentReference"/>
          <w:bCs/>
          <w:szCs w:val="24"/>
        </w:rPr>
        <w:fldChar w:fldCharType="begin" w:fldLock="1"/>
      </w:r>
      <w:r w:rsidRPr="00F1748B">
        <w:rPr>
          <w:rStyle w:val="CommentReference"/>
          <w:bCs/>
          <w:szCs w:val="24"/>
        </w:rPr>
        <w:instrText xml:space="preserve"> SEQ Figure \* ARABIC </w:instrText>
      </w:r>
      <w:r w:rsidRPr="00F1748B">
        <w:rPr>
          <w:rStyle w:val="CommentReference"/>
          <w:bCs/>
          <w:szCs w:val="24"/>
        </w:rPr>
        <w:fldChar w:fldCharType="separate"/>
      </w:r>
      <w:r w:rsidR="0086428F">
        <w:rPr>
          <w:rStyle w:val="CommentReference"/>
          <w:bCs/>
          <w:noProof/>
          <w:szCs w:val="24"/>
        </w:rPr>
        <w:t>1</w:t>
      </w:r>
      <w:r w:rsidRPr="00F1748B">
        <w:rPr>
          <w:rStyle w:val="CommentReference"/>
          <w:bCs/>
          <w:szCs w:val="24"/>
        </w:rPr>
        <w:fldChar w:fldCharType="end"/>
      </w:r>
      <w:bookmarkEnd w:id="15"/>
      <w:r w:rsidRPr="00F1748B">
        <w:rPr>
          <w:rStyle w:val="CommentReference"/>
          <w:bCs/>
          <w:szCs w:val="24"/>
        </w:rPr>
        <w:t>:</w:t>
      </w:r>
      <w:r>
        <w:rPr>
          <w:rStyle w:val="CommentReference"/>
          <w:bCs/>
          <w:szCs w:val="24"/>
        </w:rPr>
        <w:t xml:space="preserve"> Projected overall survival and KM OS data</w:t>
      </w:r>
    </w:p>
    <w:p w14:paraId="3996B982" w14:textId="0D221691" w:rsidR="00F1748B" w:rsidRDefault="00F1748B" w:rsidP="004D0BA3">
      <w:pPr>
        <w:pStyle w:val="ListBullet"/>
        <w:jc w:val="left"/>
        <w:rPr>
          <w:lang w:eastAsia="en-US"/>
        </w:rPr>
      </w:pPr>
      <w:r>
        <w:rPr>
          <w:noProof/>
          <w:lang w:eastAsia="en-US"/>
        </w:rPr>
        <w:drawing>
          <wp:inline distT="0" distB="0" distL="0" distR="0" wp14:anchorId="754825B4" wp14:editId="4003C012">
            <wp:extent cx="4577075" cy="2829464"/>
            <wp:effectExtent l="0" t="0" r="0" b="9525"/>
            <wp:docPr id="1" name="Picture 1" descr="Figure 1: Projected overall survival and KM OS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rojected overall survival and KM OS da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9134" cy="2836918"/>
                    </a:xfrm>
                    <a:prstGeom prst="rect">
                      <a:avLst/>
                    </a:prstGeom>
                    <a:noFill/>
                    <a:ln>
                      <a:noFill/>
                    </a:ln>
                  </pic:spPr>
                </pic:pic>
              </a:graphicData>
            </a:graphic>
          </wp:inline>
        </w:drawing>
      </w:r>
    </w:p>
    <w:p w14:paraId="6FC86388" w14:textId="699275B3" w:rsidR="00F1748B" w:rsidRDefault="00F1748B" w:rsidP="00F1748B">
      <w:pPr>
        <w:pStyle w:val="TableFigureFooter"/>
        <w:rPr>
          <w:szCs w:val="24"/>
        </w:rPr>
      </w:pPr>
      <w:r w:rsidRPr="00F1748B">
        <w:rPr>
          <w:szCs w:val="24"/>
        </w:rPr>
        <w:t>Source: Trodelvy HRHER2 mBC August 2023 Resubmission Economic Model.xlsm</w:t>
      </w:r>
    </w:p>
    <w:p w14:paraId="32BA3330" w14:textId="10CA4A08" w:rsidR="00B60744" w:rsidRDefault="00B60744" w:rsidP="00F1748B">
      <w:pPr>
        <w:pStyle w:val="TableFigureFooter"/>
        <w:rPr>
          <w:szCs w:val="24"/>
        </w:rPr>
      </w:pPr>
      <w:r>
        <w:rPr>
          <w:szCs w:val="24"/>
        </w:rPr>
        <w:t>KM: Kaplan-Meier; OS: overall survival</w:t>
      </w:r>
      <w:r w:rsidR="005C7424">
        <w:rPr>
          <w:szCs w:val="24"/>
        </w:rPr>
        <w:t xml:space="preserve">; </w:t>
      </w:r>
      <w:r w:rsidR="005C7424" w:rsidRPr="00E74297">
        <w:rPr>
          <w:rFonts w:cstheme="minorHAnsi"/>
          <w:iCs/>
          <w:szCs w:val="20"/>
        </w:rPr>
        <w:t>TPC</w:t>
      </w:r>
      <w:r w:rsidR="005C7424">
        <w:rPr>
          <w:rFonts w:cstheme="minorHAnsi"/>
          <w:iCs/>
          <w:szCs w:val="20"/>
        </w:rPr>
        <w:t xml:space="preserve">, </w:t>
      </w:r>
      <w:r w:rsidR="005C7424" w:rsidRPr="00E74297">
        <w:rPr>
          <w:rFonts w:cstheme="minorHAnsi"/>
          <w:szCs w:val="20"/>
        </w:rPr>
        <w:t>treatment of physician’s choice</w:t>
      </w:r>
    </w:p>
    <w:p w14:paraId="5BB2E3DF" w14:textId="7DD0ED9E" w:rsidR="00D927B4" w:rsidRPr="00494263" w:rsidRDefault="00D927B4" w:rsidP="00CC6F1D">
      <w:pPr>
        <w:pStyle w:val="3-BodyText"/>
        <w:keepNext/>
        <w:numPr>
          <w:ilvl w:val="0"/>
          <w:numId w:val="0"/>
        </w:numPr>
        <w:ind w:left="720" w:hanging="720"/>
        <w:rPr>
          <w:u w:val="single"/>
          <w:lang w:eastAsia="en-US"/>
        </w:rPr>
      </w:pPr>
      <w:r w:rsidRPr="00494263">
        <w:rPr>
          <w:u w:val="single"/>
          <w:lang w:eastAsia="en-US"/>
        </w:rPr>
        <w:t>Kaplan-Meier TTD data truncation point</w:t>
      </w:r>
    </w:p>
    <w:p w14:paraId="520DFC92" w14:textId="0BB41884" w:rsidR="004B14C6" w:rsidRDefault="00D927B4" w:rsidP="00CC6F1D">
      <w:pPr>
        <w:pStyle w:val="3-BodyText"/>
      </w:pPr>
      <w:bookmarkStart w:id="16" w:name="_Ref152151261"/>
      <w:r w:rsidRPr="00E74297">
        <w:t xml:space="preserve">The </w:t>
      </w:r>
      <w:r>
        <w:t xml:space="preserve">July 2023 </w:t>
      </w:r>
      <w:r w:rsidRPr="00E74297">
        <w:t xml:space="preserve">economic model </w:t>
      </w:r>
      <w:r w:rsidR="004B14C6">
        <w:t>applied</w:t>
      </w:r>
      <w:r w:rsidRPr="00E74297">
        <w:t xml:space="preserve"> TTD </w:t>
      </w:r>
      <w:r w:rsidR="004B14C6">
        <w:t xml:space="preserve">KM </w:t>
      </w:r>
      <w:r w:rsidRPr="00E74297">
        <w:t xml:space="preserve">data from TROPiCS-02 up to the mean follow-up time (13.1 months), then dependent exponential distributions were used for parametric extrapolation over the remaining time horizon. The PBAC </w:t>
      </w:r>
      <w:r>
        <w:t xml:space="preserve">previously </w:t>
      </w:r>
      <w:r w:rsidRPr="00E74297">
        <w:t>considered that as TTD data were mature (2%</w:t>
      </w:r>
      <w:r>
        <w:t> </w:t>
      </w:r>
      <w:r w:rsidRPr="00E74297">
        <w:t>and 1% of patients remaining on treatment in the SG and TPC arms at the end of the observed period), TTD data without extrapolation should be used</w:t>
      </w:r>
      <w:r w:rsidR="004B14C6">
        <w:t xml:space="preserve"> (para 7.9, </w:t>
      </w:r>
      <w:r w:rsidR="004B14C6" w:rsidRPr="00451998">
        <w:t xml:space="preserve">SG </w:t>
      </w:r>
      <w:r w:rsidR="00DE5ED8">
        <w:t>PSD</w:t>
      </w:r>
      <w:r w:rsidR="004B14C6" w:rsidRPr="00451998">
        <w:t>, July 2023 PBAC meeting)</w:t>
      </w:r>
      <w:r w:rsidR="004B14C6">
        <w:t xml:space="preserve">. </w:t>
      </w:r>
      <w:r w:rsidR="004B14C6" w:rsidRPr="0070023C">
        <w:rPr>
          <w:iCs/>
        </w:rPr>
        <w:t>The data truncation point for TTD in the resubmission remains unchanged.</w:t>
      </w:r>
      <w:bookmarkEnd w:id="16"/>
    </w:p>
    <w:p w14:paraId="465DEEB0" w14:textId="0E8C597E" w:rsidR="004B14C6" w:rsidRPr="004B14C6" w:rsidRDefault="004B14C6" w:rsidP="00CC6F1D">
      <w:pPr>
        <w:pStyle w:val="3-BodyText"/>
      </w:pPr>
      <w:bookmarkStart w:id="17" w:name="_Ref152151269"/>
      <w:r>
        <w:t xml:space="preserve">The </w:t>
      </w:r>
      <w:r w:rsidR="000B32BE">
        <w:t xml:space="preserve">PBAC noted the </w:t>
      </w:r>
      <w:r>
        <w:t>resubmission</w:t>
      </w:r>
      <w:r w:rsidR="0056435A">
        <w:t xml:space="preserve"> </w:t>
      </w:r>
      <w:r w:rsidR="000B32BE">
        <w:t xml:space="preserve">argued </w:t>
      </w:r>
      <w:r w:rsidR="0056435A">
        <w:t>that the</w:t>
      </w:r>
      <w:r w:rsidR="0056435A" w:rsidRPr="00926039">
        <w:t xml:space="preserve"> KM estimates become unreliable towards the tail of the curve as very few patients remain</w:t>
      </w:r>
      <w:r w:rsidR="0056435A">
        <w:t>ed</w:t>
      </w:r>
      <w:r w:rsidR="0056435A" w:rsidRPr="00926039">
        <w:t xml:space="preserve"> at risk. </w:t>
      </w:r>
      <w:r w:rsidR="000D0E8A">
        <w:t>The</w:t>
      </w:r>
      <w:r w:rsidR="0056435A">
        <w:t xml:space="preserve"> resubmission </w:t>
      </w:r>
      <w:r w:rsidR="0056435A">
        <w:lastRenderedPageBreak/>
        <w:t xml:space="preserve">argued that </w:t>
      </w:r>
      <w:r w:rsidR="00506913">
        <w:t>the chosen data truncation point was</w:t>
      </w:r>
      <w:r w:rsidR="000D0E8A">
        <w:t xml:space="preserve"> consistent with </w:t>
      </w:r>
      <w:r w:rsidR="0056435A">
        <w:t>the</w:t>
      </w:r>
      <w:r w:rsidR="0056435A" w:rsidRPr="00926039">
        <w:t xml:space="preserve"> PBAC guidelines</w:t>
      </w:r>
      <w:r w:rsidR="0056435A">
        <w:t xml:space="preserve"> </w:t>
      </w:r>
      <w:r w:rsidR="000D0E8A">
        <w:t xml:space="preserve">that </w:t>
      </w:r>
      <w:r w:rsidR="0056435A">
        <w:t>state that</w:t>
      </w:r>
      <w:r w:rsidR="0056435A" w:rsidRPr="00926039">
        <w:t xml:space="preserve"> KM data </w:t>
      </w:r>
      <w:r w:rsidR="0056435A">
        <w:t>may be</w:t>
      </w:r>
      <w:r w:rsidR="0056435A" w:rsidRPr="00926039">
        <w:t xml:space="preserve"> extrapolated using parametric function </w:t>
      </w:r>
      <w:r w:rsidR="000D0E8A">
        <w:t>from</w:t>
      </w:r>
      <w:r w:rsidR="0056435A" w:rsidRPr="00926039">
        <w:t xml:space="preserve"> the point where </w:t>
      </w:r>
      <w:r w:rsidR="000D0E8A">
        <w:t xml:space="preserve">there are a small number </w:t>
      </w:r>
      <w:r w:rsidR="009F3340">
        <w:t xml:space="preserve">of </w:t>
      </w:r>
      <w:r w:rsidR="0056435A" w:rsidRPr="00926039">
        <w:t>patients remain</w:t>
      </w:r>
      <w:r w:rsidR="000D0E8A">
        <w:t>ing</w:t>
      </w:r>
      <w:r w:rsidR="0056435A" w:rsidRPr="00926039">
        <w:t xml:space="preserve"> at risk and </w:t>
      </w:r>
      <w:r w:rsidR="000D0E8A">
        <w:t>the observed</w:t>
      </w:r>
      <w:r w:rsidR="0056435A" w:rsidRPr="00926039">
        <w:t xml:space="preserve"> data </w:t>
      </w:r>
      <w:r w:rsidR="000D0E8A">
        <w:t xml:space="preserve">is no longer </w:t>
      </w:r>
      <w:r w:rsidR="0056435A" w:rsidRPr="00926039">
        <w:t>reliable. The</w:t>
      </w:r>
      <w:r w:rsidR="0056435A">
        <w:t xml:space="preserve"> resubmission</w:t>
      </w:r>
      <w:r w:rsidR="00506913">
        <w:t xml:space="preserve"> also</w:t>
      </w:r>
      <w:r w:rsidR="0056435A">
        <w:t xml:space="preserve"> noted that the</w:t>
      </w:r>
      <w:r w:rsidR="0056435A" w:rsidRPr="00926039">
        <w:t xml:space="preserve"> impact of using only KM estimates for treatment duration </w:t>
      </w:r>
      <w:r w:rsidR="0056435A">
        <w:t>on the incremental cost-effectiveness ratio was small</w:t>
      </w:r>
      <w:r w:rsidR="00C36CF2">
        <w:t xml:space="preserve"> (</w:t>
      </w:r>
      <w:r w:rsidR="00C36CF2" w:rsidRPr="0070023C">
        <w:rPr>
          <w:iCs/>
        </w:rPr>
        <w:t>2% increase</w:t>
      </w:r>
      <w:r w:rsidR="00C36CF2">
        <w:t>)</w:t>
      </w:r>
      <w:r w:rsidR="0056435A">
        <w:t>.</w:t>
      </w:r>
      <w:r w:rsidR="000B32BE">
        <w:t xml:space="preserve"> </w:t>
      </w:r>
      <w:r w:rsidR="00335163">
        <w:t>The PBAC reiterated that given the</w:t>
      </w:r>
      <w:r w:rsidR="00855245">
        <w:t xml:space="preserve"> TTD data were mature,</w:t>
      </w:r>
      <w:r w:rsidR="00335163">
        <w:t xml:space="preserve"> the economic model should include the complete</w:t>
      </w:r>
      <w:r w:rsidR="00855245" w:rsidRPr="000B32BE">
        <w:t xml:space="preserve"> KM </w:t>
      </w:r>
      <w:r w:rsidR="00335163">
        <w:t>curve</w:t>
      </w:r>
      <w:r w:rsidR="00855245" w:rsidRPr="000B32BE">
        <w:t xml:space="preserve"> without extrapolation and </w:t>
      </w:r>
      <w:r w:rsidR="00335163">
        <w:t xml:space="preserve">noted that </w:t>
      </w:r>
      <w:r w:rsidR="00855245" w:rsidRPr="000B32BE">
        <w:t xml:space="preserve">in this case low </w:t>
      </w:r>
      <w:r w:rsidR="00855245">
        <w:t xml:space="preserve">patient </w:t>
      </w:r>
      <w:r w:rsidR="00855245" w:rsidRPr="000B32BE">
        <w:t>number</w:t>
      </w:r>
      <w:r w:rsidR="00855245">
        <w:t>s</w:t>
      </w:r>
      <w:r w:rsidR="00855245" w:rsidRPr="000B32BE">
        <w:t xml:space="preserve"> at risk</w:t>
      </w:r>
      <w:r w:rsidR="00335163">
        <w:t xml:space="preserve"> does not</w:t>
      </w:r>
      <w:r w:rsidR="00855245" w:rsidRPr="000B32BE">
        <w:t xml:space="preserve"> </w:t>
      </w:r>
      <w:r w:rsidR="00855245">
        <w:t>indicat</w:t>
      </w:r>
      <w:r w:rsidR="007C20A2">
        <w:t>e</w:t>
      </w:r>
      <w:r w:rsidR="00335163">
        <w:t xml:space="preserve"> that the data are no longer reliable, </w:t>
      </w:r>
      <w:bookmarkEnd w:id="17"/>
      <w:r w:rsidR="007A48BD">
        <w:t>as very few patients remain on treatment</w:t>
      </w:r>
      <w:r w:rsidR="00335163">
        <w:t>.</w:t>
      </w:r>
    </w:p>
    <w:p w14:paraId="13283597" w14:textId="77777777" w:rsidR="00D927B4" w:rsidRPr="00396E49" w:rsidRDefault="00D927B4" w:rsidP="00396E49">
      <w:pPr>
        <w:pStyle w:val="3-BodyText"/>
        <w:numPr>
          <w:ilvl w:val="0"/>
          <w:numId w:val="0"/>
        </w:numPr>
        <w:rPr>
          <w:u w:val="single"/>
          <w:lang w:eastAsia="en-US"/>
        </w:rPr>
      </w:pPr>
      <w:r w:rsidRPr="00396E49">
        <w:rPr>
          <w:u w:val="single"/>
          <w:lang w:eastAsia="en-US"/>
        </w:rPr>
        <w:t>Quality-of-life data</w:t>
      </w:r>
    </w:p>
    <w:p w14:paraId="792B1A48" w14:textId="57DA62A8" w:rsidR="00D927B4" w:rsidRPr="00461F96" w:rsidRDefault="00D927B4" w:rsidP="00CC6F1D">
      <w:pPr>
        <w:pStyle w:val="3-BodyText"/>
        <w:rPr>
          <w:rFonts w:cstheme="minorHAnsi"/>
          <w:szCs w:val="20"/>
        </w:rPr>
      </w:pPr>
      <w:r>
        <w:t>Health-related QoL</w:t>
      </w:r>
      <w:r w:rsidRPr="00451998">
        <w:t xml:space="preserve"> data were captured in the TROPiCS-02 trial, however the base case </w:t>
      </w:r>
      <w:r>
        <w:t xml:space="preserve">of the July 2023 economic model </w:t>
      </w:r>
      <w:r w:rsidRPr="00451998">
        <w:t>included health state utilities that were sourced from the economic evaluation of SG vs TPC for mTNBC.</w:t>
      </w:r>
      <w:r>
        <w:t xml:space="preserve"> </w:t>
      </w:r>
      <w:r w:rsidRPr="00451998">
        <w:t xml:space="preserve">The PBAC </w:t>
      </w:r>
      <w:r>
        <w:t xml:space="preserve">previously </w:t>
      </w:r>
      <w:r w:rsidRPr="00451998">
        <w:t>considered that the economic model should apply utility values from the TROPiCS-02 trial</w:t>
      </w:r>
      <w:r>
        <w:t xml:space="preserve"> </w:t>
      </w:r>
      <w:r w:rsidRPr="00451998">
        <w:t xml:space="preserve">and considered that utilities in TNBC </w:t>
      </w:r>
      <w:r>
        <w:t xml:space="preserve">were </w:t>
      </w:r>
      <w:r w:rsidRPr="00451998">
        <w:t>not applicable to the HR+ setti</w:t>
      </w:r>
      <w:r>
        <w:t xml:space="preserve">ng (para 7.9, </w:t>
      </w:r>
      <w:r w:rsidRPr="00451998">
        <w:t xml:space="preserve">SG </w:t>
      </w:r>
      <w:r w:rsidR="00DE5ED8">
        <w:t>PSD</w:t>
      </w:r>
      <w:r w:rsidRPr="00451998">
        <w:t>, July 2023 PBAC meeting).</w:t>
      </w:r>
      <w:r w:rsidR="00461F96">
        <w:t xml:space="preserve"> </w:t>
      </w:r>
      <w:r w:rsidRPr="004D0BA3">
        <w:t xml:space="preserve">The resubmission applied </w:t>
      </w:r>
      <w:r>
        <w:t xml:space="preserve">health state </w:t>
      </w:r>
      <w:r w:rsidRPr="004D0BA3">
        <w:t>utility values</w:t>
      </w:r>
      <w:r>
        <w:t xml:space="preserve"> that were</w:t>
      </w:r>
      <w:r w:rsidRPr="004D0BA3">
        <w:t xml:space="preserve"> based on </w:t>
      </w:r>
      <w:r>
        <w:t>the TROPiCS-02 trial</w:t>
      </w:r>
      <w:r w:rsidR="00461F96">
        <w:t xml:space="preserve"> (</w:t>
      </w:r>
      <w:r w:rsidR="007A48BD">
        <w:t>progression free (P</w:t>
      </w:r>
      <w:r w:rsidR="00461F96">
        <w:t>F</w:t>
      </w:r>
      <w:r w:rsidR="007A48BD">
        <w:t>)</w:t>
      </w:r>
      <w:r w:rsidR="00461F96">
        <w:t xml:space="preserve"> state utility </w:t>
      </w:r>
      <w:r w:rsidR="00461F96" w:rsidRPr="0076260A">
        <w:t>SG = 0.793; TPC = 0.768</w:t>
      </w:r>
      <w:r w:rsidR="00461F96">
        <w:t xml:space="preserve"> and PD state utility for both arms 0.738)</w:t>
      </w:r>
      <w:r>
        <w:t xml:space="preserve">. </w:t>
      </w:r>
      <w:r w:rsidR="00461F96" w:rsidRPr="0070023C">
        <w:rPr>
          <w:iCs/>
        </w:rPr>
        <w:t>Use of utility values from the TROPiCS-02 trial</w:t>
      </w:r>
      <w:r w:rsidRPr="0070023C">
        <w:rPr>
          <w:iCs/>
        </w:rPr>
        <w:t xml:space="preserve"> is consistent with previous PBAC advice (para 7.9, </w:t>
      </w:r>
      <w:r w:rsidRPr="0070023C">
        <w:rPr>
          <w:rFonts w:cstheme="minorHAnsi"/>
          <w:iCs/>
          <w:szCs w:val="20"/>
        </w:rPr>
        <w:t xml:space="preserve">SG </w:t>
      </w:r>
      <w:r w:rsidR="00DE5ED8">
        <w:rPr>
          <w:rFonts w:cstheme="minorHAnsi"/>
          <w:iCs/>
          <w:szCs w:val="20"/>
        </w:rPr>
        <w:t>PSD</w:t>
      </w:r>
      <w:r w:rsidRPr="0070023C">
        <w:rPr>
          <w:rFonts w:cstheme="minorHAnsi"/>
          <w:iCs/>
          <w:szCs w:val="20"/>
        </w:rPr>
        <w:t>, July</w:t>
      </w:r>
      <w:r w:rsidR="00CC6F1D">
        <w:rPr>
          <w:rFonts w:cstheme="minorHAnsi"/>
          <w:iCs/>
          <w:szCs w:val="20"/>
        </w:rPr>
        <w:t> </w:t>
      </w:r>
      <w:r w:rsidRPr="0070023C">
        <w:rPr>
          <w:rFonts w:cstheme="minorHAnsi"/>
          <w:iCs/>
          <w:szCs w:val="20"/>
        </w:rPr>
        <w:t>2023 PBAC meeting).</w:t>
      </w:r>
    </w:p>
    <w:p w14:paraId="059C38B1" w14:textId="7007A30A" w:rsidR="00D927B4" w:rsidRDefault="00D927B4" w:rsidP="00CC6F1D">
      <w:pPr>
        <w:pStyle w:val="3-BodyText"/>
      </w:pPr>
      <w:bookmarkStart w:id="18" w:name="_Ref152152812"/>
      <w:r w:rsidRPr="008514A0">
        <w:t xml:space="preserve">The </w:t>
      </w:r>
      <w:r>
        <w:t xml:space="preserve">July 2023 </w:t>
      </w:r>
      <w:r w:rsidRPr="008514A0">
        <w:t xml:space="preserve">submission applied treatment-specific utilities for the </w:t>
      </w:r>
      <w:r w:rsidR="007A48BD">
        <w:t>PF</w:t>
      </w:r>
      <w:r w:rsidRPr="008514A0">
        <w:t xml:space="preserve"> health state across the two treatment arms. The PBAC previously accepted treatment-specific PFS utilities in the mTNBC setting due to consumer comments outlining the value of additional survival in this patient population (para 7.14, sacituzumab govitecan PSD, March 2022 PBAC Meeting), however </w:t>
      </w:r>
      <w:r>
        <w:t xml:space="preserve">considered that </w:t>
      </w:r>
      <w:r w:rsidRPr="008514A0">
        <w:t xml:space="preserve">this may not be applicable in the HR+ setting, given the differences in patient/disease characteristics and available treatment options between mTNBC and metastatic HR+/HER2- breast cancer. </w:t>
      </w:r>
      <w:r>
        <w:t>Overall, the</w:t>
      </w:r>
      <w:r w:rsidRPr="00451998">
        <w:t xml:space="preserve"> PBAC </w:t>
      </w:r>
      <w:r>
        <w:t xml:space="preserve">previously </w:t>
      </w:r>
      <w:r w:rsidRPr="00451998">
        <w:t>considered</w:t>
      </w:r>
      <w:r>
        <w:t xml:space="preserve"> that</w:t>
      </w:r>
      <w:r w:rsidRPr="00451998">
        <w:t xml:space="preserve"> the use of treatment specific utilities was poorly justified </w:t>
      </w:r>
      <w:r w:rsidR="00506913">
        <w:t>in the July 2023 submission</w:t>
      </w:r>
      <w:r w:rsidR="008003F2">
        <w:t xml:space="preserve"> </w:t>
      </w:r>
      <w:r>
        <w:t xml:space="preserve">(paras 6.42-6.43, 7.9, </w:t>
      </w:r>
      <w:r w:rsidRPr="00451998">
        <w:t xml:space="preserve">SG </w:t>
      </w:r>
      <w:r w:rsidR="00DE5ED8">
        <w:t>PSD</w:t>
      </w:r>
      <w:r w:rsidRPr="00451998">
        <w:t>, July 2023 PBAC meeting).</w:t>
      </w:r>
      <w:bookmarkEnd w:id="18"/>
      <w:r>
        <w:t xml:space="preserve"> </w:t>
      </w:r>
    </w:p>
    <w:p w14:paraId="55378D94" w14:textId="7006B8EE" w:rsidR="00D927B4" w:rsidRDefault="00D927B4" w:rsidP="00CC6F1D">
      <w:pPr>
        <w:pStyle w:val="3-BodyText"/>
      </w:pPr>
      <w:bookmarkStart w:id="19" w:name="_Ref152152819"/>
      <w:r>
        <w:t xml:space="preserve">The resubmission </w:t>
      </w:r>
      <w:r w:rsidR="008003F2">
        <w:t xml:space="preserve">maintained use of </w:t>
      </w:r>
      <w:r>
        <w:t>treatment</w:t>
      </w:r>
      <w:r w:rsidR="00461F96">
        <w:t>-</w:t>
      </w:r>
      <w:r>
        <w:t xml:space="preserve">specific utility values </w:t>
      </w:r>
      <w:r w:rsidR="00506913">
        <w:t>for the</w:t>
      </w:r>
      <w:r>
        <w:t xml:space="preserve"> PF </w:t>
      </w:r>
      <w:r w:rsidR="00506913">
        <w:t>health state</w:t>
      </w:r>
      <w:r>
        <w:t xml:space="preserve">. Additionally, adverse event (AE) disutilities, based on published literature, were also applied in the resubmission. The resubmission argued that applying treatment specific utilities for the PF health </w:t>
      </w:r>
      <w:r w:rsidR="005B12E3">
        <w:t xml:space="preserve">state </w:t>
      </w:r>
      <w:r>
        <w:t xml:space="preserve">is consistent with the economic model accepted by the PBAC for SG in mTNBC, where the same comparator treatment mix was used. Additionally, consistent with </w:t>
      </w:r>
      <w:r w:rsidR="00506913">
        <w:t xml:space="preserve">the </w:t>
      </w:r>
      <w:r>
        <w:t>ASCENT</w:t>
      </w:r>
      <w:r w:rsidR="00506913">
        <w:t xml:space="preserve"> clinical trial for</w:t>
      </w:r>
      <w:r>
        <w:t xml:space="preserve"> </w:t>
      </w:r>
      <w:r w:rsidR="00506913">
        <w:t>m</w:t>
      </w:r>
      <w:r>
        <w:t>TNBC, statistically significantly longer time to first deterioration in the EORTC QLQ-C30 global health status/QoL (HR: 0.751; 95% CI: 0.612, 0.922; P = 0.0059) and fatigue domains (HR: 0.732; 95% CI: 0.598, 0.894; P = 0.0021) was demonstrated in the SG group versus the TPC group in TROPiCS-02. Hence, the resubmission considered it was appropriate to apply treatment specific utilities to the PF health state of the economic model.</w:t>
      </w:r>
      <w:bookmarkEnd w:id="19"/>
      <w:r w:rsidR="00E256FD">
        <w:t xml:space="preserve"> The PBAC recalled that SG was associated with higher rates of adverse events and inferior </w:t>
      </w:r>
      <w:r w:rsidR="00E256FD">
        <w:lastRenderedPageBreak/>
        <w:t>safety compared with TPC (</w:t>
      </w:r>
      <w:r w:rsidR="00E256FD" w:rsidRPr="00024387">
        <w:rPr>
          <w:iCs/>
        </w:rPr>
        <w:t>para 7.</w:t>
      </w:r>
      <w:r w:rsidR="00E256FD">
        <w:rPr>
          <w:iCs/>
        </w:rPr>
        <w:t>8</w:t>
      </w:r>
      <w:r w:rsidR="00E256FD" w:rsidRPr="00024387">
        <w:rPr>
          <w:iCs/>
        </w:rPr>
        <w:t xml:space="preserve">, SG </w:t>
      </w:r>
      <w:r w:rsidR="00DE5ED8">
        <w:rPr>
          <w:iCs/>
        </w:rPr>
        <w:t>PSD</w:t>
      </w:r>
      <w:r w:rsidR="00E256FD" w:rsidRPr="00024387">
        <w:rPr>
          <w:iCs/>
        </w:rPr>
        <w:t>, July 2023 PBAC meeting)</w:t>
      </w:r>
      <w:r w:rsidR="00E256FD">
        <w:t xml:space="preserve"> and considered that the resubmission had not provided evidence to suggest that SG was associated with higher utility in the PF health state compared with TPC and advised that a pooled utility for PF was more appropriate.</w:t>
      </w:r>
    </w:p>
    <w:p w14:paraId="6485F727" w14:textId="2B745FA8" w:rsidR="000B2FCC" w:rsidRPr="000B2FCC" w:rsidRDefault="000B2FCC" w:rsidP="00CC6F1D">
      <w:pPr>
        <w:pStyle w:val="ListBullet"/>
        <w:keepNext/>
        <w:spacing w:after="120"/>
        <w:ind w:left="0" w:firstLine="0"/>
        <w:rPr>
          <w:u w:val="single"/>
        </w:rPr>
      </w:pPr>
      <w:r w:rsidRPr="000B2FCC">
        <w:rPr>
          <w:u w:val="single"/>
        </w:rPr>
        <w:t>Vial wastage</w:t>
      </w:r>
    </w:p>
    <w:p w14:paraId="0DF1EFEE" w14:textId="4CF17DDE" w:rsidR="000B2FCC" w:rsidRPr="000B2FCC" w:rsidRDefault="000B2FCC" w:rsidP="00CC6F1D">
      <w:pPr>
        <w:pStyle w:val="3-BodyText"/>
      </w:pPr>
      <w:bookmarkStart w:id="20" w:name="_Ref152154291"/>
      <w:r w:rsidRPr="000B2FCC">
        <w:t xml:space="preserve">The July 2023 submission assumed vial sharing would occur in the base case analysis for SG and the comparator drugs. </w:t>
      </w:r>
      <w:r w:rsidR="00AD147C">
        <w:t>However, i</w:t>
      </w:r>
      <w:r w:rsidR="00AD147C" w:rsidRPr="00E74297">
        <w:t xml:space="preserve">t is stated in the draft Product Information (PI) for SG that ‘The product is for use in one patient on one occasion only. Discard any unused portion’ (p1), suggesting wastage is likely to occur. </w:t>
      </w:r>
      <w:r w:rsidRPr="000B2FCC">
        <w:t xml:space="preserve">The PBAC </w:t>
      </w:r>
      <w:r w:rsidR="00AD147C">
        <w:t xml:space="preserve">previously agreed with ESC and the evaluation </w:t>
      </w:r>
      <w:r w:rsidRPr="000B2FCC">
        <w:t>that the economic model</w:t>
      </w:r>
      <w:r w:rsidR="00AD147C">
        <w:t xml:space="preserve"> for SG</w:t>
      </w:r>
      <w:r w:rsidRPr="000B2FCC">
        <w:t xml:space="preserve"> should include wastage as this would be expected to occur in practice</w:t>
      </w:r>
      <w:r>
        <w:t xml:space="preserve"> (para</w:t>
      </w:r>
      <w:r w:rsidR="00AD147C">
        <w:t>s</w:t>
      </w:r>
      <w:r>
        <w:t xml:space="preserve"> </w:t>
      </w:r>
      <w:r w:rsidR="00AD147C">
        <w:t xml:space="preserve">6.45, </w:t>
      </w:r>
      <w:r>
        <w:t xml:space="preserve">7.9, </w:t>
      </w:r>
      <w:r w:rsidRPr="00451998">
        <w:t xml:space="preserve">SG </w:t>
      </w:r>
      <w:r w:rsidR="00DE5ED8">
        <w:t>PSD</w:t>
      </w:r>
      <w:r w:rsidRPr="00451998">
        <w:t>, July 2023 PBAC meeting).</w:t>
      </w:r>
      <w:r w:rsidR="002B366C">
        <w:t xml:space="preserve"> </w:t>
      </w:r>
      <w:r w:rsidR="002B366C" w:rsidRPr="0070023C">
        <w:rPr>
          <w:iCs/>
        </w:rPr>
        <w:t xml:space="preserve">The assumption of vial sharing remained </w:t>
      </w:r>
      <w:r w:rsidR="005B12E3" w:rsidRPr="0070023C">
        <w:rPr>
          <w:iCs/>
        </w:rPr>
        <w:t>un</w:t>
      </w:r>
      <w:r w:rsidR="002B366C" w:rsidRPr="0070023C">
        <w:rPr>
          <w:iCs/>
        </w:rPr>
        <w:t>changed in the resubmission.</w:t>
      </w:r>
      <w:bookmarkEnd w:id="20"/>
    </w:p>
    <w:p w14:paraId="58A13E7A" w14:textId="0DE41A16" w:rsidR="00C87D14" w:rsidRPr="002B366C" w:rsidRDefault="002B366C" w:rsidP="00CC6F1D">
      <w:pPr>
        <w:pStyle w:val="3-BodyText"/>
      </w:pPr>
      <w:r>
        <w:t>The</w:t>
      </w:r>
      <w:r w:rsidRPr="002B366C">
        <w:t xml:space="preserve"> resubmission acknowledged that the assumption of no wastage may not be consistent with the current PBAC Guidelines, </w:t>
      </w:r>
      <w:r>
        <w:t xml:space="preserve">however considered that </w:t>
      </w:r>
      <w:r w:rsidRPr="002B366C">
        <w:t xml:space="preserve">it </w:t>
      </w:r>
      <w:r w:rsidR="00D23A44">
        <w:t>remained</w:t>
      </w:r>
      <w:r w:rsidRPr="002B366C">
        <w:t xml:space="preserve"> consistent with the real-world utilisation of SG and particularly the real-world utilisation of products provided via compounders. </w:t>
      </w:r>
      <w:r w:rsidR="00C87D14">
        <w:t xml:space="preserve">The resubmission stated that a comparison of </w:t>
      </w:r>
      <w:r w:rsidR="00C87D14" w:rsidRPr="002B366C">
        <w:t xml:space="preserve">internal sales data </w:t>
      </w:r>
      <w:r w:rsidR="00C87D14">
        <w:t>and</w:t>
      </w:r>
      <w:r w:rsidR="00C87D14" w:rsidRPr="002B366C">
        <w:t xml:space="preserve"> PBS utilisation data confirm</w:t>
      </w:r>
      <w:r w:rsidR="00BE16BD">
        <w:t>ed</w:t>
      </w:r>
      <w:r w:rsidR="00C87D14" w:rsidRPr="002B366C">
        <w:t xml:space="preserve"> that vial-sharing of SG is standard practice for mTNBC and </w:t>
      </w:r>
      <w:r w:rsidR="00C87D14">
        <w:t xml:space="preserve">is expected to be for the </w:t>
      </w:r>
      <w:r w:rsidR="00C87D14" w:rsidRPr="002B366C">
        <w:t>HR+</w:t>
      </w:r>
      <w:r w:rsidR="00C87D14">
        <w:t xml:space="preserve"> population</w:t>
      </w:r>
      <w:r w:rsidR="00C87D14" w:rsidRPr="002B366C">
        <w:t xml:space="preserve">. </w:t>
      </w:r>
    </w:p>
    <w:p w14:paraId="383A6CC4" w14:textId="6B2ABB2D" w:rsidR="007136D2" w:rsidRDefault="00982A12" w:rsidP="00CC6F1D">
      <w:pPr>
        <w:pStyle w:val="3-BodyText"/>
      </w:pPr>
      <w:bookmarkStart w:id="21" w:name="_Ref152154303"/>
      <w:r w:rsidRPr="002B366C">
        <w:t xml:space="preserve">The resubmission </w:t>
      </w:r>
      <w:r>
        <w:t>reiterated</w:t>
      </w:r>
      <w:r w:rsidRPr="002B366C">
        <w:t xml:space="preserve"> that the assumption of no drug wastage was accepted by</w:t>
      </w:r>
      <w:r>
        <w:t xml:space="preserve"> the</w:t>
      </w:r>
      <w:r w:rsidRPr="002B366C">
        <w:t xml:space="preserve"> PBAC in the submission for SG for mTNBC</w:t>
      </w:r>
      <w:r>
        <w:t xml:space="preserve"> and</w:t>
      </w:r>
      <w:r w:rsidR="00D23A44">
        <w:t xml:space="preserve"> that t</w:t>
      </w:r>
      <w:r w:rsidR="002B366C" w:rsidRPr="002B366C">
        <w:t>he Review of the Efficient Funding of Chemotherapy (</w:t>
      </w:r>
      <w:r w:rsidRPr="00E74297">
        <w:t>Interim Report July 2022</w:t>
      </w:r>
      <w:r w:rsidR="002B366C" w:rsidRPr="002B366C">
        <w:t>) state</w:t>
      </w:r>
      <w:r>
        <w:t>d</w:t>
      </w:r>
      <w:r w:rsidR="002B366C" w:rsidRPr="002B366C">
        <w:t xml:space="preserve"> that vial-sharing is critical to minimise drug wastage and is fundamental to compounder viability</w:t>
      </w:r>
      <w:r w:rsidR="00D23A44">
        <w:t xml:space="preserve"> (p17)</w:t>
      </w:r>
      <w:r w:rsidR="002B366C" w:rsidRPr="002B366C">
        <w:t xml:space="preserve">. </w:t>
      </w:r>
      <w:r w:rsidR="00D23A44">
        <w:t>Further,</w:t>
      </w:r>
      <w:r w:rsidR="002B366C" w:rsidRPr="002B366C">
        <w:t xml:space="preserve"> a publication on the Australian consensus guidelines for the safe handling of parenteral </w:t>
      </w:r>
      <w:r>
        <w:t xml:space="preserve">monoclonal antibodies </w:t>
      </w:r>
      <w:r w:rsidR="00C87D14">
        <w:t>(</w:t>
      </w:r>
      <w:r w:rsidR="002B366C" w:rsidRPr="002B366C">
        <w:t>MAbs</w:t>
      </w:r>
      <w:r w:rsidR="00C87D14">
        <w:t>)</w:t>
      </w:r>
      <w:r w:rsidR="002B366C" w:rsidRPr="002B366C">
        <w:t xml:space="preserve"> for cancer treatment by healthcare personnel states that vial sharing is widely practice</w:t>
      </w:r>
      <w:r w:rsidR="00C87D14">
        <w:t>d</w:t>
      </w:r>
      <w:r>
        <w:rPr>
          <w:rStyle w:val="FootnoteReference"/>
        </w:rPr>
        <w:footnoteReference w:id="3"/>
      </w:r>
      <w:r w:rsidR="002B366C" w:rsidRPr="002B366C">
        <w:t>.</w:t>
      </w:r>
      <w:r w:rsidR="00D23A44">
        <w:t xml:space="preserve"> </w:t>
      </w:r>
      <w:r w:rsidR="00C87D14" w:rsidRPr="0070023C">
        <w:rPr>
          <w:iCs/>
        </w:rPr>
        <w:t>It is noted that this publication also states that good practice recommendations and pharmaceutical product information sheets state that opened or used vials should not be shared. Risks pertain both to the possibility of cross-contamination between shared vials prepared for immediate use and to the storage of vials (stability, sterility and expiry) for use at a later time or date.</w:t>
      </w:r>
      <w:bookmarkEnd w:id="21"/>
      <w:r w:rsidR="00C87D14" w:rsidRPr="00C87D14">
        <w:t xml:space="preserve"> </w:t>
      </w:r>
    </w:p>
    <w:p w14:paraId="615B99FE" w14:textId="67768DC8" w:rsidR="007136D2" w:rsidRPr="007136D2" w:rsidRDefault="007136D2" w:rsidP="00CC6F1D">
      <w:pPr>
        <w:pStyle w:val="3-BodyText"/>
      </w:pPr>
      <w:r>
        <w:t xml:space="preserve">The PBAC </w:t>
      </w:r>
      <w:r w:rsidRPr="00533244">
        <w:rPr>
          <w:lang w:val="en-GB"/>
        </w:rPr>
        <w:t xml:space="preserve">reaffirmed its position in July 2023 that </w:t>
      </w:r>
      <w:r w:rsidRPr="000B2FCC">
        <w:t>the economic model</w:t>
      </w:r>
      <w:r>
        <w:t xml:space="preserve"> </w:t>
      </w:r>
      <w:r w:rsidRPr="000B2FCC">
        <w:t xml:space="preserve">should include wastage </w:t>
      </w:r>
      <w:r>
        <w:t xml:space="preserve">(paras 6.45, 7.9, </w:t>
      </w:r>
      <w:r w:rsidRPr="00451998">
        <w:t xml:space="preserve">SG </w:t>
      </w:r>
      <w:r w:rsidR="00DE5ED8">
        <w:t>PSD</w:t>
      </w:r>
      <w:r w:rsidRPr="00451998">
        <w:t>, July 2023 PBAC meeting)</w:t>
      </w:r>
      <w:r w:rsidR="006A24E0">
        <w:t>, consistent with the PBAC Guidelines</w:t>
      </w:r>
      <w:r w:rsidRPr="00451998">
        <w:t>.</w:t>
      </w:r>
    </w:p>
    <w:p w14:paraId="3F5AF095" w14:textId="745649CF" w:rsidR="00C87D14" w:rsidRDefault="002112DF" w:rsidP="00CC6F1D">
      <w:pPr>
        <w:pStyle w:val="ListBullet"/>
        <w:spacing w:after="120"/>
        <w:ind w:left="0" w:firstLine="0"/>
        <w:rPr>
          <w:u w:val="single"/>
        </w:rPr>
      </w:pPr>
      <w:r w:rsidRPr="002112DF">
        <w:rPr>
          <w:u w:val="single"/>
        </w:rPr>
        <w:t>Subsequent treatment</w:t>
      </w:r>
    </w:p>
    <w:p w14:paraId="2D5A92F2" w14:textId="4A2A0D38" w:rsidR="002112DF" w:rsidRDefault="002112DF" w:rsidP="00CC6F1D">
      <w:pPr>
        <w:pStyle w:val="3-BodyText"/>
      </w:pPr>
      <w:r w:rsidRPr="00E74297">
        <w:lastRenderedPageBreak/>
        <w:t xml:space="preserve">The </w:t>
      </w:r>
      <w:r>
        <w:t xml:space="preserve">July 2023 economic </w:t>
      </w:r>
      <w:r w:rsidRPr="00E74297">
        <w:t>model included</w:t>
      </w:r>
      <w:r>
        <w:t xml:space="preserve"> </w:t>
      </w:r>
      <w:r w:rsidRPr="00E74297">
        <w:t xml:space="preserve">the cost of subsequent treatments once patients experienced disease progression. The treatments received and the duration of treatment that was observed in the TROPiCS-02 trial was applied to the economic model. </w:t>
      </w:r>
      <w:r>
        <w:t xml:space="preserve">It was assumed that </w:t>
      </w:r>
      <w:r w:rsidRPr="00E74297">
        <w:t>8% of patients in the TPC arm</w:t>
      </w:r>
      <w:r w:rsidR="00D63945">
        <w:t xml:space="preserve"> would receive s</w:t>
      </w:r>
      <w:r w:rsidR="00D63945" w:rsidRPr="00E74297">
        <w:t>ubsequent treatment with SG</w:t>
      </w:r>
      <w:r w:rsidRPr="00E74297">
        <w:t>. The PBAC considered this was not reasonable as SG is not currently available in the proposed setting for this indication</w:t>
      </w:r>
      <w:r>
        <w:t xml:space="preserve"> (para</w:t>
      </w:r>
      <w:r w:rsidR="00D63945">
        <w:t>s</w:t>
      </w:r>
      <w:r>
        <w:t xml:space="preserve"> </w:t>
      </w:r>
      <w:r w:rsidR="00D63945">
        <w:t xml:space="preserve">6.47, </w:t>
      </w:r>
      <w:r>
        <w:t xml:space="preserve">7.9, </w:t>
      </w:r>
      <w:r w:rsidRPr="00451998">
        <w:t xml:space="preserve">SG </w:t>
      </w:r>
      <w:r w:rsidR="00DE5ED8">
        <w:t>PSD</w:t>
      </w:r>
      <w:r w:rsidRPr="00451998">
        <w:t>, July</w:t>
      </w:r>
      <w:r w:rsidR="00CC6F1D">
        <w:t> </w:t>
      </w:r>
      <w:r w:rsidRPr="00451998">
        <w:t>2023 PBAC meeting)</w:t>
      </w:r>
      <w:r w:rsidRPr="00E74297">
        <w:t>.</w:t>
      </w:r>
      <w:r w:rsidR="004A411D">
        <w:t xml:space="preserve"> </w:t>
      </w:r>
      <w:r w:rsidR="004A411D" w:rsidRPr="004A411D">
        <w:t>The resubmission removed SG from the subsequent treatment mix for the TPC arm and proportionally re-distributed</w:t>
      </w:r>
      <w:r w:rsidR="00BE16BD">
        <w:t xml:space="preserve"> treatment with SG</w:t>
      </w:r>
      <w:r w:rsidR="004A411D" w:rsidRPr="004A411D">
        <w:t xml:space="preserve"> to other subsequent treatments. However, </w:t>
      </w:r>
      <w:r w:rsidR="00BE16BD">
        <w:t xml:space="preserve">the </w:t>
      </w:r>
      <w:r w:rsidR="004A411D">
        <w:t>resubmission</w:t>
      </w:r>
      <w:r w:rsidR="004A411D" w:rsidRPr="004A411D">
        <w:t xml:space="preserve"> </w:t>
      </w:r>
      <w:r w:rsidR="004A411D">
        <w:t>highlighted</w:t>
      </w:r>
      <w:r w:rsidR="004A411D" w:rsidRPr="004A411D">
        <w:t xml:space="preserve"> that removing the cost</w:t>
      </w:r>
      <w:r w:rsidR="004A411D">
        <w:t xml:space="preserve"> associated with</w:t>
      </w:r>
      <w:r w:rsidR="004A411D" w:rsidRPr="004A411D">
        <w:t xml:space="preserve"> SG as a subsequent treatment for the TPC arm without removing the contribution to the outcome would</w:t>
      </w:r>
      <w:r w:rsidR="00BE16BD">
        <w:t xml:space="preserve"> likely</w:t>
      </w:r>
      <w:r w:rsidR="004A411D" w:rsidRPr="004A411D">
        <w:t xml:space="preserve"> lead to an overestimate </w:t>
      </w:r>
      <w:r w:rsidR="00BE16BD">
        <w:t xml:space="preserve">of </w:t>
      </w:r>
      <w:r w:rsidR="004A411D" w:rsidRPr="004A411D">
        <w:t xml:space="preserve">the overall survival </w:t>
      </w:r>
      <w:r w:rsidR="00BE16BD">
        <w:t>associated with</w:t>
      </w:r>
      <w:r w:rsidR="004A411D" w:rsidRPr="004A411D">
        <w:t xml:space="preserve"> the TPC arm.</w:t>
      </w:r>
    </w:p>
    <w:p w14:paraId="491680FA" w14:textId="38F194D8" w:rsidR="00D63945" w:rsidRPr="00E74297" w:rsidRDefault="00D63945" w:rsidP="00396E49">
      <w:pPr>
        <w:pStyle w:val="3-BodyText"/>
      </w:pPr>
      <w:r w:rsidRPr="00E74297">
        <w:t xml:space="preserve">The PBAC </w:t>
      </w:r>
      <w:r w:rsidR="004A411D">
        <w:t xml:space="preserve">previously </w:t>
      </w:r>
      <w:r w:rsidRPr="00E74297">
        <w:t xml:space="preserve">considered it was not appropriate that all patients in the economic model were assumed to receive subsequent therapies despite only 66% and 60% of patients in the SG and TPC arms, respectively, receiving subsequent treatment in the key trial. The PBAC considered that applying the proportions observed in the trial to the economic model </w:t>
      </w:r>
      <w:r w:rsidR="00BE16BD">
        <w:t>would be</w:t>
      </w:r>
      <w:r w:rsidRPr="00E74297">
        <w:t xml:space="preserve"> appropriate</w:t>
      </w:r>
      <w:r>
        <w:t xml:space="preserve"> (paras 6.47, 7.9, </w:t>
      </w:r>
      <w:r w:rsidRPr="00451998">
        <w:t xml:space="preserve">SG </w:t>
      </w:r>
      <w:r w:rsidR="00DE5ED8">
        <w:t>PSD</w:t>
      </w:r>
      <w:r w:rsidRPr="00451998">
        <w:t>, July</w:t>
      </w:r>
      <w:r w:rsidR="00CC6F1D">
        <w:t> </w:t>
      </w:r>
      <w:r w:rsidRPr="00451998">
        <w:t>2023 PBAC meeting)</w:t>
      </w:r>
      <w:r w:rsidRPr="00E74297">
        <w:t>.</w:t>
      </w:r>
      <w:r w:rsidR="004A411D">
        <w:t xml:space="preserve"> </w:t>
      </w:r>
      <w:r w:rsidR="00BE16BD">
        <w:t>In line with this advice, the</w:t>
      </w:r>
      <w:r w:rsidR="004A411D">
        <w:t xml:space="preserve"> resubmission</w:t>
      </w:r>
      <w:r w:rsidR="004A411D" w:rsidRPr="006C3008">
        <w:t xml:space="preserve"> </w:t>
      </w:r>
      <w:r w:rsidR="004A411D">
        <w:t xml:space="preserve">applies the cost of </w:t>
      </w:r>
      <w:r w:rsidR="004A411D" w:rsidRPr="006C3008">
        <w:t>subsequent treatment to 66% and 60% of patients in the SG and TPC arms, respectively</w:t>
      </w:r>
      <w:r w:rsidR="004A411D">
        <w:t>. However, the resubmission state</w:t>
      </w:r>
      <w:r w:rsidR="00D35554">
        <w:t>d</w:t>
      </w:r>
      <w:r w:rsidR="004A411D">
        <w:t xml:space="preserve"> that </w:t>
      </w:r>
      <w:r w:rsidR="000C66E5">
        <w:t xml:space="preserve">with further follow-up </w:t>
      </w:r>
      <w:r w:rsidR="004A411D">
        <w:t>additional patients would be expected to receive subsequent therapy in each arm.</w:t>
      </w:r>
    </w:p>
    <w:p w14:paraId="089EA46C" w14:textId="2DA12647" w:rsidR="00D63945" w:rsidRDefault="0093666C" w:rsidP="00CC6F1D">
      <w:pPr>
        <w:pStyle w:val="ListBullet"/>
        <w:spacing w:after="120"/>
        <w:ind w:left="0" w:firstLine="0"/>
        <w:rPr>
          <w:u w:val="single"/>
        </w:rPr>
      </w:pPr>
      <w:r w:rsidRPr="0093666C">
        <w:rPr>
          <w:u w:val="single"/>
        </w:rPr>
        <w:t>Revised cost-effectiveness</w:t>
      </w:r>
      <w:r w:rsidR="005C7424">
        <w:rPr>
          <w:u w:val="single"/>
        </w:rPr>
        <w:t xml:space="preserve"> results </w:t>
      </w:r>
    </w:p>
    <w:p w14:paraId="20C9DF91" w14:textId="05B4AF31" w:rsidR="00E01CB1" w:rsidRDefault="00E01CB1" w:rsidP="00396E49">
      <w:pPr>
        <w:pStyle w:val="3-BodyText"/>
      </w:pPr>
      <w:r>
        <w:t xml:space="preserve">A </w:t>
      </w:r>
      <w:r w:rsidR="004A30E9">
        <w:t>comparison of</w:t>
      </w:r>
      <w:r>
        <w:t xml:space="preserve"> </w:t>
      </w:r>
      <w:r w:rsidR="004A30E9">
        <w:t xml:space="preserve">the </w:t>
      </w:r>
      <w:r>
        <w:t>cost-effectiveness results</w:t>
      </w:r>
      <w:r w:rsidR="004A30E9">
        <w:t xml:space="preserve"> of the resubmission</w:t>
      </w:r>
      <w:r>
        <w:t xml:space="preserve"> </w:t>
      </w:r>
      <w:r w:rsidR="000C66E5">
        <w:t>and</w:t>
      </w:r>
      <w:r w:rsidR="004A30E9">
        <w:t xml:space="preserve"> the July</w:t>
      </w:r>
      <w:r w:rsidR="00CC6F1D">
        <w:t> </w:t>
      </w:r>
      <w:r w:rsidR="004A30E9">
        <w:t xml:space="preserve">2023 submission is </w:t>
      </w:r>
      <w:r w:rsidR="005C7424">
        <w:t xml:space="preserve">presented </w:t>
      </w:r>
      <w:r>
        <w:t xml:space="preserve">in </w:t>
      </w:r>
      <w:r w:rsidR="005C7424">
        <w:fldChar w:fldCharType="begin" w:fldLock="1"/>
      </w:r>
      <w:r w:rsidR="005C7424">
        <w:instrText xml:space="preserve"> REF _Ref146201310 \h  \* MERGEFORMAT </w:instrText>
      </w:r>
      <w:r w:rsidR="005C7424">
        <w:fldChar w:fldCharType="separate"/>
      </w:r>
      <w:r w:rsidR="0086428F" w:rsidRPr="00C060D1">
        <w:t xml:space="preserve">Table </w:t>
      </w:r>
      <w:r w:rsidR="0086428F">
        <w:t>3</w:t>
      </w:r>
      <w:r w:rsidR="005C7424">
        <w:fldChar w:fldCharType="end"/>
      </w:r>
      <w:r w:rsidR="005C7424">
        <w:t>.</w:t>
      </w:r>
    </w:p>
    <w:p w14:paraId="66D232BB" w14:textId="1BA52E06" w:rsidR="00E01CB1" w:rsidRPr="007A48BD" w:rsidRDefault="00E01CB1" w:rsidP="00AE6128">
      <w:pPr>
        <w:pStyle w:val="3-BodyText"/>
        <w:keepNext/>
        <w:keepLines/>
        <w:numPr>
          <w:ilvl w:val="0"/>
          <w:numId w:val="0"/>
        </w:numPr>
        <w:spacing w:after="0"/>
        <w:rPr>
          <w:rStyle w:val="CommentReference"/>
        </w:rPr>
      </w:pPr>
      <w:bookmarkStart w:id="22" w:name="_Ref146201310"/>
      <w:r w:rsidRPr="007A48BD">
        <w:rPr>
          <w:rStyle w:val="CommentReference"/>
        </w:rPr>
        <w:t xml:space="preserve">Table </w:t>
      </w:r>
      <w:r w:rsidR="00905A5F" w:rsidRPr="007A48BD">
        <w:rPr>
          <w:rStyle w:val="CommentReference"/>
        </w:rPr>
        <w:fldChar w:fldCharType="begin" w:fldLock="1"/>
      </w:r>
      <w:r w:rsidR="00905A5F" w:rsidRPr="007A48BD">
        <w:rPr>
          <w:rStyle w:val="CommentReference"/>
        </w:rPr>
        <w:instrText xml:space="preserve"> SEQ Table \* ARABIC </w:instrText>
      </w:r>
      <w:r w:rsidR="00905A5F" w:rsidRPr="007A48BD">
        <w:rPr>
          <w:rStyle w:val="CommentReference"/>
        </w:rPr>
        <w:fldChar w:fldCharType="separate"/>
      </w:r>
      <w:r w:rsidR="0086428F" w:rsidRPr="007A48BD">
        <w:rPr>
          <w:rStyle w:val="CommentReference"/>
        </w:rPr>
        <w:t>3</w:t>
      </w:r>
      <w:r w:rsidR="00905A5F" w:rsidRPr="007A48BD">
        <w:rPr>
          <w:rStyle w:val="CommentReference"/>
        </w:rPr>
        <w:fldChar w:fldCharType="end"/>
      </w:r>
      <w:bookmarkEnd w:id="22"/>
      <w:r w:rsidRPr="007A48BD">
        <w:rPr>
          <w:rStyle w:val="CommentReference"/>
        </w:rPr>
        <w:t xml:space="preserve">: Summary of the revised </w:t>
      </w:r>
      <w:r w:rsidR="005C7424" w:rsidRPr="007A48BD">
        <w:rPr>
          <w:rStyle w:val="CommentReference"/>
        </w:rPr>
        <w:t xml:space="preserve">cost-effectiveness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Summary of the revised cost-effectiveness "/>
        <w:tblDescription w:val="Table 3: Summary of the revised cost-effectiveness "/>
      </w:tblPr>
      <w:tblGrid>
        <w:gridCol w:w="3195"/>
        <w:gridCol w:w="1403"/>
        <w:gridCol w:w="1836"/>
        <w:gridCol w:w="1578"/>
        <w:gridCol w:w="1004"/>
      </w:tblGrid>
      <w:tr w:rsidR="00E01CB1" w:rsidRPr="00660636" w14:paraId="709533EA" w14:textId="77777777" w:rsidTr="004A30E9">
        <w:trPr>
          <w:cnfStyle w:val="100000000000" w:firstRow="1" w:lastRow="0" w:firstColumn="0" w:lastColumn="0" w:oddVBand="0" w:evenVBand="0" w:oddHBand="0" w:evenHBand="0" w:firstRowFirstColumn="0" w:firstRowLastColumn="0" w:lastRowFirstColumn="0" w:lastRowLastColumn="0"/>
        </w:trPr>
        <w:tc>
          <w:tcPr>
            <w:tcW w:w="1772" w:type="pct"/>
            <w:shd w:val="clear" w:color="auto" w:fill="auto"/>
            <w:vAlign w:val="center"/>
          </w:tcPr>
          <w:p w14:paraId="2BBAF06F" w14:textId="57E2CD1F" w:rsidR="00E01CB1" w:rsidRPr="005C7424" w:rsidRDefault="00E01CB1" w:rsidP="007A48BD">
            <w:pPr>
              <w:pStyle w:val="In-tableHeading"/>
              <w:keepLines/>
              <w:rPr>
                <w:b/>
                <w:lang w:val="en-AU"/>
              </w:rPr>
            </w:pPr>
          </w:p>
        </w:tc>
        <w:tc>
          <w:tcPr>
            <w:tcW w:w="778" w:type="pct"/>
            <w:shd w:val="clear" w:color="auto" w:fill="auto"/>
            <w:vAlign w:val="center"/>
          </w:tcPr>
          <w:p w14:paraId="3DA69BE7" w14:textId="77777777" w:rsidR="00E01CB1" w:rsidRPr="005C7424" w:rsidRDefault="00E01CB1" w:rsidP="007A48BD">
            <w:pPr>
              <w:pStyle w:val="In-tableHeading"/>
              <w:keepLines/>
              <w:rPr>
                <w:b/>
                <w:lang w:val="en-AU"/>
              </w:rPr>
            </w:pPr>
            <w:r w:rsidRPr="005C7424">
              <w:rPr>
                <w:b/>
                <w:lang w:val="en-AU"/>
              </w:rPr>
              <w:t>SG</w:t>
            </w:r>
          </w:p>
        </w:tc>
        <w:tc>
          <w:tcPr>
            <w:tcW w:w="1018" w:type="pct"/>
            <w:shd w:val="clear" w:color="auto" w:fill="auto"/>
            <w:vAlign w:val="center"/>
          </w:tcPr>
          <w:p w14:paraId="3BB7D4FE" w14:textId="77777777" w:rsidR="00E01CB1" w:rsidRPr="005C7424" w:rsidRDefault="00E01CB1" w:rsidP="007A48BD">
            <w:pPr>
              <w:pStyle w:val="In-tableHeading"/>
              <w:keepLines/>
              <w:rPr>
                <w:b/>
                <w:lang w:val="en-AU"/>
              </w:rPr>
            </w:pPr>
            <w:r w:rsidRPr="005C7424">
              <w:rPr>
                <w:b/>
                <w:lang w:val="en-AU"/>
              </w:rPr>
              <w:t>TPC</w:t>
            </w:r>
          </w:p>
        </w:tc>
        <w:tc>
          <w:tcPr>
            <w:tcW w:w="875" w:type="pct"/>
            <w:shd w:val="clear" w:color="auto" w:fill="auto"/>
            <w:vAlign w:val="center"/>
          </w:tcPr>
          <w:p w14:paraId="1672F994" w14:textId="0E4EFC56" w:rsidR="00E01CB1" w:rsidRPr="005C7424" w:rsidRDefault="00E01CB1" w:rsidP="007A48BD">
            <w:pPr>
              <w:pStyle w:val="In-tableHeading"/>
              <w:keepLines/>
              <w:rPr>
                <w:b/>
                <w:lang w:val="en-AU"/>
              </w:rPr>
            </w:pPr>
            <w:r w:rsidRPr="005C7424">
              <w:rPr>
                <w:b/>
                <w:lang w:val="en-AU"/>
              </w:rPr>
              <w:t>Increment</w:t>
            </w:r>
          </w:p>
        </w:tc>
        <w:tc>
          <w:tcPr>
            <w:tcW w:w="557" w:type="pct"/>
            <w:shd w:val="clear" w:color="auto" w:fill="auto"/>
            <w:vAlign w:val="center"/>
          </w:tcPr>
          <w:p w14:paraId="53DD6C6B" w14:textId="77777777" w:rsidR="00E01CB1" w:rsidRPr="005C7424" w:rsidRDefault="00E01CB1" w:rsidP="007A48BD">
            <w:pPr>
              <w:pStyle w:val="In-tableHeading"/>
              <w:keepLines/>
              <w:rPr>
                <w:b/>
                <w:lang w:val="en-AU"/>
              </w:rPr>
            </w:pPr>
            <w:r w:rsidRPr="005C7424">
              <w:rPr>
                <w:b/>
                <w:lang w:val="en-AU"/>
              </w:rPr>
              <w:t>ICER</w:t>
            </w:r>
          </w:p>
        </w:tc>
      </w:tr>
      <w:tr w:rsidR="004A30E9" w:rsidRPr="00660636" w14:paraId="61F80150" w14:textId="77777777" w:rsidTr="004A30E9">
        <w:tc>
          <w:tcPr>
            <w:tcW w:w="5000" w:type="pct"/>
            <w:gridSpan w:val="5"/>
            <w:shd w:val="clear" w:color="auto" w:fill="auto"/>
            <w:vAlign w:val="center"/>
          </w:tcPr>
          <w:p w14:paraId="25F5CE4C" w14:textId="736B99CA" w:rsidR="004A30E9" w:rsidRPr="004A30E9" w:rsidRDefault="00BE16BD" w:rsidP="005C7424">
            <w:pPr>
              <w:pStyle w:val="In-tableHeading"/>
              <w:rPr>
                <w:lang w:val="en-AU"/>
              </w:rPr>
            </w:pPr>
            <w:r>
              <w:rPr>
                <w:lang w:val="en-AU"/>
              </w:rPr>
              <w:t>November 2023 r</w:t>
            </w:r>
            <w:r w:rsidR="004A30E9" w:rsidRPr="004A30E9">
              <w:rPr>
                <w:lang w:val="en-AU"/>
              </w:rPr>
              <w:t>esubmission</w:t>
            </w:r>
          </w:p>
        </w:tc>
      </w:tr>
      <w:tr w:rsidR="00E01CB1" w:rsidRPr="00660636" w14:paraId="66762B19" w14:textId="77777777" w:rsidTr="004A30E9">
        <w:tc>
          <w:tcPr>
            <w:tcW w:w="1772" w:type="pct"/>
            <w:shd w:val="clear" w:color="auto" w:fill="auto"/>
            <w:vAlign w:val="center"/>
          </w:tcPr>
          <w:p w14:paraId="26F57931" w14:textId="77777777" w:rsidR="00E01CB1" w:rsidRPr="004A30E9" w:rsidRDefault="00E01CB1" w:rsidP="005C7424">
            <w:pPr>
              <w:pStyle w:val="In-tableHeading"/>
              <w:rPr>
                <w:b w:val="0"/>
                <w:bCs/>
                <w:lang w:val="en-AU"/>
              </w:rPr>
            </w:pPr>
            <w:r w:rsidRPr="004A30E9">
              <w:rPr>
                <w:b w:val="0"/>
                <w:bCs/>
                <w:lang w:val="en-AU"/>
              </w:rPr>
              <w:t>Total cost</w:t>
            </w:r>
          </w:p>
        </w:tc>
        <w:tc>
          <w:tcPr>
            <w:tcW w:w="778" w:type="pct"/>
            <w:shd w:val="clear" w:color="auto" w:fill="auto"/>
          </w:tcPr>
          <w:p w14:paraId="323716E8" w14:textId="1FAC438E" w:rsidR="00E01CB1" w:rsidRPr="005C7424" w:rsidRDefault="00D52BD6" w:rsidP="000F6BE2">
            <w:pPr>
              <w:pStyle w:val="In-tableHeading"/>
              <w:jc w:val="right"/>
              <w:rPr>
                <w:b w:val="0"/>
                <w:bCs/>
                <w:lang w:val="en-AU"/>
              </w:rPr>
            </w:pPr>
            <w:r>
              <w:rPr>
                <w:b w:val="0"/>
                <w:bCs/>
                <w:lang w:val="en-AU"/>
              </w:rPr>
              <w:t xml:space="preserve"> </w:t>
            </w:r>
            <w:r w:rsidRPr="00D52BD6">
              <w:rPr>
                <w:b w:val="0"/>
                <w:bCs/>
                <w:color w:val="000000"/>
                <w:shd w:val="solid" w:color="000000" w:fill="000000"/>
                <w:lang w:val="en-AU"/>
                <w14:textFill>
                  <w14:solidFill>
                    <w14:srgbClr w14:val="000000">
                      <w14:alpha w14:val="100000"/>
                    </w14:srgbClr>
                  </w14:solidFill>
                </w14:textFill>
              </w:rPr>
              <w:t>|</w:t>
            </w:r>
          </w:p>
        </w:tc>
        <w:tc>
          <w:tcPr>
            <w:tcW w:w="1018" w:type="pct"/>
            <w:shd w:val="clear" w:color="auto" w:fill="auto"/>
          </w:tcPr>
          <w:p w14:paraId="06768E6A" w14:textId="77777777" w:rsidR="00E01CB1" w:rsidRPr="005C7424" w:rsidRDefault="00E01CB1" w:rsidP="000F6BE2">
            <w:pPr>
              <w:pStyle w:val="In-tableHeading"/>
              <w:jc w:val="right"/>
              <w:rPr>
                <w:b w:val="0"/>
                <w:bCs/>
                <w:lang w:val="en-AU"/>
              </w:rPr>
            </w:pPr>
            <w:r w:rsidRPr="005C7424">
              <w:rPr>
                <w:b w:val="0"/>
                <w:bCs/>
                <w:lang w:val="en-AU"/>
              </w:rPr>
              <w:t>$50,049</w:t>
            </w:r>
          </w:p>
        </w:tc>
        <w:tc>
          <w:tcPr>
            <w:tcW w:w="875" w:type="pct"/>
            <w:shd w:val="clear" w:color="auto" w:fill="auto"/>
          </w:tcPr>
          <w:p w14:paraId="0D421A9B" w14:textId="5165E18D" w:rsidR="00E01CB1" w:rsidRPr="005C7424" w:rsidRDefault="00D52BD6" w:rsidP="000F6BE2">
            <w:pPr>
              <w:pStyle w:val="In-tableHeading"/>
              <w:jc w:val="right"/>
              <w:rPr>
                <w:b w:val="0"/>
                <w:bCs/>
                <w:lang w:val="en-AU"/>
              </w:rPr>
            </w:pPr>
            <w:r>
              <w:rPr>
                <w:b w:val="0"/>
                <w:bCs/>
                <w:lang w:val="en-AU"/>
              </w:rPr>
              <w:t xml:space="preserve"> </w:t>
            </w:r>
            <w:r w:rsidRPr="00D52BD6">
              <w:rPr>
                <w:b w:val="0"/>
                <w:bCs/>
                <w:color w:val="000000"/>
                <w:shd w:val="solid" w:color="000000" w:fill="000000"/>
                <w:lang w:val="en-AU"/>
                <w14:textFill>
                  <w14:solidFill>
                    <w14:srgbClr w14:val="000000">
                      <w14:alpha w14:val="100000"/>
                    </w14:srgbClr>
                  </w14:solidFill>
                </w14:textFill>
              </w:rPr>
              <w:t>|</w:t>
            </w:r>
          </w:p>
        </w:tc>
        <w:tc>
          <w:tcPr>
            <w:tcW w:w="557" w:type="pct"/>
            <w:shd w:val="clear" w:color="auto" w:fill="auto"/>
            <w:vAlign w:val="center"/>
          </w:tcPr>
          <w:p w14:paraId="3C035239" w14:textId="58D4A048" w:rsidR="00E01CB1" w:rsidRPr="005C7424" w:rsidRDefault="00E01CB1" w:rsidP="000F6BE2">
            <w:pPr>
              <w:pStyle w:val="In-tableHeading"/>
              <w:jc w:val="right"/>
              <w:rPr>
                <w:b w:val="0"/>
                <w:bCs/>
                <w:lang w:val="en-AU"/>
              </w:rPr>
            </w:pPr>
          </w:p>
        </w:tc>
      </w:tr>
      <w:tr w:rsidR="00E01CB1" w:rsidRPr="00660636" w14:paraId="5430D847" w14:textId="77777777" w:rsidTr="004A30E9">
        <w:tc>
          <w:tcPr>
            <w:tcW w:w="1772" w:type="pct"/>
            <w:shd w:val="clear" w:color="auto" w:fill="auto"/>
            <w:vAlign w:val="center"/>
          </w:tcPr>
          <w:p w14:paraId="5E60487B" w14:textId="77777777" w:rsidR="00E01CB1" w:rsidRPr="004A30E9" w:rsidRDefault="00E01CB1" w:rsidP="005C7424">
            <w:pPr>
              <w:pStyle w:val="In-tableHeading"/>
              <w:rPr>
                <w:b w:val="0"/>
                <w:bCs/>
                <w:lang w:val="en-AU"/>
              </w:rPr>
            </w:pPr>
            <w:r w:rsidRPr="004A30E9">
              <w:rPr>
                <w:b w:val="0"/>
                <w:bCs/>
                <w:lang w:val="en-AU"/>
              </w:rPr>
              <w:t>LYs</w:t>
            </w:r>
          </w:p>
        </w:tc>
        <w:tc>
          <w:tcPr>
            <w:tcW w:w="778" w:type="pct"/>
            <w:shd w:val="clear" w:color="auto" w:fill="auto"/>
          </w:tcPr>
          <w:p w14:paraId="2EC96DD4" w14:textId="77777777" w:rsidR="00E01CB1" w:rsidRPr="005C7424" w:rsidRDefault="00E01CB1" w:rsidP="000F6BE2">
            <w:pPr>
              <w:pStyle w:val="In-tableHeading"/>
              <w:jc w:val="right"/>
              <w:rPr>
                <w:b w:val="0"/>
                <w:bCs/>
                <w:lang w:val="en-AU"/>
              </w:rPr>
            </w:pPr>
            <w:r w:rsidRPr="005C7424">
              <w:rPr>
                <w:b w:val="0"/>
                <w:bCs/>
                <w:lang w:val="en-AU"/>
              </w:rPr>
              <w:t>1.62</w:t>
            </w:r>
          </w:p>
        </w:tc>
        <w:tc>
          <w:tcPr>
            <w:tcW w:w="1018" w:type="pct"/>
            <w:shd w:val="clear" w:color="auto" w:fill="auto"/>
          </w:tcPr>
          <w:p w14:paraId="00871B03" w14:textId="77777777" w:rsidR="00E01CB1" w:rsidRPr="005C7424" w:rsidRDefault="00E01CB1" w:rsidP="000F6BE2">
            <w:pPr>
              <w:pStyle w:val="In-tableHeading"/>
              <w:jc w:val="right"/>
              <w:rPr>
                <w:b w:val="0"/>
                <w:bCs/>
                <w:lang w:val="en-AU"/>
              </w:rPr>
            </w:pPr>
            <w:r w:rsidRPr="005C7424">
              <w:rPr>
                <w:b w:val="0"/>
                <w:bCs/>
                <w:lang w:val="en-AU"/>
              </w:rPr>
              <w:t>1.36</w:t>
            </w:r>
          </w:p>
        </w:tc>
        <w:tc>
          <w:tcPr>
            <w:tcW w:w="875" w:type="pct"/>
            <w:shd w:val="clear" w:color="auto" w:fill="auto"/>
          </w:tcPr>
          <w:p w14:paraId="5A23F005" w14:textId="77777777" w:rsidR="00E01CB1" w:rsidRPr="005C7424" w:rsidRDefault="00E01CB1" w:rsidP="000F6BE2">
            <w:pPr>
              <w:pStyle w:val="In-tableHeading"/>
              <w:jc w:val="right"/>
              <w:rPr>
                <w:b w:val="0"/>
                <w:bCs/>
                <w:lang w:val="en-AU"/>
              </w:rPr>
            </w:pPr>
            <w:r w:rsidRPr="005C7424">
              <w:rPr>
                <w:b w:val="0"/>
                <w:bCs/>
                <w:lang w:val="en-AU"/>
              </w:rPr>
              <w:t>0.26</w:t>
            </w:r>
          </w:p>
        </w:tc>
        <w:tc>
          <w:tcPr>
            <w:tcW w:w="557" w:type="pct"/>
            <w:shd w:val="clear" w:color="auto" w:fill="auto"/>
          </w:tcPr>
          <w:p w14:paraId="2FBBD6EC" w14:textId="3C9F81C7" w:rsidR="00E01CB1" w:rsidRPr="00F0362D" w:rsidRDefault="00D52BD6" w:rsidP="000F6BE2">
            <w:pPr>
              <w:pStyle w:val="In-tableHeading"/>
              <w:jc w:val="right"/>
              <w:rPr>
                <w:b w:val="0"/>
                <w:bCs/>
                <w:highlight w:val="darkGray"/>
                <w:lang w:val="en-AU"/>
              </w:rPr>
            </w:pPr>
            <w:r>
              <w:rPr>
                <w:b w:val="0"/>
                <w:bCs/>
                <w:lang w:val="en-AU"/>
              </w:rPr>
              <w:t xml:space="preserve"> </w:t>
            </w:r>
            <w:r w:rsidRPr="00D52BD6">
              <w:rPr>
                <w:rFonts w:hint="eastAsia"/>
                <w:b w:val="0"/>
                <w:bCs/>
                <w:color w:val="000000"/>
                <w:w w:val="18"/>
                <w:shd w:val="solid" w:color="000000" w:fill="000000"/>
                <w:fitText w:val="80" w:id="-1032058612"/>
                <w:lang w:val="en-AU"/>
                <w14:textFill>
                  <w14:solidFill>
                    <w14:srgbClr w14:val="000000">
                      <w14:alpha w14:val="100000"/>
                    </w14:srgbClr>
                  </w14:solidFill>
                </w14:textFill>
              </w:rPr>
              <w:t xml:space="preserve">　</w:t>
            </w:r>
            <w:r w:rsidRPr="00D52BD6">
              <w:rPr>
                <w:b w:val="0"/>
                <w:bCs/>
                <w:color w:val="000000"/>
                <w:w w:val="18"/>
                <w:shd w:val="solid" w:color="000000" w:fill="000000"/>
                <w:fitText w:val="80" w:id="-1032058612"/>
                <w:lang w:val="en-AU"/>
                <w14:textFill>
                  <w14:solidFill>
                    <w14:srgbClr w14:val="000000">
                      <w14:alpha w14:val="100000"/>
                    </w14:srgbClr>
                  </w14:solidFill>
                </w14:textFill>
              </w:rPr>
              <w:t>|</w:t>
            </w:r>
            <w:r w:rsidRPr="00D52BD6">
              <w:rPr>
                <w:rFonts w:hint="eastAsia"/>
                <w:b w:val="0"/>
                <w:bCs/>
                <w:color w:val="000000"/>
                <w:w w:val="18"/>
                <w:shd w:val="solid" w:color="000000" w:fill="000000"/>
                <w:fitText w:val="80" w:id="-1032058612"/>
                <w:lang w:val="en-AU"/>
                <w14:textFill>
                  <w14:solidFill>
                    <w14:srgbClr w14:val="000000">
                      <w14:alpha w14:val="100000"/>
                    </w14:srgbClr>
                  </w14:solidFill>
                </w14:textFill>
              </w:rPr>
              <w:t xml:space="preserve">　</w:t>
            </w:r>
            <w:r w:rsidR="00DE5ED8" w:rsidRPr="000F5640">
              <w:rPr>
                <w:b w:val="0"/>
                <w:bCs/>
                <w:vertAlign w:val="superscript"/>
              </w:rPr>
              <w:t>1</w:t>
            </w:r>
          </w:p>
        </w:tc>
      </w:tr>
      <w:tr w:rsidR="00E01CB1" w:rsidRPr="00660636" w14:paraId="6F6E575A" w14:textId="77777777" w:rsidTr="004A30E9">
        <w:tc>
          <w:tcPr>
            <w:tcW w:w="1772" w:type="pct"/>
            <w:shd w:val="clear" w:color="auto" w:fill="auto"/>
            <w:vAlign w:val="center"/>
          </w:tcPr>
          <w:p w14:paraId="70E5ECA3" w14:textId="77777777" w:rsidR="00E01CB1" w:rsidRPr="004A30E9" w:rsidRDefault="00E01CB1" w:rsidP="005C7424">
            <w:pPr>
              <w:pStyle w:val="In-tableHeading"/>
              <w:rPr>
                <w:b w:val="0"/>
                <w:bCs/>
                <w:lang w:val="en-AU"/>
              </w:rPr>
            </w:pPr>
            <w:r w:rsidRPr="004A30E9">
              <w:rPr>
                <w:b w:val="0"/>
                <w:bCs/>
                <w:lang w:val="en-AU"/>
              </w:rPr>
              <w:t>QALYs</w:t>
            </w:r>
          </w:p>
        </w:tc>
        <w:tc>
          <w:tcPr>
            <w:tcW w:w="778" w:type="pct"/>
            <w:shd w:val="clear" w:color="auto" w:fill="auto"/>
          </w:tcPr>
          <w:p w14:paraId="3FB4290B" w14:textId="77777777" w:rsidR="00E01CB1" w:rsidRPr="005C7424" w:rsidRDefault="00E01CB1" w:rsidP="000F6BE2">
            <w:pPr>
              <w:pStyle w:val="In-tableHeading"/>
              <w:jc w:val="right"/>
              <w:rPr>
                <w:b w:val="0"/>
                <w:bCs/>
                <w:lang w:val="en-AU"/>
              </w:rPr>
            </w:pPr>
            <w:r w:rsidRPr="005C7424">
              <w:rPr>
                <w:b w:val="0"/>
                <w:bCs/>
                <w:lang w:val="en-AU"/>
              </w:rPr>
              <w:t>1.23</w:t>
            </w:r>
          </w:p>
        </w:tc>
        <w:tc>
          <w:tcPr>
            <w:tcW w:w="1018" w:type="pct"/>
            <w:shd w:val="clear" w:color="auto" w:fill="auto"/>
          </w:tcPr>
          <w:p w14:paraId="7D976056" w14:textId="77777777" w:rsidR="00E01CB1" w:rsidRPr="005C7424" w:rsidRDefault="00E01CB1" w:rsidP="000F6BE2">
            <w:pPr>
              <w:pStyle w:val="In-tableHeading"/>
              <w:jc w:val="right"/>
              <w:rPr>
                <w:b w:val="0"/>
                <w:bCs/>
                <w:lang w:val="en-AU"/>
              </w:rPr>
            </w:pPr>
            <w:r w:rsidRPr="005C7424">
              <w:rPr>
                <w:b w:val="0"/>
                <w:bCs/>
                <w:lang w:val="en-AU"/>
              </w:rPr>
              <w:t>1.01</w:t>
            </w:r>
          </w:p>
        </w:tc>
        <w:tc>
          <w:tcPr>
            <w:tcW w:w="875" w:type="pct"/>
            <w:shd w:val="clear" w:color="auto" w:fill="auto"/>
          </w:tcPr>
          <w:p w14:paraId="3357BF2D" w14:textId="77777777" w:rsidR="00E01CB1" w:rsidRPr="005C7424" w:rsidRDefault="00E01CB1" w:rsidP="000F6BE2">
            <w:pPr>
              <w:pStyle w:val="In-tableHeading"/>
              <w:jc w:val="right"/>
              <w:rPr>
                <w:b w:val="0"/>
                <w:bCs/>
                <w:lang w:val="en-AU"/>
              </w:rPr>
            </w:pPr>
            <w:r w:rsidRPr="005C7424">
              <w:rPr>
                <w:b w:val="0"/>
                <w:bCs/>
                <w:lang w:val="en-AU"/>
              </w:rPr>
              <w:t>0.22</w:t>
            </w:r>
          </w:p>
        </w:tc>
        <w:tc>
          <w:tcPr>
            <w:tcW w:w="557" w:type="pct"/>
            <w:shd w:val="clear" w:color="auto" w:fill="auto"/>
          </w:tcPr>
          <w:p w14:paraId="484DE59B" w14:textId="08D90BAF" w:rsidR="00E01CB1" w:rsidRPr="00F0362D" w:rsidRDefault="00D52BD6" w:rsidP="000F6BE2">
            <w:pPr>
              <w:pStyle w:val="In-tableHeading"/>
              <w:jc w:val="right"/>
              <w:rPr>
                <w:b w:val="0"/>
                <w:bCs/>
                <w:highlight w:val="darkGray"/>
                <w:lang w:val="en-AU"/>
              </w:rPr>
            </w:pPr>
            <w:r>
              <w:rPr>
                <w:b w:val="0"/>
                <w:bCs/>
                <w:lang w:val="en-AU"/>
              </w:rPr>
              <w:t xml:space="preserve"> </w:t>
            </w:r>
            <w:r w:rsidRPr="00D52BD6">
              <w:rPr>
                <w:rFonts w:hint="eastAsia"/>
                <w:b w:val="0"/>
                <w:bCs/>
                <w:color w:val="000000"/>
                <w:w w:val="18"/>
                <w:shd w:val="solid" w:color="000000" w:fill="000000"/>
                <w:fitText w:val="80" w:id="-1032058611"/>
                <w:lang w:val="en-AU"/>
                <w14:textFill>
                  <w14:solidFill>
                    <w14:srgbClr w14:val="000000">
                      <w14:alpha w14:val="100000"/>
                    </w14:srgbClr>
                  </w14:solidFill>
                </w14:textFill>
              </w:rPr>
              <w:t xml:space="preserve">　</w:t>
            </w:r>
            <w:r w:rsidRPr="00D52BD6">
              <w:rPr>
                <w:b w:val="0"/>
                <w:bCs/>
                <w:color w:val="000000"/>
                <w:w w:val="18"/>
                <w:shd w:val="solid" w:color="000000" w:fill="000000"/>
                <w:fitText w:val="80" w:id="-1032058611"/>
                <w:lang w:val="en-AU"/>
                <w14:textFill>
                  <w14:solidFill>
                    <w14:srgbClr w14:val="000000">
                      <w14:alpha w14:val="100000"/>
                    </w14:srgbClr>
                  </w14:solidFill>
                </w14:textFill>
              </w:rPr>
              <w:t>|</w:t>
            </w:r>
            <w:r w:rsidRPr="00D52BD6">
              <w:rPr>
                <w:rFonts w:hint="eastAsia"/>
                <w:b w:val="0"/>
                <w:bCs/>
                <w:color w:val="000000"/>
                <w:w w:val="18"/>
                <w:shd w:val="solid" w:color="000000" w:fill="000000"/>
                <w:fitText w:val="80" w:id="-1032058611"/>
                <w:lang w:val="en-AU"/>
                <w14:textFill>
                  <w14:solidFill>
                    <w14:srgbClr w14:val="000000">
                      <w14:alpha w14:val="100000"/>
                    </w14:srgbClr>
                  </w14:solidFill>
                </w14:textFill>
              </w:rPr>
              <w:t xml:space="preserve">　</w:t>
            </w:r>
            <w:r w:rsidR="00DE5ED8" w:rsidRPr="000F5640">
              <w:rPr>
                <w:b w:val="0"/>
                <w:bCs/>
                <w:vertAlign w:val="superscript"/>
              </w:rPr>
              <w:t>2</w:t>
            </w:r>
          </w:p>
        </w:tc>
      </w:tr>
      <w:tr w:rsidR="004A30E9" w:rsidRPr="005C7424" w14:paraId="7D8457C5" w14:textId="77777777" w:rsidTr="004A30E9">
        <w:tc>
          <w:tcPr>
            <w:tcW w:w="5000" w:type="pct"/>
            <w:gridSpan w:val="5"/>
          </w:tcPr>
          <w:p w14:paraId="65EAD899" w14:textId="665420AA" w:rsidR="004A30E9" w:rsidRPr="004A30E9" w:rsidRDefault="004A30E9" w:rsidP="000F6BE2">
            <w:pPr>
              <w:pStyle w:val="In-tableHeading"/>
              <w:rPr>
                <w:lang w:val="en-AU"/>
              </w:rPr>
            </w:pPr>
            <w:r w:rsidRPr="004A30E9">
              <w:rPr>
                <w:lang w:val="en-AU"/>
              </w:rPr>
              <w:t>July 2023 economic model</w:t>
            </w:r>
          </w:p>
        </w:tc>
      </w:tr>
      <w:tr w:rsidR="004A30E9" w:rsidRPr="005C7424" w14:paraId="7672AAB8" w14:textId="77777777" w:rsidTr="004A30E9">
        <w:tc>
          <w:tcPr>
            <w:tcW w:w="1772" w:type="pct"/>
          </w:tcPr>
          <w:p w14:paraId="4FB02FBB" w14:textId="77777777" w:rsidR="004A30E9" w:rsidRPr="004A30E9" w:rsidRDefault="004A30E9" w:rsidP="00AF781B">
            <w:pPr>
              <w:pStyle w:val="In-tableHeading"/>
              <w:rPr>
                <w:b w:val="0"/>
                <w:bCs/>
                <w:lang w:val="en-AU"/>
              </w:rPr>
            </w:pPr>
            <w:r w:rsidRPr="004A30E9">
              <w:rPr>
                <w:b w:val="0"/>
                <w:bCs/>
                <w:lang w:val="en-AU"/>
              </w:rPr>
              <w:t>Total cost</w:t>
            </w:r>
          </w:p>
        </w:tc>
        <w:tc>
          <w:tcPr>
            <w:tcW w:w="778" w:type="pct"/>
          </w:tcPr>
          <w:p w14:paraId="3523FA91" w14:textId="003F8EDB" w:rsidR="004A30E9" w:rsidRPr="004A30E9" w:rsidRDefault="00D52BD6" w:rsidP="000F6BE2">
            <w:pPr>
              <w:pStyle w:val="In-tableHeading"/>
              <w:jc w:val="right"/>
              <w:rPr>
                <w:b w:val="0"/>
                <w:bCs/>
                <w:lang w:val="en-AU"/>
              </w:rPr>
            </w:pPr>
            <w:r>
              <w:rPr>
                <w:b w:val="0"/>
                <w:bCs/>
              </w:rPr>
              <w:t xml:space="preserve"> </w:t>
            </w:r>
            <w:r w:rsidRPr="00D52BD6">
              <w:rPr>
                <w:b w:val="0"/>
                <w:bCs/>
                <w:color w:val="000000"/>
                <w:shd w:val="solid" w:color="000000" w:fill="000000"/>
                <w14:textFill>
                  <w14:solidFill>
                    <w14:srgbClr w14:val="000000">
                      <w14:alpha w14:val="100000"/>
                    </w14:srgbClr>
                  </w14:solidFill>
                </w14:textFill>
              </w:rPr>
              <w:t>|</w:t>
            </w:r>
          </w:p>
        </w:tc>
        <w:tc>
          <w:tcPr>
            <w:tcW w:w="1018" w:type="pct"/>
          </w:tcPr>
          <w:p w14:paraId="40505A27" w14:textId="2E106CD0" w:rsidR="004A30E9" w:rsidRPr="004A30E9" w:rsidRDefault="004A30E9" w:rsidP="000F6BE2">
            <w:pPr>
              <w:pStyle w:val="In-tableHeading"/>
              <w:jc w:val="right"/>
              <w:rPr>
                <w:b w:val="0"/>
                <w:bCs/>
                <w:lang w:val="en-AU"/>
              </w:rPr>
            </w:pPr>
            <w:r w:rsidRPr="004A30E9">
              <w:rPr>
                <w:b w:val="0"/>
                <w:bCs/>
              </w:rPr>
              <w:t>$53,424</w:t>
            </w:r>
          </w:p>
        </w:tc>
        <w:tc>
          <w:tcPr>
            <w:tcW w:w="875" w:type="pct"/>
          </w:tcPr>
          <w:p w14:paraId="659F5CF6" w14:textId="4BA761CB" w:rsidR="004A30E9" w:rsidRPr="004A30E9" w:rsidRDefault="00D52BD6" w:rsidP="000F6BE2">
            <w:pPr>
              <w:pStyle w:val="In-tableHeading"/>
              <w:jc w:val="right"/>
              <w:rPr>
                <w:b w:val="0"/>
                <w:bCs/>
                <w:lang w:val="en-AU"/>
              </w:rPr>
            </w:pPr>
            <w:r>
              <w:rPr>
                <w:b w:val="0"/>
                <w:bCs/>
              </w:rPr>
              <w:t xml:space="preserve"> </w:t>
            </w:r>
            <w:r w:rsidRPr="00D52BD6">
              <w:rPr>
                <w:b w:val="0"/>
                <w:bCs/>
                <w:color w:val="000000"/>
                <w:shd w:val="solid" w:color="000000" w:fill="000000"/>
                <w14:textFill>
                  <w14:solidFill>
                    <w14:srgbClr w14:val="000000">
                      <w14:alpha w14:val="100000"/>
                    </w14:srgbClr>
                  </w14:solidFill>
                </w14:textFill>
              </w:rPr>
              <w:t>|</w:t>
            </w:r>
          </w:p>
        </w:tc>
        <w:tc>
          <w:tcPr>
            <w:tcW w:w="557" w:type="pct"/>
          </w:tcPr>
          <w:p w14:paraId="2DBE3E8E" w14:textId="77777777" w:rsidR="004A30E9" w:rsidRPr="005C7424" w:rsidRDefault="004A30E9" w:rsidP="000F6BE2">
            <w:pPr>
              <w:pStyle w:val="In-tableHeading"/>
              <w:jc w:val="right"/>
              <w:rPr>
                <w:b w:val="0"/>
                <w:bCs/>
                <w:lang w:val="en-AU"/>
              </w:rPr>
            </w:pPr>
          </w:p>
        </w:tc>
      </w:tr>
      <w:tr w:rsidR="00A524F5" w:rsidRPr="005C7424" w14:paraId="4E0E7B34" w14:textId="77777777" w:rsidTr="00AF781B">
        <w:tc>
          <w:tcPr>
            <w:tcW w:w="1772" w:type="pct"/>
          </w:tcPr>
          <w:p w14:paraId="280C4C95" w14:textId="77777777" w:rsidR="00A524F5" w:rsidRPr="004A30E9" w:rsidRDefault="00A524F5" w:rsidP="00A524F5">
            <w:pPr>
              <w:pStyle w:val="In-tableHeading"/>
              <w:rPr>
                <w:b w:val="0"/>
                <w:bCs/>
                <w:lang w:val="en-AU"/>
              </w:rPr>
            </w:pPr>
            <w:r w:rsidRPr="004A30E9">
              <w:rPr>
                <w:b w:val="0"/>
                <w:bCs/>
                <w:lang w:val="en-AU"/>
              </w:rPr>
              <w:t>LYs</w:t>
            </w:r>
          </w:p>
        </w:tc>
        <w:tc>
          <w:tcPr>
            <w:tcW w:w="778" w:type="pct"/>
            <w:vAlign w:val="bottom"/>
          </w:tcPr>
          <w:p w14:paraId="7AE2ADCB" w14:textId="59A300D7" w:rsidR="00A524F5" w:rsidRPr="005C7424" w:rsidRDefault="00A524F5" w:rsidP="000F6BE2">
            <w:pPr>
              <w:pStyle w:val="In-tableHeading"/>
              <w:jc w:val="right"/>
              <w:rPr>
                <w:b w:val="0"/>
                <w:bCs/>
                <w:lang w:val="en-AU"/>
              </w:rPr>
            </w:pPr>
            <w:r w:rsidRPr="00A524F5">
              <w:rPr>
                <w:b w:val="0"/>
                <w:bCs/>
                <w:lang w:val="en-AU"/>
              </w:rPr>
              <w:t>1.75</w:t>
            </w:r>
          </w:p>
        </w:tc>
        <w:tc>
          <w:tcPr>
            <w:tcW w:w="1018" w:type="pct"/>
            <w:vAlign w:val="bottom"/>
          </w:tcPr>
          <w:p w14:paraId="65323164" w14:textId="14367C64" w:rsidR="00A524F5" w:rsidRPr="005C7424" w:rsidRDefault="00A524F5" w:rsidP="000F6BE2">
            <w:pPr>
              <w:pStyle w:val="In-tableHeading"/>
              <w:jc w:val="right"/>
              <w:rPr>
                <w:b w:val="0"/>
                <w:bCs/>
                <w:lang w:val="en-AU"/>
              </w:rPr>
            </w:pPr>
            <w:r w:rsidRPr="00A524F5">
              <w:rPr>
                <w:b w:val="0"/>
                <w:bCs/>
                <w:lang w:val="en-AU"/>
              </w:rPr>
              <w:t>1.39</w:t>
            </w:r>
          </w:p>
        </w:tc>
        <w:tc>
          <w:tcPr>
            <w:tcW w:w="875" w:type="pct"/>
          </w:tcPr>
          <w:p w14:paraId="519DB1DA" w14:textId="5A4F6BB7" w:rsidR="00A524F5" w:rsidRPr="00A524F5" w:rsidRDefault="00A524F5" w:rsidP="000F6BE2">
            <w:pPr>
              <w:jc w:val="right"/>
              <w:rPr>
                <w:rFonts w:ascii="Arial Narrow" w:eastAsiaTheme="majorEastAsia" w:hAnsi="Arial Narrow"/>
                <w:bCs/>
                <w:sz w:val="20"/>
                <w:lang w:val="en-AU"/>
              </w:rPr>
            </w:pPr>
            <w:r w:rsidRPr="00A524F5">
              <w:rPr>
                <w:rFonts w:ascii="Arial Narrow" w:eastAsiaTheme="majorEastAsia" w:hAnsi="Arial Narrow"/>
                <w:bCs/>
                <w:sz w:val="20"/>
                <w:lang w:val="en-AU"/>
              </w:rPr>
              <w:t>0.36</w:t>
            </w:r>
          </w:p>
        </w:tc>
        <w:tc>
          <w:tcPr>
            <w:tcW w:w="557" w:type="pct"/>
          </w:tcPr>
          <w:p w14:paraId="29BCE0F2" w14:textId="7A7C0C38" w:rsidR="00A524F5" w:rsidRPr="00F0362D" w:rsidRDefault="00D52BD6" w:rsidP="000F6BE2">
            <w:pPr>
              <w:jc w:val="right"/>
              <w:rPr>
                <w:rFonts w:ascii="Arial Narrow" w:eastAsiaTheme="majorEastAsia" w:hAnsi="Arial Narrow"/>
                <w:bCs/>
                <w:sz w:val="20"/>
                <w:highlight w:val="darkGray"/>
                <w:lang w:val="en-AU"/>
              </w:rPr>
            </w:pPr>
            <w:r>
              <w:rPr>
                <w:rFonts w:ascii="Arial Narrow" w:eastAsiaTheme="majorEastAsia" w:hAnsi="Arial Narrow"/>
                <w:bCs/>
                <w:sz w:val="20"/>
              </w:rPr>
              <w:t xml:space="preserve"> </w:t>
            </w:r>
            <w:r w:rsidRPr="00D52BD6">
              <w:rPr>
                <w:rFonts w:ascii="Arial Narrow" w:eastAsiaTheme="majorEastAsia" w:hAnsi="Arial Narrow" w:hint="eastAsia"/>
                <w:bCs/>
                <w:color w:val="000000"/>
                <w:w w:val="18"/>
                <w:sz w:val="20"/>
                <w:shd w:val="solid" w:color="000000" w:fill="000000"/>
                <w:fitText w:val="80" w:id="-1032058610"/>
                <w14:textFill>
                  <w14:solidFill>
                    <w14:srgbClr w14:val="000000">
                      <w14:alpha w14:val="100000"/>
                    </w14:srgbClr>
                  </w14:solidFill>
                </w14:textFill>
              </w:rPr>
              <w:t xml:space="preserve">　</w:t>
            </w:r>
            <w:r w:rsidRPr="00D52BD6">
              <w:rPr>
                <w:rFonts w:ascii="Arial Narrow" w:eastAsiaTheme="majorEastAsia" w:hAnsi="Arial Narrow"/>
                <w:bCs/>
                <w:color w:val="000000"/>
                <w:w w:val="18"/>
                <w:sz w:val="20"/>
                <w:shd w:val="solid" w:color="000000" w:fill="000000"/>
                <w:fitText w:val="80" w:id="-1032058610"/>
                <w14:textFill>
                  <w14:solidFill>
                    <w14:srgbClr w14:val="000000">
                      <w14:alpha w14:val="100000"/>
                    </w14:srgbClr>
                  </w14:solidFill>
                </w14:textFill>
              </w:rPr>
              <w:t>|</w:t>
            </w:r>
            <w:r w:rsidRPr="00D52BD6">
              <w:rPr>
                <w:rFonts w:ascii="Arial Narrow" w:eastAsiaTheme="majorEastAsia" w:hAnsi="Arial Narrow" w:hint="eastAsia"/>
                <w:bCs/>
                <w:color w:val="000000"/>
                <w:w w:val="18"/>
                <w:sz w:val="20"/>
                <w:shd w:val="solid" w:color="000000" w:fill="000000"/>
                <w:fitText w:val="80" w:id="-1032058610"/>
                <w14:textFill>
                  <w14:solidFill>
                    <w14:srgbClr w14:val="000000">
                      <w14:alpha w14:val="100000"/>
                    </w14:srgbClr>
                  </w14:solidFill>
                </w14:textFill>
              </w:rPr>
              <w:t xml:space="preserve">　</w:t>
            </w:r>
            <w:r w:rsidR="00DE5ED8" w:rsidRPr="000F5640">
              <w:rPr>
                <w:rFonts w:ascii="Arial Narrow" w:hAnsi="Arial Narrow"/>
                <w:sz w:val="20"/>
                <w:szCs w:val="20"/>
                <w:vertAlign w:val="superscript"/>
              </w:rPr>
              <w:t>3</w:t>
            </w:r>
          </w:p>
        </w:tc>
      </w:tr>
      <w:tr w:rsidR="004A30E9" w:rsidRPr="005C7424" w14:paraId="59F07AC9" w14:textId="77777777" w:rsidTr="004A30E9">
        <w:tc>
          <w:tcPr>
            <w:tcW w:w="1772" w:type="pct"/>
          </w:tcPr>
          <w:p w14:paraId="1C996B2F" w14:textId="77777777" w:rsidR="004A30E9" w:rsidRPr="004A30E9" w:rsidRDefault="004A30E9" w:rsidP="004A30E9">
            <w:pPr>
              <w:pStyle w:val="In-tableHeading"/>
              <w:rPr>
                <w:b w:val="0"/>
                <w:bCs/>
                <w:lang w:val="en-AU"/>
              </w:rPr>
            </w:pPr>
            <w:r w:rsidRPr="004A30E9">
              <w:rPr>
                <w:b w:val="0"/>
                <w:bCs/>
                <w:lang w:val="en-AU"/>
              </w:rPr>
              <w:t>QALYs</w:t>
            </w:r>
          </w:p>
        </w:tc>
        <w:tc>
          <w:tcPr>
            <w:tcW w:w="778" w:type="pct"/>
          </w:tcPr>
          <w:p w14:paraId="44B1B620" w14:textId="437E8A64" w:rsidR="004A30E9" w:rsidRPr="004A30E9" w:rsidRDefault="004A30E9" w:rsidP="000F6BE2">
            <w:pPr>
              <w:pStyle w:val="In-tableHeading"/>
              <w:jc w:val="right"/>
              <w:rPr>
                <w:b w:val="0"/>
                <w:bCs/>
                <w:lang w:val="en-AU"/>
              </w:rPr>
            </w:pPr>
            <w:r w:rsidRPr="00A524F5">
              <w:rPr>
                <w:b w:val="0"/>
                <w:bCs/>
                <w:lang w:val="en-AU"/>
              </w:rPr>
              <w:t>1.16</w:t>
            </w:r>
          </w:p>
        </w:tc>
        <w:tc>
          <w:tcPr>
            <w:tcW w:w="1018" w:type="pct"/>
          </w:tcPr>
          <w:p w14:paraId="70A4D179" w14:textId="5B128B64" w:rsidR="004A30E9" w:rsidRPr="004A30E9" w:rsidRDefault="004A30E9" w:rsidP="000F6BE2">
            <w:pPr>
              <w:pStyle w:val="In-tableHeading"/>
              <w:jc w:val="right"/>
              <w:rPr>
                <w:b w:val="0"/>
                <w:bCs/>
                <w:lang w:val="en-AU"/>
              </w:rPr>
            </w:pPr>
            <w:r w:rsidRPr="00A524F5">
              <w:rPr>
                <w:b w:val="0"/>
                <w:bCs/>
                <w:lang w:val="en-AU"/>
              </w:rPr>
              <w:t>0.87</w:t>
            </w:r>
          </w:p>
        </w:tc>
        <w:tc>
          <w:tcPr>
            <w:tcW w:w="875" w:type="pct"/>
          </w:tcPr>
          <w:p w14:paraId="7E0505B7" w14:textId="688FFDA2" w:rsidR="004A30E9" w:rsidRPr="004A30E9" w:rsidRDefault="004A30E9" w:rsidP="000F6BE2">
            <w:pPr>
              <w:pStyle w:val="In-tableHeading"/>
              <w:jc w:val="right"/>
              <w:rPr>
                <w:b w:val="0"/>
                <w:bCs/>
                <w:lang w:val="en-AU"/>
              </w:rPr>
            </w:pPr>
            <w:r w:rsidRPr="00A524F5">
              <w:rPr>
                <w:b w:val="0"/>
                <w:bCs/>
                <w:lang w:val="en-AU"/>
              </w:rPr>
              <w:t>0.29</w:t>
            </w:r>
          </w:p>
        </w:tc>
        <w:tc>
          <w:tcPr>
            <w:tcW w:w="557" w:type="pct"/>
          </w:tcPr>
          <w:p w14:paraId="21B939F0" w14:textId="389CF181" w:rsidR="004A30E9" w:rsidRPr="00F0362D" w:rsidRDefault="00D52BD6" w:rsidP="000F6BE2">
            <w:pPr>
              <w:jc w:val="right"/>
              <w:rPr>
                <w:rFonts w:ascii="Arial Narrow" w:eastAsiaTheme="majorEastAsia" w:hAnsi="Arial Narrow"/>
                <w:bCs/>
                <w:sz w:val="20"/>
                <w:highlight w:val="darkGray"/>
                <w:lang w:val="en-AU"/>
              </w:rPr>
            </w:pPr>
            <w:r>
              <w:rPr>
                <w:rFonts w:ascii="Arial Narrow" w:eastAsiaTheme="majorEastAsia" w:hAnsi="Arial Narrow"/>
                <w:bCs/>
                <w:sz w:val="20"/>
              </w:rPr>
              <w:t xml:space="preserve"> </w:t>
            </w:r>
            <w:r w:rsidRPr="00D52BD6">
              <w:rPr>
                <w:rFonts w:ascii="Arial Narrow" w:eastAsiaTheme="majorEastAsia" w:hAnsi="Arial Narrow" w:hint="eastAsia"/>
                <w:bCs/>
                <w:color w:val="000000"/>
                <w:w w:val="18"/>
                <w:sz w:val="20"/>
                <w:shd w:val="solid" w:color="000000" w:fill="000000"/>
                <w:fitText w:val="80" w:id="-1032058609"/>
                <w14:textFill>
                  <w14:solidFill>
                    <w14:srgbClr w14:val="000000">
                      <w14:alpha w14:val="100000"/>
                    </w14:srgbClr>
                  </w14:solidFill>
                </w14:textFill>
              </w:rPr>
              <w:t xml:space="preserve">　</w:t>
            </w:r>
            <w:r w:rsidRPr="00D52BD6">
              <w:rPr>
                <w:rFonts w:ascii="Arial Narrow" w:eastAsiaTheme="majorEastAsia" w:hAnsi="Arial Narrow"/>
                <w:bCs/>
                <w:color w:val="000000"/>
                <w:w w:val="18"/>
                <w:sz w:val="20"/>
                <w:shd w:val="solid" w:color="000000" w:fill="000000"/>
                <w:fitText w:val="80" w:id="-1032058609"/>
                <w14:textFill>
                  <w14:solidFill>
                    <w14:srgbClr w14:val="000000">
                      <w14:alpha w14:val="100000"/>
                    </w14:srgbClr>
                  </w14:solidFill>
                </w14:textFill>
              </w:rPr>
              <w:t>|</w:t>
            </w:r>
            <w:r w:rsidRPr="00D52BD6">
              <w:rPr>
                <w:rFonts w:ascii="Arial Narrow" w:eastAsiaTheme="majorEastAsia" w:hAnsi="Arial Narrow" w:hint="eastAsia"/>
                <w:bCs/>
                <w:color w:val="000000"/>
                <w:w w:val="18"/>
                <w:sz w:val="20"/>
                <w:shd w:val="solid" w:color="000000" w:fill="000000"/>
                <w:fitText w:val="80" w:id="-1032058609"/>
                <w14:textFill>
                  <w14:solidFill>
                    <w14:srgbClr w14:val="000000">
                      <w14:alpha w14:val="100000"/>
                    </w14:srgbClr>
                  </w14:solidFill>
                </w14:textFill>
              </w:rPr>
              <w:t xml:space="preserve">　</w:t>
            </w:r>
            <w:r w:rsidR="00DE5ED8" w:rsidRPr="000F5640">
              <w:rPr>
                <w:rFonts w:ascii="Arial Narrow" w:hAnsi="Arial Narrow"/>
                <w:sz w:val="20"/>
                <w:szCs w:val="20"/>
                <w:vertAlign w:val="superscript"/>
              </w:rPr>
              <w:t>1</w:t>
            </w:r>
          </w:p>
        </w:tc>
      </w:tr>
    </w:tbl>
    <w:p w14:paraId="39D05E05" w14:textId="15D29ED8" w:rsidR="00EA60F9" w:rsidRDefault="00EA60F9" w:rsidP="00E01CB1">
      <w:pPr>
        <w:pStyle w:val="TableFigureFooter"/>
        <w:rPr>
          <w:szCs w:val="24"/>
        </w:rPr>
      </w:pPr>
      <w:r>
        <w:rPr>
          <w:szCs w:val="24"/>
        </w:rPr>
        <w:t>Source:</w:t>
      </w:r>
      <w:r w:rsidR="00350DC6">
        <w:rPr>
          <w:szCs w:val="24"/>
        </w:rPr>
        <w:t xml:space="preserve"> SG </w:t>
      </w:r>
      <w:r w:rsidR="00DE5ED8">
        <w:rPr>
          <w:szCs w:val="24"/>
        </w:rPr>
        <w:t>PSD</w:t>
      </w:r>
      <w:r w:rsidR="00350DC6">
        <w:rPr>
          <w:szCs w:val="24"/>
        </w:rPr>
        <w:t xml:space="preserve">, July 2023 PBAC meeting; </w:t>
      </w:r>
      <w:r w:rsidR="00350DC6" w:rsidRPr="00F1748B">
        <w:rPr>
          <w:szCs w:val="24"/>
        </w:rPr>
        <w:t>Trodelvy HRHER2 mBC August 2023 Resubmission Economic Model.xlsm</w:t>
      </w:r>
    </w:p>
    <w:p w14:paraId="771A150C" w14:textId="35B4B1C3" w:rsidR="00E01CB1" w:rsidRDefault="00E01CB1" w:rsidP="00E01CB1">
      <w:pPr>
        <w:pStyle w:val="TableFigureFooter"/>
        <w:rPr>
          <w:szCs w:val="24"/>
        </w:rPr>
      </w:pPr>
      <w:r w:rsidRPr="00E01CB1">
        <w:rPr>
          <w:szCs w:val="24"/>
        </w:rPr>
        <w:t>ICER, incremental cost-effectiveness ratio; LYs, life years;</w:t>
      </w:r>
      <w:r>
        <w:rPr>
          <w:szCs w:val="24"/>
        </w:rPr>
        <w:t xml:space="preserve"> SG, sacituzumab govitecan;</w:t>
      </w:r>
      <w:r w:rsidRPr="00E01CB1">
        <w:rPr>
          <w:szCs w:val="24"/>
        </w:rPr>
        <w:t xml:space="preserve"> </w:t>
      </w:r>
      <w:r w:rsidR="005C7424" w:rsidRPr="00E74297">
        <w:rPr>
          <w:rFonts w:cstheme="minorHAnsi"/>
          <w:iCs/>
          <w:szCs w:val="20"/>
        </w:rPr>
        <w:t>TPC</w:t>
      </w:r>
      <w:r w:rsidR="005C7424">
        <w:rPr>
          <w:rFonts w:cstheme="minorHAnsi"/>
          <w:iCs/>
          <w:szCs w:val="20"/>
        </w:rPr>
        <w:t xml:space="preserve">, </w:t>
      </w:r>
      <w:r w:rsidR="005C7424" w:rsidRPr="00E74297">
        <w:rPr>
          <w:rFonts w:cstheme="minorHAnsi"/>
          <w:szCs w:val="20"/>
        </w:rPr>
        <w:t>treatment of physician’s choice</w:t>
      </w:r>
      <w:r w:rsidR="005C7424">
        <w:rPr>
          <w:rFonts w:cstheme="minorHAnsi"/>
          <w:szCs w:val="20"/>
        </w:rPr>
        <w:t>;</w:t>
      </w:r>
      <w:r w:rsidR="005C7424" w:rsidRPr="00E01CB1">
        <w:rPr>
          <w:szCs w:val="24"/>
        </w:rPr>
        <w:t xml:space="preserve"> </w:t>
      </w:r>
      <w:r w:rsidRPr="00E01CB1">
        <w:rPr>
          <w:szCs w:val="24"/>
        </w:rPr>
        <w:t>QALYs, Quality adjusted life years</w:t>
      </w:r>
    </w:p>
    <w:p w14:paraId="70146033" w14:textId="542ACBDB" w:rsidR="00DE5ED8" w:rsidRPr="000F5640" w:rsidRDefault="00DE5ED8" w:rsidP="00E01CB1">
      <w:pPr>
        <w:pStyle w:val="TableFigureFooter"/>
        <w:rPr>
          <w:i/>
          <w:iCs/>
          <w:szCs w:val="24"/>
        </w:rPr>
      </w:pPr>
      <w:r w:rsidRPr="000F5640">
        <w:rPr>
          <w:i/>
          <w:iCs/>
          <w:szCs w:val="24"/>
        </w:rPr>
        <w:t>The redacted values correspond to the following ranges:</w:t>
      </w:r>
    </w:p>
    <w:p w14:paraId="08DB6F0D" w14:textId="582D4901" w:rsidR="00DE5ED8" w:rsidRPr="000F5640" w:rsidRDefault="00DE5ED8" w:rsidP="00E01CB1">
      <w:pPr>
        <w:pStyle w:val="TableFigureFooter"/>
        <w:rPr>
          <w:i/>
          <w:iCs/>
          <w:szCs w:val="24"/>
        </w:rPr>
      </w:pPr>
      <w:r w:rsidRPr="000F5640">
        <w:rPr>
          <w:i/>
          <w:iCs/>
          <w:szCs w:val="24"/>
          <w:vertAlign w:val="superscript"/>
        </w:rPr>
        <w:t>1</w:t>
      </w:r>
      <w:r w:rsidRPr="000F5640">
        <w:rPr>
          <w:i/>
          <w:iCs/>
          <w:szCs w:val="24"/>
        </w:rPr>
        <w:t xml:space="preserve"> $75,000 to &lt; $95,000</w:t>
      </w:r>
    </w:p>
    <w:p w14:paraId="5C5684E7" w14:textId="732AC074" w:rsidR="00DE5ED8" w:rsidRPr="000F5640" w:rsidRDefault="00DE5ED8" w:rsidP="00E01CB1">
      <w:pPr>
        <w:pStyle w:val="TableFigureFooter"/>
        <w:rPr>
          <w:i/>
          <w:iCs/>
          <w:szCs w:val="24"/>
        </w:rPr>
      </w:pPr>
      <w:r w:rsidRPr="000F5640">
        <w:rPr>
          <w:i/>
          <w:iCs/>
          <w:szCs w:val="24"/>
          <w:vertAlign w:val="superscript"/>
        </w:rPr>
        <w:t>2</w:t>
      </w:r>
      <w:r w:rsidRPr="000F5640">
        <w:rPr>
          <w:i/>
          <w:iCs/>
          <w:szCs w:val="24"/>
        </w:rPr>
        <w:t xml:space="preserve"> $95,000 to &lt; $115,000</w:t>
      </w:r>
    </w:p>
    <w:p w14:paraId="4A261DFF" w14:textId="37F42993" w:rsidR="00DE5ED8" w:rsidRPr="000F5640" w:rsidRDefault="00DE5ED8" w:rsidP="00E01CB1">
      <w:pPr>
        <w:pStyle w:val="TableFigureFooter"/>
        <w:rPr>
          <w:rFonts w:asciiTheme="minorHAnsi" w:hAnsiTheme="minorHAnsi" w:cstheme="minorHAnsi"/>
          <w:i/>
          <w:iCs/>
          <w:sz w:val="16"/>
        </w:rPr>
      </w:pPr>
      <w:r w:rsidRPr="000F5640">
        <w:rPr>
          <w:i/>
          <w:iCs/>
          <w:szCs w:val="24"/>
          <w:vertAlign w:val="superscript"/>
        </w:rPr>
        <w:t>3</w:t>
      </w:r>
      <w:r w:rsidRPr="000F5640">
        <w:rPr>
          <w:i/>
          <w:iCs/>
          <w:szCs w:val="24"/>
        </w:rPr>
        <w:t xml:space="preserve"> $55,000 to &lt; $75,000</w:t>
      </w:r>
    </w:p>
    <w:p w14:paraId="27BD2B85" w14:textId="07BA7B8B" w:rsidR="00E01CB1" w:rsidRDefault="00E01CB1" w:rsidP="00396E49">
      <w:pPr>
        <w:pStyle w:val="3-BodyText"/>
      </w:pPr>
      <w:r w:rsidRPr="0093666C">
        <w:t>The PBAC previously noted that the base case ICER of the July 2023 submission ($</w:t>
      </w:r>
      <w:r w:rsidR="00DE5ED8">
        <w:t>75,000 to &lt; $95,000</w:t>
      </w:r>
      <w:r w:rsidRPr="0093666C">
        <w:t xml:space="preserve"> per QALY gained) was substantially underestimated and uncertain. The PBAC noted that when reasonable changes </w:t>
      </w:r>
      <w:r>
        <w:t>were</w:t>
      </w:r>
      <w:r w:rsidRPr="0093666C">
        <w:t xml:space="preserve"> applied to the model the ICER increase</w:t>
      </w:r>
      <w:r>
        <w:t>d</w:t>
      </w:r>
      <w:r w:rsidRPr="0093666C">
        <w:t xml:space="preserve"> to $</w:t>
      </w:r>
      <w:r w:rsidR="00DE5ED8">
        <w:t>155,000 to &lt; $255,000</w:t>
      </w:r>
      <w:r w:rsidRPr="0093666C">
        <w:t xml:space="preserve"> per QALY gained. The PBAC </w:t>
      </w:r>
      <w:r w:rsidR="00D35554">
        <w:t xml:space="preserve">previously </w:t>
      </w:r>
      <w:r w:rsidRPr="0093666C">
        <w:lastRenderedPageBreak/>
        <w:t xml:space="preserve">considered that at an ICER of $75,000 per QALY would be acceptably cost-effective and noted that this would require a substantial price reduction (para 7.10, SG </w:t>
      </w:r>
      <w:r w:rsidR="00DE5ED8">
        <w:t>PSD</w:t>
      </w:r>
      <w:r w:rsidRPr="0093666C">
        <w:t>, July 2023 PBAC meeting).</w:t>
      </w:r>
      <w:r w:rsidR="005C7424">
        <w:t xml:space="preserve"> </w:t>
      </w:r>
      <w:r w:rsidR="005C7424" w:rsidRPr="0070023C">
        <w:rPr>
          <w:iCs/>
        </w:rPr>
        <w:t>The</w:t>
      </w:r>
      <w:r w:rsidR="000C66E5" w:rsidRPr="0070023C">
        <w:rPr>
          <w:iCs/>
        </w:rPr>
        <w:t xml:space="preserve"> ICER for the</w:t>
      </w:r>
      <w:r w:rsidR="005C7424" w:rsidRPr="0070023C">
        <w:rPr>
          <w:iCs/>
        </w:rPr>
        <w:t xml:space="preserve"> base case economic model presented in the resubmission </w:t>
      </w:r>
      <w:r w:rsidR="00D35554">
        <w:rPr>
          <w:iCs/>
        </w:rPr>
        <w:t>wa</w:t>
      </w:r>
      <w:r w:rsidR="005C7424" w:rsidRPr="0070023C">
        <w:rPr>
          <w:iCs/>
        </w:rPr>
        <w:t>s greater than $75,000 per QALY ($</w:t>
      </w:r>
      <w:r w:rsidR="00DE5ED8">
        <w:rPr>
          <w:iCs/>
        </w:rPr>
        <w:t>95,000 to &lt; $115,000</w:t>
      </w:r>
      <w:r w:rsidR="005C7424" w:rsidRPr="0070023C">
        <w:rPr>
          <w:iCs/>
        </w:rPr>
        <w:t xml:space="preserve">). </w:t>
      </w:r>
      <w:r w:rsidR="0069312F" w:rsidRPr="0070023C">
        <w:rPr>
          <w:iCs/>
        </w:rPr>
        <w:t xml:space="preserve">The base case </w:t>
      </w:r>
      <w:r w:rsidR="00D35554" w:rsidRPr="0070023C">
        <w:rPr>
          <w:iCs/>
        </w:rPr>
        <w:t>d</w:t>
      </w:r>
      <w:r w:rsidR="00D35554">
        <w:rPr>
          <w:iCs/>
        </w:rPr>
        <w:t>id</w:t>
      </w:r>
      <w:r w:rsidR="00D35554" w:rsidRPr="0070023C">
        <w:rPr>
          <w:iCs/>
        </w:rPr>
        <w:t xml:space="preserve"> </w:t>
      </w:r>
      <w:r w:rsidR="0069312F" w:rsidRPr="0070023C">
        <w:rPr>
          <w:iCs/>
        </w:rPr>
        <w:t>not address a number of matters of concern previously raised by the PBAC (para 7</w:t>
      </w:r>
      <w:r w:rsidR="00165592" w:rsidRPr="0070023C">
        <w:rPr>
          <w:iCs/>
        </w:rPr>
        <w:t>.9</w:t>
      </w:r>
      <w:r w:rsidR="0069312F" w:rsidRPr="0070023C">
        <w:rPr>
          <w:iCs/>
        </w:rPr>
        <w:t xml:space="preserve">, SG </w:t>
      </w:r>
      <w:r w:rsidR="00DE5ED8">
        <w:rPr>
          <w:iCs/>
        </w:rPr>
        <w:t>PSD</w:t>
      </w:r>
      <w:r w:rsidR="0069312F" w:rsidRPr="0070023C">
        <w:rPr>
          <w:iCs/>
        </w:rPr>
        <w:t xml:space="preserve">, July 2023 PBAC meeting). </w:t>
      </w:r>
      <w:r w:rsidR="00D35554">
        <w:rPr>
          <w:iCs/>
        </w:rPr>
        <w:t>The PBAC considered that</w:t>
      </w:r>
      <w:r w:rsidR="0069312F" w:rsidRPr="0070023C">
        <w:rPr>
          <w:iCs/>
        </w:rPr>
        <w:t xml:space="preserve"> the ICER remains high and underestimated.</w:t>
      </w:r>
    </w:p>
    <w:p w14:paraId="0AD8518C" w14:textId="033A0159" w:rsidR="00E01CB1" w:rsidRDefault="00A36E01" w:rsidP="00396E49">
      <w:pPr>
        <w:pStyle w:val="3-BodyText"/>
      </w:pPr>
      <w:r>
        <w:t>The resubmission stated that</w:t>
      </w:r>
      <w:r w:rsidRPr="00A36E01">
        <w:t xml:space="preserve"> </w:t>
      </w:r>
      <w:r>
        <w:t>t</w:t>
      </w:r>
      <w:r w:rsidRPr="00A36E01">
        <w:t>he</w:t>
      </w:r>
      <w:r w:rsidR="00165592">
        <w:t xml:space="preserve"> presented</w:t>
      </w:r>
      <w:r w:rsidRPr="00A36E01">
        <w:t xml:space="preserve"> ICER should be considered as cost-effective for the proposed HR+/HER2- breast cancer patient population; a heavily pre-treated population with a high risk of disease progression and mortality who have </w:t>
      </w:r>
      <w:r>
        <w:t xml:space="preserve">a </w:t>
      </w:r>
      <w:r w:rsidRPr="00A36E01">
        <w:t>high clinical need for therapy.</w:t>
      </w:r>
    </w:p>
    <w:p w14:paraId="49A151AF" w14:textId="7C409FCB" w:rsidR="00147723" w:rsidRDefault="00A36E01" w:rsidP="00396E49">
      <w:pPr>
        <w:pStyle w:val="3-BodyText"/>
      </w:pPr>
      <w:r>
        <w:t xml:space="preserve">Sensitivity analyses </w:t>
      </w:r>
      <w:r w:rsidR="004A30E9">
        <w:t xml:space="preserve">aligned to previous PBAC advice, </w:t>
      </w:r>
      <w:r>
        <w:t>conducted</w:t>
      </w:r>
      <w:r w:rsidR="004A30E9">
        <w:t xml:space="preserve"> by the Secretariat, are shown in </w:t>
      </w:r>
      <w:r w:rsidR="00EA60F9">
        <w:fldChar w:fldCharType="begin" w:fldLock="1"/>
      </w:r>
      <w:r w:rsidR="00EA60F9">
        <w:instrText xml:space="preserve"> REF _Ref146273980 \h  \* MERGEFORMAT </w:instrText>
      </w:r>
      <w:r w:rsidR="00EA60F9">
        <w:fldChar w:fldCharType="separate"/>
      </w:r>
      <w:r w:rsidR="0086428F" w:rsidRPr="0086428F">
        <w:t>Table 4</w:t>
      </w:r>
      <w:r w:rsidR="00EA60F9">
        <w:fldChar w:fldCharType="end"/>
      </w:r>
      <w:r w:rsidR="00EA60F9">
        <w:t xml:space="preserve">. </w:t>
      </w:r>
    </w:p>
    <w:p w14:paraId="3C054EA0" w14:textId="56B662C6" w:rsidR="00A36E01" w:rsidRDefault="00147723" w:rsidP="00396E49">
      <w:pPr>
        <w:pStyle w:val="3-BodyText"/>
      </w:pPr>
      <w:r w:rsidRPr="00E74297">
        <w:t xml:space="preserve">The PBAC </w:t>
      </w:r>
      <w:r>
        <w:t xml:space="preserve">previously </w:t>
      </w:r>
      <w:r w:rsidRPr="00E74297">
        <w:t>considered that at an ICER of $75,000 per QALY would be acceptably cost-effective and noted that this would require a substantial price reduction</w:t>
      </w:r>
      <w:r>
        <w:t xml:space="preserve"> (para 7.10, </w:t>
      </w:r>
      <w:r w:rsidRPr="00451998">
        <w:t xml:space="preserve">SG </w:t>
      </w:r>
      <w:r w:rsidR="00DE5ED8">
        <w:t>PSD</w:t>
      </w:r>
      <w:r w:rsidRPr="00451998">
        <w:t>, July 2023 PBAC meeting)</w:t>
      </w:r>
      <w:r w:rsidRPr="00E74297">
        <w:t>.</w:t>
      </w:r>
      <w:r>
        <w:t xml:space="preserve"> </w:t>
      </w:r>
      <w:r w:rsidR="00063B91">
        <w:t>When inputs are varied in multivariate analysis to be in line with previous</w:t>
      </w:r>
      <w:r w:rsidR="00EA60F9">
        <w:t xml:space="preserve"> PBAC advice, the ICER increases </w:t>
      </w:r>
      <w:r>
        <w:t>by 45%</w:t>
      </w:r>
      <w:r w:rsidR="00063B91">
        <w:t>,</w:t>
      </w:r>
      <w:r>
        <w:t xml:space="preserve"> </w:t>
      </w:r>
      <w:r w:rsidR="00EA60F9">
        <w:t>from $</w:t>
      </w:r>
      <w:r w:rsidR="00DE5ED8">
        <w:t>95,000 to &lt; $115,000</w:t>
      </w:r>
      <w:r w:rsidR="00EA60F9">
        <w:t xml:space="preserve"> to </w:t>
      </w:r>
      <w:r w:rsidRPr="00147723">
        <w:t>$</w:t>
      </w:r>
      <w:r w:rsidR="00DE5ED8">
        <w:t>155,000 to &lt; $255,000</w:t>
      </w:r>
      <w:r w:rsidR="00063B91">
        <w:t xml:space="preserve"> per QALY</w:t>
      </w:r>
      <w:r w:rsidR="00165592">
        <w:t xml:space="preserve"> gained</w:t>
      </w:r>
      <w:r w:rsidR="00EA60F9">
        <w:t>. Based on this analysis, a</w:t>
      </w:r>
      <w:r w:rsidR="005D5535">
        <w:t xml:space="preserve"> reduction </w:t>
      </w:r>
      <w:r w:rsidR="00063B91">
        <w:t xml:space="preserve">in the dispensed price per dose from </w:t>
      </w:r>
      <w:r w:rsidR="001F3B65">
        <w:t>$</w:t>
      </w:r>
      <w:r w:rsidR="00D52BD6" w:rsidRPr="006D1797">
        <w:rPr>
          <w:color w:val="000000"/>
          <w:w w:val="15"/>
          <w:shd w:val="solid" w:color="000000" w:fill="000000"/>
          <w:fitText w:val="-20" w:id="-1032058608"/>
          <w14:textFill>
            <w14:solidFill>
              <w14:srgbClr w14:val="000000">
                <w14:alpha w14:val="100000"/>
              </w14:srgbClr>
            </w14:solidFill>
          </w14:textFill>
        </w:rPr>
        <w:t xml:space="preserve">|  </w:t>
      </w:r>
      <w:r w:rsidR="00D52BD6" w:rsidRPr="006D1797">
        <w:rPr>
          <w:color w:val="000000"/>
          <w:spacing w:val="-69"/>
          <w:w w:val="15"/>
          <w:shd w:val="solid" w:color="000000" w:fill="000000"/>
          <w:fitText w:val="-20" w:id="-1032058608"/>
          <w14:textFill>
            <w14:solidFill>
              <w14:srgbClr w14:val="000000">
                <w14:alpha w14:val="100000"/>
              </w14:srgbClr>
            </w14:solidFill>
          </w14:textFill>
        </w:rPr>
        <w:t>|</w:t>
      </w:r>
      <w:r w:rsidR="001F3B65">
        <w:rPr>
          <w:color w:val="000000"/>
          <w:shd w:val="solid" w:color="000000" w:fill="000000"/>
          <w14:textFill>
            <w14:solidFill>
              <w14:srgbClr w14:val="000000">
                <w14:alpha w14:val="100000"/>
              </w14:srgbClr>
            </w14:solidFill>
          </w14:textFill>
        </w:rPr>
        <w:t xml:space="preserve"> </w:t>
      </w:r>
      <w:r w:rsidR="001F3B65">
        <w:t xml:space="preserve"> (</w:t>
      </w:r>
      <w:r w:rsidR="00055518">
        <w:t>including wastage)</w:t>
      </w:r>
      <w:r w:rsidR="00063B91">
        <w:t xml:space="preserve"> to </w:t>
      </w:r>
      <w:r w:rsidR="001F3B65">
        <w:t>$</w:t>
      </w:r>
      <w:r w:rsidR="00D52BD6" w:rsidRPr="006D1797">
        <w:rPr>
          <w:color w:val="000000"/>
          <w:w w:val="15"/>
          <w:shd w:val="solid" w:color="000000" w:fill="000000"/>
          <w:fitText w:val="-20" w:id="-1032058624"/>
          <w14:textFill>
            <w14:solidFill>
              <w14:srgbClr w14:val="000000">
                <w14:alpha w14:val="100000"/>
              </w14:srgbClr>
            </w14:solidFill>
          </w14:textFill>
        </w:rPr>
        <w:t xml:space="preserve">|  </w:t>
      </w:r>
      <w:r w:rsidR="001F3B65" w:rsidRPr="006D1797">
        <w:rPr>
          <w:color w:val="000000"/>
          <w:w w:val="15"/>
          <w:shd w:val="solid" w:color="000000" w:fill="000000"/>
          <w:fitText w:val="-20" w:id="-1032058624"/>
          <w14:textFill>
            <w14:solidFill>
              <w14:srgbClr w14:val="000000">
                <w14:alpha w14:val="100000"/>
              </w14:srgbClr>
            </w14:solidFill>
          </w14:textFill>
        </w:rPr>
        <w:t xml:space="preserve"> </w:t>
      </w:r>
      <w:r w:rsidR="00D52BD6" w:rsidRPr="006D1797">
        <w:rPr>
          <w:color w:val="000000"/>
          <w:spacing w:val="-77"/>
          <w:w w:val="15"/>
          <w:shd w:val="solid" w:color="000000" w:fill="000000"/>
          <w:fitText w:val="-20" w:id="-1032058624"/>
          <w14:textFill>
            <w14:solidFill>
              <w14:srgbClr w14:val="000000">
                <w14:alpha w14:val="100000"/>
              </w14:srgbClr>
            </w14:solidFill>
          </w14:textFill>
        </w:rPr>
        <w:t>|</w:t>
      </w:r>
      <w:r w:rsidR="001F3B65">
        <w:rPr>
          <w:color w:val="000000"/>
          <w:shd w:val="solid" w:color="000000" w:fill="000000"/>
          <w14:textFill>
            <w14:solidFill>
              <w14:srgbClr w14:val="000000">
                <w14:alpha w14:val="100000"/>
              </w14:srgbClr>
            </w14:solidFill>
          </w14:textFill>
        </w:rPr>
        <w:t xml:space="preserve"> </w:t>
      </w:r>
      <w:r w:rsidR="001F3B65">
        <w:t xml:space="preserve"> (</w:t>
      </w:r>
      <w:r w:rsidR="00063B91">
        <w:t>-</w:t>
      </w:r>
      <w:r w:rsidR="00D52BD6" w:rsidRPr="006D1797">
        <w:rPr>
          <w:color w:val="000000"/>
          <w:w w:val="15"/>
          <w:shd w:val="solid" w:color="000000" w:fill="000000"/>
          <w:fitText w:val="-20" w:id="-1032058623"/>
          <w14:textFill>
            <w14:solidFill>
              <w14:srgbClr w14:val="000000">
                <w14:alpha w14:val="100000"/>
              </w14:srgbClr>
            </w14:solidFill>
          </w14:textFill>
        </w:rPr>
        <w:t xml:space="preserve">|  </w:t>
      </w:r>
      <w:r w:rsidR="00D52BD6" w:rsidRPr="006D1797">
        <w:rPr>
          <w:color w:val="000000"/>
          <w:spacing w:val="-69"/>
          <w:w w:val="15"/>
          <w:shd w:val="solid" w:color="000000" w:fill="000000"/>
          <w:fitText w:val="-20" w:id="-1032058623"/>
          <w14:textFill>
            <w14:solidFill>
              <w14:srgbClr w14:val="000000">
                <w14:alpha w14:val="100000"/>
              </w14:srgbClr>
            </w14:solidFill>
          </w14:textFill>
        </w:rPr>
        <w:t>|</w:t>
      </w:r>
      <w:r w:rsidR="00063B91">
        <w:t>%)</w:t>
      </w:r>
      <w:r w:rsidR="00EA60F9">
        <w:t xml:space="preserve"> </w:t>
      </w:r>
      <w:r w:rsidR="00D35554">
        <w:t xml:space="preserve">would be </w:t>
      </w:r>
      <w:r w:rsidR="00EA60F9">
        <w:t xml:space="preserve">required for </w:t>
      </w:r>
      <w:r w:rsidR="005D5535">
        <w:t>an ICER of</w:t>
      </w:r>
      <w:r w:rsidR="00EA60F9">
        <w:t xml:space="preserve"> $75,000</w:t>
      </w:r>
      <w:r w:rsidR="00165592">
        <w:t xml:space="preserve"> per QALY gained</w:t>
      </w:r>
      <w:r w:rsidR="00EA60F9">
        <w:t>.</w:t>
      </w:r>
    </w:p>
    <w:p w14:paraId="362B047B" w14:textId="7E8D0A48" w:rsidR="008B6C25" w:rsidRDefault="008B6C25" w:rsidP="00396E49">
      <w:pPr>
        <w:pStyle w:val="3-BodyText"/>
      </w:pPr>
      <w:r>
        <w:t xml:space="preserve">The Pre-PBAC response maintained the inputs applied </w:t>
      </w:r>
      <w:r w:rsidR="004A3CF7">
        <w:t>in the resubmission’s</w:t>
      </w:r>
      <w:r>
        <w:t xml:space="preserve"> economic model were appropriate and </w:t>
      </w:r>
      <w:r w:rsidR="004A3CF7">
        <w:t xml:space="preserve">considered </w:t>
      </w:r>
      <w:r w:rsidR="001018B8">
        <w:t>that $</w:t>
      </w:r>
      <w:r w:rsidR="00DE5ED8">
        <w:t>95,000 to &lt; $115,000</w:t>
      </w:r>
      <w:r w:rsidR="001018B8">
        <w:t xml:space="preserve"> per QALY was an </w:t>
      </w:r>
      <w:r w:rsidR="004A3CF7">
        <w:t xml:space="preserve">acceptably </w:t>
      </w:r>
      <w:r>
        <w:t>cost-effective</w:t>
      </w:r>
      <w:r w:rsidR="001018B8">
        <w:t xml:space="preserve"> ICER</w:t>
      </w:r>
      <w:r w:rsidR="004A3CF7">
        <w:t xml:space="preserve"> for SG in the </w:t>
      </w:r>
      <w:r w:rsidR="004A3CF7" w:rsidRPr="001018B8">
        <w:t>HR+/HER2- mBC setting.</w:t>
      </w:r>
    </w:p>
    <w:p w14:paraId="5C8A6727" w14:textId="7D86F1A6" w:rsidR="004A30E9" w:rsidRPr="00396E49" w:rsidRDefault="004A30E9" w:rsidP="001018B8">
      <w:pPr>
        <w:pStyle w:val="3-BodyText"/>
        <w:keepNext/>
        <w:numPr>
          <w:ilvl w:val="0"/>
          <w:numId w:val="0"/>
        </w:numPr>
        <w:spacing w:after="0"/>
        <w:rPr>
          <w:rStyle w:val="CommentReference"/>
        </w:rPr>
      </w:pPr>
      <w:bookmarkStart w:id="23" w:name="_Ref146273980"/>
      <w:r w:rsidRPr="00396E49">
        <w:rPr>
          <w:rStyle w:val="CommentReference"/>
        </w:rPr>
        <w:t xml:space="preserve">Table </w:t>
      </w:r>
      <w:r w:rsidRPr="00396E49">
        <w:rPr>
          <w:rStyle w:val="CommentReference"/>
        </w:rPr>
        <w:fldChar w:fldCharType="begin" w:fldLock="1"/>
      </w:r>
      <w:r w:rsidRPr="00396E49">
        <w:rPr>
          <w:rStyle w:val="CommentReference"/>
        </w:rPr>
        <w:instrText xml:space="preserve"> SEQ Table \* ARABIC </w:instrText>
      </w:r>
      <w:r w:rsidRPr="00396E49">
        <w:rPr>
          <w:rStyle w:val="CommentReference"/>
        </w:rPr>
        <w:fldChar w:fldCharType="separate"/>
      </w:r>
      <w:r w:rsidR="0086428F">
        <w:rPr>
          <w:rStyle w:val="CommentReference"/>
          <w:noProof/>
        </w:rPr>
        <w:t>4</w:t>
      </w:r>
      <w:r w:rsidRPr="00396E49">
        <w:rPr>
          <w:rStyle w:val="CommentReference"/>
        </w:rPr>
        <w:fldChar w:fldCharType="end"/>
      </w:r>
      <w:bookmarkEnd w:id="23"/>
      <w:r w:rsidRPr="00396E49">
        <w:rPr>
          <w:rStyle w:val="CommentReference"/>
        </w:rPr>
        <w:t>: Sensitivity analyses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Caption w:val="Table 4: Sensitivity analyses"/>
        <w:tblDescription w:val="Table 4: Sensitivity analyses"/>
      </w:tblPr>
      <w:tblGrid>
        <w:gridCol w:w="4815"/>
        <w:gridCol w:w="1276"/>
        <w:gridCol w:w="1134"/>
        <w:gridCol w:w="992"/>
        <w:gridCol w:w="850"/>
      </w:tblGrid>
      <w:tr w:rsidR="004A30E9" w:rsidRPr="00E74297" w14:paraId="0226BAB8"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7BB650E" w14:textId="77777777" w:rsidR="004A30E9" w:rsidRPr="00E74297" w:rsidRDefault="004A30E9" w:rsidP="00AF781B">
            <w:pPr>
              <w:pStyle w:val="In-tableHeading"/>
              <w:keepNext w:val="0"/>
              <w:widowControl w:val="0"/>
              <w:jc w:val="center"/>
              <w:rPr>
                <w:lang w:val="en-AU"/>
              </w:rPr>
            </w:pPr>
            <w:r w:rsidRPr="00E74297">
              <w:rPr>
                <w:lang w:val="en-AU"/>
              </w:rPr>
              <w:t>Analyses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209742" w14:textId="77777777" w:rsidR="004A30E9" w:rsidRPr="00E74297" w:rsidRDefault="004A30E9" w:rsidP="00AF781B">
            <w:pPr>
              <w:pStyle w:val="In-tableHeading"/>
              <w:keepNext w:val="0"/>
              <w:widowControl w:val="0"/>
              <w:jc w:val="center"/>
              <w:rPr>
                <w:lang w:val="en-AU"/>
              </w:rPr>
            </w:pPr>
            <w:r w:rsidRPr="00E74297">
              <w:rPr>
                <w:lang w:val="en-AU"/>
              </w:rPr>
              <w:t>Incremental cost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57C2A1" w14:textId="77777777" w:rsidR="004A30E9" w:rsidRPr="00E74297" w:rsidRDefault="004A30E9" w:rsidP="00AF781B">
            <w:pPr>
              <w:pStyle w:val="In-tableHeading"/>
              <w:keepNext w:val="0"/>
              <w:widowControl w:val="0"/>
              <w:jc w:val="center"/>
              <w:rPr>
                <w:lang w:val="en-AU"/>
              </w:rPr>
            </w:pPr>
            <w:r w:rsidRPr="00E74297">
              <w:rPr>
                <w:lang w:val="en-AU"/>
              </w:rPr>
              <w:t>Incremental QALY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D25382" w14:textId="77777777" w:rsidR="004A30E9" w:rsidRPr="00E74297" w:rsidRDefault="004A30E9" w:rsidP="00AF781B">
            <w:pPr>
              <w:pStyle w:val="In-tableHeading"/>
              <w:keepNext w:val="0"/>
              <w:widowControl w:val="0"/>
              <w:jc w:val="center"/>
              <w:rPr>
                <w:lang w:val="en-AU"/>
              </w:rPr>
            </w:pPr>
            <w:r w:rsidRPr="00E74297">
              <w:rPr>
                <w:lang w:val="en-AU"/>
              </w:rPr>
              <w:t>ICER</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DA84D5" w14:textId="77777777" w:rsidR="004A30E9" w:rsidRPr="00E74297" w:rsidRDefault="004A30E9" w:rsidP="00AF781B">
            <w:pPr>
              <w:pStyle w:val="In-tableHeading"/>
              <w:keepNext w:val="0"/>
              <w:widowControl w:val="0"/>
              <w:jc w:val="center"/>
              <w:rPr>
                <w:lang w:val="en-AU"/>
              </w:rPr>
            </w:pPr>
            <w:r w:rsidRPr="00E74297">
              <w:rPr>
                <w:lang w:val="en-AU"/>
              </w:rPr>
              <w:t>% Change</w:t>
            </w:r>
          </w:p>
        </w:tc>
      </w:tr>
      <w:tr w:rsidR="004A30E9" w:rsidRPr="00E74297" w14:paraId="47C6485A"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2D5E86E" w14:textId="77777777" w:rsidR="004A30E9" w:rsidRPr="0076260A" w:rsidRDefault="004A30E9" w:rsidP="00AF781B">
            <w:pPr>
              <w:pStyle w:val="In-tableHeading"/>
              <w:keepNext w:val="0"/>
              <w:widowControl w:val="0"/>
              <w:rPr>
                <w:b w:val="0"/>
                <w:bCs/>
                <w:lang w:val="en-AU"/>
              </w:rPr>
            </w:pPr>
            <w:r w:rsidRPr="0076260A">
              <w:rPr>
                <w:b w:val="0"/>
                <w:bCs/>
                <w:lang w:val="en-AU"/>
              </w:rPr>
              <w:t>Base case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4297AA" w14:textId="546F7FFD" w:rsidR="004A30E9" w:rsidRPr="0076260A" w:rsidRDefault="00D52BD6" w:rsidP="00AF781B">
            <w:pPr>
              <w:pStyle w:val="In-tableHeading"/>
              <w:keepNext w:val="0"/>
              <w:widowControl w:val="0"/>
              <w:jc w:val="center"/>
              <w:rPr>
                <w:b w:val="0"/>
                <w:bCs/>
                <w:lang w:val="en-AU"/>
              </w:rPr>
            </w:pPr>
            <w:r>
              <w:rPr>
                <w:b w:val="0"/>
                <w:bCs/>
                <w:lang w:val="en-AU"/>
              </w:rPr>
              <w:t xml:space="preserve"> </w:t>
            </w:r>
            <w:r w:rsidRPr="006D1797">
              <w:rPr>
                <w:rFonts w:hint="eastAsia"/>
                <w:b w:val="0"/>
                <w:bCs/>
                <w:color w:val="000000"/>
                <w:w w:val="15"/>
                <w:shd w:val="solid" w:color="000000" w:fill="000000"/>
                <w:fitText w:val="10" w:id="-1032058622"/>
                <w:lang w:val="en-AU"/>
                <w14:textFill>
                  <w14:solidFill>
                    <w14:srgbClr w14:val="000000">
                      <w14:alpha w14:val="100000"/>
                    </w14:srgbClr>
                  </w14:solidFill>
                </w14:textFill>
              </w:rPr>
              <w:t xml:space="preserve">　</w:t>
            </w:r>
            <w:r w:rsidRPr="006D1797">
              <w:rPr>
                <w:b w:val="0"/>
                <w:bCs/>
                <w:color w:val="000000"/>
                <w:w w:val="15"/>
                <w:shd w:val="solid" w:color="000000" w:fill="000000"/>
                <w:fitText w:val="10" w:id="-1032058622"/>
                <w:lang w:val="en-AU"/>
                <w14:textFill>
                  <w14:solidFill>
                    <w14:srgbClr w14:val="000000">
                      <w14:alpha w14:val="100000"/>
                    </w14:srgbClr>
                  </w14:solidFill>
                </w14:textFill>
              </w:rPr>
              <w:t>|</w:t>
            </w:r>
            <w:r w:rsidRPr="006D1797">
              <w:rPr>
                <w:rFonts w:hint="eastAsia"/>
                <w:b w:val="0"/>
                <w:bCs/>
                <w:color w:val="000000"/>
                <w:spacing w:val="-55"/>
                <w:w w:val="15"/>
                <w:shd w:val="solid" w:color="000000" w:fill="000000"/>
                <w:fitText w:val="10" w:id="-1032058622"/>
                <w:lang w:val="en-AU"/>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C0F4C1" w14:textId="71D4339E" w:rsidR="004A30E9" w:rsidRPr="0076260A" w:rsidRDefault="004A30E9" w:rsidP="00AF781B">
            <w:pPr>
              <w:pStyle w:val="In-tableHeading"/>
              <w:keepNext w:val="0"/>
              <w:widowControl w:val="0"/>
              <w:jc w:val="center"/>
              <w:rPr>
                <w:b w:val="0"/>
                <w:bCs/>
                <w:lang w:val="en-AU"/>
              </w:rPr>
            </w:pPr>
            <w:r w:rsidRPr="0076260A">
              <w:rPr>
                <w:b w:val="0"/>
                <w:bCs/>
                <w:lang w:val="en-AU"/>
              </w:rPr>
              <w:t>0.</w:t>
            </w:r>
            <w:r w:rsidR="00485226" w:rsidRPr="0076260A">
              <w:rPr>
                <w:b w:val="0"/>
                <w:bCs/>
                <w:lang w:val="en-AU"/>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7A591A" w14:textId="09CC2E82" w:rsidR="004A30E9" w:rsidRPr="0076260A" w:rsidRDefault="00D52BD6" w:rsidP="00AF781B">
            <w:pPr>
              <w:pStyle w:val="In-tableHeading"/>
              <w:keepNext w:val="0"/>
              <w:widowControl w:val="0"/>
              <w:jc w:val="center"/>
              <w:rPr>
                <w:b w:val="0"/>
                <w:bCs/>
                <w:lang w:val="en-AU"/>
              </w:rPr>
            </w:pPr>
            <w:r>
              <w:rPr>
                <w:b w:val="0"/>
                <w:bCs/>
                <w:lang w:val="en-AU"/>
              </w:rPr>
              <w:t xml:space="preserve"> </w:t>
            </w:r>
            <w:r w:rsidRPr="00D52BD6">
              <w:rPr>
                <w:b w:val="0"/>
                <w:bCs/>
                <w:color w:val="000000"/>
                <w:spacing w:val="104"/>
                <w:shd w:val="solid" w:color="000000" w:fill="000000"/>
                <w:fitText w:val="190" w:id="-1032058621"/>
                <w:lang w:val="en-AU"/>
                <w14:textFill>
                  <w14:solidFill>
                    <w14:srgbClr w14:val="000000">
                      <w14:alpha w14:val="100000"/>
                    </w14:srgbClr>
                  </w14:solidFill>
                </w14:textFill>
              </w:rPr>
              <w:t>|</w:t>
            </w:r>
            <w:r w:rsidRPr="00D52BD6">
              <w:rPr>
                <w:b w:val="0"/>
                <w:bCs/>
                <w:color w:val="000000"/>
                <w:spacing w:val="1"/>
                <w:shd w:val="solid" w:color="000000" w:fill="000000"/>
                <w:fitText w:val="190" w:id="-1032058621"/>
                <w:lang w:val="en-AU"/>
                <w14:textFill>
                  <w14:solidFill>
                    <w14:srgbClr w14:val="000000">
                      <w14:alpha w14:val="100000"/>
                    </w14:srgbClr>
                  </w14:solidFill>
                </w14:textFill>
              </w:rPr>
              <w:t>|</w:t>
            </w:r>
            <w:r w:rsidR="00DE5ED8" w:rsidRPr="00F0362D">
              <w:rPr>
                <w:b w:val="0"/>
                <w:bCs/>
                <w:vertAlign w:val="superscript"/>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B8DB6A" w14:textId="65D7ADE8" w:rsidR="004A30E9" w:rsidRPr="0076260A" w:rsidRDefault="00D52BD6" w:rsidP="00AF781B">
            <w:pPr>
              <w:pStyle w:val="In-tableHeading"/>
              <w:keepNext w:val="0"/>
              <w:widowControl w:val="0"/>
              <w:jc w:val="center"/>
              <w:rPr>
                <w:b w:val="0"/>
                <w:bCs/>
                <w:lang w:val="en-AU"/>
              </w:rPr>
            </w:pPr>
            <w:r>
              <w:rPr>
                <w:b w:val="0"/>
                <w:bCs/>
                <w:lang w:val="en-AU"/>
              </w:rPr>
              <w:t xml:space="preserve"> </w:t>
            </w:r>
            <w:r w:rsidRPr="00D52BD6">
              <w:rPr>
                <w:b w:val="0"/>
                <w:bCs/>
                <w:color w:val="000000"/>
                <w:spacing w:val="51"/>
                <w:shd w:val="solid" w:color="000000" w:fill="000000"/>
                <w:fitText w:val="230" w:id="-1032058620"/>
                <w:lang w:val="en-AU"/>
                <w14:textFill>
                  <w14:solidFill>
                    <w14:srgbClr w14:val="000000">
                      <w14:alpha w14:val="100000"/>
                    </w14:srgbClr>
                  </w14:solidFill>
                </w14:textFill>
              </w:rPr>
              <w:t>||</w:t>
            </w:r>
            <w:r w:rsidRPr="00D52BD6">
              <w:rPr>
                <w:b w:val="0"/>
                <w:bCs/>
                <w:color w:val="000000"/>
                <w:spacing w:val="1"/>
                <w:shd w:val="solid" w:color="000000" w:fill="000000"/>
                <w:fitText w:val="230" w:id="-1032058620"/>
                <w:lang w:val="en-AU"/>
                <w14:textFill>
                  <w14:solidFill>
                    <w14:srgbClr w14:val="000000">
                      <w14:alpha w14:val="100000"/>
                    </w14:srgbClr>
                  </w14:solidFill>
                </w14:textFill>
              </w:rPr>
              <w:t>|</w:t>
            </w:r>
          </w:p>
        </w:tc>
      </w:tr>
      <w:tr w:rsidR="00485226" w:rsidRPr="00E74297" w14:paraId="67AE4062" w14:textId="77777777" w:rsidTr="00AF781B">
        <w:trPr>
          <w:trHeight w:val="53"/>
          <w:tblHeader/>
        </w:trPr>
        <w:tc>
          <w:tcPr>
            <w:tcW w:w="9067" w:type="dxa"/>
            <w:gridSpan w:val="5"/>
            <w:tcBorders>
              <w:top w:val="single" w:sz="4" w:space="0" w:color="auto"/>
              <w:left w:val="single" w:sz="4" w:space="0" w:color="auto"/>
              <w:bottom w:val="single" w:sz="4" w:space="0" w:color="auto"/>
              <w:right w:val="single" w:sz="4" w:space="0" w:color="auto"/>
            </w:tcBorders>
            <w:shd w:val="clear" w:color="auto" w:fill="auto"/>
          </w:tcPr>
          <w:p w14:paraId="05BE1167" w14:textId="717AB40B" w:rsidR="00485226" w:rsidRPr="0076260A" w:rsidRDefault="00485226" w:rsidP="00485226">
            <w:pPr>
              <w:pStyle w:val="In-tableHeading"/>
              <w:keepNext w:val="0"/>
              <w:widowControl w:val="0"/>
              <w:rPr>
                <w:lang w:val="en-AU"/>
              </w:rPr>
            </w:pPr>
            <w:r w:rsidRPr="0076260A">
              <w:rPr>
                <w:lang w:val="en-AU"/>
              </w:rPr>
              <w:t>Time horizon (base case: 7 years)</w:t>
            </w:r>
          </w:p>
        </w:tc>
      </w:tr>
      <w:tr w:rsidR="009A54BD" w:rsidRPr="00E74297" w14:paraId="0313D0AF"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4F485B6" w14:textId="6F4CC4EA" w:rsidR="009A54BD" w:rsidRPr="00485226" w:rsidRDefault="009A54BD" w:rsidP="009A54BD">
            <w:pPr>
              <w:pStyle w:val="In-tableHeading"/>
              <w:keepNext w:val="0"/>
              <w:widowControl w:val="0"/>
              <w:rPr>
                <w:b w:val="0"/>
                <w:bCs/>
                <w:lang w:val="en-AU"/>
              </w:rPr>
            </w:pPr>
            <w:r w:rsidRPr="00485226">
              <w:rPr>
                <w:b w:val="0"/>
                <w:bCs/>
                <w:lang w:val="en-AU"/>
              </w:rPr>
              <w:t xml:space="preserve">5 years </w:t>
            </w:r>
            <w:r>
              <w:rPr>
                <w:lang w:val="en-AU"/>
              </w:rPr>
              <w:t>#</w:t>
            </w:r>
            <w:r w:rsidRPr="00485226">
              <w:rPr>
                <w:lang w:val="en-AU"/>
              </w:rPr>
              <w:t>1</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BA72FB" w14:textId="74A0DAB9" w:rsidR="009A54BD" w:rsidRPr="009A54BD" w:rsidRDefault="00D52BD6" w:rsidP="009A54BD">
            <w:pPr>
              <w:pStyle w:val="In-tableHeading"/>
              <w:keepNext w:val="0"/>
              <w:widowControl w:val="0"/>
              <w:jc w:val="center"/>
              <w:rPr>
                <w:b w:val="0"/>
                <w:bCs/>
                <w:lang w:val="en-AU"/>
              </w:rPr>
            </w:pPr>
            <w:r>
              <w:rPr>
                <w:b w:val="0"/>
                <w:bCs/>
              </w:rPr>
              <w:t xml:space="preserve"> </w:t>
            </w:r>
            <w:r w:rsidRPr="006D1797">
              <w:rPr>
                <w:rFonts w:hint="eastAsia"/>
                <w:b w:val="0"/>
                <w:bCs/>
                <w:color w:val="000000"/>
                <w:w w:val="15"/>
                <w:shd w:val="solid" w:color="000000" w:fill="000000"/>
                <w:fitText w:val="10" w:id="-1032058619"/>
                <w14:textFill>
                  <w14:solidFill>
                    <w14:srgbClr w14:val="000000">
                      <w14:alpha w14:val="100000"/>
                    </w14:srgbClr>
                  </w14:solidFill>
                </w14:textFill>
              </w:rPr>
              <w:t xml:space="preserve">　</w:t>
            </w:r>
            <w:r w:rsidRPr="006D1797">
              <w:rPr>
                <w:b w:val="0"/>
                <w:bCs/>
                <w:color w:val="000000"/>
                <w:w w:val="15"/>
                <w:shd w:val="solid" w:color="000000" w:fill="000000"/>
                <w:fitText w:val="10" w:id="-1032058619"/>
                <w14:textFill>
                  <w14:solidFill>
                    <w14:srgbClr w14:val="000000">
                      <w14:alpha w14:val="100000"/>
                    </w14:srgbClr>
                  </w14:solidFill>
                </w14:textFill>
              </w:rPr>
              <w:t>|</w:t>
            </w:r>
            <w:r w:rsidRPr="006D1797">
              <w:rPr>
                <w:rFonts w:hint="eastAsia"/>
                <w:b w:val="0"/>
                <w:bCs/>
                <w:color w:val="000000"/>
                <w:spacing w:val="-55"/>
                <w:w w:val="15"/>
                <w:shd w:val="solid" w:color="000000" w:fill="000000"/>
                <w:fitText w:val="10" w:id="-1032058619"/>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D9D52E" w14:textId="6AABF2FB" w:rsidR="009A54BD" w:rsidRPr="009A54BD" w:rsidRDefault="009A54BD" w:rsidP="009A54BD">
            <w:pPr>
              <w:pStyle w:val="In-tableHeading"/>
              <w:keepNext w:val="0"/>
              <w:widowControl w:val="0"/>
              <w:jc w:val="center"/>
              <w:rPr>
                <w:b w:val="0"/>
                <w:bCs/>
                <w:lang w:val="en-AU"/>
              </w:rPr>
            </w:pPr>
            <w:r w:rsidRPr="009A54BD">
              <w:rPr>
                <w:b w:val="0"/>
                <w:bCs/>
              </w:rPr>
              <w:t>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44949" w14:textId="0C56DD4B" w:rsidR="009A54BD" w:rsidRPr="009A54BD" w:rsidRDefault="00D52BD6" w:rsidP="009A54BD">
            <w:pPr>
              <w:pStyle w:val="In-tableHeading"/>
              <w:keepNext w:val="0"/>
              <w:widowControl w:val="0"/>
              <w:jc w:val="center"/>
              <w:rPr>
                <w:b w:val="0"/>
                <w:bCs/>
                <w:lang w:val="en-AU"/>
              </w:rPr>
            </w:pPr>
            <w:r>
              <w:rPr>
                <w:b w:val="0"/>
                <w:bCs/>
              </w:rPr>
              <w:t xml:space="preserve"> </w:t>
            </w:r>
            <w:r w:rsidRPr="00D52BD6">
              <w:rPr>
                <w:b w:val="0"/>
                <w:bCs/>
                <w:color w:val="000000"/>
                <w:spacing w:val="104"/>
                <w:shd w:val="solid" w:color="000000" w:fill="000000"/>
                <w:fitText w:val="190" w:id="-1032058618"/>
                <w14:textFill>
                  <w14:solidFill>
                    <w14:srgbClr w14:val="000000">
                      <w14:alpha w14:val="100000"/>
                    </w14:srgbClr>
                  </w14:solidFill>
                </w14:textFill>
              </w:rPr>
              <w:t>|</w:t>
            </w:r>
            <w:r w:rsidRPr="00D52BD6">
              <w:rPr>
                <w:b w:val="0"/>
                <w:bCs/>
                <w:color w:val="000000"/>
                <w:spacing w:val="1"/>
                <w:shd w:val="solid" w:color="000000" w:fill="000000"/>
                <w:fitText w:val="190" w:id="-1032058618"/>
                <w14:textFill>
                  <w14:solidFill>
                    <w14:srgbClr w14:val="000000">
                      <w14:alpha w14:val="100000"/>
                    </w14:srgbClr>
                  </w14:solidFill>
                </w14:textFill>
              </w:rPr>
              <w:t>|</w:t>
            </w:r>
            <w:r w:rsidR="00DE5ED8" w:rsidRPr="00F0362D">
              <w:rPr>
                <w:b w:val="0"/>
                <w:bCs/>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0C4DDC" w14:textId="52809060" w:rsidR="009A54BD" w:rsidRPr="009A54BD" w:rsidRDefault="00D52BD6" w:rsidP="009A54BD">
            <w:pPr>
              <w:pStyle w:val="In-tableHeading"/>
              <w:keepNext w:val="0"/>
              <w:widowControl w:val="0"/>
              <w:jc w:val="center"/>
              <w:rPr>
                <w:b w:val="0"/>
                <w:bCs/>
                <w:lang w:val="en-AU"/>
              </w:rPr>
            </w:pPr>
            <w:r>
              <w:rPr>
                <w:b w:val="0"/>
                <w:bCs/>
              </w:rPr>
              <w:t xml:space="preserve"> </w:t>
            </w:r>
            <w:r w:rsidRPr="00D52BD6">
              <w:rPr>
                <w:b w:val="0"/>
                <w:bCs/>
                <w:color w:val="000000"/>
                <w:spacing w:val="51"/>
                <w:shd w:val="solid" w:color="000000" w:fill="000000"/>
                <w:fitText w:val="230" w:id="-1032058617"/>
                <w14:textFill>
                  <w14:solidFill>
                    <w14:srgbClr w14:val="000000">
                      <w14:alpha w14:val="100000"/>
                    </w14:srgbClr>
                  </w14:solidFill>
                </w14:textFill>
              </w:rPr>
              <w:t>||</w:t>
            </w:r>
            <w:r w:rsidRPr="00D52BD6">
              <w:rPr>
                <w:b w:val="0"/>
                <w:bCs/>
                <w:color w:val="000000"/>
                <w:spacing w:val="1"/>
                <w:shd w:val="solid" w:color="000000" w:fill="000000"/>
                <w:fitText w:val="230" w:id="-1032058617"/>
                <w14:textFill>
                  <w14:solidFill>
                    <w14:srgbClr w14:val="000000">
                      <w14:alpha w14:val="100000"/>
                    </w14:srgbClr>
                  </w14:solidFill>
                </w14:textFill>
              </w:rPr>
              <w:t>|</w:t>
            </w:r>
          </w:p>
        </w:tc>
      </w:tr>
      <w:tr w:rsidR="00485226" w:rsidRPr="00E74297" w14:paraId="3E7A9A45" w14:textId="77777777" w:rsidTr="00AF781B">
        <w:trPr>
          <w:trHeight w:val="220"/>
          <w:tblHeader/>
        </w:trPr>
        <w:tc>
          <w:tcPr>
            <w:tcW w:w="9067" w:type="dxa"/>
            <w:gridSpan w:val="5"/>
            <w:tcBorders>
              <w:top w:val="single" w:sz="4" w:space="0" w:color="auto"/>
              <w:left w:val="single" w:sz="4" w:space="0" w:color="auto"/>
              <w:bottom w:val="single" w:sz="4" w:space="0" w:color="auto"/>
              <w:right w:val="single" w:sz="4" w:space="0" w:color="auto"/>
            </w:tcBorders>
            <w:shd w:val="clear" w:color="auto" w:fill="auto"/>
          </w:tcPr>
          <w:p w14:paraId="44D1C4E0" w14:textId="14AC1CC6" w:rsidR="00485226" w:rsidRPr="0076260A" w:rsidRDefault="00485226" w:rsidP="00485226">
            <w:pPr>
              <w:pStyle w:val="In-tableHeading"/>
              <w:keepNext w:val="0"/>
              <w:widowControl w:val="0"/>
              <w:rPr>
                <w:lang w:val="en-AU"/>
              </w:rPr>
            </w:pPr>
            <w:r w:rsidRPr="0076260A">
              <w:rPr>
                <w:lang w:val="en-AU"/>
              </w:rPr>
              <w:t>TTD truncation point (base case: 13.1 months)</w:t>
            </w:r>
          </w:p>
        </w:tc>
      </w:tr>
      <w:tr w:rsidR="009A54BD" w:rsidRPr="0070023C" w14:paraId="48F4A080"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1F7803C5" w14:textId="6EB251F1" w:rsidR="009A54BD" w:rsidRPr="0070023C" w:rsidRDefault="009A54BD" w:rsidP="009A54BD">
            <w:pPr>
              <w:pStyle w:val="In-tableHeading"/>
              <w:keepNext w:val="0"/>
              <w:widowControl w:val="0"/>
              <w:rPr>
                <w:b w:val="0"/>
                <w:bCs/>
                <w:iCs/>
                <w:lang w:val="en-AU"/>
              </w:rPr>
            </w:pPr>
            <w:r w:rsidRPr="0070023C">
              <w:rPr>
                <w:b w:val="0"/>
                <w:bCs/>
                <w:iCs/>
                <w:lang w:val="en-AU"/>
              </w:rPr>
              <w:t>20 months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356FE3" w14:textId="36F205B9" w:rsidR="009A54BD" w:rsidRPr="00F0362D" w:rsidRDefault="00D52BD6" w:rsidP="009A54BD">
            <w:pPr>
              <w:pStyle w:val="In-tableHeading"/>
              <w:keepNext w:val="0"/>
              <w:widowControl w:val="0"/>
              <w:jc w:val="center"/>
              <w:rPr>
                <w:b w:val="0"/>
                <w:bCs/>
                <w:iCs/>
                <w:highlight w:val="darkGray"/>
              </w:rPr>
            </w:pPr>
            <w:r>
              <w:rPr>
                <w:b w:val="0"/>
                <w:bCs/>
                <w:iCs/>
              </w:rPr>
              <w:t xml:space="preserve"> </w:t>
            </w:r>
            <w:r w:rsidRPr="006D1797">
              <w:rPr>
                <w:rFonts w:hint="eastAsia"/>
                <w:b w:val="0"/>
                <w:bCs/>
                <w:iCs/>
                <w:color w:val="000000"/>
                <w:w w:val="15"/>
                <w:shd w:val="solid" w:color="000000" w:fill="000000"/>
                <w:fitText w:val="10" w:id="-1032058616"/>
                <w14:textFill>
                  <w14:solidFill>
                    <w14:srgbClr w14:val="000000">
                      <w14:alpha w14:val="100000"/>
                    </w14:srgbClr>
                  </w14:solidFill>
                </w14:textFill>
              </w:rPr>
              <w:t xml:space="preserve">　</w:t>
            </w:r>
            <w:r w:rsidRPr="006D1797">
              <w:rPr>
                <w:b w:val="0"/>
                <w:bCs/>
                <w:iCs/>
                <w:color w:val="000000"/>
                <w:w w:val="15"/>
                <w:shd w:val="solid" w:color="000000" w:fill="000000"/>
                <w:fitText w:val="10" w:id="-1032058616"/>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16"/>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230B4" w14:textId="18C83B06" w:rsidR="009A54BD" w:rsidRPr="0070023C" w:rsidRDefault="009A54BD" w:rsidP="009A54BD">
            <w:pPr>
              <w:pStyle w:val="In-tableHeading"/>
              <w:keepNext w:val="0"/>
              <w:widowControl w:val="0"/>
              <w:jc w:val="center"/>
              <w:rPr>
                <w:b w:val="0"/>
                <w:bCs/>
                <w:iCs/>
              </w:rPr>
            </w:pPr>
            <w:r w:rsidRPr="0070023C">
              <w:rPr>
                <w:b w:val="0"/>
                <w:bCs/>
                <w:iCs/>
              </w:rPr>
              <w:t>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E3500C" w14:textId="75A80E79" w:rsidR="009A54BD" w:rsidRPr="00F0362D" w:rsidRDefault="00D52BD6" w:rsidP="009A54BD">
            <w:pPr>
              <w:pStyle w:val="In-tableHeading"/>
              <w:keepNext w:val="0"/>
              <w:widowControl w:val="0"/>
              <w:jc w:val="center"/>
              <w:rPr>
                <w:b w:val="0"/>
                <w:bCs/>
                <w:iCs/>
                <w:highlight w:val="darkGray"/>
              </w:rPr>
            </w:pPr>
            <w:r>
              <w:rPr>
                <w:b w:val="0"/>
                <w:bCs/>
                <w:iCs/>
              </w:rPr>
              <w:t xml:space="preserve"> </w:t>
            </w:r>
            <w:r w:rsidRPr="00D52BD6">
              <w:rPr>
                <w:b w:val="0"/>
                <w:bCs/>
                <w:iCs/>
                <w:color w:val="000000"/>
                <w:spacing w:val="104"/>
                <w:shd w:val="solid" w:color="000000" w:fill="000000"/>
                <w:fitText w:val="190" w:id="-1032058615"/>
                <w14:textFill>
                  <w14:solidFill>
                    <w14:srgbClr w14:val="000000">
                      <w14:alpha w14:val="100000"/>
                    </w14:srgbClr>
                  </w14:solidFill>
                </w14:textFill>
              </w:rPr>
              <w:t>|</w:t>
            </w:r>
            <w:r w:rsidRPr="00D52BD6">
              <w:rPr>
                <w:b w:val="0"/>
                <w:bCs/>
                <w:iCs/>
                <w:color w:val="000000"/>
                <w:spacing w:val="1"/>
                <w:shd w:val="solid" w:color="000000" w:fill="000000"/>
                <w:fitText w:val="190" w:id="-1032058615"/>
                <w14:textFill>
                  <w14:solidFill>
                    <w14:srgbClr w14:val="000000">
                      <w14:alpha w14:val="100000"/>
                    </w14:srgbClr>
                  </w14:solidFill>
                </w14:textFill>
              </w:rPr>
              <w:t>|</w:t>
            </w:r>
            <w:r w:rsidR="00DE5ED8" w:rsidRPr="00F0362D">
              <w:rPr>
                <w:b w:val="0"/>
                <w:bCs/>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68289FE" w14:textId="493B0091" w:rsidR="009A54BD" w:rsidRPr="00F0362D" w:rsidRDefault="00D52BD6" w:rsidP="009A54BD">
            <w:pPr>
              <w:pStyle w:val="In-tableHeading"/>
              <w:keepNext w:val="0"/>
              <w:widowControl w:val="0"/>
              <w:jc w:val="center"/>
              <w:rPr>
                <w:b w:val="0"/>
                <w:bCs/>
                <w:iCs/>
                <w:highlight w:val="darkGray"/>
              </w:rPr>
            </w:pPr>
            <w:r>
              <w:rPr>
                <w:b w:val="0"/>
                <w:bCs/>
                <w:iCs/>
              </w:rPr>
              <w:t xml:space="preserve"> </w:t>
            </w:r>
            <w:r w:rsidRPr="00D52BD6">
              <w:rPr>
                <w:b w:val="0"/>
                <w:bCs/>
                <w:iCs/>
                <w:color w:val="000000"/>
                <w:spacing w:val="51"/>
                <w:shd w:val="solid" w:color="000000" w:fill="000000"/>
                <w:fitText w:val="230" w:id="-1032058614"/>
                <w14:textFill>
                  <w14:solidFill>
                    <w14:srgbClr w14:val="000000">
                      <w14:alpha w14:val="100000"/>
                    </w14:srgbClr>
                  </w14:solidFill>
                </w14:textFill>
              </w:rPr>
              <w:t>||</w:t>
            </w:r>
            <w:r w:rsidRPr="00D52BD6">
              <w:rPr>
                <w:b w:val="0"/>
                <w:bCs/>
                <w:iCs/>
                <w:color w:val="000000"/>
                <w:spacing w:val="1"/>
                <w:shd w:val="solid" w:color="000000" w:fill="000000"/>
                <w:fitText w:val="230" w:id="-1032058614"/>
                <w14:textFill>
                  <w14:solidFill>
                    <w14:srgbClr w14:val="000000">
                      <w14:alpha w14:val="100000"/>
                    </w14:srgbClr>
                  </w14:solidFill>
                </w14:textFill>
              </w:rPr>
              <w:t>|</w:t>
            </w:r>
          </w:p>
        </w:tc>
      </w:tr>
      <w:tr w:rsidR="00D33F93" w:rsidRPr="00E74297" w14:paraId="6659AB15"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4215E41" w14:textId="2DBAEDDC" w:rsidR="00D33F93" w:rsidRPr="00485226" w:rsidRDefault="00D33F93" w:rsidP="00D33F93">
            <w:pPr>
              <w:pStyle w:val="In-tableHeading"/>
              <w:keepNext w:val="0"/>
              <w:widowControl w:val="0"/>
              <w:rPr>
                <w:b w:val="0"/>
                <w:bCs/>
                <w:lang w:val="en-AU"/>
              </w:rPr>
            </w:pPr>
            <w:r w:rsidRPr="00485226">
              <w:rPr>
                <w:b w:val="0"/>
                <w:bCs/>
                <w:lang w:val="en-AU"/>
              </w:rPr>
              <w:t>All KM data</w:t>
            </w:r>
            <w:r>
              <w:rPr>
                <w:b w:val="0"/>
                <w:bCs/>
                <w:lang w:val="en-AU"/>
              </w:rPr>
              <w:t xml:space="preserve"> </w:t>
            </w:r>
            <w:r w:rsidRPr="00485226">
              <w:rPr>
                <w:lang w:val="en-AU"/>
              </w:rPr>
              <w:t>#</w:t>
            </w:r>
            <w:r w:rsidR="00D42A97">
              <w:rPr>
                <w:lang w:val="en-AU"/>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F29C4B8" w14:textId="600DBE9F" w:rsidR="00D33F93" w:rsidRPr="00F0362D" w:rsidRDefault="00D52BD6" w:rsidP="00D33F93">
            <w:pPr>
              <w:pStyle w:val="In-tableHeading"/>
              <w:keepNext w:val="0"/>
              <w:widowControl w:val="0"/>
              <w:jc w:val="center"/>
              <w:rPr>
                <w:b w:val="0"/>
                <w:bCs/>
                <w:highlight w:val="darkGray"/>
              </w:rPr>
            </w:pPr>
            <w:r>
              <w:rPr>
                <w:b w:val="0"/>
                <w:bCs/>
              </w:rPr>
              <w:t xml:space="preserve"> </w:t>
            </w:r>
            <w:r w:rsidRPr="006D1797">
              <w:rPr>
                <w:rFonts w:hint="eastAsia"/>
                <w:b w:val="0"/>
                <w:bCs/>
                <w:color w:val="000000"/>
                <w:w w:val="15"/>
                <w:shd w:val="solid" w:color="000000" w:fill="000000"/>
                <w:fitText w:val="10" w:id="-1032058613"/>
                <w14:textFill>
                  <w14:solidFill>
                    <w14:srgbClr w14:val="000000">
                      <w14:alpha w14:val="100000"/>
                    </w14:srgbClr>
                  </w14:solidFill>
                </w14:textFill>
              </w:rPr>
              <w:t xml:space="preserve">　</w:t>
            </w:r>
            <w:r w:rsidRPr="006D1797">
              <w:rPr>
                <w:b w:val="0"/>
                <w:bCs/>
                <w:color w:val="000000"/>
                <w:w w:val="15"/>
                <w:shd w:val="solid" w:color="000000" w:fill="000000"/>
                <w:fitText w:val="10" w:id="-1032058613"/>
                <w14:textFill>
                  <w14:solidFill>
                    <w14:srgbClr w14:val="000000">
                      <w14:alpha w14:val="100000"/>
                    </w14:srgbClr>
                  </w14:solidFill>
                </w14:textFill>
              </w:rPr>
              <w:t>|</w:t>
            </w:r>
            <w:r w:rsidRPr="006D1797">
              <w:rPr>
                <w:rFonts w:hint="eastAsia"/>
                <w:b w:val="0"/>
                <w:bCs/>
                <w:color w:val="000000"/>
                <w:spacing w:val="-55"/>
                <w:w w:val="15"/>
                <w:shd w:val="solid" w:color="000000" w:fill="000000"/>
                <w:fitText w:val="10" w:id="-1032058613"/>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06CB045" w14:textId="3758AC52" w:rsidR="00D33F93" w:rsidRPr="00D33F93" w:rsidRDefault="00D33F93" w:rsidP="00D33F93">
            <w:pPr>
              <w:pStyle w:val="In-tableHeading"/>
              <w:keepNext w:val="0"/>
              <w:widowControl w:val="0"/>
              <w:jc w:val="center"/>
              <w:rPr>
                <w:b w:val="0"/>
                <w:bCs/>
              </w:rPr>
            </w:pPr>
            <w:r w:rsidRPr="00D33F93">
              <w:rPr>
                <w:b w:val="0"/>
                <w:bCs/>
              </w:rPr>
              <w:t>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4B3106C" w14:textId="3E84DDDA" w:rsidR="00D33F93" w:rsidRPr="00F0362D" w:rsidRDefault="00D52BD6" w:rsidP="00D33F93">
            <w:pPr>
              <w:pStyle w:val="In-tableHeading"/>
              <w:keepNext w:val="0"/>
              <w:widowControl w:val="0"/>
              <w:jc w:val="center"/>
              <w:rPr>
                <w:b w:val="0"/>
                <w:bCs/>
                <w:highlight w:val="darkGray"/>
              </w:rPr>
            </w:pPr>
            <w:r>
              <w:rPr>
                <w:b w:val="0"/>
                <w:bCs/>
              </w:rPr>
              <w:t xml:space="preserve"> </w:t>
            </w:r>
            <w:r w:rsidRPr="00D52BD6">
              <w:rPr>
                <w:b w:val="0"/>
                <w:bCs/>
                <w:color w:val="000000"/>
                <w:spacing w:val="104"/>
                <w:shd w:val="solid" w:color="000000" w:fill="000000"/>
                <w:fitText w:val="190" w:id="-1032058612"/>
                <w14:textFill>
                  <w14:solidFill>
                    <w14:srgbClr w14:val="000000">
                      <w14:alpha w14:val="100000"/>
                    </w14:srgbClr>
                  </w14:solidFill>
                </w14:textFill>
              </w:rPr>
              <w:t>|</w:t>
            </w:r>
            <w:r w:rsidRPr="00D52BD6">
              <w:rPr>
                <w:b w:val="0"/>
                <w:bCs/>
                <w:color w:val="000000"/>
                <w:spacing w:val="1"/>
                <w:shd w:val="solid" w:color="000000" w:fill="000000"/>
                <w:fitText w:val="190" w:id="-1032058612"/>
                <w14:textFill>
                  <w14:solidFill>
                    <w14:srgbClr w14:val="000000">
                      <w14:alpha w14:val="100000"/>
                    </w14:srgbClr>
                  </w14:solidFill>
                </w14:textFill>
              </w:rPr>
              <w:t>|</w:t>
            </w:r>
            <w:r w:rsidR="00DE5ED8" w:rsidRPr="00F0362D">
              <w:rPr>
                <w:b w:val="0"/>
                <w:bCs/>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489D267" w14:textId="14E6C9D6" w:rsidR="00D33F93" w:rsidRPr="00F0362D" w:rsidRDefault="00D52BD6" w:rsidP="00D33F93">
            <w:pPr>
              <w:pStyle w:val="In-tableHeading"/>
              <w:keepNext w:val="0"/>
              <w:widowControl w:val="0"/>
              <w:jc w:val="center"/>
              <w:rPr>
                <w:b w:val="0"/>
                <w:bCs/>
                <w:highlight w:val="darkGray"/>
              </w:rPr>
            </w:pPr>
            <w:r>
              <w:rPr>
                <w:b w:val="0"/>
                <w:bCs/>
              </w:rPr>
              <w:t xml:space="preserve"> </w:t>
            </w:r>
            <w:r w:rsidRPr="00D52BD6">
              <w:rPr>
                <w:b w:val="0"/>
                <w:bCs/>
                <w:color w:val="000000"/>
                <w:spacing w:val="51"/>
                <w:shd w:val="solid" w:color="000000" w:fill="000000"/>
                <w:fitText w:val="230" w:id="-1032058611"/>
                <w14:textFill>
                  <w14:solidFill>
                    <w14:srgbClr w14:val="000000">
                      <w14:alpha w14:val="100000"/>
                    </w14:srgbClr>
                  </w14:solidFill>
                </w14:textFill>
              </w:rPr>
              <w:t>||</w:t>
            </w:r>
            <w:r w:rsidRPr="00D52BD6">
              <w:rPr>
                <w:b w:val="0"/>
                <w:bCs/>
                <w:color w:val="000000"/>
                <w:spacing w:val="1"/>
                <w:shd w:val="solid" w:color="000000" w:fill="000000"/>
                <w:fitText w:val="230" w:id="-1032058611"/>
                <w14:textFill>
                  <w14:solidFill>
                    <w14:srgbClr w14:val="000000">
                      <w14:alpha w14:val="100000"/>
                    </w14:srgbClr>
                  </w14:solidFill>
                </w14:textFill>
              </w:rPr>
              <w:t>|</w:t>
            </w:r>
          </w:p>
        </w:tc>
      </w:tr>
      <w:tr w:rsidR="0076260A" w:rsidRPr="00E74297" w14:paraId="54886AB6" w14:textId="77777777" w:rsidTr="00AF781B">
        <w:trPr>
          <w:trHeight w:val="220"/>
          <w:tblHeader/>
        </w:trPr>
        <w:tc>
          <w:tcPr>
            <w:tcW w:w="9067" w:type="dxa"/>
            <w:gridSpan w:val="5"/>
            <w:tcBorders>
              <w:top w:val="single" w:sz="4" w:space="0" w:color="auto"/>
              <w:left w:val="single" w:sz="4" w:space="0" w:color="auto"/>
              <w:bottom w:val="single" w:sz="4" w:space="0" w:color="auto"/>
              <w:right w:val="single" w:sz="4" w:space="0" w:color="auto"/>
            </w:tcBorders>
            <w:shd w:val="clear" w:color="auto" w:fill="auto"/>
          </w:tcPr>
          <w:p w14:paraId="4C11737D" w14:textId="7F0A7003" w:rsidR="0076260A" w:rsidRPr="00E74297" w:rsidRDefault="0076260A" w:rsidP="0076260A">
            <w:pPr>
              <w:pStyle w:val="In-tableHeading"/>
              <w:keepNext w:val="0"/>
              <w:widowControl w:val="0"/>
              <w:rPr>
                <w:lang w:val="en-AU"/>
              </w:rPr>
            </w:pPr>
            <w:r w:rsidRPr="0076260A">
              <w:rPr>
                <w:lang w:val="en-AU"/>
              </w:rPr>
              <w:t>PFS utility values (base case: SG = 0.793; TPC = 0.768)</w:t>
            </w:r>
          </w:p>
        </w:tc>
      </w:tr>
      <w:tr w:rsidR="007A6ACE" w:rsidRPr="0070023C" w14:paraId="7B1BC708"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FFCE84E" w14:textId="305B3B21" w:rsidR="007A6ACE" w:rsidRPr="0070023C" w:rsidRDefault="007A6ACE" w:rsidP="007A6ACE">
            <w:pPr>
              <w:pStyle w:val="In-tableHeading"/>
              <w:keepNext w:val="0"/>
              <w:widowControl w:val="0"/>
              <w:rPr>
                <w:iCs/>
                <w:lang w:val="en-AU"/>
              </w:rPr>
            </w:pPr>
            <w:r w:rsidRPr="0070023C">
              <w:rPr>
                <w:b w:val="0"/>
                <w:bCs/>
                <w:iCs/>
                <w:lang w:val="en-AU"/>
              </w:rPr>
              <w:t>SG = 0.793; TPC = 0.793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68DCD0" w14:textId="1E599714" w:rsidR="007A6ACE" w:rsidRPr="00F0362D" w:rsidRDefault="00D52BD6" w:rsidP="007A6ACE">
            <w:pPr>
              <w:pStyle w:val="In-tableHeading"/>
              <w:keepNext w:val="0"/>
              <w:widowControl w:val="0"/>
              <w:jc w:val="center"/>
              <w:rPr>
                <w:b w:val="0"/>
                <w:bCs/>
                <w:iCs/>
                <w:highlight w:val="darkGray"/>
              </w:rPr>
            </w:pPr>
            <w:r>
              <w:rPr>
                <w:b w:val="0"/>
                <w:bCs/>
                <w:iCs/>
              </w:rPr>
              <w:t xml:space="preserve"> </w:t>
            </w:r>
            <w:r w:rsidRPr="006D1797">
              <w:rPr>
                <w:rFonts w:hint="eastAsia"/>
                <w:b w:val="0"/>
                <w:bCs/>
                <w:iCs/>
                <w:color w:val="000000"/>
                <w:w w:val="15"/>
                <w:shd w:val="solid" w:color="000000" w:fill="000000"/>
                <w:fitText w:val="10" w:id="-1032058610"/>
                <w14:textFill>
                  <w14:solidFill>
                    <w14:srgbClr w14:val="000000">
                      <w14:alpha w14:val="100000"/>
                    </w14:srgbClr>
                  </w14:solidFill>
                </w14:textFill>
              </w:rPr>
              <w:t xml:space="preserve">　</w:t>
            </w:r>
            <w:r w:rsidRPr="006D1797">
              <w:rPr>
                <w:b w:val="0"/>
                <w:bCs/>
                <w:iCs/>
                <w:color w:val="000000"/>
                <w:w w:val="15"/>
                <w:shd w:val="solid" w:color="000000" w:fill="000000"/>
                <w:fitText w:val="10" w:id="-1032058610"/>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10"/>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EC07BB" w14:textId="7DCC58DF" w:rsidR="007A6ACE" w:rsidRPr="0070023C" w:rsidRDefault="007A6ACE" w:rsidP="007A6ACE">
            <w:pPr>
              <w:pStyle w:val="In-tableHeading"/>
              <w:keepNext w:val="0"/>
              <w:widowControl w:val="0"/>
              <w:jc w:val="center"/>
              <w:rPr>
                <w:b w:val="0"/>
                <w:bCs/>
                <w:iCs/>
              </w:rPr>
            </w:pPr>
            <w:r w:rsidRPr="0070023C">
              <w:rPr>
                <w:b w:val="0"/>
                <w:bCs/>
                <w:iCs/>
              </w:rPr>
              <w:t>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F1678D" w14:textId="2CFE32BC" w:rsidR="007A6ACE" w:rsidRPr="00F0362D" w:rsidRDefault="00D52BD6" w:rsidP="007A6ACE">
            <w:pPr>
              <w:pStyle w:val="In-tableHeading"/>
              <w:keepNext w:val="0"/>
              <w:widowControl w:val="0"/>
              <w:jc w:val="center"/>
              <w:rPr>
                <w:b w:val="0"/>
                <w:bCs/>
                <w:iCs/>
                <w:highlight w:val="darkGray"/>
              </w:rPr>
            </w:pPr>
            <w:r>
              <w:rPr>
                <w:b w:val="0"/>
                <w:bCs/>
                <w:iCs/>
              </w:rPr>
              <w:t xml:space="preserve"> </w:t>
            </w:r>
            <w:r w:rsidRPr="00D52BD6">
              <w:rPr>
                <w:b w:val="0"/>
                <w:bCs/>
                <w:iCs/>
                <w:color w:val="000000"/>
                <w:spacing w:val="104"/>
                <w:shd w:val="solid" w:color="000000" w:fill="000000"/>
                <w:fitText w:val="190" w:id="-1032058609"/>
                <w14:textFill>
                  <w14:solidFill>
                    <w14:srgbClr w14:val="000000">
                      <w14:alpha w14:val="100000"/>
                    </w14:srgbClr>
                  </w14:solidFill>
                </w14:textFill>
              </w:rPr>
              <w:t>|</w:t>
            </w:r>
            <w:r w:rsidRPr="00D52BD6">
              <w:rPr>
                <w:b w:val="0"/>
                <w:bCs/>
                <w:iCs/>
                <w:color w:val="000000"/>
                <w:spacing w:val="1"/>
                <w:shd w:val="solid" w:color="000000" w:fill="000000"/>
                <w:fitText w:val="190" w:id="-1032058609"/>
                <w14:textFill>
                  <w14:solidFill>
                    <w14:srgbClr w14:val="000000">
                      <w14:alpha w14:val="100000"/>
                    </w14:srgbClr>
                  </w14:solidFill>
                </w14:textFill>
              </w:rPr>
              <w:t>|</w:t>
            </w:r>
            <w:r w:rsidR="00DE5ED8" w:rsidRPr="00BA0E21">
              <w:rPr>
                <w:b w:val="0"/>
                <w:bCs/>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A1E6529" w14:textId="6AE02EB6" w:rsidR="007A6ACE" w:rsidRPr="00F0362D" w:rsidRDefault="00D52BD6" w:rsidP="007A6ACE">
            <w:pPr>
              <w:pStyle w:val="In-tableHeading"/>
              <w:keepNext w:val="0"/>
              <w:widowControl w:val="0"/>
              <w:jc w:val="center"/>
              <w:rPr>
                <w:b w:val="0"/>
                <w:bCs/>
                <w:iCs/>
                <w:highlight w:val="darkGray"/>
              </w:rPr>
            </w:pPr>
            <w:r>
              <w:rPr>
                <w:b w:val="0"/>
                <w:bCs/>
                <w:iCs/>
              </w:rPr>
              <w:t xml:space="preserve"> </w:t>
            </w:r>
            <w:r w:rsidRPr="00D52BD6">
              <w:rPr>
                <w:b w:val="0"/>
                <w:bCs/>
                <w:iCs/>
                <w:color w:val="000000"/>
                <w:spacing w:val="51"/>
                <w:shd w:val="solid" w:color="000000" w:fill="000000"/>
                <w:fitText w:val="230" w:id="-1032058608"/>
                <w14:textFill>
                  <w14:solidFill>
                    <w14:srgbClr w14:val="000000">
                      <w14:alpha w14:val="100000"/>
                    </w14:srgbClr>
                  </w14:solidFill>
                </w14:textFill>
              </w:rPr>
              <w:t>||</w:t>
            </w:r>
            <w:r w:rsidRPr="00D52BD6">
              <w:rPr>
                <w:b w:val="0"/>
                <w:bCs/>
                <w:iCs/>
                <w:color w:val="000000"/>
                <w:spacing w:val="1"/>
                <w:shd w:val="solid" w:color="000000" w:fill="000000"/>
                <w:fitText w:val="230" w:id="-1032058608"/>
                <w14:textFill>
                  <w14:solidFill>
                    <w14:srgbClr w14:val="000000">
                      <w14:alpha w14:val="100000"/>
                    </w14:srgbClr>
                  </w14:solidFill>
                </w14:textFill>
              </w:rPr>
              <w:t>|</w:t>
            </w:r>
          </w:p>
        </w:tc>
      </w:tr>
      <w:tr w:rsidR="007A6ACE" w:rsidRPr="0070023C" w14:paraId="03A015BA"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DEB0F06" w14:textId="218D3DF7" w:rsidR="007A6ACE" w:rsidRPr="0070023C" w:rsidRDefault="007A6ACE" w:rsidP="007A6ACE">
            <w:pPr>
              <w:pStyle w:val="In-tableHeading"/>
              <w:keepNext w:val="0"/>
              <w:widowControl w:val="0"/>
              <w:rPr>
                <w:iCs/>
                <w:lang w:val="en-AU"/>
              </w:rPr>
            </w:pPr>
            <w:r w:rsidRPr="0070023C">
              <w:rPr>
                <w:b w:val="0"/>
                <w:bCs/>
                <w:iCs/>
                <w:lang w:val="en-AU"/>
              </w:rPr>
              <w:t>SG = 0.768; TPC = 0.768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AC497F" w14:textId="1820DBEA" w:rsidR="007A6ACE" w:rsidRPr="00F0362D" w:rsidRDefault="00D52BD6" w:rsidP="007A6ACE">
            <w:pPr>
              <w:pStyle w:val="In-tableHeading"/>
              <w:keepNext w:val="0"/>
              <w:widowControl w:val="0"/>
              <w:jc w:val="center"/>
              <w:rPr>
                <w:b w:val="0"/>
                <w:bCs/>
                <w:iCs/>
                <w:highlight w:val="darkGray"/>
              </w:rPr>
            </w:pPr>
            <w:r>
              <w:rPr>
                <w:b w:val="0"/>
                <w:bCs/>
                <w:iCs/>
              </w:rPr>
              <w:t xml:space="preserve"> </w:t>
            </w:r>
            <w:r w:rsidRPr="006D1797">
              <w:rPr>
                <w:rFonts w:hint="eastAsia"/>
                <w:b w:val="0"/>
                <w:bCs/>
                <w:iCs/>
                <w:color w:val="000000"/>
                <w:w w:val="15"/>
                <w:shd w:val="solid" w:color="000000" w:fill="000000"/>
                <w:fitText w:val="10" w:id="-1032058624"/>
                <w14:textFill>
                  <w14:solidFill>
                    <w14:srgbClr w14:val="000000">
                      <w14:alpha w14:val="100000"/>
                    </w14:srgbClr>
                  </w14:solidFill>
                </w14:textFill>
              </w:rPr>
              <w:t xml:space="preserve">　</w:t>
            </w:r>
            <w:r w:rsidRPr="006D1797">
              <w:rPr>
                <w:b w:val="0"/>
                <w:bCs/>
                <w:iCs/>
                <w:color w:val="000000"/>
                <w:w w:val="15"/>
                <w:shd w:val="solid" w:color="000000" w:fill="000000"/>
                <w:fitText w:val="10" w:id="-1032058624"/>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24"/>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58C71C5" w14:textId="48B5FAED" w:rsidR="007A6ACE" w:rsidRPr="0070023C" w:rsidRDefault="007A6ACE" w:rsidP="007A6ACE">
            <w:pPr>
              <w:pStyle w:val="In-tableHeading"/>
              <w:keepNext w:val="0"/>
              <w:widowControl w:val="0"/>
              <w:jc w:val="center"/>
              <w:rPr>
                <w:b w:val="0"/>
                <w:bCs/>
                <w:iCs/>
              </w:rPr>
            </w:pPr>
            <w:r w:rsidRPr="0070023C">
              <w:rPr>
                <w:b w:val="0"/>
                <w:bCs/>
                <w:iCs/>
              </w:rPr>
              <w:t>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7F543F1" w14:textId="0E65BFBF" w:rsidR="007A6ACE" w:rsidRPr="00F0362D" w:rsidRDefault="00D52BD6" w:rsidP="007A6ACE">
            <w:pPr>
              <w:pStyle w:val="In-tableHeading"/>
              <w:keepNext w:val="0"/>
              <w:widowControl w:val="0"/>
              <w:jc w:val="center"/>
              <w:rPr>
                <w:b w:val="0"/>
                <w:bCs/>
                <w:iCs/>
                <w:highlight w:val="darkGray"/>
              </w:rPr>
            </w:pPr>
            <w:r>
              <w:rPr>
                <w:b w:val="0"/>
                <w:bCs/>
                <w:iCs/>
              </w:rPr>
              <w:t xml:space="preserve"> </w:t>
            </w:r>
            <w:r w:rsidRPr="00D52BD6">
              <w:rPr>
                <w:b w:val="0"/>
                <w:bCs/>
                <w:iCs/>
                <w:color w:val="000000"/>
                <w:spacing w:val="104"/>
                <w:shd w:val="solid" w:color="000000" w:fill="000000"/>
                <w:fitText w:val="190" w:id="-1032058623"/>
                <w14:textFill>
                  <w14:solidFill>
                    <w14:srgbClr w14:val="000000">
                      <w14:alpha w14:val="100000"/>
                    </w14:srgbClr>
                  </w14:solidFill>
                </w14:textFill>
              </w:rPr>
              <w:t>|</w:t>
            </w:r>
            <w:r w:rsidRPr="00D52BD6">
              <w:rPr>
                <w:b w:val="0"/>
                <w:bCs/>
                <w:iCs/>
                <w:color w:val="000000"/>
                <w:spacing w:val="1"/>
                <w:shd w:val="solid" w:color="000000" w:fill="000000"/>
                <w:fitText w:val="190" w:id="-1032058623"/>
                <w14:textFill>
                  <w14:solidFill>
                    <w14:srgbClr w14:val="000000">
                      <w14:alpha w14:val="100000"/>
                    </w14:srgbClr>
                  </w14:solidFill>
                </w14:textFill>
              </w:rPr>
              <w:t>|</w:t>
            </w:r>
            <w:r w:rsidR="00DE5ED8" w:rsidRPr="00BA0E21">
              <w:rPr>
                <w:b w:val="0"/>
                <w:bCs/>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73C694B" w14:textId="105536B6" w:rsidR="007A6ACE" w:rsidRPr="00F0362D" w:rsidRDefault="00D52BD6" w:rsidP="007A6ACE">
            <w:pPr>
              <w:pStyle w:val="In-tableHeading"/>
              <w:keepNext w:val="0"/>
              <w:widowControl w:val="0"/>
              <w:jc w:val="center"/>
              <w:rPr>
                <w:b w:val="0"/>
                <w:bCs/>
                <w:iCs/>
                <w:highlight w:val="darkGray"/>
              </w:rPr>
            </w:pPr>
            <w:r>
              <w:rPr>
                <w:b w:val="0"/>
                <w:bCs/>
                <w:iCs/>
              </w:rPr>
              <w:t xml:space="preserve"> </w:t>
            </w:r>
            <w:r w:rsidRPr="00D52BD6">
              <w:rPr>
                <w:b w:val="0"/>
                <w:bCs/>
                <w:iCs/>
                <w:color w:val="000000"/>
                <w:spacing w:val="51"/>
                <w:shd w:val="solid" w:color="000000" w:fill="000000"/>
                <w:fitText w:val="230" w:id="-1032058622"/>
                <w14:textFill>
                  <w14:solidFill>
                    <w14:srgbClr w14:val="000000">
                      <w14:alpha w14:val="100000"/>
                    </w14:srgbClr>
                  </w14:solidFill>
                </w14:textFill>
              </w:rPr>
              <w:t>||</w:t>
            </w:r>
            <w:r w:rsidRPr="00D52BD6">
              <w:rPr>
                <w:b w:val="0"/>
                <w:bCs/>
                <w:iCs/>
                <w:color w:val="000000"/>
                <w:spacing w:val="1"/>
                <w:shd w:val="solid" w:color="000000" w:fill="000000"/>
                <w:fitText w:val="230" w:id="-1032058622"/>
                <w14:textFill>
                  <w14:solidFill>
                    <w14:srgbClr w14:val="000000">
                      <w14:alpha w14:val="100000"/>
                    </w14:srgbClr>
                  </w14:solidFill>
                </w14:textFill>
              </w:rPr>
              <w:t>|</w:t>
            </w:r>
          </w:p>
        </w:tc>
      </w:tr>
      <w:tr w:rsidR="00A845FC" w:rsidRPr="0070023C" w14:paraId="1368E382"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10D4C612" w14:textId="3946248F" w:rsidR="00A845FC" w:rsidRPr="0070023C" w:rsidRDefault="00A845FC" w:rsidP="00A845FC">
            <w:pPr>
              <w:pStyle w:val="In-tableHeading"/>
              <w:keepNext w:val="0"/>
              <w:widowControl w:val="0"/>
              <w:rPr>
                <w:b w:val="0"/>
                <w:bCs/>
                <w:iCs/>
                <w:lang w:val="en-AU"/>
              </w:rPr>
            </w:pPr>
            <w:r w:rsidRPr="0070023C">
              <w:rPr>
                <w:b w:val="0"/>
                <w:bCs/>
                <w:iCs/>
                <w:lang w:val="en-AU"/>
              </w:rPr>
              <w:t xml:space="preserve">SG = 0.782; TPC = 0.782 (pooled) </w:t>
            </w:r>
            <w:r w:rsidRPr="0070023C">
              <w:rPr>
                <w:iCs/>
                <w:lang w:val="en-AU"/>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BF52E4" w14:textId="2C039787" w:rsidR="00A845FC" w:rsidRPr="00F0362D" w:rsidRDefault="00D52BD6" w:rsidP="00A845FC">
            <w:pPr>
              <w:pStyle w:val="In-tableHeading"/>
              <w:keepNext w:val="0"/>
              <w:widowControl w:val="0"/>
              <w:jc w:val="center"/>
              <w:rPr>
                <w:b w:val="0"/>
                <w:bCs/>
                <w:iCs/>
                <w:highlight w:val="darkGray"/>
              </w:rPr>
            </w:pPr>
            <w:r>
              <w:rPr>
                <w:b w:val="0"/>
                <w:bCs/>
                <w:iCs/>
              </w:rPr>
              <w:t xml:space="preserve"> </w:t>
            </w:r>
            <w:r w:rsidRPr="006D1797">
              <w:rPr>
                <w:rFonts w:hint="eastAsia"/>
                <w:b w:val="0"/>
                <w:bCs/>
                <w:iCs/>
                <w:color w:val="000000"/>
                <w:w w:val="15"/>
                <w:shd w:val="solid" w:color="000000" w:fill="000000"/>
                <w:fitText w:val="10" w:id="-1032058621"/>
                <w14:textFill>
                  <w14:solidFill>
                    <w14:srgbClr w14:val="000000">
                      <w14:alpha w14:val="100000"/>
                    </w14:srgbClr>
                  </w14:solidFill>
                </w14:textFill>
              </w:rPr>
              <w:t xml:space="preserve">　</w:t>
            </w:r>
            <w:r w:rsidRPr="006D1797">
              <w:rPr>
                <w:b w:val="0"/>
                <w:bCs/>
                <w:iCs/>
                <w:color w:val="000000"/>
                <w:w w:val="15"/>
                <w:shd w:val="solid" w:color="000000" w:fill="000000"/>
                <w:fitText w:val="10" w:id="-1032058621"/>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21"/>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FDBD111" w14:textId="3AD7C746" w:rsidR="00A845FC" w:rsidRPr="0070023C" w:rsidRDefault="00A845FC" w:rsidP="00A845FC">
            <w:pPr>
              <w:pStyle w:val="In-tableHeading"/>
              <w:keepNext w:val="0"/>
              <w:widowControl w:val="0"/>
              <w:jc w:val="center"/>
              <w:rPr>
                <w:b w:val="0"/>
                <w:bCs/>
                <w:iCs/>
              </w:rPr>
            </w:pPr>
            <w:r w:rsidRPr="0070023C">
              <w:rPr>
                <w:b w:val="0"/>
                <w:bCs/>
                <w:iCs/>
              </w:rPr>
              <w:t>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6EF043A7" w14:textId="1264815A" w:rsidR="00A845FC" w:rsidRPr="00F0362D" w:rsidRDefault="00D52BD6" w:rsidP="00A845FC">
            <w:pPr>
              <w:pStyle w:val="In-tableHeading"/>
              <w:keepNext w:val="0"/>
              <w:widowControl w:val="0"/>
              <w:jc w:val="center"/>
              <w:rPr>
                <w:b w:val="0"/>
                <w:bCs/>
                <w:iCs/>
                <w:highlight w:val="darkGray"/>
              </w:rPr>
            </w:pPr>
            <w:r>
              <w:rPr>
                <w:b w:val="0"/>
                <w:bCs/>
                <w:iCs/>
              </w:rPr>
              <w:t xml:space="preserve"> </w:t>
            </w:r>
            <w:r w:rsidRPr="00D52BD6">
              <w:rPr>
                <w:b w:val="0"/>
                <w:bCs/>
                <w:iCs/>
                <w:color w:val="000000"/>
                <w:spacing w:val="104"/>
                <w:shd w:val="solid" w:color="000000" w:fill="000000"/>
                <w:fitText w:val="190" w:id="-1032058620"/>
                <w14:textFill>
                  <w14:solidFill>
                    <w14:srgbClr w14:val="000000">
                      <w14:alpha w14:val="100000"/>
                    </w14:srgbClr>
                  </w14:solidFill>
                </w14:textFill>
              </w:rPr>
              <w:t>|</w:t>
            </w:r>
            <w:r w:rsidRPr="00D52BD6">
              <w:rPr>
                <w:b w:val="0"/>
                <w:bCs/>
                <w:iCs/>
                <w:color w:val="000000"/>
                <w:spacing w:val="1"/>
                <w:shd w:val="solid" w:color="000000" w:fill="000000"/>
                <w:fitText w:val="190" w:id="-1032058620"/>
                <w14:textFill>
                  <w14:solidFill>
                    <w14:srgbClr w14:val="000000">
                      <w14:alpha w14:val="100000"/>
                    </w14:srgbClr>
                  </w14:solidFill>
                </w14:textFill>
              </w:rPr>
              <w:t>|</w:t>
            </w:r>
            <w:r w:rsidR="00DE5ED8" w:rsidRPr="00BA0E21">
              <w:rPr>
                <w:b w:val="0"/>
                <w:bCs/>
                <w:vertAlign w:val="superscript"/>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12604CA4" w14:textId="2AB42B0E" w:rsidR="00A845FC" w:rsidRPr="00F0362D" w:rsidRDefault="00D52BD6" w:rsidP="00A845FC">
            <w:pPr>
              <w:pStyle w:val="In-tableHeading"/>
              <w:keepNext w:val="0"/>
              <w:widowControl w:val="0"/>
              <w:jc w:val="center"/>
              <w:rPr>
                <w:b w:val="0"/>
                <w:bCs/>
                <w:iCs/>
                <w:highlight w:val="darkGray"/>
              </w:rPr>
            </w:pPr>
            <w:r>
              <w:rPr>
                <w:b w:val="0"/>
                <w:bCs/>
                <w:iCs/>
              </w:rPr>
              <w:t xml:space="preserve"> </w:t>
            </w:r>
            <w:r w:rsidRPr="00D52BD6">
              <w:rPr>
                <w:b w:val="0"/>
                <w:bCs/>
                <w:iCs/>
                <w:color w:val="000000"/>
                <w:spacing w:val="51"/>
                <w:shd w:val="solid" w:color="000000" w:fill="000000"/>
                <w:fitText w:val="230" w:id="-1032058619"/>
                <w14:textFill>
                  <w14:solidFill>
                    <w14:srgbClr w14:val="000000">
                      <w14:alpha w14:val="100000"/>
                    </w14:srgbClr>
                  </w14:solidFill>
                </w14:textFill>
              </w:rPr>
              <w:t>||</w:t>
            </w:r>
            <w:r w:rsidRPr="00D52BD6">
              <w:rPr>
                <w:b w:val="0"/>
                <w:bCs/>
                <w:iCs/>
                <w:color w:val="000000"/>
                <w:spacing w:val="1"/>
                <w:shd w:val="solid" w:color="000000" w:fill="000000"/>
                <w:fitText w:val="230" w:id="-1032058619"/>
                <w14:textFill>
                  <w14:solidFill>
                    <w14:srgbClr w14:val="000000">
                      <w14:alpha w14:val="100000"/>
                    </w14:srgbClr>
                  </w14:solidFill>
                </w14:textFill>
              </w:rPr>
              <w:t>|</w:t>
            </w:r>
          </w:p>
        </w:tc>
      </w:tr>
      <w:tr w:rsidR="0076260A" w:rsidRPr="00E74297" w14:paraId="3681222A" w14:textId="77777777" w:rsidTr="00AF781B">
        <w:trPr>
          <w:trHeight w:val="220"/>
          <w:tblHeader/>
        </w:trPr>
        <w:tc>
          <w:tcPr>
            <w:tcW w:w="9067" w:type="dxa"/>
            <w:gridSpan w:val="5"/>
            <w:tcBorders>
              <w:top w:val="single" w:sz="4" w:space="0" w:color="auto"/>
              <w:left w:val="single" w:sz="4" w:space="0" w:color="auto"/>
              <w:bottom w:val="single" w:sz="4" w:space="0" w:color="auto"/>
              <w:right w:val="single" w:sz="4" w:space="0" w:color="auto"/>
            </w:tcBorders>
            <w:shd w:val="clear" w:color="auto" w:fill="auto"/>
          </w:tcPr>
          <w:p w14:paraId="72C2CEB6" w14:textId="5AC09F9D" w:rsidR="0076260A" w:rsidRPr="0076260A" w:rsidRDefault="0076260A" w:rsidP="0076260A">
            <w:pPr>
              <w:pStyle w:val="In-tableHeading"/>
              <w:keepNext w:val="0"/>
              <w:widowControl w:val="0"/>
              <w:rPr>
                <w:lang w:val="en-AU"/>
              </w:rPr>
            </w:pPr>
            <w:r w:rsidRPr="0076260A">
              <w:rPr>
                <w:lang w:val="en-AU"/>
              </w:rPr>
              <w:t>Disutilities for grade 3/4 AEs (base case = included)</w:t>
            </w:r>
          </w:p>
        </w:tc>
      </w:tr>
      <w:tr w:rsidR="007A6ACE" w:rsidRPr="0070023C" w14:paraId="7B98C3DC"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CC43B48" w14:textId="3D305645" w:rsidR="007A6ACE" w:rsidRPr="0070023C" w:rsidRDefault="007A6ACE" w:rsidP="007A6ACE">
            <w:pPr>
              <w:pStyle w:val="In-tableHeading"/>
              <w:keepNext w:val="0"/>
              <w:widowControl w:val="0"/>
              <w:rPr>
                <w:b w:val="0"/>
                <w:bCs/>
                <w:iCs/>
                <w:lang w:val="en-AU"/>
              </w:rPr>
            </w:pPr>
            <w:r w:rsidRPr="0070023C">
              <w:rPr>
                <w:b w:val="0"/>
                <w:bCs/>
                <w:iCs/>
                <w:lang w:val="en-AU"/>
              </w:rPr>
              <w:t>Disutilities removed</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231E29" w14:textId="77EBFCA4" w:rsidR="007A6ACE" w:rsidRPr="0070023C" w:rsidRDefault="00D52BD6" w:rsidP="007A6ACE">
            <w:pPr>
              <w:pStyle w:val="In-tableHeading"/>
              <w:keepNext w:val="0"/>
              <w:widowControl w:val="0"/>
              <w:jc w:val="center"/>
              <w:rPr>
                <w:b w:val="0"/>
                <w:bCs/>
                <w:iCs/>
                <w:lang w:val="en-AU"/>
              </w:rPr>
            </w:pPr>
            <w:r>
              <w:rPr>
                <w:b w:val="0"/>
                <w:bCs/>
                <w:iCs/>
              </w:rPr>
              <w:t xml:space="preserve"> </w:t>
            </w:r>
            <w:r w:rsidRPr="006D1797">
              <w:rPr>
                <w:rFonts w:hint="eastAsia"/>
                <w:b w:val="0"/>
                <w:bCs/>
                <w:iCs/>
                <w:color w:val="000000"/>
                <w:w w:val="15"/>
                <w:shd w:val="solid" w:color="000000" w:fill="000000"/>
                <w:fitText w:val="10" w:id="-1032058618"/>
                <w14:textFill>
                  <w14:solidFill>
                    <w14:srgbClr w14:val="000000">
                      <w14:alpha w14:val="100000"/>
                    </w14:srgbClr>
                  </w14:solidFill>
                </w14:textFill>
              </w:rPr>
              <w:t xml:space="preserve">　</w:t>
            </w:r>
            <w:r w:rsidRPr="006D1797">
              <w:rPr>
                <w:b w:val="0"/>
                <w:bCs/>
                <w:iCs/>
                <w:color w:val="000000"/>
                <w:w w:val="15"/>
                <w:shd w:val="solid" w:color="000000" w:fill="000000"/>
                <w:fitText w:val="10" w:id="-1032058618"/>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18"/>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8DF0B" w14:textId="25C22E69" w:rsidR="007A6ACE" w:rsidRPr="0070023C" w:rsidRDefault="007A6ACE" w:rsidP="007A6ACE">
            <w:pPr>
              <w:pStyle w:val="In-tableHeading"/>
              <w:keepNext w:val="0"/>
              <w:widowControl w:val="0"/>
              <w:jc w:val="center"/>
              <w:rPr>
                <w:b w:val="0"/>
                <w:bCs/>
                <w:iCs/>
                <w:lang w:val="en-AU"/>
              </w:rPr>
            </w:pPr>
            <w:r w:rsidRPr="0070023C">
              <w:rPr>
                <w:b w:val="0"/>
                <w:bCs/>
                <w:iCs/>
              </w:rPr>
              <w:t>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A15BCC" w14:textId="06C275DA" w:rsidR="007A6ACE" w:rsidRPr="0070023C" w:rsidRDefault="00D52BD6" w:rsidP="007A6ACE">
            <w:pPr>
              <w:pStyle w:val="In-tableHeading"/>
              <w:keepNext w:val="0"/>
              <w:widowControl w:val="0"/>
              <w:jc w:val="center"/>
              <w:rPr>
                <w:b w:val="0"/>
                <w:bCs/>
                <w:iCs/>
                <w:lang w:val="en-AU"/>
              </w:rPr>
            </w:pPr>
            <w:r>
              <w:rPr>
                <w:b w:val="0"/>
                <w:bCs/>
                <w:iCs/>
              </w:rPr>
              <w:t xml:space="preserve"> </w:t>
            </w:r>
            <w:r w:rsidRPr="00D52BD6">
              <w:rPr>
                <w:b w:val="0"/>
                <w:bCs/>
                <w:iCs/>
                <w:color w:val="000000"/>
                <w:spacing w:val="104"/>
                <w:shd w:val="solid" w:color="000000" w:fill="000000"/>
                <w:fitText w:val="190" w:id="-1032058617"/>
                <w14:textFill>
                  <w14:solidFill>
                    <w14:srgbClr w14:val="000000">
                      <w14:alpha w14:val="100000"/>
                    </w14:srgbClr>
                  </w14:solidFill>
                </w14:textFill>
              </w:rPr>
              <w:t>|</w:t>
            </w:r>
            <w:r w:rsidRPr="00D52BD6">
              <w:rPr>
                <w:b w:val="0"/>
                <w:bCs/>
                <w:iCs/>
                <w:color w:val="000000"/>
                <w:spacing w:val="1"/>
                <w:shd w:val="solid" w:color="000000" w:fill="000000"/>
                <w:fitText w:val="190" w:id="-1032058617"/>
                <w14:textFill>
                  <w14:solidFill>
                    <w14:srgbClr w14:val="000000">
                      <w14:alpha w14:val="100000"/>
                    </w14:srgbClr>
                  </w14:solidFill>
                </w14:textFill>
              </w:rPr>
              <w:t>|</w:t>
            </w:r>
            <w:r w:rsidR="00DE5ED8" w:rsidRPr="00BA0E21">
              <w:rPr>
                <w:b w:val="0"/>
                <w:bCs/>
                <w:vertAlign w:val="superscript"/>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4B80CB" w14:textId="77F1DEB8" w:rsidR="007A6ACE" w:rsidRPr="0070023C" w:rsidRDefault="007A6ACE" w:rsidP="007A6ACE">
            <w:pPr>
              <w:pStyle w:val="In-tableHeading"/>
              <w:keepNext w:val="0"/>
              <w:widowControl w:val="0"/>
              <w:jc w:val="center"/>
              <w:rPr>
                <w:b w:val="0"/>
                <w:bCs/>
                <w:iCs/>
                <w:lang w:val="en-AU"/>
              </w:rPr>
            </w:pPr>
            <w:r w:rsidRPr="0070023C">
              <w:rPr>
                <w:b w:val="0"/>
                <w:bCs/>
                <w:iCs/>
              </w:rPr>
              <w:t>-</w:t>
            </w:r>
            <w:r w:rsidR="00D52BD6">
              <w:rPr>
                <w:b w:val="0"/>
                <w:bCs/>
                <w:iCs/>
              </w:rPr>
              <w:t xml:space="preserve"> </w:t>
            </w:r>
            <w:r w:rsidR="00D52BD6" w:rsidRPr="00D52BD6">
              <w:rPr>
                <w:b w:val="0"/>
                <w:bCs/>
                <w:iCs/>
                <w:color w:val="000000"/>
                <w:spacing w:val="174"/>
                <w:shd w:val="solid" w:color="000000" w:fill="000000"/>
                <w:fitText w:val="260" w:id="-1032058616"/>
                <w14:textFill>
                  <w14:solidFill>
                    <w14:srgbClr w14:val="000000">
                      <w14:alpha w14:val="100000"/>
                    </w14:srgbClr>
                  </w14:solidFill>
                </w14:textFill>
              </w:rPr>
              <w:t>|</w:t>
            </w:r>
            <w:r w:rsidR="00D52BD6" w:rsidRPr="00D52BD6">
              <w:rPr>
                <w:b w:val="0"/>
                <w:bCs/>
                <w:iCs/>
                <w:color w:val="000000"/>
                <w:spacing w:val="1"/>
                <w:shd w:val="solid" w:color="000000" w:fill="000000"/>
                <w:fitText w:val="260" w:id="-1032058616"/>
                <w14:textFill>
                  <w14:solidFill>
                    <w14:srgbClr w14:val="000000">
                      <w14:alpha w14:val="100000"/>
                    </w14:srgbClr>
                  </w14:solidFill>
                </w14:textFill>
              </w:rPr>
              <w:t>|</w:t>
            </w:r>
          </w:p>
        </w:tc>
      </w:tr>
      <w:tr w:rsidR="009A349D" w:rsidRPr="00E74297" w14:paraId="07664C1A" w14:textId="77777777" w:rsidTr="00AF781B">
        <w:trPr>
          <w:trHeight w:val="220"/>
          <w:tblHeader/>
        </w:trPr>
        <w:tc>
          <w:tcPr>
            <w:tcW w:w="9067" w:type="dxa"/>
            <w:gridSpan w:val="5"/>
            <w:tcBorders>
              <w:top w:val="single" w:sz="4" w:space="0" w:color="auto"/>
              <w:left w:val="single" w:sz="4" w:space="0" w:color="auto"/>
              <w:bottom w:val="single" w:sz="4" w:space="0" w:color="auto"/>
              <w:right w:val="single" w:sz="4" w:space="0" w:color="auto"/>
            </w:tcBorders>
            <w:shd w:val="clear" w:color="auto" w:fill="auto"/>
          </w:tcPr>
          <w:p w14:paraId="2FAC7DE3" w14:textId="2206EA31" w:rsidR="009A349D" w:rsidRPr="00E74297" w:rsidRDefault="009A349D" w:rsidP="009A349D">
            <w:pPr>
              <w:pStyle w:val="In-tableHeading"/>
              <w:keepNext w:val="0"/>
              <w:widowControl w:val="0"/>
              <w:rPr>
                <w:lang w:val="en-AU"/>
              </w:rPr>
            </w:pPr>
            <w:r>
              <w:rPr>
                <w:lang w:val="en-AU"/>
              </w:rPr>
              <w:t>Vial sharing/wastage for SG and TPC (base case = included)</w:t>
            </w:r>
          </w:p>
        </w:tc>
      </w:tr>
      <w:tr w:rsidR="00A92512" w:rsidRPr="0070023C" w14:paraId="756C5C8A"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90822D7" w14:textId="0D9C97DA" w:rsidR="00A92512" w:rsidRPr="0070023C" w:rsidRDefault="00A92512" w:rsidP="00A92512">
            <w:pPr>
              <w:pStyle w:val="In-tableHeading"/>
              <w:keepNext w:val="0"/>
              <w:widowControl w:val="0"/>
              <w:rPr>
                <w:b w:val="0"/>
                <w:bCs/>
                <w:iCs/>
              </w:rPr>
            </w:pPr>
            <w:r w:rsidRPr="0070023C">
              <w:rPr>
                <w:b w:val="0"/>
                <w:bCs/>
                <w:iCs/>
              </w:rPr>
              <w:t xml:space="preserve">No vial sharing </w:t>
            </w:r>
            <w:r w:rsidRPr="0070023C">
              <w:rPr>
                <w:iCs/>
              </w:rPr>
              <w:t>#</w:t>
            </w:r>
            <w:proofErr w:type="gramStart"/>
            <w:r w:rsidR="00D42A97" w:rsidRPr="0070023C">
              <w:rPr>
                <w:iCs/>
              </w:rPr>
              <w:t>2</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2D7B74" w14:textId="017245A6" w:rsidR="00A92512" w:rsidRPr="0070023C" w:rsidRDefault="00D52BD6" w:rsidP="00A92512">
            <w:pPr>
              <w:pStyle w:val="In-tableHeading"/>
              <w:keepNext w:val="0"/>
              <w:widowControl w:val="0"/>
              <w:jc w:val="center"/>
              <w:rPr>
                <w:b w:val="0"/>
                <w:bCs/>
                <w:iCs/>
              </w:rPr>
            </w:pPr>
            <w:r>
              <w:rPr>
                <w:b w:val="0"/>
                <w:bCs/>
                <w:iCs/>
              </w:rPr>
              <w:t xml:space="preserve"> </w:t>
            </w:r>
            <w:r w:rsidRPr="006D1797">
              <w:rPr>
                <w:rFonts w:hint="eastAsia"/>
                <w:b w:val="0"/>
                <w:bCs/>
                <w:iCs/>
                <w:color w:val="000000"/>
                <w:w w:val="15"/>
                <w:shd w:val="solid" w:color="000000" w:fill="000000"/>
                <w:fitText w:val="10" w:id="-1032058615"/>
                <w14:textFill>
                  <w14:solidFill>
                    <w14:srgbClr w14:val="000000">
                      <w14:alpha w14:val="100000"/>
                    </w14:srgbClr>
                  </w14:solidFill>
                </w14:textFill>
              </w:rPr>
              <w:t xml:space="preserve">　</w:t>
            </w:r>
            <w:r w:rsidRPr="006D1797">
              <w:rPr>
                <w:b w:val="0"/>
                <w:bCs/>
                <w:iCs/>
                <w:color w:val="000000"/>
                <w:w w:val="15"/>
                <w:shd w:val="solid" w:color="000000" w:fill="000000"/>
                <w:fitText w:val="10" w:id="-1032058615"/>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15"/>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E5F9D2" w14:textId="3B25AEB6" w:rsidR="00A92512" w:rsidRPr="0070023C" w:rsidRDefault="00A92512" w:rsidP="00A92512">
            <w:pPr>
              <w:pStyle w:val="In-tableHeading"/>
              <w:keepNext w:val="0"/>
              <w:widowControl w:val="0"/>
              <w:jc w:val="center"/>
              <w:rPr>
                <w:b w:val="0"/>
                <w:bCs/>
                <w:iCs/>
              </w:rPr>
            </w:pPr>
            <w:r w:rsidRPr="0070023C">
              <w:rPr>
                <w:b w:val="0"/>
                <w:bCs/>
                <w:iCs/>
              </w:rPr>
              <w:t>0.22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28AD9753" w14:textId="1BFAEC8A" w:rsidR="00A92512" w:rsidRPr="0070023C" w:rsidRDefault="00D52BD6" w:rsidP="00A92512">
            <w:pPr>
              <w:pStyle w:val="In-tableHeading"/>
              <w:keepNext w:val="0"/>
              <w:widowControl w:val="0"/>
              <w:jc w:val="center"/>
              <w:rPr>
                <w:b w:val="0"/>
                <w:bCs/>
                <w:iCs/>
              </w:rPr>
            </w:pPr>
            <w:r>
              <w:rPr>
                <w:b w:val="0"/>
                <w:bCs/>
                <w:iCs/>
              </w:rPr>
              <w:t xml:space="preserve"> </w:t>
            </w:r>
            <w:r w:rsidRPr="00D52BD6">
              <w:rPr>
                <w:b w:val="0"/>
                <w:bCs/>
                <w:iCs/>
                <w:color w:val="000000"/>
                <w:spacing w:val="104"/>
                <w:shd w:val="solid" w:color="000000" w:fill="000000"/>
                <w:fitText w:val="190" w:id="-1032058614"/>
                <w14:textFill>
                  <w14:solidFill>
                    <w14:srgbClr w14:val="000000">
                      <w14:alpha w14:val="100000"/>
                    </w14:srgbClr>
                  </w14:solidFill>
                </w14:textFill>
              </w:rPr>
              <w:t>|</w:t>
            </w:r>
            <w:r w:rsidRPr="00D52BD6">
              <w:rPr>
                <w:b w:val="0"/>
                <w:bCs/>
                <w:iCs/>
                <w:color w:val="000000"/>
                <w:spacing w:val="1"/>
                <w:shd w:val="solid" w:color="000000" w:fill="000000"/>
                <w:fitText w:val="190" w:id="-1032058614"/>
                <w14:textFill>
                  <w14:solidFill>
                    <w14:srgbClr w14:val="000000">
                      <w14:alpha w14:val="100000"/>
                    </w14:srgbClr>
                  </w14:solidFill>
                </w14:textFill>
              </w:rPr>
              <w:t>|</w:t>
            </w:r>
            <w:r w:rsidR="00DE5ED8" w:rsidRPr="00F0362D">
              <w:rPr>
                <w:b w:val="0"/>
                <w:bCs/>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2693212C" w14:textId="1036144E" w:rsidR="00A92512" w:rsidRPr="0070023C" w:rsidRDefault="00D52BD6" w:rsidP="00A92512">
            <w:pPr>
              <w:pStyle w:val="In-tableHeading"/>
              <w:keepNext w:val="0"/>
              <w:widowControl w:val="0"/>
              <w:jc w:val="center"/>
              <w:rPr>
                <w:b w:val="0"/>
                <w:bCs/>
                <w:iCs/>
              </w:rPr>
            </w:pPr>
            <w:r>
              <w:rPr>
                <w:b w:val="0"/>
                <w:bCs/>
                <w:iCs/>
              </w:rPr>
              <w:t xml:space="preserve"> </w:t>
            </w:r>
            <w:r w:rsidRPr="00D52BD6">
              <w:rPr>
                <w:b w:val="0"/>
                <w:bCs/>
                <w:iCs/>
                <w:color w:val="000000"/>
                <w:spacing w:val="51"/>
                <w:shd w:val="solid" w:color="000000" w:fill="000000"/>
                <w:fitText w:val="230" w:id="-1032058613"/>
                <w14:textFill>
                  <w14:solidFill>
                    <w14:srgbClr w14:val="000000">
                      <w14:alpha w14:val="100000"/>
                    </w14:srgbClr>
                  </w14:solidFill>
                </w14:textFill>
              </w:rPr>
              <w:t>||</w:t>
            </w:r>
            <w:r w:rsidRPr="00D52BD6">
              <w:rPr>
                <w:b w:val="0"/>
                <w:bCs/>
                <w:iCs/>
                <w:color w:val="000000"/>
                <w:spacing w:val="1"/>
                <w:shd w:val="solid" w:color="000000" w:fill="000000"/>
                <w:fitText w:val="230" w:id="-1032058613"/>
                <w14:textFill>
                  <w14:solidFill>
                    <w14:srgbClr w14:val="000000">
                      <w14:alpha w14:val="100000"/>
                    </w14:srgbClr>
                  </w14:solidFill>
                </w14:textFill>
              </w:rPr>
              <w:t>|</w:t>
            </w:r>
          </w:p>
        </w:tc>
      </w:tr>
      <w:tr w:rsidR="009A349D" w:rsidRPr="00E74297" w14:paraId="1DC7288A" w14:textId="77777777" w:rsidTr="00AF781B">
        <w:trPr>
          <w:trHeight w:val="220"/>
          <w:tblHeader/>
        </w:trPr>
        <w:tc>
          <w:tcPr>
            <w:tcW w:w="9067" w:type="dxa"/>
            <w:gridSpan w:val="5"/>
            <w:tcBorders>
              <w:top w:val="single" w:sz="4" w:space="0" w:color="auto"/>
              <w:left w:val="single" w:sz="4" w:space="0" w:color="auto"/>
              <w:bottom w:val="single" w:sz="4" w:space="0" w:color="auto"/>
              <w:right w:val="single" w:sz="4" w:space="0" w:color="auto"/>
            </w:tcBorders>
            <w:shd w:val="clear" w:color="auto" w:fill="auto"/>
          </w:tcPr>
          <w:p w14:paraId="31C64162" w14:textId="4EC9728E" w:rsidR="009A349D" w:rsidRPr="00E74297" w:rsidRDefault="009A349D" w:rsidP="009A349D">
            <w:pPr>
              <w:pStyle w:val="In-tableHeading"/>
              <w:keepNext w:val="0"/>
              <w:widowControl w:val="0"/>
              <w:rPr>
                <w:lang w:val="en-AU"/>
              </w:rPr>
            </w:pPr>
            <w:r w:rsidRPr="00E74297">
              <w:rPr>
                <w:lang w:val="en-AU"/>
              </w:rPr>
              <w:t>Multivariate Analyses</w:t>
            </w:r>
          </w:p>
        </w:tc>
      </w:tr>
      <w:tr w:rsidR="00D42A97" w:rsidRPr="0070023C" w14:paraId="23E17F5E"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1C7EDCE" w14:textId="3C5B4093" w:rsidR="00D42A97" w:rsidRPr="0070023C" w:rsidRDefault="00D42A97" w:rsidP="00D42A97">
            <w:pPr>
              <w:pStyle w:val="In-tableHeading"/>
              <w:keepNext w:val="0"/>
              <w:widowControl w:val="0"/>
              <w:rPr>
                <w:iCs/>
                <w:lang w:val="en-AU"/>
              </w:rPr>
            </w:pPr>
            <w:r w:rsidRPr="0070023C">
              <w:rPr>
                <w:iCs/>
                <w:lang w:val="en-AU"/>
              </w:rPr>
              <w:t>#1,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DFAF4E4" w14:textId="01A59E66" w:rsidR="00D42A97" w:rsidRPr="00F0362D" w:rsidRDefault="00D52BD6" w:rsidP="00D42A97">
            <w:pPr>
              <w:pStyle w:val="In-tableHeading"/>
              <w:keepNext w:val="0"/>
              <w:widowControl w:val="0"/>
              <w:jc w:val="center"/>
              <w:rPr>
                <w:b w:val="0"/>
                <w:bCs/>
                <w:iCs/>
                <w:highlight w:val="darkGray"/>
                <w:lang w:val="en-AU"/>
              </w:rPr>
            </w:pPr>
            <w:r>
              <w:rPr>
                <w:b w:val="0"/>
                <w:bCs/>
                <w:iCs/>
                <w:lang w:val="en-AU"/>
              </w:rPr>
              <w:t xml:space="preserve"> </w:t>
            </w:r>
            <w:r w:rsidRPr="006D1797">
              <w:rPr>
                <w:rFonts w:hint="eastAsia"/>
                <w:b w:val="0"/>
                <w:bCs/>
                <w:iCs/>
                <w:color w:val="000000"/>
                <w:w w:val="15"/>
                <w:shd w:val="solid" w:color="000000" w:fill="000000"/>
                <w:fitText w:val="10" w:id="-1032058612"/>
                <w:lang w:val="en-AU"/>
                <w14:textFill>
                  <w14:solidFill>
                    <w14:srgbClr w14:val="000000">
                      <w14:alpha w14:val="100000"/>
                    </w14:srgbClr>
                  </w14:solidFill>
                </w14:textFill>
              </w:rPr>
              <w:t xml:space="preserve">　</w:t>
            </w:r>
            <w:r w:rsidRPr="006D1797">
              <w:rPr>
                <w:b w:val="0"/>
                <w:bCs/>
                <w:iCs/>
                <w:color w:val="000000"/>
                <w:w w:val="15"/>
                <w:shd w:val="solid" w:color="000000" w:fill="000000"/>
                <w:fitText w:val="10" w:id="-1032058612"/>
                <w:lang w:val="en-AU"/>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12"/>
                <w:lang w:val="en-AU"/>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F91AEBD" w14:textId="605A0E5D" w:rsidR="00D42A97" w:rsidRPr="0070023C" w:rsidRDefault="00D42A97" w:rsidP="00D42A97">
            <w:pPr>
              <w:pStyle w:val="In-tableHeading"/>
              <w:keepNext w:val="0"/>
              <w:widowControl w:val="0"/>
              <w:jc w:val="center"/>
              <w:rPr>
                <w:b w:val="0"/>
                <w:bCs/>
                <w:iCs/>
                <w:lang w:val="en-AU"/>
              </w:rPr>
            </w:pPr>
            <w:r w:rsidRPr="0070023C">
              <w:rPr>
                <w:b w:val="0"/>
                <w:bCs/>
                <w:iCs/>
                <w:lang w:val="en-AU"/>
              </w:rPr>
              <w:t>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02E94F52" w14:textId="217E38EA" w:rsidR="00D42A97" w:rsidRPr="00F0362D" w:rsidRDefault="00D52BD6" w:rsidP="00D42A97">
            <w:pPr>
              <w:pStyle w:val="In-tableHeading"/>
              <w:keepNext w:val="0"/>
              <w:widowControl w:val="0"/>
              <w:jc w:val="center"/>
              <w:rPr>
                <w:b w:val="0"/>
                <w:bCs/>
                <w:iCs/>
                <w:highlight w:val="darkGray"/>
                <w:lang w:val="en-AU"/>
              </w:rPr>
            </w:pPr>
            <w:r>
              <w:rPr>
                <w:b w:val="0"/>
                <w:bCs/>
                <w:iCs/>
                <w:lang w:val="en-AU"/>
              </w:rPr>
              <w:t xml:space="preserve"> </w:t>
            </w:r>
            <w:r w:rsidRPr="00D52BD6">
              <w:rPr>
                <w:b w:val="0"/>
                <w:bCs/>
                <w:iCs/>
                <w:color w:val="000000"/>
                <w:spacing w:val="104"/>
                <w:shd w:val="solid" w:color="000000" w:fill="000000"/>
                <w:fitText w:val="190" w:id="-1032058611"/>
                <w:lang w:val="en-AU"/>
                <w14:textFill>
                  <w14:solidFill>
                    <w14:srgbClr w14:val="000000">
                      <w14:alpha w14:val="100000"/>
                    </w14:srgbClr>
                  </w14:solidFill>
                </w14:textFill>
              </w:rPr>
              <w:t>|</w:t>
            </w:r>
            <w:r w:rsidRPr="00D52BD6">
              <w:rPr>
                <w:b w:val="0"/>
                <w:bCs/>
                <w:iCs/>
                <w:color w:val="000000"/>
                <w:spacing w:val="1"/>
                <w:shd w:val="solid" w:color="000000" w:fill="000000"/>
                <w:fitText w:val="190" w:id="-1032058611"/>
                <w:lang w:val="en-AU"/>
                <w14:textFill>
                  <w14:solidFill>
                    <w14:srgbClr w14:val="000000">
                      <w14:alpha w14:val="100000"/>
                    </w14:srgbClr>
                  </w14:solidFill>
                </w14:textFill>
              </w:rPr>
              <w:t>|</w:t>
            </w:r>
            <w:r w:rsidR="00DE5ED8" w:rsidRPr="00BA0E21">
              <w:rPr>
                <w:b w:val="0"/>
                <w:bCs/>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B94BB47" w14:textId="4F2B22B1" w:rsidR="00D42A97" w:rsidRPr="00F0362D" w:rsidRDefault="00D52BD6" w:rsidP="00D42A97">
            <w:pPr>
              <w:pStyle w:val="In-tableHeading"/>
              <w:keepNext w:val="0"/>
              <w:widowControl w:val="0"/>
              <w:jc w:val="center"/>
              <w:rPr>
                <w:b w:val="0"/>
                <w:bCs/>
                <w:iCs/>
                <w:highlight w:val="darkGray"/>
                <w:lang w:val="en-AU"/>
              </w:rPr>
            </w:pPr>
            <w:r>
              <w:rPr>
                <w:b w:val="0"/>
                <w:bCs/>
                <w:iCs/>
                <w:lang w:val="en-AU"/>
              </w:rPr>
              <w:t xml:space="preserve"> </w:t>
            </w:r>
            <w:r w:rsidRPr="00D52BD6">
              <w:rPr>
                <w:b w:val="0"/>
                <w:bCs/>
                <w:iCs/>
                <w:color w:val="000000"/>
                <w:spacing w:val="51"/>
                <w:shd w:val="solid" w:color="000000" w:fill="000000"/>
                <w:fitText w:val="230" w:id="-1032058610"/>
                <w:lang w:val="en-AU"/>
                <w14:textFill>
                  <w14:solidFill>
                    <w14:srgbClr w14:val="000000">
                      <w14:alpha w14:val="100000"/>
                    </w14:srgbClr>
                  </w14:solidFill>
                </w14:textFill>
              </w:rPr>
              <w:t>||</w:t>
            </w:r>
            <w:r w:rsidRPr="00D52BD6">
              <w:rPr>
                <w:b w:val="0"/>
                <w:bCs/>
                <w:iCs/>
                <w:color w:val="000000"/>
                <w:spacing w:val="1"/>
                <w:shd w:val="solid" w:color="000000" w:fill="000000"/>
                <w:fitText w:val="230" w:id="-1032058610"/>
                <w:lang w:val="en-AU"/>
                <w14:textFill>
                  <w14:solidFill>
                    <w14:srgbClr w14:val="000000">
                      <w14:alpha w14:val="100000"/>
                    </w14:srgbClr>
                  </w14:solidFill>
                </w14:textFill>
              </w:rPr>
              <w:t>|</w:t>
            </w:r>
          </w:p>
        </w:tc>
      </w:tr>
      <w:tr w:rsidR="003665F6" w:rsidRPr="0070023C" w14:paraId="1AED131F"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622A26F5" w14:textId="202D1450" w:rsidR="003665F6" w:rsidRPr="0070023C" w:rsidRDefault="003665F6" w:rsidP="003665F6">
            <w:pPr>
              <w:pStyle w:val="In-tableHeading"/>
              <w:keepNext w:val="0"/>
              <w:widowControl w:val="0"/>
              <w:rPr>
                <w:iCs/>
                <w:lang w:val="en-AU"/>
              </w:rPr>
            </w:pPr>
            <w:r w:rsidRPr="0070023C">
              <w:rPr>
                <w:iCs/>
                <w:lang w:val="en-AU"/>
              </w:rPr>
              <w:t>#1, #2, #3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2562E5" w14:textId="44C88C59" w:rsidR="003665F6" w:rsidRPr="00F0362D" w:rsidRDefault="00D52BD6" w:rsidP="003665F6">
            <w:pPr>
              <w:pStyle w:val="In-tableHeading"/>
              <w:keepNext w:val="0"/>
              <w:widowControl w:val="0"/>
              <w:jc w:val="center"/>
              <w:rPr>
                <w:b w:val="0"/>
                <w:bCs/>
                <w:iCs/>
                <w:highlight w:val="darkGray"/>
                <w:lang w:val="en-AU"/>
              </w:rPr>
            </w:pPr>
            <w:r>
              <w:rPr>
                <w:b w:val="0"/>
                <w:bCs/>
                <w:iCs/>
                <w:lang w:val="en-AU"/>
              </w:rPr>
              <w:t xml:space="preserve"> </w:t>
            </w:r>
            <w:r w:rsidRPr="006D1797">
              <w:rPr>
                <w:rFonts w:hint="eastAsia"/>
                <w:b w:val="0"/>
                <w:bCs/>
                <w:iCs/>
                <w:color w:val="000000"/>
                <w:w w:val="15"/>
                <w:shd w:val="solid" w:color="000000" w:fill="000000"/>
                <w:fitText w:val="10" w:id="-1032058609"/>
                <w:lang w:val="en-AU"/>
                <w14:textFill>
                  <w14:solidFill>
                    <w14:srgbClr w14:val="000000">
                      <w14:alpha w14:val="100000"/>
                    </w14:srgbClr>
                  </w14:solidFill>
                </w14:textFill>
              </w:rPr>
              <w:t xml:space="preserve">　</w:t>
            </w:r>
            <w:r w:rsidRPr="006D1797">
              <w:rPr>
                <w:b w:val="0"/>
                <w:bCs/>
                <w:iCs/>
                <w:color w:val="000000"/>
                <w:w w:val="15"/>
                <w:shd w:val="solid" w:color="000000" w:fill="000000"/>
                <w:fitText w:val="10" w:id="-1032058609"/>
                <w:lang w:val="en-AU"/>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09"/>
                <w:lang w:val="en-AU"/>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4F8F28" w14:textId="5125FBE7" w:rsidR="003665F6" w:rsidRPr="0070023C" w:rsidRDefault="003665F6" w:rsidP="003665F6">
            <w:pPr>
              <w:pStyle w:val="In-tableHeading"/>
              <w:keepNext w:val="0"/>
              <w:widowControl w:val="0"/>
              <w:jc w:val="center"/>
              <w:rPr>
                <w:b w:val="0"/>
                <w:bCs/>
                <w:iCs/>
                <w:lang w:val="en-AU"/>
              </w:rPr>
            </w:pPr>
            <w:r w:rsidRPr="0070023C">
              <w:rPr>
                <w:b w:val="0"/>
                <w:bCs/>
                <w:iCs/>
                <w:lang w:val="en-AU"/>
              </w:rPr>
              <w:t>0.19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3D28F" w14:textId="3B1E3D6D" w:rsidR="003665F6" w:rsidRPr="00F0362D" w:rsidRDefault="00D52BD6" w:rsidP="003665F6">
            <w:pPr>
              <w:pStyle w:val="In-tableHeading"/>
              <w:keepNext w:val="0"/>
              <w:widowControl w:val="0"/>
              <w:jc w:val="center"/>
              <w:rPr>
                <w:b w:val="0"/>
                <w:bCs/>
                <w:iCs/>
                <w:highlight w:val="darkGray"/>
                <w:lang w:val="en-AU"/>
              </w:rPr>
            </w:pPr>
            <w:r>
              <w:rPr>
                <w:b w:val="0"/>
                <w:bCs/>
                <w:iCs/>
                <w:lang w:val="en-AU"/>
              </w:rPr>
              <w:t xml:space="preserve"> </w:t>
            </w:r>
            <w:r w:rsidRPr="00D52BD6">
              <w:rPr>
                <w:b w:val="0"/>
                <w:bCs/>
                <w:iCs/>
                <w:color w:val="000000"/>
                <w:spacing w:val="104"/>
                <w:shd w:val="solid" w:color="000000" w:fill="000000"/>
                <w:fitText w:val="190" w:id="-1032058608"/>
                <w:lang w:val="en-AU"/>
                <w14:textFill>
                  <w14:solidFill>
                    <w14:srgbClr w14:val="000000">
                      <w14:alpha w14:val="100000"/>
                    </w14:srgbClr>
                  </w14:solidFill>
                </w14:textFill>
              </w:rPr>
              <w:t>|</w:t>
            </w:r>
            <w:r w:rsidRPr="00D52BD6">
              <w:rPr>
                <w:b w:val="0"/>
                <w:bCs/>
                <w:iCs/>
                <w:color w:val="000000"/>
                <w:spacing w:val="1"/>
                <w:shd w:val="solid" w:color="000000" w:fill="000000"/>
                <w:fitText w:val="190" w:id="-1032058608"/>
                <w:lang w:val="en-AU"/>
                <w14:textFill>
                  <w14:solidFill>
                    <w14:srgbClr w14:val="000000">
                      <w14:alpha w14:val="100000"/>
                    </w14:srgbClr>
                  </w14:solidFill>
                </w14:textFill>
              </w:rPr>
              <w:t>|</w:t>
            </w:r>
            <w:r w:rsidR="00DE5ED8" w:rsidRPr="00F0362D">
              <w:rPr>
                <w:b w:val="0"/>
                <w:bCs/>
                <w:vertAlign w:val="superscript"/>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21C0C5" w14:textId="1862CBA0" w:rsidR="003665F6" w:rsidRPr="00F0362D" w:rsidRDefault="00D52BD6" w:rsidP="003665F6">
            <w:pPr>
              <w:pStyle w:val="In-tableHeading"/>
              <w:keepNext w:val="0"/>
              <w:widowControl w:val="0"/>
              <w:jc w:val="center"/>
              <w:rPr>
                <w:b w:val="0"/>
                <w:bCs/>
                <w:iCs/>
                <w:highlight w:val="darkGray"/>
                <w:lang w:val="en-AU"/>
              </w:rPr>
            </w:pPr>
            <w:r>
              <w:rPr>
                <w:b w:val="0"/>
                <w:bCs/>
                <w:iCs/>
                <w:lang w:val="en-AU"/>
              </w:rPr>
              <w:t xml:space="preserve"> </w:t>
            </w:r>
            <w:r w:rsidRPr="00D52BD6">
              <w:rPr>
                <w:b w:val="0"/>
                <w:bCs/>
                <w:iCs/>
                <w:color w:val="000000"/>
                <w:spacing w:val="51"/>
                <w:shd w:val="solid" w:color="000000" w:fill="000000"/>
                <w:fitText w:val="230" w:id="-1032058624"/>
                <w:lang w:val="en-AU"/>
                <w14:textFill>
                  <w14:solidFill>
                    <w14:srgbClr w14:val="000000">
                      <w14:alpha w14:val="100000"/>
                    </w14:srgbClr>
                  </w14:solidFill>
                </w14:textFill>
              </w:rPr>
              <w:t>||</w:t>
            </w:r>
            <w:r w:rsidRPr="00D52BD6">
              <w:rPr>
                <w:b w:val="0"/>
                <w:bCs/>
                <w:iCs/>
                <w:color w:val="000000"/>
                <w:spacing w:val="1"/>
                <w:shd w:val="solid" w:color="000000" w:fill="000000"/>
                <w:fitText w:val="230" w:id="-1032058624"/>
                <w:lang w:val="en-AU"/>
                <w14:textFill>
                  <w14:solidFill>
                    <w14:srgbClr w14:val="000000">
                      <w14:alpha w14:val="100000"/>
                    </w14:srgbClr>
                  </w14:solidFill>
                </w14:textFill>
              </w:rPr>
              <w:t>|</w:t>
            </w:r>
          </w:p>
        </w:tc>
      </w:tr>
      <w:tr w:rsidR="003665F6" w:rsidRPr="0070023C" w14:paraId="76EFF5A5" w14:textId="77777777" w:rsidTr="00AF781B">
        <w:trPr>
          <w:trHeight w:val="220"/>
          <w:tblHead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E3C8012" w14:textId="650E543A" w:rsidR="003665F6" w:rsidRPr="0070023C" w:rsidRDefault="003665F6" w:rsidP="003665F6">
            <w:pPr>
              <w:pStyle w:val="In-tableHeading"/>
              <w:keepNext w:val="0"/>
              <w:widowControl w:val="0"/>
              <w:rPr>
                <w:iCs/>
                <w:lang w:val="en-AU"/>
              </w:rPr>
            </w:pPr>
            <w:r w:rsidRPr="0070023C">
              <w:rPr>
                <w:iCs/>
                <w:lang w:val="en-AU"/>
              </w:rPr>
              <w:t>#1, #2, #3, #4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20A118D" w14:textId="0D1153FF" w:rsidR="003665F6" w:rsidRPr="00F0362D" w:rsidRDefault="00D52BD6" w:rsidP="003665F6">
            <w:pPr>
              <w:pStyle w:val="In-tableHeading"/>
              <w:keepNext w:val="0"/>
              <w:widowControl w:val="0"/>
              <w:jc w:val="center"/>
              <w:rPr>
                <w:b w:val="0"/>
                <w:bCs/>
                <w:iCs/>
                <w:highlight w:val="darkGray"/>
                <w:lang w:val="en-AU"/>
              </w:rPr>
            </w:pPr>
            <w:r>
              <w:rPr>
                <w:b w:val="0"/>
                <w:bCs/>
                <w:iCs/>
                <w:lang w:val="en-AU"/>
              </w:rPr>
              <w:t xml:space="preserve"> </w:t>
            </w:r>
            <w:r w:rsidRPr="006D1797">
              <w:rPr>
                <w:rFonts w:hint="eastAsia"/>
                <w:b w:val="0"/>
                <w:bCs/>
                <w:iCs/>
                <w:color w:val="000000"/>
                <w:w w:val="15"/>
                <w:shd w:val="solid" w:color="000000" w:fill="000000"/>
                <w:fitText w:val="10" w:id="-1032058623"/>
                <w:lang w:val="en-AU"/>
                <w14:textFill>
                  <w14:solidFill>
                    <w14:srgbClr w14:val="000000">
                      <w14:alpha w14:val="100000"/>
                    </w14:srgbClr>
                  </w14:solidFill>
                </w14:textFill>
              </w:rPr>
              <w:t xml:space="preserve">　</w:t>
            </w:r>
            <w:r w:rsidRPr="006D1797">
              <w:rPr>
                <w:b w:val="0"/>
                <w:bCs/>
                <w:iCs/>
                <w:color w:val="000000"/>
                <w:w w:val="15"/>
                <w:shd w:val="solid" w:color="000000" w:fill="000000"/>
                <w:fitText w:val="10" w:id="-1032058623"/>
                <w:lang w:val="en-AU"/>
                <w14:textFill>
                  <w14:solidFill>
                    <w14:srgbClr w14:val="000000">
                      <w14:alpha w14:val="100000"/>
                    </w14:srgbClr>
                  </w14:solidFill>
                </w14:textFill>
              </w:rPr>
              <w:t>|</w:t>
            </w:r>
            <w:r w:rsidRPr="006D1797">
              <w:rPr>
                <w:rFonts w:hint="eastAsia"/>
                <w:b w:val="0"/>
                <w:bCs/>
                <w:iCs/>
                <w:color w:val="000000"/>
                <w:spacing w:val="-55"/>
                <w:w w:val="15"/>
                <w:shd w:val="solid" w:color="000000" w:fill="000000"/>
                <w:fitText w:val="10" w:id="-1032058623"/>
                <w:lang w:val="en-AU"/>
                <w14:textFill>
                  <w14:solidFill>
                    <w14:srgbClr w14:val="000000">
                      <w14:alpha w14:val="100000"/>
                    </w14:srgbClr>
                  </w14:solidFill>
                </w14:textFil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57500DFC" w14:textId="0A7A343F" w:rsidR="003665F6" w:rsidRPr="0070023C" w:rsidRDefault="003665F6" w:rsidP="003665F6">
            <w:pPr>
              <w:pStyle w:val="In-tableHeading"/>
              <w:keepNext w:val="0"/>
              <w:widowControl w:val="0"/>
              <w:jc w:val="center"/>
              <w:rPr>
                <w:b w:val="0"/>
                <w:bCs/>
                <w:iCs/>
                <w:lang w:val="en-AU"/>
              </w:rPr>
            </w:pPr>
            <w:r w:rsidRPr="0070023C">
              <w:rPr>
                <w:b w:val="0"/>
                <w:bCs/>
                <w:iCs/>
                <w:lang w:val="en-AU"/>
              </w:rPr>
              <w:t>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5356C7E" w14:textId="094F01DA" w:rsidR="003665F6" w:rsidRPr="00F0362D" w:rsidRDefault="00D52BD6" w:rsidP="003665F6">
            <w:pPr>
              <w:pStyle w:val="In-tableHeading"/>
              <w:keepNext w:val="0"/>
              <w:widowControl w:val="0"/>
              <w:jc w:val="center"/>
              <w:rPr>
                <w:b w:val="0"/>
                <w:bCs/>
                <w:iCs/>
                <w:highlight w:val="darkGray"/>
                <w:lang w:val="en-AU"/>
              </w:rPr>
            </w:pPr>
            <w:r>
              <w:rPr>
                <w:b w:val="0"/>
                <w:bCs/>
                <w:iCs/>
                <w:lang w:val="en-AU"/>
              </w:rPr>
              <w:t xml:space="preserve"> </w:t>
            </w:r>
            <w:r w:rsidRPr="00D52BD6">
              <w:rPr>
                <w:b w:val="0"/>
                <w:bCs/>
                <w:iCs/>
                <w:color w:val="000000"/>
                <w:spacing w:val="104"/>
                <w:shd w:val="solid" w:color="000000" w:fill="000000"/>
                <w:fitText w:val="190" w:id="-1032058368"/>
                <w:lang w:val="en-AU"/>
                <w14:textFill>
                  <w14:solidFill>
                    <w14:srgbClr w14:val="000000">
                      <w14:alpha w14:val="100000"/>
                    </w14:srgbClr>
                  </w14:solidFill>
                </w14:textFill>
              </w:rPr>
              <w:t>|</w:t>
            </w:r>
            <w:r w:rsidRPr="00D52BD6">
              <w:rPr>
                <w:b w:val="0"/>
                <w:bCs/>
                <w:iCs/>
                <w:color w:val="000000"/>
                <w:spacing w:val="1"/>
                <w:shd w:val="solid" w:color="000000" w:fill="000000"/>
                <w:fitText w:val="190" w:id="-1032058368"/>
                <w:lang w:val="en-AU"/>
                <w14:textFill>
                  <w14:solidFill>
                    <w14:srgbClr w14:val="000000">
                      <w14:alpha w14:val="100000"/>
                    </w14:srgbClr>
                  </w14:solidFill>
                </w14:textFill>
              </w:rPr>
              <w:t>|</w:t>
            </w:r>
            <w:r w:rsidR="00DE5ED8" w:rsidRPr="00BA0E21">
              <w:rPr>
                <w:b w:val="0"/>
                <w:bCs/>
                <w:vertAlign w:val="superscript"/>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5D8FF67D" w14:textId="6FB9A914" w:rsidR="003665F6" w:rsidRPr="00F0362D" w:rsidRDefault="00D52BD6" w:rsidP="003665F6">
            <w:pPr>
              <w:pStyle w:val="In-tableHeading"/>
              <w:keepNext w:val="0"/>
              <w:widowControl w:val="0"/>
              <w:jc w:val="center"/>
              <w:rPr>
                <w:b w:val="0"/>
                <w:bCs/>
                <w:iCs/>
                <w:highlight w:val="darkGray"/>
                <w:lang w:val="en-AU"/>
              </w:rPr>
            </w:pPr>
            <w:r>
              <w:rPr>
                <w:b w:val="0"/>
                <w:bCs/>
                <w:iCs/>
                <w:lang w:val="en-AU"/>
              </w:rPr>
              <w:t xml:space="preserve"> </w:t>
            </w:r>
            <w:r w:rsidRPr="00D52BD6">
              <w:rPr>
                <w:b w:val="0"/>
                <w:bCs/>
                <w:iCs/>
                <w:color w:val="000000"/>
                <w:spacing w:val="51"/>
                <w:shd w:val="solid" w:color="000000" w:fill="000000"/>
                <w:fitText w:val="230" w:id="-1032058367"/>
                <w:lang w:val="en-AU"/>
                <w14:textFill>
                  <w14:solidFill>
                    <w14:srgbClr w14:val="000000">
                      <w14:alpha w14:val="100000"/>
                    </w14:srgbClr>
                  </w14:solidFill>
                </w14:textFill>
              </w:rPr>
              <w:t>||</w:t>
            </w:r>
            <w:r w:rsidRPr="00D52BD6">
              <w:rPr>
                <w:b w:val="0"/>
                <w:bCs/>
                <w:iCs/>
                <w:color w:val="000000"/>
                <w:spacing w:val="1"/>
                <w:shd w:val="solid" w:color="000000" w:fill="000000"/>
                <w:fitText w:val="230" w:id="-1032058367"/>
                <w:lang w:val="en-AU"/>
                <w14:textFill>
                  <w14:solidFill>
                    <w14:srgbClr w14:val="000000">
                      <w14:alpha w14:val="100000"/>
                    </w14:srgbClr>
                  </w14:solidFill>
                </w14:textFill>
              </w:rPr>
              <w:t>|</w:t>
            </w:r>
          </w:p>
        </w:tc>
      </w:tr>
    </w:tbl>
    <w:p w14:paraId="3EC71D7A" w14:textId="15AD34C8" w:rsidR="00350DC6" w:rsidRDefault="00350DC6" w:rsidP="00EA60F9">
      <w:pPr>
        <w:pStyle w:val="TableFigureFooter"/>
        <w:rPr>
          <w:szCs w:val="24"/>
        </w:rPr>
      </w:pPr>
      <w:r w:rsidRPr="00350DC6">
        <w:rPr>
          <w:szCs w:val="24"/>
        </w:rPr>
        <w:t>Source</w:t>
      </w:r>
      <w:r w:rsidRPr="0070023C">
        <w:rPr>
          <w:iCs/>
          <w:szCs w:val="24"/>
        </w:rPr>
        <w:t xml:space="preserve">: </w:t>
      </w:r>
      <w:r w:rsidRPr="00F1748B">
        <w:rPr>
          <w:szCs w:val="24"/>
        </w:rPr>
        <w:t>Trodelvy HRHER2 mBC August 2023 Resubmission Economic Model.xlsm</w:t>
      </w:r>
    </w:p>
    <w:p w14:paraId="30CE966D" w14:textId="1B8F9FBE" w:rsidR="00DE5ED8" w:rsidRPr="000F5640" w:rsidRDefault="00DE5ED8" w:rsidP="00EA60F9">
      <w:pPr>
        <w:pStyle w:val="TableFigureFooter"/>
        <w:rPr>
          <w:i/>
          <w:iCs/>
          <w:szCs w:val="24"/>
        </w:rPr>
      </w:pPr>
      <w:r w:rsidRPr="000F5640">
        <w:rPr>
          <w:i/>
          <w:iCs/>
          <w:szCs w:val="24"/>
        </w:rPr>
        <w:t>The redacted values correspond to the following ranges:</w:t>
      </w:r>
    </w:p>
    <w:p w14:paraId="6FEFF976" w14:textId="12190A81" w:rsidR="00DE5ED8" w:rsidRPr="000F5640" w:rsidRDefault="00DE5ED8" w:rsidP="00EA60F9">
      <w:pPr>
        <w:pStyle w:val="TableFigureFooter"/>
        <w:rPr>
          <w:i/>
          <w:iCs/>
          <w:szCs w:val="24"/>
        </w:rPr>
      </w:pPr>
      <w:r w:rsidRPr="000F5640">
        <w:rPr>
          <w:i/>
          <w:iCs/>
          <w:szCs w:val="24"/>
          <w:vertAlign w:val="superscript"/>
        </w:rPr>
        <w:lastRenderedPageBreak/>
        <w:t>1</w:t>
      </w:r>
      <w:r w:rsidRPr="000F5640">
        <w:rPr>
          <w:i/>
          <w:iCs/>
          <w:szCs w:val="24"/>
        </w:rPr>
        <w:t xml:space="preserve"> $95,000 to &lt; $115,000</w:t>
      </w:r>
    </w:p>
    <w:p w14:paraId="65B4B773" w14:textId="14AF13D4" w:rsidR="00DE5ED8" w:rsidRPr="000F5640" w:rsidRDefault="00DE5ED8" w:rsidP="00EA60F9">
      <w:pPr>
        <w:pStyle w:val="TableFigureFooter"/>
        <w:rPr>
          <w:i/>
          <w:iCs/>
          <w:szCs w:val="24"/>
        </w:rPr>
      </w:pPr>
      <w:r w:rsidRPr="000F5640">
        <w:rPr>
          <w:i/>
          <w:iCs/>
          <w:szCs w:val="24"/>
          <w:vertAlign w:val="superscript"/>
        </w:rPr>
        <w:t>2</w:t>
      </w:r>
      <w:r w:rsidRPr="000F5640">
        <w:rPr>
          <w:i/>
          <w:iCs/>
          <w:szCs w:val="24"/>
        </w:rPr>
        <w:t xml:space="preserve"> $115,000 to &lt; $135,000</w:t>
      </w:r>
    </w:p>
    <w:p w14:paraId="1B985A66" w14:textId="4E38732C" w:rsidR="00DE5ED8" w:rsidRPr="000F5640" w:rsidRDefault="00DE5ED8" w:rsidP="00EA60F9">
      <w:pPr>
        <w:pStyle w:val="TableFigureFooter"/>
        <w:rPr>
          <w:i/>
          <w:iCs/>
          <w:szCs w:val="24"/>
        </w:rPr>
      </w:pPr>
      <w:r w:rsidRPr="000F5640">
        <w:rPr>
          <w:i/>
          <w:iCs/>
          <w:szCs w:val="24"/>
          <w:vertAlign w:val="superscript"/>
        </w:rPr>
        <w:t>3</w:t>
      </w:r>
      <w:r w:rsidRPr="000F5640">
        <w:rPr>
          <w:i/>
          <w:iCs/>
          <w:szCs w:val="24"/>
        </w:rPr>
        <w:t xml:space="preserve"> $135,000 to &lt; $155,000</w:t>
      </w:r>
    </w:p>
    <w:p w14:paraId="66A73B98" w14:textId="3B504D2D" w:rsidR="00DE5ED8" w:rsidRPr="000F5640" w:rsidRDefault="00DE5ED8" w:rsidP="00EA60F9">
      <w:pPr>
        <w:pStyle w:val="TableFigureFooter"/>
        <w:rPr>
          <w:i/>
          <w:iCs/>
          <w:szCs w:val="24"/>
        </w:rPr>
      </w:pPr>
      <w:r w:rsidRPr="000F5640">
        <w:rPr>
          <w:i/>
          <w:iCs/>
          <w:szCs w:val="24"/>
          <w:vertAlign w:val="superscript"/>
        </w:rPr>
        <w:t>4</w:t>
      </w:r>
      <w:r w:rsidRPr="000F5640">
        <w:rPr>
          <w:i/>
          <w:iCs/>
          <w:szCs w:val="24"/>
        </w:rPr>
        <w:t xml:space="preserve"> $155,000 to &lt; $255,000</w:t>
      </w:r>
    </w:p>
    <w:p w14:paraId="65183E2A" w14:textId="15924331" w:rsidR="00EE4688" w:rsidRDefault="00EE4688" w:rsidP="00EE4688">
      <w:pPr>
        <w:pStyle w:val="4-SubsectionHeading"/>
        <w:keepNext w:val="0"/>
        <w:jc w:val="left"/>
        <w:rPr>
          <w:lang w:eastAsia="en-US"/>
        </w:rPr>
      </w:pPr>
      <w:r w:rsidRPr="00EE4688">
        <w:rPr>
          <w:lang w:eastAsia="en-US"/>
        </w:rPr>
        <w:t>Drug cost/patient/course</w:t>
      </w:r>
    </w:p>
    <w:p w14:paraId="27287802" w14:textId="3A2B8E2F" w:rsidR="00EE4688" w:rsidRPr="00D86E70" w:rsidRDefault="00EE4688" w:rsidP="00396E49">
      <w:pPr>
        <w:pStyle w:val="3-BodyText"/>
        <w:rPr>
          <w:lang w:eastAsia="en-US"/>
        </w:rPr>
      </w:pPr>
      <w:r>
        <w:rPr>
          <w:lang w:eastAsia="en-US"/>
        </w:rPr>
        <w:t xml:space="preserve">The resubmission’s economic model estimated the total undiscounted cost for SG of </w:t>
      </w:r>
      <w:r w:rsidR="001F3B65">
        <w:rPr>
          <w:lang w:eastAsia="en-US"/>
        </w:rPr>
        <w:t>$</w:t>
      </w:r>
      <w:r w:rsidR="00D52BD6" w:rsidRPr="006D1797">
        <w:rPr>
          <w:color w:val="000000"/>
          <w:w w:val="15"/>
          <w:shd w:val="solid" w:color="000000" w:fill="000000"/>
          <w:fitText w:val="-20" w:id="-1032058366"/>
          <w:lang w:eastAsia="en-US"/>
          <w14:textFill>
            <w14:solidFill>
              <w14:srgbClr w14:val="000000">
                <w14:alpha w14:val="100000"/>
              </w14:srgbClr>
            </w14:solidFill>
          </w14:textFill>
        </w:rPr>
        <w:t xml:space="preserve">|  </w:t>
      </w:r>
      <w:r w:rsidR="00D52BD6" w:rsidRPr="006D1797">
        <w:rPr>
          <w:color w:val="000000"/>
          <w:spacing w:val="-69"/>
          <w:w w:val="15"/>
          <w:shd w:val="solid" w:color="000000" w:fill="000000"/>
          <w:fitText w:val="-20" w:id="-1032058366"/>
          <w:lang w:eastAsia="en-US"/>
          <w14:textFill>
            <w14:solidFill>
              <w14:srgbClr w14:val="000000">
                <w14:alpha w14:val="100000"/>
              </w14:srgbClr>
            </w14:solidFill>
          </w14:textFill>
        </w:rPr>
        <w:t>|</w:t>
      </w:r>
      <w:r>
        <w:rPr>
          <w:lang w:eastAsia="en-US"/>
        </w:rPr>
        <w:t xml:space="preserve"> per patient, per course. </w:t>
      </w:r>
      <w:r w:rsidR="00E56826" w:rsidRPr="0070023C">
        <w:rPr>
          <w:lang w:eastAsia="en-US"/>
        </w:rPr>
        <w:t xml:space="preserve">This assumes </w:t>
      </w:r>
      <w:r w:rsidR="00BB74A0" w:rsidRPr="0070023C">
        <w:rPr>
          <w:lang w:eastAsia="en-US"/>
        </w:rPr>
        <w:t xml:space="preserve">a </w:t>
      </w:r>
      <w:r w:rsidR="009F195D">
        <w:rPr>
          <w:lang w:eastAsia="en-US"/>
        </w:rPr>
        <w:t>cost</w:t>
      </w:r>
      <w:r w:rsidR="00E56826" w:rsidRPr="0070023C">
        <w:rPr>
          <w:lang w:eastAsia="en-US"/>
        </w:rPr>
        <w:t xml:space="preserve"> per dose of </w:t>
      </w:r>
      <w:r w:rsidR="001F3B65">
        <w:rPr>
          <w:lang w:eastAsia="en-US"/>
        </w:rPr>
        <w:t>$</w:t>
      </w:r>
      <w:r w:rsidR="00D52BD6" w:rsidRPr="006D1797">
        <w:rPr>
          <w:color w:val="000000"/>
          <w:w w:val="15"/>
          <w:shd w:val="solid" w:color="000000" w:fill="000000"/>
          <w:fitText w:val="-20" w:id="-1032058365"/>
          <w:lang w:eastAsia="en-US"/>
          <w14:textFill>
            <w14:solidFill>
              <w14:srgbClr w14:val="000000">
                <w14:alpha w14:val="100000"/>
              </w14:srgbClr>
            </w14:solidFill>
          </w14:textFill>
        </w:rPr>
        <w:t xml:space="preserve">|  </w:t>
      </w:r>
      <w:r w:rsidR="00D52BD6" w:rsidRPr="006D1797">
        <w:rPr>
          <w:color w:val="000000"/>
          <w:spacing w:val="-69"/>
          <w:w w:val="15"/>
          <w:shd w:val="solid" w:color="000000" w:fill="000000"/>
          <w:fitText w:val="-20" w:id="-1032058365"/>
          <w:lang w:eastAsia="en-US"/>
          <w14:textFill>
            <w14:solidFill>
              <w14:srgbClr w14:val="000000">
                <w14:alpha w14:val="100000"/>
              </w14:srgbClr>
            </w14:solidFill>
          </w14:textFill>
        </w:rPr>
        <w:t>|</w:t>
      </w:r>
      <w:r w:rsidR="00E56826" w:rsidRPr="0070023C">
        <w:rPr>
          <w:lang w:eastAsia="en-US"/>
        </w:rPr>
        <w:t xml:space="preserve"> (no drug wastage)</w:t>
      </w:r>
      <w:r w:rsidR="00E63B2D">
        <w:rPr>
          <w:lang w:eastAsia="en-US"/>
        </w:rPr>
        <w:t>, based on a weighted cost with mean weight of 68.3</w:t>
      </w:r>
      <w:r w:rsidR="00E56826" w:rsidRPr="0070023C">
        <w:rPr>
          <w:lang w:eastAsia="en-US"/>
        </w:rPr>
        <w:t xml:space="preserve"> </w:t>
      </w:r>
      <w:r w:rsidR="00E63B2D">
        <w:rPr>
          <w:lang w:eastAsia="en-US"/>
        </w:rPr>
        <w:t>(standard deviation 15.57). The total cost</w:t>
      </w:r>
      <w:r w:rsidR="00E56826" w:rsidRPr="0070023C">
        <w:rPr>
          <w:lang w:eastAsia="en-US"/>
        </w:rPr>
        <w:t xml:space="preserve"> is </w:t>
      </w:r>
      <w:r w:rsidR="00E60743" w:rsidRPr="0070023C">
        <w:rPr>
          <w:lang w:eastAsia="en-US"/>
        </w:rPr>
        <w:t>similar</w:t>
      </w:r>
      <w:r w:rsidR="00E56826" w:rsidRPr="0070023C">
        <w:rPr>
          <w:lang w:eastAsia="en-US"/>
        </w:rPr>
        <w:t xml:space="preserve"> to that estimated in the July 2023 submission (</w:t>
      </w:r>
      <w:r w:rsidR="001F3B65">
        <w:t>$</w:t>
      </w:r>
      <w:r w:rsidR="00D52BD6" w:rsidRPr="006D1797">
        <w:rPr>
          <w:color w:val="000000"/>
          <w:w w:val="15"/>
          <w:shd w:val="solid" w:color="000000" w:fill="000000"/>
          <w:fitText w:val="-20" w:id="-1032058364"/>
          <w14:textFill>
            <w14:solidFill>
              <w14:srgbClr w14:val="000000">
                <w14:alpha w14:val="100000"/>
              </w14:srgbClr>
            </w14:solidFill>
          </w14:textFill>
        </w:rPr>
        <w:t xml:space="preserve">|  </w:t>
      </w:r>
      <w:r w:rsidR="00D52BD6" w:rsidRPr="006D1797">
        <w:rPr>
          <w:color w:val="000000"/>
          <w:spacing w:val="-69"/>
          <w:w w:val="15"/>
          <w:shd w:val="solid" w:color="000000" w:fill="000000"/>
          <w:fitText w:val="-20" w:id="-1032058364"/>
          <w14:textFill>
            <w14:solidFill>
              <w14:srgbClr w14:val="000000">
                <w14:alpha w14:val="100000"/>
              </w14:srgbClr>
            </w14:solidFill>
          </w14:textFill>
        </w:rPr>
        <w:t>|</w:t>
      </w:r>
      <w:r w:rsidR="00E56826" w:rsidRPr="0070023C">
        <w:t>).</w:t>
      </w:r>
    </w:p>
    <w:p w14:paraId="03EE00DC" w14:textId="4B8D339A" w:rsidR="00D86E70" w:rsidRDefault="00D86E70" w:rsidP="00396E49">
      <w:pPr>
        <w:pStyle w:val="3-BodyText"/>
        <w:rPr>
          <w:lang w:eastAsia="en-US"/>
        </w:rPr>
      </w:pPr>
      <w:r>
        <w:rPr>
          <w:lang w:eastAsia="en-US"/>
        </w:rPr>
        <w:t xml:space="preserve">The </w:t>
      </w:r>
      <w:r w:rsidR="00BB74A0">
        <w:rPr>
          <w:lang w:eastAsia="en-US"/>
        </w:rPr>
        <w:t xml:space="preserve">resubmission’s </w:t>
      </w:r>
      <w:r>
        <w:rPr>
          <w:lang w:eastAsia="en-US"/>
        </w:rPr>
        <w:t xml:space="preserve">financial </w:t>
      </w:r>
      <w:r w:rsidR="0072778E">
        <w:rPr>
          <w:lang w:eastAsia="en-US"/>
        </w:rPr>
        <w:t>model estimated</w:t>
      </w:r>
      <w:r>
        <w:rPr>
          <w:lang w:eastAsia="en-US"/>
        </w:rPr>
        <w:t xml:space="preserve"> a cost per patient, per course of </w:t>
      </w:r>
      <w:r w:rsidR="001F3B65">
        <w:rPr>
          <w:lang w:eastAsia="en-US"/>
        </w:rPr>
        <w:t>$</w:t>
      </w:r>
      <w:r w:rsidR="00D52BD6" w:rsidRPr="006D1797">
        <w:rPr>
          <w:color w:val="000000"/>
          <w:w w:val="15"/>
          <w:shd w:val="solid" w:color="000000" w:fill="000000"/>
          <w:fitText w:val="-20" w:id="-1032058363"/>
          <w:lang w:eastAsia="en-US"/>
          <w14:textFill>
            <w14:solidFill>
              <w14:srgbClr w14:val="000000">
                <w14:alpha w14:val="100000"/>
              </w14:srgbClr>
            </w14:solidFill>
          </w14:textFill>
        </w:rPr>
        <w:t xml:space="preserve">|  </w:t>
      </w:r>
      <w:r w:rsidR="00D52BD6" w:rsidRPr="006D1797">
        <w:rPr>
          <w:color w:val="000000"/>
          <w:spacing w:val="-69"/>
          <w:w w:val="15"/>
          <w:shd w:val="solid" w:color="000000" w:fill="000000"/>
          <w:fitText w:val="-20" w:id="-1032058363"/>
          <w:lang w:eastAsia="en-US"/>
          <w14:textFill>
            <w14:solidFill>
              <w14:srgbClr w14:val="000000">
                <w14:alpha w14:val="100000"/>
              </w14:srgbClr>
            </w14:solidFill>
          </w14:textFill>
        </w:rPr>
        <w:t>|</w:t>
      </w:r>
      <w:r>
        <w:rPr>
          <w:lang w:eastAsia="en-US"/>
        </w:rPr>
        <w:t>, based on mean treatment duration of 6.08 months</w:t>
      </w:r>
      <w:r w:rsidR="00923798">
        <w:rPr>
          <w:lang w:eastAsia="en-US"/>
        </w:rPr>
        <w:t xml:space="preserve"> (17.64 scripts)</w:t>
      </w:r>
      <w:r w:rsidR="00923798" w:rsidRPr="00923798">
        <w:rPr>
          <w:lang w:eastAsia="en-US"/>
        </w:rPr>
        <w:t xml:space="preserve"> and a </w:t>
      </w:r>
      <w:r w:rsidR="009F195D">
        <w:rPr>
          <w:lang w:eastAsia="en-US"/>
        </w:rPr>
        <w:t>cost</w:t>
      </w:r>
      <w:r w:rsidR="00923798" w:rsidRPr="00923798">
        <w:rPr>
          <w:lang w:eastAsia="en-US"/>
        </w:rPr>
        <w:t xml:space="preserve"> per dose of </w:t>
      </w:r>
      <w:r w:rsidR="001F3B65">
        <w:rPr>
          <w:lang w:eastAsia="en-US"/>
        </w:rPr>
        <w:t>$</w:t>
      </w:r>
      <w:r w:rsidR="00D52BD6" w:rsidRPr="006D1797">
        <w:rPr>
          <w:color w:val="000000"/>
          <w:w w:val="15"/>
          <w:shd w:val="solid" w:color="000000" w:fill="000000"/>
          <w:fitText w:val="-20" w:id="-1032058362"/>
          <w:lang w:eastAsia="en-US"/>
          <w14:textFill>
            <w14:solidFill>
              <w14:srgbClr w14:val="000000">
                <w14:alpha w14:val="100000"/>
              </w14:srgbClr>
            </w14:solidFill>
          </w14:textFill>
        </w:rPr>
        <w:t xml:space="preserve">|  </w:t>
      </w:r>
      <w:r w:rsidR="00D52BD6" w:rsidRPr="006D1797">
        <w:rPr>
          <w:color w:val="000000"/>
          <w:spacing w:val="-69"/>
          <w:w w:val="15"/>
          <w:shd w:val="solid" w:color="000000" w:fill="000000"/>
          <w:fitText w:val="-20" w:id="-1032058362"/>
          <w:lang w:eastAsia="en-US"/>
          <w14:textFill>
            <w14:solidFill>
              <w14:srgbClr w14:val="000000">
                <w14:alpha w14:val="100000"/>
              </w14:srgbClr>
            </w14:solidFill>
          </w14:textFill>
        </w:rPr>
        <w:t>|</w:t>
      </w:r>
      <w:r w:rsidR="00923798" w:rsidRPr="00923798">
        <w:rPr>
          <w:lang w:eastAsia="en-US"/>
        </w:rPr>
        <w:t xml:space="preserve"> (no drug wastage)</w:t>
      </w:r>
      <w:r w:rsidR="0072778E" w:rsidRPr="00923798">
        <w:rPr>
          <w:lang w:eastAsia="en-US"/>
        </w:rPr>
        <w:t>.</w:t>
      </w:r>
    </w:p>
    <w:p w14:paraId="23AF6D0C" w14:textId="711C4D96" w:rsidR="00BD5DA2" w:rsidRDefault="00BD5DA2" w:rsidP="001F3B65">
      <w:pPr>
        <w:pStyle w:val="4-SubsectionHeading"/>
        <w:jc w:val="left"/>
        <w:rPr>
          <w:lang w:eastAsia="en-US"/>
        </w:rPr>
      </w:pPr>
      <w:r w:rsidRPr="00BD5DA2">
        <w:rPr>
          <w:lang w:eastAsia="en-US"/>
        </w:rPr>
        <w:t>Estimated PBS usage &amp; financial implications</w:t>
      </w:r>
    </w:p>
    <w:p w14:paraId="15451171" w14:textId="53FE5D2C" w:rsidR="00860B2D" w:rsidRPr="00396E49" w:rsidRDefault="00733DAE" w:rsidP="00396E49">
      <w:pPr>
        <w:pStyle w:val="3-BodyText"/>
        <w:numPr>
          <w:ilvl w:val="0"/>
          <w:numId w:val="0"/>
        </w:numPr>
        <w:ind w:left="720" w:hanging="720"/>
        <w:rPr>
          <w:u w:val="single"/>
          <w:lang w:eastAsia="en-US"/>
        </w:rPr>
      </w:pPr>
      <w:r w:rsidRPr="00396E49">
        <w:rPr>
          <w:u w:val="single"/>
          <w:lang w:eastAsia="en-US"/>
        </w:rPr>
        <w:t>P</w:t>
      </w:r>
      <w:r w:rsidR="00860B2D" w:rsidRPr="00396E49">
        <w:rPr>
          <w:u w:val="single"/>
          <w:lang w:eastAsia="en-US"/>
        </w:rPr>
        <w:t>roportion of patients eligible for SG</w:t>
      </w:r>
    </w:p>
    <w:p w14:paraId="325D64F6" w14:textId="7E977DE1" w:rsidR="00180C16" w:rsidRDefault="00180C16" w:rsidP="00396E49">
      <w:pPr>
        <w:pStyle w:val="3-BodyText"/>
        <w:rPr>
          <w:lang w:eastAsia="en-US"/>
        </w:rPr>
      </w:pPr>
      <w:r>
        <w:rPr>
          <w:lang w:eastAsia="en-US"/>
        </w:rPr>
        <w:t>The resubmission revised the incident population of the financial estimates to reflect patients initiating CDK4/6 inhibitors (</w:t>
      </w:r>
      <w:r w:rsidR="00E63B2D">
        <w:rPr>
          <w:lang w:eastAsia="en-US"/>
        </w:rPr>
        <w:t>palbociclib</w:t>
      </w:r>
      <w:r>
        <w:rPr>
          <w:lang w:eastAsia="en-US"/>
        </w:rPr>
        <w:t xml:space="preserve">, ribociclib and abemaciclib) based on PBS data. </w:t>
      </w:r>
      <w:r w:rsidR="00860B2D" w:rsidRPr="0070023C">
        <w:rPr>
          <w:iCs/>
          <w:lang w:eastAsia="en-US"/>
        </w:rPr>
        <w:t xml:space="preserve">This is in line with previous PBAC advice </w:t>
      </w:r>
      <w:r w:rsidR="00860B2D" w:rsidRPr="0070023C">
        <w:rPr>
          <w:iCs/>
        </w:rPr>
        <w:t>(para</w:t>
      </w:r>
      <w:r w:rsidR="00733DAE" w:rsidRPr="0070023C">
        <w:rPr>
          <w:iCs/>
        </w:rPr>
        <w:t>s</w:t>
      </w:r>
      <w:r w:rsidR="00860B2D" w:rsidRPr="0070023C">
        <w:rPr>
          <w:iCs/>
        </w:rPr>
        <w:t xml:space="preserve"> 6.59,</w:t>
      </w:r>
      <w:r w:rsidR="00733DAE" w:rsidRPr="0070023C">
        <w:rPr>
          <w:iCs/>
        </w:rPr>
        <w:t xml:space="preserve"> 7.11,</w:t>
      </w:r>
      <w:r w:rsidR="00860B2D" w:rsidRPr="0070023C">
        <w:rPr>
          <w:iCs/>
        </w:rPr>
        <w:t xml:space="preserve"> SG </w:t>
      </w:r>
      <w:r w:rsidR="00DE5ED8">
        <w:rPr>
          <w:iCs/>
        </w:rPr>
        <w:t>PSD</w:t>
      </w:r>
      <w:r w:rsidR="00860B2D" w:rsidRPr="0070023C">
        <w:rPr>
          <w:iCs/>
        </w:rPr>
        <w:t>, July</w:t>
      </w:r>
      <w:r w:rsidR="00CC6F1D">
        <w:rPr>
          <w:iCs/>
        </w:rPr>
        <w:t> </w:t>
      </w:r>
      <w:r w:rsidR="00860B2D" w:rsidRPr="0070023C">
        <w:rPr>
          <w:iCs/>
        </w:rPr>
        <w:t>2023 PBAC meeting).</w:t>
      </w:r>
    </w:p>
    <w:p w14:paraId="082A156B" w14:textId="48B2B120" w:rsidR="00517E8A" w:rsidRDefault="00180C16" w:rsidP="00396E49">
      <w:pPr>
        <w:pStyle w:val="3-BodyText"/>
        <w:rPr>
          <w:lang w:eastAsia="en-US"/>
        </w:rPr>
      </w:pPr>
      <w:r>
        <w:rPr>
          <w:lang w:eastAsia="en-US"/>
        </w:rPr>
        <w:t>The</w:t>
      </w:r>
      <w:r w:rsidR="00517E8A">
        <w:rPr>
          <w:lang w:eastAsia="en-US"/>
        </w:rPr>
        <w:t xml:space="preserve"> </w:t>
      </w:r>
      <w:r>
        <w:rPr>
          <w:lang w:eastAsia="en-US"/>
        </w:rPr>
        <w:t>10% PBS sample was used to estimate the annual (Jan</w:t>
      </w:r>
      <w:r w:rsidR="00F5351A">
        <w:rPr>
          <w:lang w:eastAsia="en-US"/>
        </w:rPr>
        <w:t>uary</w:t>
      </w:r>
      <w:r>
        <w:rPr>
          <w:lang w:eastAsia="en-US"/>
        </w:rPr>
        <w:t xml:space="preserve"> </w:t>
      </w:r>
      <w:r w:rsidR="00F5351A">
        <w:rPr>
          <w:lang w:eastAsia="en-US"/>
        </w:rPr>
        <w:t>to</w:t>
      </w:r>
      <w:r>
        <w:rPr>
          <w:lang w:eastAsia="en-US"/>
        </w:rPr>
        <w:t xml:space="preserve"> Dec</w:t>
      </w:r>
      <w:r w:rsidR="00F5351A">
        <w:rPr>
          <w:lang w:eastAsia="en-US"/>
        </w:rPr>
        <w:t>ember</w:t>
      </w:r>
      <w:r>
        <w:rPr>
          <w:lang w:eastAsia="en-US"/>
        </w:rPr>
        <w:t xml:space="preserve">) number of patients who were initiated on a CDK4/6 inhibitor </w:t>
      </w:r>
      <w:r w:rsidR="00F5351A">
        <w:rPr>
          <w:lang w:eastAsia="en-US"/>
        </w:rPr>
        <w:t>between</w:t>
      </w:r>
      <w:r>
        <w:rPr>
          <w:lang w:eastAsia="en-US"/>
        </w:rPr>
        <w:t xml:space="preserve"> 2018</w:t>
      </w:r>
      <w:r w:rsidR="00F5351A">
        <w:rPr>
          <w:lang w:eastAsia="en-US"/>
        </w:rPr>
        <w:t xml:space="preserve"> and </w:t>
      </w:r>
      <w:r>
        <w:rPr>
          <w:lang w:eastAsia="en-US"/>
        </w:rPr>
        <w:t>2022</w:t>
      </w:r>
      <w:r w:rsidR="00F5351A">
        <w:rPr>
          <w:lang w:eastAsia="en-US"/>
        </w:rPr>
        <w:t xml:space="preserve">. Forecasting was </w:t>
      </w:r>
      <w:r>
        <w:rPr>
          <w:lang w:eastAsia="en-US"/>
        </w:rPr>
        <w:t xml:space="preserve">linearly extrapolated to estimate patient numbers for 2024 (year 1) to 2029 (year 6). </w:t>
      </w:r>
      <w:r w:rsidR="00E60743" w:rsidRPr="0070023C">
        <w:rPr>
          <w:iCs/>
          <w:lang w:eastAsia="en-US"/>
        </w:rPr>
        <w:t xml:space="preserve">Annual growth rates for incident CDK4/6 inhibitors appear to be slowing (see “CDK4-6 10% PBS Data” worksheet, resubmission financial estimates), with only 0.5% year-on-year growth between 2022 and 2021. Linear extrapolations </w:t>
      </w:r>
      <w:r w:rsidR="00BE6204" w:rsidRPr="0070023C">
        <w:rPr>
          <w:iCs/>
          <w:lang w:eastAsia="en-US"/>
        </w:rPr>
        <w:t>are likely to</w:t>
      </w:r>
      <w:r w:rsidR="00E60743" w:rsidRPr="0070023C">
        <w:rPr>
          <w:iCs/>
          <w:lang w:eastAsia="en-US"/>
        </w:rPr>
        <w:t xml:space="preserve"> overestimate the patient numbers, especially in the later years of the estimates. It may be more appropriate to assume the number of patients will stabilise </w:t>
      </w:r>
      <w:r w:rsidR="00BE6204" w:rsidRPr="0070023C">
        <w:rPr>
          <w:iCs/>
          <w:lang w:eastAsia="en-US"/>
        </w:rPr>
        <w:t>over the forward estimates.</w:t>
      </w:r>
    </w:p>
    <w:p w14:paraId="43AE6207" w14:textId="250C7E2A" w:rsidR="00733DAE" w:rsidRDefault="00CE7468" w:rsidP="00396E49">
      <w:pPr>
        <w:pStyle w:val="3-BodyText"/>
        <w:rPr>
          <w:lang w:eastAsia="en-US"/>
        </w:rPr>
      </w:pPr>
      <w:r>
        <w:rPr>
          <w:lang w:eastAsia="en-US"/>
        </w:rPr>
        <w:t>It was assumed that</w:t>
      </w:r>
      <w:r w:rsidR="00180C16">
        <w:rPr>
          <w:lang w:eastAsia="en-US"/>
        </w:rPr>
        <w:t xml:space="preserve"> 60% of patients </w:t>
      </w:r>
      <w:r w:rsidR="00F5351A">
        <w:rPr>
          <w:lang w:eastAsia="en-US"/>
        </w:rPr>
        <w:t>were in the</w:t>
      </w:r>
      <w:r w:rsidR="00180C16">
        <w:rPr>
          <w:lang w:eastAsia="en-US"/>
        </w:rPr>
        <w:t xml:space="preserve"> 4th line or later </w:t>
      </w:r>
      <w:r w:rsidR="00F5351A">
        <w:rPr>
          <w:lang w:eastAsia="en-US"/>
        </w:rPr>
        <w:t xml:space="preserve">line of therapy </w:t>
      </w:r>
      <w:r w:rsidR="00180C16">
        <w:rPr>
          <w:lang w:eastAsia="en-US"/>
        </w:rPr>
        <w:t xml:space="preserve">and </w:t>
      </w:r>
      <w:r w:rsidR="00F5351A">
        <w:rPr>
          <w:lang w:eastAsia="en-US"/>
        </w:rPr>
        <w:t>therefore</w:t>
      </w:r>
      <w:r w:rsidR="00180C16">
        <w:rPr>
          <w:lang w:eastAsia="en-US"/>
        </w:rPr>
        <w:t xml:space="preserve"> eligible for SG. </w:t>
      </w:r>
      <w:r w:rsidR="00814C4F" w:rsidRPr="0070023C">
        <w:rPr>
          <w:iCs/>
          <w:lang w:eastAsia="en-US"/>
        </w:rPr>
        <w:t xml:space="preserve">This is in line with previous PBAC advice </w:t>
      </w:r>
      <w:r w:rsidR="00814C4F" w:rsidRPr="0070023C">
        <w:rPr>
          <w:iCs/>
        </w:rPr>
        <w:t>(para 6.59,</w:t>
      </w:r>
      <w:r w:rsidR="00733DAE" w:rsidRPr="0070023C">
        <w:rPr>
          <w:iCs/>
        </w:rPr>
        <w:t xml:space="preserve"> 7.11,</w:t>
      </w:r>
      <w:r w:rsidR="00814C4F" w:rsidRPr="0070023C">
        <w:rPr>
          <w:iCs/>
        </w:rPr>
        <w:t xml:space="preserve"> SG </w:t>
      </w:r>
      <w:r w:rsidR="00DE5ED8">
        <w:rPr>
          <w:iCs/>
        </w:rPr>
        <w:t>PSD</w:t>
      </w:r>
      <w:r w:rsidR="00814C4F" w:rsidRPr="0070023C">
        <w:rPr>
          <w:iCs/>
        </w:rPr>
        <w:t xml:space="preserve">, July 2023 PBAC meeting). </w:t>
      </w:r>
      <w:r w:rsidR="00180C16">
        <w:rPr>
          <w:lang w:eastAsia="en-US"/>
        </w:rPr>
        <w:t xml:space="preserve">The revised number of eligible HR+/HER2- unresectable locally advanced or metastatic disease patients </w:t>
      </w:r>
      <w:r w:rsidR="00733DAE">
        <w:rPr>
          <w:lang w:eastAsia="en-US"/>
        </w:rPr>
        <w:t>was estimated to be</w:t>
      </w:r>
      <w:r w:rsidR="00180C16">
        <w:rPr>
          <w:lang w:eastAsia="en-US"/>
        </w:rPr>
        <w:t xml:space="preserve"> </w:t>
      </w:r>
      <w:r w:rsidR="00DE5ED8">
        <w:rPr>
          <w:lang w:eastAsia="en-US"/>
        </w:rPr>
        <w:t>500 to &lt;</w:t>
      </w:r>
      <w:r w:rsidR="001F3B65">
        <w:rPr>
          <w:lang w:eastAsia="en-US"/>
        </w:rPr>
        <w:t> </w:t>
      </w:r>
      <w:r w:rsidR="00DE5ED8">
        <w:rPr>
          <w:lang w:eastAsia="en-US"/>
        </w:rPr>
        <w:t>5,000</w:t>
      </w:r>
      <w:r w:rsidR="00180C16">
        <w:rPr>
          <w:lang w:eastAsia="en-US"/>
        </w:rPr>
        <w:t xml:space="preserve"> (reduced from </w:t>
      </w:r>
      <w:r w:rsidR="00DE5ED8">
        <w:rPr>
          <w:lang w:eastAsia="en-US"/>
        </w:rPr>
        <w:t>500 to &lt; 5,000</w:t>
      </w:r>
      <w:r w:rsidR="00180C16">
        <w:rPr>
          <w:lang w:eastAsia="en-US"/>
        </w:rPr>
        <w:t xml:space="preserve">) in Year 1 increasing to </w:t>
      </w:r>
      <w:r w:rsidR="00DE5ED8">
        <w:rPr>
          <w:lang w:eastAsia="en-US"/>
        </w:rPr>
        <w:t>500 to &lt; 5,000</w:t>
      </w:r>
      <w:r w:rsidR="00180C16">
        <w:rPr>
          <w:lang w:eastAsia="en-US"/>
        </w:rPr>
        <w:t xml:space="preserve"> (reduced from </w:t>
      </w:r>
      <w:r w:rsidR="00DE5ED8">
        <w:rPr>
          <w:lang w:eastAsia="en-US"/>
        </w:rPr>
        <w:t>500 to &lt; 5,000</w:t>
      </w:r>
      <w:r w:rsidR="00180C16">
        <w:rPr>
          <w:lang w:eastAsia="en-US"/>
        </w:rPr>
        <w:t>) in Year 6</w:t>
      </w:r>
      <w:r w:rsidR="00E84D2C">
        <w:rPr>
          <w:lang w:eastAsia="en-US"/>
        </w:rPr>
        <w:t xml:space="preserve"> (not including grandfathered patients = </w:t>
      </w:r>
      <w:r w:rsidR="00DE5ED8">
        <w:rPr>
          <w:lang w:eastAsia="en-US"/>
        </w:rPr>
        <w:t>&lt; 500</w:t>
      </w:r>
      <w:r w:rsidR="00E84D2C">
        <w:rPr>
          <w:lang w:eastAsia="en-US"/>
        </w:rPr>
        <w:t xml:space="preserve"> in </w:t>
      </w:r>
      <w:r w:rsidR="006763E1">
        <w:rPr>
          <w:lang w:eastAsia="en-US"/>
        </w:rPr>
        <w:t>Y</w:t>
      </w:r>
      <w:r w:rsidR="00E84D2C">
        <w:rPr>
          <w:lang w:eastAsia="en-US"/>
        </w:rPr>
        <w:t>ear 1)</w:t>
      </w:r>
      <w:r w:rsidR="00180C16">
        <w:rPr>
          <w:lang w:eastAsia="en-US"/>
        </w:rPr>
        <w:t>.</w:t>
      </w:r>
    </w:p>
    <w:p w14:paraId="54293BBD" w14:textId="45FF845E" w:rsidR="00733DAE" w:rsidRPr="00396E49" w:rsidRDefault="00733DAE" w:rsidP="00396E49">
      <w:pPr>
        <w:pStyle w:val="3-BodyText"/>
        <w:numPr>
          <w:ilvl w:val="0"/>
          <w:numId w:val="0"/>
        </w:numPr>
        <w:rPr>
          <w:u w:val="single"/>
          <w:lang w:eastAsia="en-US"/>
        </w:rPr>
      </w:pPr>
      <w:r w:rsidRPr="00396E49">
        <w:rPr>
          <w:u w:val="single"/>
          <w:lang w:eastAsia="en-US"/>
        </w:rPr>
        <w:t>Uptake rates</w:t>
      </w:r>
    </w:p>
    <w:p w14:paraId="7685E7CE" w14:textId="2B04BA6C" w:rsidR="0038062E" w:rsidRPr="00B36767" w:rsidRDefault="0038062E" w:rsidP="00396E49">
      <w:pPr>
        <w:pStyle w:val="3-BodyText"/>
        <w:rPr>
          <w:u w:val="single"/>
          <w:lang w:eastAsia="en-US"/>
        </w:rPr>
      </w:pPr>
      <w:r w:rsidRPr="004104E8">
        <w:t>The PBAC</w:t>
      </w:r>
      <w:r>
        <w:t xml:space="preserve"> previously</w:t>
      </w:r>
      <w:r w:rsidRPr="004104E8">
        <w:t xml:space="preserve"> considered the PSCR revised uptake rates </w:t>
      </w:r>
      <w:r>
        <w:t>(</w:t>
      </w:r>
      <w:r w:rsidRPr="00E74297">
        <w:t>73% in Year 1, increasing to 78% in Year 2 and 85% in Year 3 and thereafter</w:t>
      </w:r>
      <w:r>
        <w:t xml:space="preserve">) </w:t>
      </w:r>
      <w:r w:rsidRPr="004104E8">
        <w:t>were too high given the toxicity of SG and considered the submission’s uptake rates were more reasonable</w:t>
      </w:r>
      <w:r>
        <w:t xml:space="preserve"> (</w:t>
      </w:r>
      <w:r w:rsidRPr="00E74297">
        <w:t>65% in Year 1, increasing to 75% by Year 3</w:t>
      </w:r>
      <w:r>
        <w:t xml:space="preserve">) (para 7.11, </w:t>
      </w:r>
      <w:r w:rsidRPr="00451998">
        <w:t xml:space="preserve">SG </w:t>
      </w:r>
      <w:r w:rsidR="00DE5ED8">
        <w:t>PSD</w:t>
      </w:r>
      <w:r w:rsidRPr="00451998">
        <w:t>, July 2023 PBAC meeting)</w:t>
      </w:r>
      <w:r w:rsidRPr="004104E8">
        <w:t>.</w:t>
      </w:r>
      <w:r w:rsidR="00B36767">
        <w:t xml:space="preserve"> </w:t>
      </w:r>
      <w:r>
        <w:t xml:space="preserve">In line with </w:t>
      </w:r>
      <w:r w:rsidR="00B36767">
        <w:t>this</w:t>
      </w:r>
      <w:r>
        <w:t xml:space="preserve"> advice, t</w:t>
      </w:r>
      <w:r w:rsidRPr="005613E9">
        <w:t>he uptake rate</w:t>
      </w:r>
      <w:r w:rsidR="006763E1">
        <w:t>s</w:t>
      </w:r>
      <w:r w:rsidRPr="005613E9">
        <w:t xml:space="preserve"> for SG </w:t>
      </w:r>
      <w:r>
        <w:t>in the resubmission were changed</w:t>
      </w:r>
      <w:r w:rsidRPr="005613E9">
        <w:t xml:space="preserve"> </w:t>
      </w:r>
      <w:r w:rsidR="00B36767">
        <w:t xml:space="preserve">back </w:t>
      </w:r>
      <w:r w:rsidRPr="005613E9">
        <w:t xml:space="preserve">to </w:t>
      </w:r>
      <w:r w:rsidR="00B36767">
        <w:t>those</w:t>
      </w:r>
      <w:r>
        <w:t xml:space="preserve"> used in the July 2023</w:t>
      </w:r>
      <w:r w:rsidRPr="005613E9">
        <w:t xml:space="preserve"> submission</w:t>
      </w:r>
      <w:r>
        <w:t xml:space="preserve">. </w:t>
      </w:r>
    </w:p>
    <w:p w14:paraId="65255BE7" w14:textId="745BBCB9" w:rsidR="00020C2D" w:rsidRPr="00396E49" w:rsidRDefault="0061732C" w:rsidP="00396E49">
      <w:pPr>
        <w:pStyle w:val="3-BodyText"/>
        <w:numPr>
          <w:ilvl w:val="0"/>
          <w:numId w:val="0"/>
        </w:numPr>
        <w:rPr>
          <w:u w:val="single"/>
          <w:lang w:eastAsia="en-US"/>
        </w:rPr>
      </w:pPr>
      <w:r w:rsidRPr="00396E49">
        <w:rPr>
          <w:u w:val="single"/>
          <w:lang w:eastAsia="en-US"/>
        </w:rPr>
        <w:lastRenderedPageBreak/>
        <w:t>Grandfathered patients</w:t>
      </w:r>
    </w:p>
    <w:p w14:paraId="7159A084" w14:textId="6F708BA3" w:rsidR="0061732C" w:rsidRDefault="0061732C" w:rsidP="00396E49">
      <w:pPr>
        <w:pStyle w:val="3-BodyText"/>
      </w:pPr>
      <w:r>
        <w:rPr>
          <w:lang w:eastAsia="en-US"/>
        </w:rPr>
        <w:t xml:space="preserve">It was </w:t>
      </w:r>
      <w:r w:rsidR="002A7DB2">
        <w:rPr>
          <w:lang w:eastAsia="en-US"/>
        </w:rPr>
        <w:t>noted</w:t>
      </w:r>
      <w:r>
        <w:rPr>
          <w:lang w:eastAsia="en-US"/>
        </w:rPr>
        <w:t xml:space="preserve"> by the previous evaluation that </w:t>
      </w:r>
      <w:r>
        <w:t>g</w:t>
      </w:r>
      <w:r w:rsidRPr="00E74297">
        <w:t>randfathered patients were not explicitly included in the financial analysis</w:t>
      </w:r>
      <w:r>
        <w:t xml:space="preserve"> of the July 2023 submission,</w:t>
      </w:r>
      <w:r w:rsidRPr="00E74297">
        <w:t xml:space="preserve"> as they were assumed to be captured in the incident population</w:t>
      </w:r>
      <w:r w:rsidR="002A7DB2">
        <w:t xml:space="preserve">. Therefore, the evaluation considered that patients who would enrol in the patient access program in mid-2023 were unlikely to be captured in the financial estimates </w:t>
      </w:r>
      <w:r>
        <w:t xml:space="preserve">(para 6.66, SG </w:t>
      </w:r>
      <w:r w:rsidR="00DE5ED8">
        <w:t>PSD</w:t>
      </w:r>
      <w:r>
        <w:t>, July</w:t>
      </w:r>
      <w:r w:rsidR="00CC6F1D">
        <w:t> </w:t>
      </w:r>
      <w:r>
        <w:t>2023 PBAC meeting)</w:t>
      </w:r>
      <w:r w:rsidRPr="00E74297">
        <w:t>.</w:t>
      </w:r>
      <w:r>
        <w:t xml:space="preserve"> </w:t>
      </w:r>
      <w:r w:rsidR="00780216">
        <w:t xml:space="preserve">The resubmission included 60 patients in </w:t>
      </w:r>
      <w:r w:rsidR="002A7DB2">
        <w:t xml:space="preserve">Year </w:t>
      </w:r>
      <w:r w:rsidR="00780216">
        <w:t xml:space="preserve">2024 </w:t>
      </w:r>
      <w:r w:rsidR="00BE6204">
        <w:t>to account</w:t>
      </w:r>
      <w:r w:rsidR="00780216">
        <w:t xml:space="preserve"> for the assumed total number of grandfathered patients in this year.</w:t>
      </w:r>
      <w:r w:rsidR="00BE6204">
        <w:t xml:space="preserve"> </w:t>
      </w:r>
      <w:r w:rsidR="00BE6204" w:rsidRPr="0070023C">
        <w:rPr>
          <w:iCs/>
        </w:rPr>
        <w:t>The inclusion of additional Grandfather patients is likely to overestimate the year 1 patient numbers as these patients would already be captured in the estimate of patients treated with CDK4/6 inhibitors.</w:t>
      </w:r>
    </w:p>
    <w:p w14:paraId="3E7B593F" w14:textId="157BF2BD" w:rsidR="002E04A8" w:rsidRPr="00396E49" w:rsidRDefault="002E04A8" w:rsidP="00396E49">
      <w:pPr>
        <w:pStyle w:val="3-BodyText"/>
        <w:numPr>
          <w:ilvl w:val="0"/>
          <w:numId w:val="0"/>
        </w:numPr>
        <w:rPr>
          <w:u w:val="single"/>
        </w:rPr>
      </w:pPr>
      <w:r w:rsidRPr="00396E49">
        <w:rPr>
          <w:u w:val="single"/>
        </w:rPr>
        <w:t>Drug wastage</w:t>
      </w:r>
    </w:p>
    <w:p w14:paraId="269A6187" w14:textId="4BA9D437" w:rsidR="00462905" w:rsidRPr="0070023C" w:rsidRDefault="002E04A8" w:rsidP="00396E49">
      <w:pPr>
        <w:pStyle w:val="3-BodyText"/>
        <w:rPr>
          <w:lang w:eastAsia="en-US"/>
        </w:rPr>
      </w:pPr>
      <w:r w:rsidRPr="00462905">
        <w:rPr>
          <w:lang w:eastAsia="en-US"/>
        </w:rPr>
        <w:t>For the calculation of SG cost per dose</w:t>
      </w:r>
      <w:r w:rsidR="002A7DB2">
        <w:rPr>
          <w:lang w:eastAsia="en-US"/>
        </w:rPr>
        <w:t xml:space="preserve"> and for the cost of treatments impacted</w:t>
      </w:r>
      <w:r w:rsidRPr="00462905">
        <w:rPr>
          <w:lang w:eastAsia="en-US"/>
        </w:rPr>
        <w:t>, no drug wastage was considered</w:t>
      </w:r>
      <w:r w:rsidR="00462905" w:rsidRPr="00462905">
        <w:rPr>
          <w:lang w:eastAsia="en-US"/>
        </w:rPr>
        <w:t xml:space="preserve">. </w:t>
      </w:r>
      <w:r w:rsidR="0003296C" w:rsidRPr="0070023C">
        <w:rPr>
          <w:lang w:eastAsia="en-US"/>
        </w:rPr>
        <w:t>This is not in line with previous PBAC advice.</w:t>
      </w:r>
      <w:r w:rsidR="00A83935" w:rsidRPr="00A83935">
        <w:t xml:space="preserve"> </w:t>
      </w:r>
      <w:r w:rsidR="00A83935" w:rsidRPr="0070023C">
        <w:t xml:space="preserve">The PBAC previously considered that, as for the economic model, wastage should be accounted for in the financial estimates (7.11 SG </w:t>
      </w:r>
      <w:r w:rsidR="00DE5ED8">
        <w:t>PSD</w:t>
      </w:r>
      <w:r w:rsidR="00A83935" w:rsidRPr="0070023C">
        <w:t>, July 2023 PBAC meeting).</w:t>
      </w:r>
    </w:p>
    <w:p w14:paraId="3518B1AC" w14:textId="28D5BFE4" w:rsidR="00462905" w:rsidRPr="00396E49" w:rsidRDefault="00462905" w:rsidP="00396E49">
      <w:pPr>
        <w:pStyle w:val="3-BodyText"/>
        <w:numPr>
          <w:ilvl w:val="0"/>
          <w:numId w:val="0"/>
        </w:numPr>
        <w:rPr>
          <w:u w:val="single"/>
          <w:lang w:eastAsia="en-US"/>
        </w:rPr>
      </w:pPr>
      <w:r w:rsidRPr="00396E49">
        <w:rPr>
          <w:u w:val="single"/>
          <w:lang w:eastAsia="en-US"/>
        </w:rPr>
        <w:t>Updated cost to PBS and RPBS</w:t>
      </w:r>
    </w:p>
    <w:p w14:paraId="65BD6888" w14:textId="2860BDE8" w:rsidR="00462905" w:rsidRDefault="00462905" w:rsidP="00396E49">
      <w:pPr>
        <w:pStyle w:val="3-BodyText"/>
        <w:rPr>
          <w:lang w:eastAsia="en-US"/>
        </w:rPr>
      </w:pPr>
      <w:r>
        <w:rPr>
          <w:lang w:eastAsia="en-US"/>
        </w:rPr>
        <w:t xml:space="preserve">Amendment to the proportion of patients eligible for SG and uptake rates </w:t>
      </w:r>
      <w:r w:rsidR="001D4F34">
        <w:rPr>
          <w:lang w:eastAsia="en-US"/>
        </w:rPr>
        <w:t>in the resubmission led to a reduced</w:t>
      </w:r>
      <w:r>
        <w:rPr>
          <w:lang w:eastAsia="en-US"/>
        </w:rPr>
        <w:t xml:space="preserve"> number </w:t>
      </w:r>
      <w:r w:rsidR="001D4F34">
        <w:rPr>
          <w:lang w:eastAsia="en-US"/>
        </w:rPr>
        <w:t xml:space="preserve">of </w:t>
      </w:r>
      <w:r>
        <w:rPr>
          <w:lang w:eastAsia="en-US"/>
        </w:rPr>
        <w:t>patients</w:t>
      </w:r>
      <w:r w:rsidR="001D4F34">
        <w:rPr>
          <w:lang w:eastAsia="en-US"/>
        </w:rPr>
        <w:t xml:space="preserve"> treated</w:t>
      </w:r>
      <w:r>
        <w:rPr>
          <w:lang w:eastAsia="en-US"/>
        </w:rPr>
        <w:t xml:space="preserve"> and scripts</w:t>
      </w:r>
      <w:r w:rsidR="001D4F34">
        <w:rPr>
          <w:lang w:eastAsia="en-US"/>
        </w:rPr>
        <w:t xml:space="preserve"> dispensed</w:t>
      </w:r>
      <w:r>
        <w:rPr>
          <w:lang w:eastAsia="en-US"/>
        </w:rPr>
        <w:t xml:space="preserve"> </w:t>
      </w:r>
      <w:r w:rsidR="00E84D2C">
        <w:rPr>
          <w:lang w:eastAsia="en-US"/>
        </w:rPr>
        <w:t>(</w:t>
      </w:r>
      <w:r w:rsidR="00E84D2C">
        <w:rPr>
          <w:lang w:eastAsia="en-US"/>
        </w:rPr>
        <w:fldChar w:fldCharType="begin" w:fldLock="1"/>
      </w:r>
      <w:r w:rsidR="00E84D2C">
        <w:rPr>
          <w:lang w:eastAsia="en-US"/>
        </w:rPr>
        <w:instrText xml:space="preserve"> REF _Ref146348113 \h  \* MERGEFORMAT </w:instrText>
      </w:r>
      <w:r w:rsidR="00E84D2C">
        <w:rPr>
          <w:lang w:eastAsia="en-US"/>
        </w:rPr>
      </w:r>
      <w:r w:rsidR="00E84D2C">
        <w:rPr>
          <w:lang w:eastAsia="en-US"/>
        </w:rPr>
        <w:fldChar w:fldCharType="separate"/>
      </w:r>
      <w:r w:rsidR="0086428F" w:rsidRPr="0086428F">
        <w:rPr>
          <w:lang w:eastAsia="en-US"/>
        </w:rPr>
        <w:t>Table</w:t>
      </w:r>
      <w:r w:rsidR="00CC6F1D">
        <w:rPr>
          <w:lang w:eastAsia="en-US"/>
        </w:rPr>
        <w:t> </w:t>
      </w:r>
      <w:r w:rsidR="0086428F" w:rsidRPr="0086428F">
        <w:rPr>
          <w:lang w:eastAsia="en-US"/>
        </w:rPr>
        <w:t>5</w:t>
      </w:r>
      <w:r w:rsidR="00E84D2C">
        <w:rPr>
          <w:lang w:eastAsia="en-US"/>
        </w:rPr>
        <w:fldChar w:fldCharType="end"/>
      </w:r>
      <w:r w:rsidR="00E84D2C">
        <w:rPr>
          <w:lang w:eastAsia="en-US"/>
        </w:rPr>
        <w:t>)</w:t>
      </w:r>
      <w:r>
        <w:rPr>
          <w:lang w:eastAsia="en-US"/>
        </w:rPr>
        <w:t>.</w:t>
      </w:r>
      <w:r w:rsidR="00E84D2C">
        <w:rPr>
          <w:lang w:eastAsia="en-US"/>
        </w:rPr>
        <w:t xml:space="preserve"> The total</w:t>
      </w:r>
      <w:r>
        <w:rPr>
          <w:lang w:eastAsia="en-US"/>
        </w:rPr>
        <w:t xml:space="preserve"> </w:t>
      </w:r>
      <w:r w:rsidR="00E84D2C">
        <w:rPr>
          <w:lang w:eastAsia="en-US"/>
        </w:rPr>
        <w:t xml:space="preserve">patients treated with SG was estimated to be </w:t>
      </w:r>
      <w:r w:rsidR="00DE5ED8">
        <w:rPr>
          <w:lang w:eastAsia="en-US"/>
        </w:rPr>
        <w:t>500 to &lt; 5,000</w:t>
      </w:r>
      <w:r w:rsidR="00E84D2C">
        <w:rPr>
          <w:lang w:eastAsia="en-US"/>
        </w:rPr>
        <w:t xml:space="preserve"> in Year 1 increasing to </w:t>
      </w:r>
      <w:r w:rsidR="00DE5ED8">
        <w:rPr>
          <w:lang w:eastAsia="en-US"/>
        </w:rPr>
        <w:t>500 to &lt; 5,000</w:t>
      </w:r>
      <w:r w:rsidR="00E84D2C">
        <w:rPr>
          <w:lang w:eastAsia="en-US"/>
        </w:rPr>
        <w:t xml:space="preserve"> in Year 6, this </w:t>
      </w:r>
      <w:r w:rsidR="00924425">
        <w:rPr>
          <w:lang w:eastAsia="en-US"/>
        </w:rPr>
        <w:t>wa</w:t>
      </w:r>
      <w:r w:rsidR="00E84D2C">
        <w:rPr>
          <w:lang w:eastAsia="en-US"/>
        </w:rPr>
        <w:t xml:space="preserve">s reduced from </w:t>
      </w:r>
      <w:r w:rsidR="00DE5ED8">
        <w:rPr>
          <w:lang w:eastAsia="en-US"/>
        </w:rPr>
        <w:t>500 to &lt; 5,000</w:t>
      </w:r>
      <w:r w:rsidR="00E84D2C">
        <w:rPr>
          <w:lang w:eastAsia="en-US"/>
        </w:rPr>
        <w:t xml:space="preserve"> in Year 1 and </w:t>
      </w:r>
      <w:r w:rsidR="00DE5ED8">
        <w:rPr>
          <w:lang w:eastAsia="en-US"/>
        </w:rPr>
        <w:t>500 to &lt; 5,000</w:t>
      </w:r>
      <w:r w:rsidR="00E84D2C">
        <w:rPr>
          <w:lang w:eastAsia="en-US"/>
        </w:rPr>
        <w:t xml:space="preserve"> in Year 6, estimated in the</w:t>
      </w:r>
      <w:r w:rsidR="00343999">
        <w:rPr>
          <w:lang w:eastAsia="en-US"/>
        </w:rPr>
        <w:t xml:space="preserve"> PSCR to the</w:t>
      </w:r>
      <w:r w:rsidR="00E84D2C">
        <w:rPr>
          <w:lang w:eastAsia="en-US"/>
        </w:rPr>
        <w:t xml:space="preserve"> July 2023 submission.</w:t>
      </w:r>
      <w:r w:rsidR="00343999">
        <w:rPr>
          <w:lang w:eastAsia="en-US"/>
        </w:rPr>
        <w:t xml:space="preserve"> The resulting net cost of SG to the PBS/RPBS was estimated to be $</w:t>
      </w:r>
      <w:r w:rsidR="00DE5ED8">
        <w:rPr>
          <w:lang w:eastAsia="en-US"/>
        </w:rPr>
        <w:t>20 million to &lt;</w:t>
      </w:r>
      <w:r w:rsidR="001F3B65">
        <w:rPr>
          <w:lang w:eastAsia="en-US"/>
        </w:rPr>
        <w:t> </w:t>
      </w:r>
      <w:r w:rsidR="00DE5ED8">
        <w:rPr>
          <w:lang w:eastAsia="en-US"/>
        </w:rPr>
        <w:t>$30</w:t>
      </w:r>
      <w:r w:rsidR="001F3B65">
        <w:rPr>
          <w:lang w:eastAsia="en-US"/>
        </w:rPr>
        <w:t> </w:t>
      </w:r>
      <w:r w:rsidR="00343999">
        <w:rPr>
          <w:lang w:eastAsia="en-US"/>
        </w:rPr>
        <w:t>million in Year 1 increasing to $</w:t>
      </w:r>
      <w:r w:rsidR="00DE5ED8">
        <w:rPr>
          <w:lang w:eastAsia="en-US"/>
        </w:rPr>
        <w:t>30 million to &lt; $40</w:t>
      </w:r>
      <w:r w:rsidR="00CC6F1D">
        <w:rPr>
          <w:lang w:eastAsia="en-US"/>
        </w:rPr>
        <w:t> </w:t>
      </w:r>
      <w:r w:rsidR="00343999">
        <w:rPr>
          <w:lang w:eastAsia="en-US"/>
        </w:rPr>
        <w:t xml:space="preserve">million in Year 6, this </w:t>
      </w:r>
      <w:r w:rsidR="00924425">
        <w:rPr>
          <w:lang w:eastAsia="en-US"/>
        </w:rPr>
        <w:t>was</w:t>
      </w:r>
      <w:r w:rsidR="00343999">
        <w:rPr>
          <w:lang w:eastAsia="en-US"/>
        </w:rPr>
        <w:t xml:space="preserve"> reduced from </w:t>
      </w:r>
      <w:r w:rsidR="00A83935">
        <w:rPr>
          <w:lang w:eastAsia="en-US"/>
        </w:rPr>
        <w:t xml:space="preserve">an estimated </w:t>
      </w:r>
      <w:r w:rsidR="00343999">
        <w:rPr>
          <w:lang w:eastAsia="en-US"/>
        </w:rPr>
        <w:t>$</w:t>
      </w:r>
      <w:r w:rsidR="00DE5ED8">
        <w:rPr>
          <w:lang w:eastAsia="en-US"/>
        </w:rPr>
        <w:t>60 million to &lt; $70</w:t>
      </w:r>
      <w:r w:rsidR="00343999">
        <w:rPr>
          <w:lang w:eastAsia="en-US"/>
        </w:rPr>
        <w:t xml:space="preserve"> million in Year 1 and $</w:t>
      </w:r>
      <w:r w:rsidR="00DE5ED8">
        <w:rPr>
          <w:lang w:eastAsia="en-US"/>
        </w:rPr>
        <w:t>70 million to &lt;</w:t>
      </w:r>
      <w:r w:rsidR="001F3B65">
        <w:rPr>
          <w:lang w:eastAsia="en-US"/>
        </w:rPr>
        <w:t> </w:t>
      </w:r>
      <w:r w:rsidR="00DE5ED8">
        <w:rPr>
          <w:lang w:eastAsia="en-US"/>
        </w:rPr>
        <w:t>$80</w:t>
      </w:r>
      <w:r w:rsidR="00CC6F1D">
        <w:rPr>
          <w:lang w:eastAsia="en-US"/>
        </w:rPr>
        <w:t> </w:t>
      </w:r>
      <w:r w:rsidR="00343999">
        <w:rPr>
          <w:lang w:eastAsia="en-US"/>
        </w:rPr>
        <w:t xml:space="preserve">million in Year 6 </w:t>
      </w:r>
      <w:r w:rsidR="00A83935">
        <w:rPr>
          <w:lang w:eastAsia="en-US"/>
        </w:rPr>
        <w:t>from</w:t>
      </w:r>
      <w:r w:rsidR="00343999">
        <w:rPr>
          <w:lang w:eastAsia="en-US"/>
        </w:rPr>
        <w:t xml:space="preserve"> the PSCR to the July 2023 submission.</w:t>
      </w:r>
      <w:r w:rsidR="001D4F34">
        <w:rPr>
          <w:lang w:eastAsia="en-US"/>
        </w:rPr>
        <w:t xml:space="preserve"> These estimate</w:t>
      </w:r>
      <w:r w:rsidR="00B36767">
        <w:rPr>
          <w:lang w:eastAsia="en-US"/>
        </w:rPr>
        <w:t>s</w:t>
      </w:r>
      <w:r w:rsidR="001D4F34">
        <w:rPr>
          <w:lang w:eastAsia="en-US"/>
        </w:rPr>
        <w:t xml:space="preserve"> do not include drug wastage.</w:t>
      </w:r>
    </w:p>
    <w:p w14:paraId="1F22BB1C" w14:textId="2D97118D" w:rsidR="00A83935" w:rsidRDefault="00A83935" w:rsidP="00396E49">
      <w:pPr>
        <w:pStyle w:val="3-BodyText"/>
        <w:rPr>
          <w:lang w:eastAsia="en-US"/>
        </w:rPr>
      </w:pPr>
      <w:r>
        <w:rPr>
          <w:lang w:eastAsia="en-US"/>
        </w:rPr>
        <w:t>A sensitivity analysis</w:t>
      </w:r>
      <w:r w:rsidR="001D4F34">
        <w:rPr>
          <w:lang w:eastAsia="en-US"/>
        </w:rPr>
        <w:t>,</w:t>
      </w:r>
      <w:r>
        <w:rPr>
          <w:lang w:eastAsia="en-US"/>
        </w:rPr>
        <w:t xml:space="preserve"> </w:t>
      </w:r>
      <w:r w:rsidR="001D4F34">
        <w:rPr>
          <w:lang w:eastAsia="en-US"/>
        </w:rPr>
        <w:t>conducted</w:t>
      </w:r>
      <w:r>
        <w:rPr>
          <w:lang w:eastAsia="en-US"/>
        </w:rPr>
        <w:t xml:space="preserve"> by the Secretariat, removing the assumption of vial sharing</w:t>
      </w:r>
      <w:r w:rsidR="001D4F34">
        <w:rPr>
          <w:lang w:eastAsia="en-US"/>
        </w:rPr>
        <w:t xml:space="preserve"> is shown below</w:t>
      </w:r>
      <w:r>
        <w:rPr>
          <w:lang w:eastAsia="en-US"/>
        </w:rPr>
        <w:t>.</w:t>
      </w:r>
    </w:p>
    <w:p w14:paraId="4643CE0D" w14:textId="46CB7896" w:rsidR="001665C3" w:rsidRPr="00396E49" w:rsidRDefault="001665C3" w:rsidP="001F3B65">
      <w:pPr>
        <w:pStyle w:val="3-BodyText"/>
        <w:keepNext/>
        <w:keepLines/>
        <w:numPr>
          <w:ilvl w:val="0"/>
          <w:numId w:val="0"/>
        </w:numPr>
        <w:spacing w:after="0"/>
        <w:rPr>
          <w:rStyle w:val="CommentReference"/>
        </w:rPr>
      </w:pPr>
      <w:bookmarkStart w:id="24" w:name="_Ref146348113"/>
      <w:r w:rsidRPr="00396E49">
        <w:rPr>
          <w:rStyle w:val="CommentReference"/>
        </w:rPr>
        <w:lastRenderedPageBreak/>
        <w:t xml:space="preserve">Table </w:t>
      </w:r>
      <w:r w:rsidRPr="00396E49">
        <w:rPr>
          <w:rStyle w:val="CommentReference"/>
        </w:rPr>
        <w:fldChar w:fldCharType="begin" w:fldLock="1"/>
      </w:r>
      <w:r w:rsidRPr="00396E49">
        <w:rPr>
          <w:rStyle w:val="CommentReference"/>
        </w:rPr>
        <w:instrText xml:space="preserve"> SEQ Table \* ARABIC </w:instrText>
      </w:r>
      <w:r w:rsidRPr="00396E49">
        <w:rPr>
          <w:rStyle w:val="CommentReference"/>
        </w:rPr>
        <w:fldChar w:fldCharType="separate"/>
      </w:r>
      <w:r w:rsidR="0086428F">
        <w:rPr>
          <w:rStyle w:val="CommentReference"/>
          <w:noProof/>
        </w:rPr>
        <w:t>5</w:t>
      </w:r>
      <w:r w:rsidRPr="00396E49">
        <w:rPr>
          <w:rStyle w:val="CommentReference"/>
        </w:rPr>
        <w:fldChar w:fldCharType="end"/>
      </w:r>
      <w:bookmarkEnd w:id="24"/>
      <w:r w:rsidRPr="00396E49">
        <w:rPr>
          <w:rStyle w:val="CommentReference"/>
        </w:rPr>
        <w:t>: Revised estimated use and financial implications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5: Revised estimated use and financial implications"/>
        <w:tblDescription w:val="Table 5: Revised estimated use and financial implications"/>
      </w:tblPr>
      <w:tblGrid>
        <w:gridCol w:w="2159"/>
        <w:gridCol w:w="1152"/>
        <w:gridCol w:w="1136"/>
        <w:gridCol w:w="1143"/>
        <w:gridCol w:w="1118"/>
        <w:gridCol w:w="1158"/>
        <w:gridCol w:w="1150"/>
      </w:tblGrid>
      <w:tr w:rsidR="001665C3" w:rsidRPr="00E74297" w14:paraId="5772C3D5" w14:textId="77777777" w:rsidTr="001665C3">
        <w:trPr>
          <w:cnfStyle w:val="100000000000" w:firstRow="1" w:lastRow="0" w:firstColumn="0" w:lastColumn="0" w:oddVBand="0" w:evenVBand="0" w:oddHBand="0" w:evenHBand="0" w:firstRowFirstColumn="0" w:firstRowLastColumn="0" w:lastRowFirstColumn="0" w:lastRowLastColumn="0"/>
        </w:trPr>
        <w:tc>
          <w:tcPr>
            <w:tcW w:w="1197" w:type="pct"/>
            <w:shd w:val="clear" w:color="auto" w:fill="auto"/>
          </w:tcPr>
          <w:p w14:paraId="3244A0FD" w14:textId="77777777" w:rsidR="001665C3" w:rsidRPr="00E74297" w:rsidRDefault="001665C3" w:rsidP="001F3B65">
            <w:pPr>
              <w:pStyle w:val="In-tableHeading"/>
              <w:keepLines/>
              <w:snapToGrid w:val="0"/>
              <w:rPr>
                <w:rFonts w:cstheme="minorHAnsi"/>
                <w:szCs w:val="20"/>
                <w:lang w:val="en-AU"/>
              </w:rPr>
            </w:pPr>
          </w:p>
        </w:tc>
        <w:tc>
          <w:tcPr>
            <w:tcW w:w="639" w:type="pct"/>
            <w:shd w:val="clear" w:color="auto" w:fill="auto"/>
            <w:vAlign w:val="center"/>
          </w:tcPr>
          <w:p w14:paraId="0DE0E2B4" w14:textId="77777777" w:rsidR="001665C3" w:rsidRPr="001665C3" w:rsidRDefault="001665C3" w:rsidP="001F3B65">
            <w:pPr>
              <w:pStyle w:val="In-tableHeading"/>
              <w:keepLines/>
              <w:snapToGrid w:val="0"/>
              <w:jc w:val="center"/>
              <w:rPr>
                <w:rFonts w:cstheme="minorHAnsi"/>
                <w:b/>
                <w:bCs/>
                <w:szCs w:val="20"/>
                <w:lang w:val="en-AU"/>
              </w:rPr>
            </w:pPr>
            <w:r w:rsidRPr="001665C3">
              <w:rPr>
                <w:rFonts w:cstheme="minorHAnsi"/>
                <w:b/>
                <w:bCs/>
                <w:szCs w:val="20"/>
                <w:lang w:val="en-AU"/>
              </w:rPr>
              <w:t>2024</w:t>
            </w:r>
          </w:p>
        </w:tc>
        <w:tc>
          <w:tcPr>
            <w:tcW w:w="630" w:type="pct"/>
            <w:shd w:val="clear" w:color="auto" w:fill="auto"/>
            <w:vAlign w:val="center"/>
          </w:tcPr>
          <w:p w14:paraId="0765D03C" w14:textId="77777777" w:rsidR="001665C3" w:rsidRPr="001665C3" w:rsidRDefault="001665C3" w:rsidP="001F3B65">
            <w:pPr>
              <w:pStyle w:val="In-tableHeading"/>
              <w:keepLines/>
              <w:snapToGrid w:val="0"/>
              <w:jc w:val="center"/>
              <w:rPr>
                <w:rFonts w:cstheme="minorHAnsi"/>
                <w:b/>
                <w:bCs/>
                <w:szCs w:val="20"/>
                <w:lang w:val="en-AU"/>
              </w:rPr>
            </w:pPr>
            <w:r w:rsidRPr="001665C3">
              <w:rPr>
                <w:rFonts w:cstheme="minorHAnsi"/>
                <w:b/>
                <w:bCs/>
                <w:szCs w:val="20"/>
                <w:lang w:val="en-AU"/>
              </w:rPr>
              <w:t>2025</w:t>
            </w:r>
          </w:p>
        </w:tc>
        <w:tc>
          <w:tcPr>
            <w:tcW w:w="634" w:type="pct"/>
            <w:shd w:val="clear" w:color="auto" w:fill="auto"/>
            <w:vAlign w:val="center"/>
          </w:tcPr>
          <w:p w14:paraId="67F25427" w14:textId="77777777" w:rsidR="001665C3" w:rsidRPr="001665C3" w:rsidRDefault="001665C3" w:rsidP="001F3B65">
            <w:pPr>
              <w:pStyle w:val="In-tableHeading"/>
              <w:keepLines/>
              <w:snapToGrid w:val="0"/>
              <w:jc w:val="center"/>
              <w:rPr>
                <w:rFonts w:cstheme="minorHAnsi"/>
                <w:b/>
                <w:bCs/>
                <w:szCs w:val="20"/>
                <w:lang w:val="en-AU"/>
              </w:rPr>
            </w:pPr>
            <w:r w:rsidRPr="001665C3">
              <w:rPr>
                <w:rFonts w:cstheme="minorHAnsi"/>
                <w:b/>
                <w:bCs/>
                <w:szCs w:val="20"/>
                <w:lang w:val="en-AU"/>
              </w:rPr>
              <w:t>2026</w:t>
            </w:r>
          </w:p>
        </w:tc>
        <w:tc>
          <w:tcPr>
            <w:tcW w:w="620" w:type="pct"/>
            <w:shd w:val="clear" w:color="auto" w:fill="auto"/>
            <w:vAlign w:val="center"/>
          </w:tcPr>
          <w:p w14:paraId="56934B83" w14:textId="77777777" w:rsidR="001665C3" w:rsidRPr="001665C3" w:rsidRDefault="001665C3" w:rsidP="001F3B65">
            <w:pPr>
              <w:pStyle w:val="In-tableHeading"/>
              <w:keepLines/>
              <w:snapToGrid w:val="0"/>
              <w:jc w:val="center"/>
              <w:rPr>
                <w:rFonts w:cstheme="minorHAnsi"/>
                <w:b/>
                <w:bCs/>
                <w:szCs w:val="20"/>
                <w:lang w:val="en-AU"/>
              </w:rPr>
            </w:pPr>
            <w:r w:rsidRPr="001665C3">
              <w:rPr>
                <w:rFonts w:cstheme="minorHAnsi"/>
                <w:b/>
                <w:bCs/>
                <w:szCs w:val="20"/>
                <w:lang w:val="en-AU"/>
              </w:rPr>
              <w:t>2027</w:t>
            </w:r>
          </w:p>
        </w:tc>
        <w:tc>
          <w:tcPr>
            <w:tcW w:w="642" w:type="pct"/>
            <w:shd w:val="clear" w:color="auto" w:fill="auto"/>
            <w:vAlign w:val="center"/>
          </w:tcPr>
          <w:p w14:paraId="6BC4B748" w14:textId="77777777" w:rsidR="001665C3" w:rsidRPr="001665C3" w:rsidRDefault="001665C3" w:rsidP="001F3B65">
            <w:pPr>
              <w:pStyle w:val="In-tableHeading"/>
              <w:keepLines/>
              <w:snapToGrid w:val="0"/>
              <w:jc w:val="center"/>
              <w:rPr>
                <w:rFonts w:cstheme="minorHAnsi"/>
                <w:b/>
                <w:bCs/>
                <w:szCs w:val="20"/>
                <w:lang w:val="en-AU"/>
              </w:rPr>
            </w:pPr>
            <w:r w:rsidRPr="001665C3">
              <w:rPr>
                <w:rFonts w:cstheme="minorHAnsi"/>
                <w:b/>
                <w:bCs/>
                <w:szCs w:val="20"/>
                <w:lang w:val="en-AU"/>
              </w:rPr>
              <w:t>2028</w:t>
            </w:r>
          </w:p>
        </w:tc>
        <w:tc>
          <w:tcPr>
            <w:tcW w:w="638" w:type="pct"/>
            <w:shd w:val="clear" w:color="auto" w:fill="auto"/>
            <w:vAlign w:val="center"/>
          </w:tcPr>
          <w:p w14:paraId="74B82510" w14:textId="77777777" w:rsidR="001665C3" w:rsidRPr="001665C3" w:rsidRDefault="001665C3" w:rsidP="001F3B65">
            <w:pPr>
              <w:pStyle w:val="In-tableHeading"/>
              <w:keepLines/>
              <w:snapToGrid w:val="0"/>
              <w:jc w:val="center"/>
              <w:rPr>
                <w:rFonts w:cstheme="minorHAnsi"/>
                <w:b/>
                <w:bCs/>
                <w:szCs w:val="20"/>
                <w:lang w:val="en-AU"/>
              </w:rPr>
            </w:pPr>
            <w:r w:rsidRPr="001665C3">
              <w:rPr>
                <w:rFonts w:cstheme="minorHAnsi"/>
                <w:b/>
                <w:bCs/>
                <w:szCs w:val="20"/>
                <w:lang w:val="en-AU"/>
              </w:rPr>
              <w:t>2029</w:t>
            </w:r>
          </w:p>
        </w:tc>
      </w:tr>
      <w:tr w:rsidR="00DD1DB5" w:rsidRPr="00E74297" w14:paraId="0327C0DE" w14:textId="77777777" w:rsidTr="00CC6F1D">
        <w:tc>
          <w:tcPr>
            <w:tcW w:w="1197" w:type="pct"/>
          </w:tcPr>
          <w:p w14:paraId="276256B5" w14:textId="3A87F3CE" w:rsidR="00DD1DB5" w:rsidRPr="00E74297" w:rsidRDefault="00DD1DB5" w:rsidP="001F3B65">
            <w:pPr>
              <w:pStyle w:val="TableText"/>
              <w:keepLines/>
              <w:snapToGrid w:val="0"/>
              <w:rPr>
                <w:szCs w:val="20"/>
              </w:rPr>
            </w:pPr>
            <w:r>
              <w:rPr>
                <w:szCs w:val="20"/>
              </w:rPr>
              <w:t>Incident patients</w:t>
            </w:r>
          </w:p>
        </w:tc>
        <w:tc>
          <w:tcPr>
            <w:tcW w:w="639" w:type="pct"/>
            <w:vAlign w:val="center"/>
          </w:tcPr>
          <w:p w14:paraId="02A52683" w14:textId="02B88C9B" w:rsidR="00DD1DB5" w:rsidRPr="00F0362D" w:rsidRDefault="00D52BD6" w:rsidP="001F3B65">
            <w:pPr>
              <w:pStyle w:val="TableText"/>
              <w:keepLines/>
              <w:snapToGrid w:val="0"/>
              <w:jc w:val="center"/>
              <w:rPr>
                <w:highlight w:val="darkGray"/>
                <w:vertAlign w:val="superscript"/>
              </w:rPr>
            </w:pPr>
            <w:r>
              <w:t xml:space="preserve"> </w:t>
            </w:r>
            <w:r w:rsidRPr="00D52BD6">
              <w:rPr>
                <w:rFonts w:hint="eastAsia"/>
                <w:color w:val="000000"/>
                <w:w w:val="18"/>
                <w:shd w:val="solid" w:color="000000" w:fill="000000"/>
                <w:fitText w:val="80" w:id="-1032058361"/>
                <w14:textFill>
                  <w14:solidFill>
                    <w14:srgbClr w14:val="000000">
                      <w14:alpha w14:val="100000"/>
                    </w14:srgbClr>
                  </w14:solidFill>
                </w14:textFill>
              </w:rPr>
              <w:t xml:space="preserve">　</w:t>
            </w:r>
            <w:r w:rsidRPr="00D52BD6">
              <w:rPr>
                <w:color w:val="000000"/>
                <w:w w:val="18"/>
                <w:shd w:val="solid" w:color="000000" w:fill="000000"/>
                <w:fitText w:val="80" w:id="-1032058361"/>
                <w14:textFill>
                  <w14:solidFill>
                    <w14:srgbClr w14:val="000000">
                      <w14:alpha w14:val="100000"/>
                    </w14:srgbClr>
                  </w14:solidFill>
                </w14:textFill>
              </w:rPr>
              <w:t>|</w:t>
            </w:r>
            <w:r w:rsidRPr="00D52BD6">
              <w:rPr>
                <w:rFonts w:hint="eastAsia"/>
                <w:color w:val="000000"/>
                <w:w w:val="18"/>
                <w:shd w:val="solid" w:color="000000" w:fill="000000"/>
                <w:fitText w:val="80" w:id="-1032058361"/>
                <w14:textFill>
                  <w14:solidFill>
                    <w14:srgbClr w14:val="000000">
                      <w14:alpha w14:val="100000"/>
                    </w14:srgbClr>
                  </w14:solidFill>
                </w14:textFill>
              </w:rPr>
              <w:t xml:space="preserve">　</w:t>
            </w:r>
            <w:r w:rsidR="00DE5ED8" w:rsidRPr="00F0362D">
              <w:rPr>
                <w:vertAlign w:val="superscript"/>
              </w:rPr>
              <w:t>1</w:t>
            </w:r>
          </w:p>
        </w:tc>
        <w:tc>
          <w:tcPr>
            <w:tcW w:w="630" w:type="pct"/>
            <w:vAlign w:val="center"/>
          </w:tcPr>
          <w:p w14:paraId="14C33161" w14:textId="78D498A1"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60"/>
                <w14:textFill>
                  <w14:solidFill>
                    <w14:srgbClr w14:val="000000">
                      <w14:alpha w14:val="100000"/>
                    </w14:srgbClr>
                  </w14:solidFill>
                </w14:textFill>
              </w:rPr>
              <w:t xml:space="preserve">　</w:t>
            </w:r>
            <w:r w:rsidRPr="00D52BD6">
              <w:rPr>
                <w:color w:val="000000"/>
                <w:w w:val="20"/>
                <w:shd w:val="solid" w:color="000000" w:fill="000000"/>
                <w:fitText w:val="90" w:id="-1032058360"/>
                <w14:textFill>
                  <w14:solidFill>
                    <w14:srgbClr w14:val="000000">
                      <w14:alpha w14:val="100000"/>
                    </w14:srgbClr>
                  </w14:solidFill>
                </w14:textFill>
              </w:rPr>
              <w:t>|</w:t>
            </w:r>
            <w:r w:rsidRPr="00D52BD6">
              <w:rPr>
                <w:rFonts w:hint="eastAsia"/>
                <w:color w:val="000000"/>
                <w:spacing w:val="3"/>
                <w:w w:val="20"/>
                <w:shd w:val="solid" w:color="000000" w:fill="000000"/>
                <w:fitText w:val="90" w:id="-1032058360"/>
                <w14:textFill>
                  <w14:solidFill>
                    <w14:srgbClr w14:val="000000">
                      <w14:alpha w14:val="100000"/>
                    </w14:srgbClr>
                  </w14:solidFill>
                </w14:textFill>
              </w:rPr>
              <w:t xml:space="preserve">　</w:t>
            </w:r>
            <w:r w:rsidR="00DE5ED8" w:rsidRPr="00BA0E21">
              <w:rPr>
                <w:vertAlign w:val="superscript"/>
              </w:rPr>
              <w:t>1</w:t>
            </w:r>
          </w:p>
        </w:tc>
        <w:tc>
          <w:tcPr>
            <w:tcW w:w="634" w:type="pct"/>
            <w:vAlign w:val="center"/>
          </w:tcPr>
          <w:p w14:paraId="1F4A1C27" w14:textId="51B74F6B"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59"/>
                <w14:textFill>
                  <w14:solidFill>
                    <w14:srgbClr w14:val="000000">
                      <w14:alpha w14:val="100000"/>
                    </w14:srgbClr>
                  </w14:solidFill>
                </w14:textFill>
              </w:rPr>
              <w:t xml:space="preserve">　</w:t>
            </w:r>
            <w:r w:rsidRPr="00D52BD6">
              <w:rPr>
                <w:color w:val="000000"/>
                <w:w w:val="20"/>
                <w:shd w:val="solid" w:color="000000" w:fill="000000"/>
                <w:fitText w:val="90" w:id="-1032058359"/>
                <w14:textFill>
                  <w14:solidFill>
                    <w14:srgbClr w14:val="000000">
                      <w14:alpha w14:val="100000"/>
                    </w14:srgbClr>
                  </w14:solidFill>
                </w14:textFill>
              </w:rPr>
              <w:t>|</w:t>
            </w:r>
            <w:r w:rsidRPr="00D52BD6">
              <w:rPr>
                <w:rFonts w:hint="eastAsia"/>
                <w:color w:val="000000"/>
                <w:spacing w:val="3"/>
                <w:w w:val="20"/>
                <w:shd w:val="solid" w:color="000000" w:fill="000000"/>
                <w:fitText w:val="90" w:id="-1032058359"/>
                <w14:textFill>
                  <w14:solidFill>
                    <w14:srgbClr w14:val="000000">
                      <w14:alpha w14:val="100000"/>
                    </w14:srgbClr>
                  </w14:solidFill>
                </w14:textFill>
              </w:rPr>
              <w:t xml:space="preserve">　</w:t>
            </w:r>
            <w:r w:rsidR="00DE5ED8" w:rsidRPr="00BA0E21">
              <w:rPr>
                <w:vertAlign w:val="superscript"/>
              </w:rPr>
              <w:t>1</w:t>
            </w:r>
          </w:p>
        </w:tc>
        <w:tc>
          <w:tcPr>
            <w:tcW w:w="620" w:type="pct"/>
            <w:vAlign w:val="center"/>
          </w:tcPr>
          <w:p w14:paraId="7926BA57" w14:textId="2C2A8926"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58"/>
                <w14:textFill>
                  <w14:solidFill>
                    <w14:srgbClr w14:val="000000">
                      <w14:alpha w14:val="100000"/>
                    </w14:srgbClr>
                  </w14:solidFill>
                </w14:textFill>
              </w:rPr>
              <w:t xml:space="preserve">　</w:t>
            </w:r>
            <w:r w:rsidRPr="00D52BD6">
              <w:rPr>
                <w:color w:val="000000"/>
                <w:w w:val="20"/>
                <w:shd w:val="solid" w:color="000000" w:fill="000000"/>
                <w:fitText w:val="90" w:id="-1032058358"/>
                <w14:textFill>
                  <w14:solidFill>
                    <w14:srgbClr w14:val="000000">
                      <w14:alpha w14:val="100000"/>
                    </w14:srgbClr>
                  </w14:solidFill>
                </w14:textFill>
              </w:rPr>
              <w:t>|</w:t>
            </w:r>
            <w:r w:rsidRPr="00D52BD6">
              <w:rPr>
                <w:rFonts w:hint="eastAsia"/>
                <w:color w:val="000000"/>
                <w:spacing w:val="3"/>
                <w:w w:val="20"/>
                <w:shd w:val="solid" w:color="000000" w:fill="000000"/>
                <w:fitText w:val="90" w:id="-1032058358"/>
                <w14:textFill>
                  <w14:solidFill>
                    <w14:srgbClr w14:val="000000">
                      <w14:alpha w14:val="100000"/>
                    </w14:srgbClr>
                  </w14:solidFill>
                </w14:textFill>
              </w:rPr>
              <w:t xml:space="preserve">　</w:t>
            </w:r>
            <w:r w:rsidR="00DE5ED8" w:rsidRPr="00BA0E21">
              <w:rPr>
                <w:vertAlign w:val="superscript"/>
              </w:rPr>
              <w:t>1</w:t>
            </w:r>
          </w:p>
        </w:tc>
        <w:tc>
          <w:tcPr>
            <w:tcW w:w="642" w:type="pct"/>
            <w:vAlign w:val="center"/>
          </w:tcPr>
          <w:p w14:paraId="5DC781F5" w14:textId="0A114C1B"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15"/>
                <w:shd w:val="solid" w:color="000000" w:fill="000000"/>
                <w:fitText w:val="70" w:id="-1032058357"/>
                <w14:textFill>
                  <w14:solidFill>
                    <w14:srgbClr w14:val="000000">
                      <w14:alpha w14:val="100000"/>
                    </w14:srgbClr>
                  </w14:solidFill>
                </w14:textFill>
              </w:rPr>
              <w:t xml:space="preserve">　</w:t>
            </w:r>
            <w:r w:rsidRPr="00D52BD6">
              <w:rPr>
                <w:color w:val="000000"/>
                <w:w w:val="15"/>
                <w:shd w:val="solid" w:color="000000" w:fill="000000"/>
                <w:fitText w:val="70" w:id="-1032058357"/>
                <w14:textFill>
                  <w14:solidFill>
                    <w14:srgbClr w14:val="000000">
                      <w14:alpha w14:val="100000"/>
                    </w14:srgbClr>
                  </w14:solidFill>
                </w14:textFill>
              </w:rPr>
              <w:t>|</w:t>
            </w:r>
            <w:r w:rsidRPr="00D52BD6">
              <w:rPr>
                <w:rFonts w:hint="eastAsia"/>
                <w:color w:val="000000"/>
                <w:spacing w:val="4"/>
                <w:w w:val="15"/>
                <w:shd w:val="solid" w:color="000000" w:fill="000000"/>
                <w:fitText w:val="70" w:id="-1032058357"/>
                <w14:textFill>
                  <w14:solidFill>
                    <w14:srgbClr w14:val="000000">
                      <w14:alpha w14:val="100000"/>
                    </w14:srgbClr>
                  </w14:solidFill>
                </w14:textFill>
              </w:rPr>
              <w:t xml:space="preserve">　</w:t>
            </w:r>
            <w:r w:rsidR="00DE5ED8" w:rsidRPr="00BA0E21">
              <w:rPr>
                <w:vertAlign w:val="superscript"/>
              </w:rPr>
              <w:t>1</w:t>
            </w:r>
          </w:p>
        </w:tc>
        <w:tc>
          <w:tcPr>
            <w:tcW w:w="638" w:type="pct"/>
            <w:vAlign w:val="center"/>
          </w:tcPr>
          <w:p w14:paraId="49D172A3" w14:textId="217A88C9"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18"/>
                <w:shd w:val="solid" w:color="000000" w:fill="000000"/>
                <w:fitText w:val="80" w:id="-1032058356"/>
                <w14:textFill>
                  <w14:solidFill>
                    <w14:srgbClr w14:val="000000">
                      <w14:alpha w14:val="100000"/>
                    </w14:srgbClr>
                  </w14:solidFill>
                </w14:textFill>
              </w:rPr>
              <w:t xml:space="preserve">　</w:t>
            </w:r>
            <w:r w:rsidRPr="00D52BD6">
              <w:rPr>
                <w:color w:val="000000"/>
                <w:w w:val="18"/>
                <w:shd w:val="solid" w:color="000000" w:fill="000000"/>
                <w:fitText w:val="80" w:id="-1032058356"/>
                <w14:textFill>
                  <w14:solidFill>
                    <w14:srgbClr w14:val="000000">
                      <w14:alpha w14:val="100000"/>
                    </w14:srgbClr>
                  </w14:solidFill>
                </w14:textFill>
              </w:rPr>
              <w:t>|</w:t>
            </w:r>
            <w:r w:rsidRPr="00D52BD6">
              <w:rPr>
                <w:rFonts w:hint="eastAsia"/>
                <w:color w:val="000000"/>
                <w:w w:val="18"/>
                <w:shd w:val="solid" w:color="000000" w:fill="000000"/>
                <w:fitText w:val="80" w:id="-1032058356"/>
                <w14:textFill>
                  <w14:solidFill>
                    <w14:srgbClr w14:val="000000">
                      <w14:alpha w14:val="100000"/>
                    </w14:srgbClr>
                  </w14:solidFill>
                </w14:textFill>
              </w:rPr>
              <w:t xml:space="preserve">　</w:t>
            </w:r>
            <w:r w:rsidR="00DE5ED8" w:rsidRPr="00BA0E21">
              <w:rPr>
                <w:vertAlign w:val="superscript"/>
              </w:rPr>
              <w:t>1</w:t>
            </w:r>
          </w:p>
        </w:tc>
      </w:tr>
      <w:tr w:rsidR="00DD1DB5" w:rsidRPr="00E74297" w14:paraId="3930BAD1" w14:textId="77777777" w:rsidTr="00CC6F1D">
        <w:tc>
          <w:tcPr>
            <w:tcW w:w="1197" w:type="pct"/>
          </w:tcPr>
          <w:p w14:paraId="5C06E3F2" w14:textId="668DFF64" w:rsidR="00DD1DB5" w:rsidRPr="00E74297" w:rsidRDefault="00DD1DB5" w:rsidP="001F3B65">
            <w:pPr>
              <w:pStyle w:val="TableText"/>
              <w:keepLines/>
              <w:snapToGrid w:val="0"/>
              <w:rPr>
                <w:szCs w:val="20"/>
              </w:rPr>
            </w:pPr>
            <w:r>
              <w:rPr>
                <w:szCs w:val="20"/>
              </w:rPr>
              <w:t>Grandfathered patients</w:t>
            </w:r>
          </w:p>
        </w:tc>
        <w:tc>
          <w:tcPr>
            <w:tcW w:w="639" w:type="pct"/>
            <w:vAlign w:val="center"/>
          </w:tcPr>
          <w:p w14:paraId="0F63A22B" w14:textId="579A3F6A"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18"/>
                <w:shd w:val="solid" w:color="000000" w:fill="000000"/>
                <w:fitText w:val="80" w:id="-1032058355"/>
                <w14:textFill>
                  <w14:solidFill>
                    <w14:srgbClr w14:val="000000">
                      <w14:alpha w14:val="100000"/>
                    </w14:srgbClr>
                  </w14:solidFill>
                </w14:textFill>
              </w:rPr>
              <w:t xml:space="preserve">　</w:t>
            </w:r>
            <w:r w:rsidRPr="00D52BD6">
              <w:rPr>
                <w:color w:val="000000"/>
                <w:w w:val="18"/>
                <w:shd w:val="solid" w:color="000000" w:fill="000000"/>
                <w:fitText w:val="80" w:id="-1032058355"/>
                <w14:textFill>
                  <w14:solidFill>
                    <w14:srgbClr w14:val="000000">
                      <w14:alpha w14:val="100000"/>
                    </w14:srgbClr>
                  </w14:solidFill>
                </w14:textFill>
              </w:rPr>
              <w:t>|</w:t>
            </w:r>
            <w:r w:rsidRPr="00D52BD6">
              <w:rPr>
                <w:rFonts w:hint="eastAsia"/>
                <w:color w:val="000000"/>
                <w:w w:val="18"/>
                <w:shd w:val="solid" w:color="000000" w:fill="000000"/>
                <w:fitText w:val="80" w:id="-1032058355"/>
                <w14:textFill>
                  <w14:solidFill>
                    <w14:srgbClr w14:val="000000">
                      <w14:alpha w14:val="100000"/>
                    </w14:srgbClr>
                  </w14:solidFill>
                </w14:textFill>
              </w:rPr>
              <w:t xml:space="preserve">　</w:t>
            </w:r>
            <w:r w:rsidR="00DE5ED8">
              <w:rPr>
                <w:vertAlign w:val="superscript"/>
              </w:rPr>
              <w:t>2</w:t>
            </w:r>
          </w:p>
        </w:tc>
        <w:tc>
          <w:tcPr>
            <w:tcW w:w="630" w:type="pct"/>
            <w:vAlign w:val="center"/>
          </w:tcPr>
          <w:p w14:paraId="7C510AA2" w14:textId="733EA57A"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54"/>
                <w14:textFill>
                  <w14:solidFill>
                    <w14:srgbClr w14:val="000000">
                      <w14:alpha w14:val="100000"/>
                    </w14:srgbClr>
                  </w14:solidFill>
                </w14:textFill>
              </w:rPr>
              <w:t xml:space="preserve">　</w:t>
            </w:r>
            <w:r w:rsidRPr="00D52BD6">
              <w:rPr>
                <w:color w:val="000000"/>
                <w:w w:val="20"/>
                <w:shd w:val="solid" w:color="000000" w:fill="000000"/>
                <w:fitText w:val="90" w:id="-1032058354"/>
                <w14:textFill>
                  <w14:solidFill>
                    <w14:srgbClr w14:val="000000">
                      <w14:alpha w14:val="100000"/>
                    </w14:srgbClr>
                  </w14:solidFill>
                </w14:textFill>
              </w:rPr>
              <w:t>|</w:t>
            </w:r>
            <w:r w:rsidRPr="00D52BD6">
              <w:rPr>
                <w:rFonts w:hint="eastAsia"/>
                <w:color w:val="000000"/>
                <w:spacing w:val="3"/>
                <w:w w:val="20"/>
                <w:shd w:val="solid" w:color="000000" w:fill="000000"/>
                <w:fitText w:val="90" w:id="-1032058354"/>
                <w14:textFill>
                  <w14:solidFill>
                    <w14:srgbClr w14:val="000000">
                      <w14:alpha w14:val="100000"/>
                    </w14:srgbClr>
                  </w14:solidFill>
                </w14:textFill>
              </w:rPr>
              <w:t xml:space="preserve">　</w:t>
            </w:r>
            <w:r w:rsidR="00DE5ED8">
              <w:rPr>
                <w:vertAlign w:val="superscript"/>
              </w:rPr>
              <w:t>2</w:t>
            </w:r>
          </w:p>
        </w:tc>
        <w:tc>
          <w:tcPr>
            <w:tcW w:w="634" w:type="pct"/>
            <w:vAlign w:val="center"/>
          </w:tcPr>
          <w:p w14:paraId="4C11DFD6" w14:textId="789F1A8B"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53"/>
                <w14:textFill>
                  <w14:solidFill>
                    <w14:srgbClr w14:val="000000">
                      <w14:alpha w14:val="100000"/>
                    </w14:srgbClr>
                  </w14:solidFill>
                </w14:textFill>
              </w:rPr>
              <w:t xml:space="preserve">　</w:t>
            </w:r>
            <w:r w:rsidRPr="00D52BD6">
              <w:rPr>
                <w:color w:val="000000"/>
                <w:w w:val="20"/>
                <w:shd w:val="solid" w:color="000000" w:fill="000000"/>
                <w:fitText w:val="90" w:id="-1032058353"/>
                <w14:textFill>
                  <w14:solidFill>
                    <w14:srgbClr w14:val="000000">
                      <w14:alpha w14:val="100000"/>
                    </w14:srgbClr>
                  </w14:solidFill>
                </w14:textFill>
              </w:rPr>
              <w:t>|</w:t>
            </w:r>
            <w:r w:rsidRPr="00D52BD6">
              <w:rPr>
                <w:rFonts w:hint="eastAsia"/>
                <w:color w:val="000000"/>
                <w:spacing w:val="3"/>
                <w:w w:val="20"/>
                <w:shd w:val="solid" w:color="000000" w:fill="000000"/>
                <w:fitText w:val="90" w:id="-1032058353"/>
                <w14:textFill>
                  <w14:solidFill>
                    <w14:srgbClr w14:val="000000">
                      <w14:alpha w14:val="100000"/>
                    </w14:srgbClr>
                  </w14:solidFill>
                </w14:textFill>
              </w:rPr>
              <w:t xml:space="preserve">　</w:t>
            </w:r>
            <w:r w:rsidR="00DE5ED8">
              <w:rPr>
                <w:vertAlign w:val="superscript"/>
              </w:rPr>
              <w:t>2</w:t>
            </w:r>
          </w:p>
        </w:tc>
        <w:tc>
          <w:tcPr>
            <w:tcW w:w="620" w:type="pct"/>
            <w:vAlign w:val="center"/>
          </w:tcPr>
          <w:p w14:paraId="64C4FFAA" w14:textId="393CA38E"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52"/>
                <w14:textFill>
                  <w14:solidFill>
                    <w14:srgbClr w14:val="000000">
                      <w14:alpha w14:val="100000"/>
                    </w14:srgbClr>
                  </w14:solidFill>
                </w14:textFill>
              </w:rPr>
              <w:t xml:space="preserve">　</w:t>
            </w:r>
            <w:r w:rsidRPr="00D52BD6">
              <w:rPr>
                <w:color w:val="000000"/>
                <w:w w:val="20"/>
                <w:shd w:val="solid" w:color="000000" w:fill="000000"/>
                <w:fitText w:val="90" w:id="-1032058352"/>
                <w14:textFill>
                  <w14:solidFill>
                    <w14:srgbClr w14:val="000000">
                      <w14:alpha w14:val="100000"/>
                    </w14:srgbClr>
                  </w14:solidFill>
                </w14:textFill>
              </w:rPr>
              <w:t>|</w:t>
            </w:r>
            <w:r w:rsidRPr="00D52BD6">
              <w:rPr>
                <w:rFonts w:hint="eastAsia"/>
                <w:color w:val="000000"/>
                <w:spacing w:val="3"/>
                <w:w w:val="20"/>
                <w:shd w:val="solid" w:color="000000" w:fill="000000"/>
                <w:fitText w:val="90" w:id="-1032058352"/>
                <w14:textFill>
                  <w14:solidFill>
                    <w14:srgbClr w14:val="000000">
                      <w14:alpha w14:val="100000"/>
                    </w14:srgbClr>
                  </w14:solidFill>
                </w14:textFill>
              </w:rPr>
              <w:t xml:space="preserve">　</w:t>
            </w:r>
            <w:r w:rsidR="00DE5ED8">
              <w:rPr>
                <w:vertAlign w:val="superscript"/>
              </w:rPr>
              <w:t>2</w:t>
            </w:r>
          </w:p>
        </w:tc>
        <w:tc>
          <w:tcPr>
            <w:tcW w:w="642" w:type="pct"/>
            <w:vAlign w:val="center"/>
          </w:tcPr>
          <w:p w14:paraId="7490FE50" w14:textId="6964F938"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15"/>
                <w:shd w:val="solid" w:color="000000" w:fill="000000"/>
                <w:fitText w:val="70" w:id="-1032058368"/>
                <w14:textFill>
                  <w14:solidFill>
                    <w14:srgbClr w14:val="000000">
                      <w14:alpha w14:val="100000"/>
                    </w14:srgbClr>
                  </w14:solidFill>
                </w14:textFill>
              </w:rPr>
              <w:t xml:space="preserve">　</w:t>
            </w:r>
            <w:r w:rsidRPr="00D52BD6">
              <w:rPr>
                <w:color w:val="000000"/>
                <w:w w:val="15"/>
                <w:shd w:val="solid" w:color="000000" w:fill="000000"/>
                <w:fitText w:val="70" w:id="-1032058368"/>
                <w14:textFill>
                  <w14:solidFill>
                    <w14:srgbClr w14:val="000000">
                      <w14:alpha w14:val="100000"/>
                    </w14:srgbClr>
                  </w14:solidFill>
                </w14:textFill>
              </w:rPr>
              <w:t>|</w:t>
            </w:r>
            <w:r w:rsidRPr="00D52BD6">
              <w:rPr>
                <w:rFonts w:hint="eastAsia"/>
                <w:color w:val="000000"/>
                <w:spacing w:val="4"/>
                <w:w w:val="15"/>
                <w:shd w:val="solid" w:color="000000" w:fill="000000"/>
                <w:fitText w:val="70" w:id="-1032058368"/>
                <w14:textFill>
                  <w14:solidFill>
                    <w14:srgbClr w14:val="000000">
                      <w14:alpha w14:val="100000"/>
                    </w14:srgbClr>
                  </w14:solidFill>
                </w14:textFill>
              </w:rPr>
              <w:t xml:space="preserve">　</w:t>
            </w:r>
            <w:r w:rsidR="00DE5ED8">
              <w:rPr>
                <w:vertAlign w:val="superscript"/>
              </w:rPr>
              <w:t>2</w:t>
            </w:r>
          </w:p>
        </w:tc>
        <w:tc>
          <w:tcPr>
            <w:tcW w:w="638" w:type="pct"/>
            <w:vAlign w:val="center"/>
          </w:tcPr>
          <w:p w14:paraId="79792FEE" w14:textId="15175281"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18"/>
                <w:shd w:val="solid" w:color="000000" w:fill="000000"/>
                <w:fitText w:val="80" w:id="-1032058367"/>
                <w14:textFill>
                  <w14:solidFill>
                    <w14:srgbClr w14:val="000000">
                      <w14:alpha w14:val="100000"/>
                    </w14:srgbClr>
                  </w14:solidFill>
                </w14:textFill>
              </w:rPr>
              <w:t xml:space="preserve">　</w:t>
            </w:r>
            <w:r w:rsidRPr="00D52BD6">
              <w:rPr>
                <w:color w:val="000000"/>
                <w:w w:val="18"/>
                <w:shd w:val="solid" w:color="000000" w:fill="000000"/>
                <w:fitText w:val="80" w:id="-1032058367"/>
                <w14:textFill>
                  <w14:solidFill>
                    <w14:srgbClr w14:val="000000">
                      <w14:alpha w14:val="100000"/>
                    </w14:srgbClr>
                  </w14:solidFill>
                </w14:textFill>
              </w:rPr>
              <w:t>|</w:t>
            </w:r>
            <w:r w:rsidRPr="00D52BD6">
              <w:rPr>
                <w:rFonts w:hint="eastAsia"/>
                <w:color w:val="000000"/>
                <w:w w:val="18"/>
                <w:shd w:val="solid" w:color="000000" w:fill="000000"/>
                <w:fitText w:val="80" w:id="-1032058367"/>
                <w14:textFill>
                  <w14:solidFill>
                    <w14:srgbClr w14:val="000000">
                      <w14:alpha w14:val="100000"/>
                    </w14:srgbClr>
                  </w14:solidFill>
                </w14:textFill>
              </w:rPr>
              <w:t xml:space="preserve">　</w:t>
            </w:r>
            <w:r w:rsidR="00DE5ED8">
              <w:rPr>
                <w:vertAlign w:val="superscript"/>
              </w:rPr>
              <w:t>2</w:t>
            </w:r>
          </w:p>
        </w:tc>
      </w:tr>
      <w:tr w:rsidR="00DD1DB5" w:rsidRPr="00E74297" w14:paraId="75DC0D83" w14:textId="77777777" w:rsidTr="00CC6F1D">
        <w:tc>
          <w:tcPr>
            <w:tcW w:w="1197" w:type="pct"/>
          </w:tcPr>
          <w:p w14:paraId="68CFA74E" w14:textId="77777777" w:rsidR="00DD1DB5" w:rsidRPr="00DD1DB5" w:rsidRDefault="00DD1DB5" w:rsidP="001F3B65">
            <w:pPr>
              <w:pStyle w:val="TableText"/>
              <w:keepLines/>
              <w:snapToGrid w:val="0"/>
              <w:rPr>
                <w:b/>
                <w:bCs w:val="0"/>
                <w:szCs w:val="20"/>
              </w:rPr>
            </w:pPr>
            <w:r w:rsidRPr="00DD1DB5">
              <w:rPr>
                <w:b/>
                <w:bCs w:val="0"/>
                <w:szCs w:val="20"/>
              </w:rPr>
              <w:t>Total patients</w:t>
            </w:r>
          </w:p>
        </w:tc>
        <w:tc>
          <w:tcPr>
            <w:tcW w:w="639" w:type="pct"/>
            <w:vAlign w:val="center"/>
          </w:tcPr>
          <w:p w14:paraId="01524EE1" w14:textId="40CCC289" w:rsidR="00DD1DB5" w:rsidRPr="00F0362D" w:rsidRDefault="00D52BD6" w:rsidP="001F3B65">
            <w:pPr>
              <w:pStyle w:val="TableText"/>
              <w:keepLines/>
              <w:snapToGrid w:val="0"/>
              <w:jc w:val="center"/>
              <w:rPr>
                <w:b/>
                <w:bCs w:val="0"/>
                <w:highlight w:val="darkGray"/>
              </w:rPr>
            </w:pPr>
            <w:r>
              <w:rPr>
                <w:b/>
                <w:bCs w:val="0"/>
              </w:rPr>
              <w:t xml:space="preserve"> </w:t>
            </w:r>
            <w:r w:rsidRPr="00D52BD6">
              <w:rPr>
                <w:rFonts w:hint="eastAsia"/>
                <w:b/>
                <w:bCs w:val="0"/>
                <w:color w:val="000000"/>
                <w:w w:val="29"/>
                <w:shd w:val="solid" w:color="000000" w:fill="000000"/>
                <w:fitText w:val="130" w:id="-1032058366"/>
                <w14:textFill>
                  <w14:solidFill>
                    <w14:srgbClr w14:val="000000">
                      <w14:alpha w14:val="100000"/>
                    </w14:srgbClr>
                  </w14:solidFill>
                </w14:textFill>
              </w:rPr>
              <w:t xml:space="preserve">　</w:t>
            </w:r>
            <w:r w:rsidRPr="00D52BD6">
              <w:rPr>
                <w:b/>
                <w:bCs w:val="0"/>
                <w:color w:val="000000"/>
                <w:w w:val="29"/>
                <w:shd w:val="solid" w:color="000000" w:fill="000000"/>
                <w:fitText w:val="130" w:id="-1032058366"/>
                <w14:textFill>
                  <w14:solidFill>
                    <w14:srgbClr w14:val="000000">
                      <w14:alpha w14:val="100000"/>
                    </w14:srgbClr>
                  </w14:solidFill>
                </w14:textFill>
              </w:rPr>
              <w:t>|</w:t>
            </w:r>
            <w:r w:rsidRPr="00D52BD6">
              <w:rPr>
                <w:rFonts w:hint="eastAsia"/>
                <w:b/>
                <w:bCs w:val="0"/>
                <w:color w:val="000000"/>
                <w:spacing w:val="1"/>
                <w:w w:val="29"/>
                <w:shd w:val="solid" w:color="000000" w:fill="000000"/>
                <w:fitText w:val="130" w:id="-1032058366"/>
                <w14:textFill>
                  <w14:solidFill>
                    <w14:srgbClr w14:val="000000">
                      <w14:alpha w14:val="100000"/>
                    </w14:srgbClr>
                  </w14:solidFill>
                </w14:textFill>
              </w:rPr>
              <w:t xml:space="preserve">　</w:t>
            </w:r>
            <w:r w:rsidR="00DE5ED8">
              <w:rPr>
                <w:vertAlign w:val="superscript"/>
              </w:rPr>
              <w:t>1</w:t>
            </w:r>
          </w:p>
        </w:tc>
        <w:tc>
          <w:tcPr>
            <w:tcW w:w="630" w:type="pct"/>
            <w:vAlign w:val="center"/>
          </w:tcPr>
          <w:p w14:paraId="4DA8C4A9" w14:textId="5BC9ECA8" w:rsidR="00DD1DB5" w:rsidRPr="00F0362D" w:rsidRDefault="00D52BD6" w:rsidP="001F3B65">
            <w:pPr>
              <w:pStyle w:val="TableText"/>
              <w:keepLines/>
              <w:snapToGrid w:val="0"/>
              <w:jc w:val="center"/>
              <w:rPr>
                <w:b/>
                <w:bCs w:val="0"/>
                <w:highlight w:val="darkGray"/>
              </w:rPr>
            </w:pPr>
            <w:r>
              <w:rPr>
                <w:b/>
                <w:bCs w:val="0"/>
              </w:rPr>
              <w:t xml:space="preserve"> </w:t>
            </w:r>
            <w:r w:rsidRPr="00D52BD6">
              <w:rPr>
                <w:rFonts w:hint="eastAsia"/>
                <w:b/>
                <w:bCs w:val="0"/>
                <w:color w:val="000000"/>
                <w:w w:val="29"/>
                <w:shd w:val="solid" w:color="000000" w:fill="000000"/>
                <w:fitText w:val="130" w:id="-1032058365"/>
                <w14:textFill>
                  <w14:solidFill>
                    <w14:srgbClr w14:val="000000">
                      <w14:alpha w14:val="100000"/>
                    </w14:srgbClr>
                  </w14:solidFill>
                </w14:textFill>
              </w:rPr>
              <w:t xml:space="preserve">　</w:t>
            </w:r>
            <w:r w:rsidRPr="00D52BD6">
              <w:rPr>
                <w:b/>
                <w:bCs w:val="0"/>
                <w:color w:val="000000"/>
                <w:w w:val="29"/>
                <w:shd w:val="solid" w:color="000000" w:fill="000000"/>
                <w:fitText w:val="130" w:id="-1032058365"/>
                <w14:textFill>
                  <w14:solidFill>
                    <w14:srgbClr w14:val="000000">
                      <w14:alpha w14:val="100000"/>
                    </w14:srgbClr>
                  </w14:solidFill>
                </w14:textFill>
              </w:rPr>
              <w:t>|</w:t>
            </w:r>
            <w:r w:rsidRPr="00D52BD6">
              <w:rPr>
                <w:rFonts w:hint="eastAsia"/>
                <w:b/>
                <w:bCs w:val="0"/>
                <w:color w:val="000000"/>
                <w:spacing w:val="1"/>
                <w:w w:val="29"/>
                <w:shd w:val="solid" w:color="000000" w:fill="000000"/>
                <w:fitText w:val="130" w:id="-1032058365"/>
                <w14:textFill>
                  <w14:solidFill>
                    <w14:srgbClr w14:val="000000">
                      <w14:alpha w14:val="100000"/>
                    </w14:srgbClr>
                  </w14:solidFill>
                </w14:textFill>
              </w:rPr>
              <w:t xml:space="preserve">　</w:t>
            </w:r>
            <w:r w:rsidR="00DE5ED8">
              <w:rPr>
                <w:vertAlign w:val="superscript"/>
              </w:rPr>
              <w:t>1</w:t>
            </w:r>
          </w:p>
        </w:tc>
        <w:tc>
          <w:tcPr>
            <w:tcW w:w="634" w:type="pct"/>
            <w:vAlign w:val="center"/>
          </w:tcPr>
          <w:p w14:paraId="5E8D66B4" w14:textId="536B70B1" w:rsidR="00DD1DB5" w:rsidRPr="00F0362D" w:rsidRDefault="00D52BD6" w:rsidP="001F3B65">
            <w:pPr>
              <w:pStyle w:val="TableText"/>
              <w:keepLines/>
              <w:snapToGrid w:val="0"/>
              <w:jc w:val="center"/>
              <w:rPr>
                <w:b/>
                <w:bCs w:val="0"/>
                <w:highlight w:val="darkGray"/>
              </w:rPr>
            </w:pPr>
            <w:r>
              <w:rPr>
                <w:b/>
                <w:bCs w:val="0"/>
              </w:rPr>
              <w:t xml:space="preserve"> </w:t>
            </w:r>
            <w:r w:rsidRPr="00D52BD6">
              <w:rPr>
                <w:rFonts w:hint="eastAsia"/>
                <w:b/>
                <w:bCs w:val="0"/>
                <w:color w:val="000000"/>
                <w:w w:val="26"/>
                <w:shd w:val="solid" w:color="000000" w:fill="000000"/>
                <w:fitText w:val="120" w:id="-1032058364"/>
                <w14:textFill>
                  <w14:solidFill>
                    <w14:srgbClr w14:val="000000">
                      <w14:alpha w14:val="100000"/>
                    </w14:srgbClr>
                  </w14:solidFill>
                </w14:textFill>
              </w:rPr>
              <w:t xml:space="preserve">　</w:t>
            </w:r>
            <w:r w:rsidRPr="00D52BD6">
              <w:rPr>
                <w:b/>
                <w:bCs w:val="0"/>
                <w:color w:val="000000"/>
                <w:w w:val="26"/>
                <w:shd w:val="solid" w:color="000000" w:fill="000000"/>
                <w:fitText w:val="120" w:id="-1032058364"/>
                <w14:textFill>
                  <w14:solidFill>
                    <w14:srgbClr w14:val="000000">
                      <w14:alpha w14:val="100000"/>
                    </w14:srgbClr>
                  </w14:solidFill>
                </w14:textFill>
              </w:rPr>
              <w:t>|</w:t>
            </w:r>
            <w:r w:rsidRPr="00D52BD6">
              <w:rPr>
                <w:rFonts w:hint="eastAsia"/>
                <w:b/>
                <w:bCs w:val="0"/>
                <w:color w:val="000000"/>
                <w:spacing w:val="4"/>
                <w:w w:val="26"/>
                <w:shd w:val="solid" w:color="000000" w:fill="000000"/>
                <w:fitText w:val="120" w:id="-1032058364"/>
                <w14:textFill>
                  <w14:solidFill>
                    <w14:srgbClr w14:val="000000">
                      <w14:alpha w14:val="100000"/>
                    </w14:srgbClr>
                  </w14:solidFill>
                </w14:textFill>
              </w:rPr>
              <w:t xml:space="preserve">　</w:t>
            </w:r>
            <w:r w:rsidR="00DE5ED8">
              <w:rPr>
                <w:vertAlign w:val="superscript"/>
              </w:rPr>
              <w:t>1</w:t>
            </w:r>
          </w:p>
        </w:tc>
        <w:tc>
          <w:tcPr>
            <w:tcW w:w="620" w:type="pct"/>
            <w:vAlign w:val="center"/>
          </w:tcPr>
          <w:p w14:paraId="71A9EE7D" w14:textId="72E29ECF" w:rsidR="00DD1DB5" w:rsidRPr="00F0362D" w:rsidRDefault="00D52BD6" w:rsidP="001F3B65">
            <w:pPr>
              <w:pStyle w:val="TableText"/>
              <w:keepLines/>
              <w:snapToGrid w:val="0"/>
              <w:jc w:val="center"/>
              <w:rPr>
                <w:b/>
                <w:bCs w:val="0"/>
                <w:highlight w:val="darkGray"/>
              </w:rPr>
            </w:pPr>
            <w:r>
              <w:rPr>
                <w:b/>
                <w:bCs w:val="0"/>
              </w:rPr>
              <w:t xml:space="preserve"> </w:t>
            </w:r>
            <w:r w:rsidRPr="00D52BD6">
              <w:rPr>
                <w:rFonts w:hint="eastAsia"/>
                <w:b/>
                <w:bCs w:val="0"/>
                <w:color w:val="000000"/>
                <w:w w:val="31"/>
                <w:shd w:val="solid" w:color="000000" w:fill="000000"/>
                <w:fitText w:val="140" w:id="-1032058363"/>
                <w14:textFill>
                  <w14:solidFill>
                    <w14:srgbClr w14:val="000000">
                      <w14:alpha w14:val="100000"/>
                    </w14:srgbClr>
                  </w14:solidFill>
                </w14:textFill>
              </w:rPr>
              <w:t xml:space="preserve">　</w:t>
            </w:r>
            <w:r w:rsidRPr="00D52BD6">
              <w:rPr>
                <w:b/>
                <w:bCs w:val="0"/>
                <w:color w:val="000000"/>
                <w:w w:val="31"/>
                <w:shd w:val="solid" w:color="000000" w:fill="000000"/>
                <w:fitText w:val="140" w:id="-1032058363"/>
                <w14:textFill>
                  <w14:solidFill>
                    <w14:srgbClr w14:val="000000">
                      <w14:alpha w14:val="100000"/>
                    </w14:srgbClr>
                  </w14:solidFill>
                </w14:textFill>
              </w:rPr>
              <w:t>|</w:t>
            </w:r>
            <w:r w:rsidRPr="00D52BD6">
              <w:rPr>
                <w:rFonts w:hint="eastAsia"/>
                <w:b/>
                <w:bCs w:val="0"/>
                <w:color w:val="000000"/>
                <w:spacing w:val="3"/>
                <w:w w:val="31"/>
                <w:shd w:val="solid" w:color="000000" w:fill="000000"/>
                <w:fitText w:val="140" w:id="-1032058363"/>
                <w14:textFill>
                  <w14:solidFill>
                    <w14:srgbClr w14:val="000000">
                      <w14:alpha w14:val="100000"/>
                    </w14:srgbClr>
                  </w14:solidFill>
                </w14:textFill>
              </w:rPr>
              <w:t xml:space="preserve">　</w:t>
            </w:r>
            <w:r w:rsidR="00DE5ED8">
              <w:rPr>
                <w:vertAlign w:val="superscript"/>
              </w:rPr>
              <w:t>1</w:t>
            </w:r>
          </w:p>
        </w:tc>
        <w:tc>
          <w:tcPr>
            <w:tcW w:w="642" w:type="pct"/>
            <w:vAlign w:val="center"/>
          </w:tcPr>
          <w:p w14:paraId="1F2F2F38" w14:textId="14C4A3F0" w:rsidR="00DD1DB5" w:rsidRPr="00F0362D" w:rsidRDefault="00D52BD6" w:rsidP="001F3B65">
            <w:pPr>
              <w:pStyle w:val="TableText"/>
              <w:keepLines/>
              <w:snapToGrid w:val="0"/>
              <w:jc w:val="center"/>
              <w:rPr>
                <w:b/>
                <w:bCs w:val="0"/>
                <w:highlight w:val="darkGray"/>
              </w:rPr>
            </w:pPr>
            <w:r>
              <w:rPr>
                <w:b/>
                <w:bCs w:val="0"/>
              </w:rPr>
              <w:t xml:space="preserve"> </w:t>
            </w:r>
            <w:r w:rsidRPr="00D52BD6">
              <w:rPr>
                <w:rFonts w:hint="eastAsia"/>
                <w:b/>
                <w:bCs w:val="0"/>
                <w:color w:val="000000"/>
                <w:w w:val="26"/>
                <w:shd w:val="solid" w:color="000000" w:fill="000000"/>
                <w:fitText w:val="120" w:id="-1032058362"/>
                <w14:textFill>
                  <w14:solidFill>
                    <w14:srgbClr w14:val="000000">
                      <w14:alpha w14:val="100000"/>
                    </w14:srgbClr>
                  </w14:solidFill>
                </w14:textFill>
              </w:rPr>
              <w:t xml:space="preserve">　</w:t>
            </w:r>
            <w:r w:rsidRPr="00D52BD6">
              <w:rPr>
                <w:b/>
                <w:bCs w:val="0"/>
                <w:color w:val="000000"/>
                <w:w w:val="26"/>
                <w:shd w:val="solid" w:color="000000" w:fill="000000"/>
                <w:fitText w:val="120" w:id="-1032058362"/>
                <w14:textFill>
                  <w14:solidFill>
                    <w14:srgbClr w14:val="000000">
                      <w14:alpha w14:val="100000"/>
                    </w14:srgbClr>
                  </w14:solidFill>
                </w14:textFill>
              </w:rPr>
              <w:t>|</w:t>
            </w:r>
            <w:r w:rsidRPr="00D52BD6">
              <w:rPr>
                <w:rFonts w:hint="eastAsia"/>
                <w:b/>
                <w:bCs w:val="0"/>
                <w:color w:val="000000"/>
                <w:spacing w:val="4"/>
                <w:w w:val="26"/>
                <w:shd w:val="solid" w:color="000000" w:fill="000000"/>
                <w:fitText w:val="120" w:id="-1032058362"/>
                <w14:textFill>
                  <w14:solidFill>
                    <w14:srgbClr w14:val="000000">
                      <w14:alpha w14:val="100000"/>
                    </w14:srgbClr>
                  </w14:solidFill>
                </w14:textFill>
              </w:rPr>
              <w:t xml:space="preserve">　</w:t>
            </w:r>
            <w:r w:rsidR="00DE5ED8">
              <w:rPr>
                <w:vertAlign w:val="superscript"/>
              </w:rPr>
              <w:t>1</w:t>
            </w:r>
          </w:p>
        </w:tc>
        <w:tc>
          <w:tcPr>
            <w:tcW w:w="638" w:type="pct"/>
            <w:vAlign w:val="center"/>
          </w:tcPr>
          <w:p w14:paraId="703329EB" w14:textId="3B535520" w:rsidR="00DD1DB5" w:rsidRPr="00F0362D" w:rsidRDefault="00D52BD6" w:rsidP="001F3B65">
            <w:pPr>
              <w:pStyle w:val="TableText"/>
              <w:keepLines/>
              <w:snapToGrid w:val="0"/>
              <w:jc w:val="center"/>
              <w:rPr>
                <w:b/>
                <w:bCs w:val="0"/>
                <w:highlight w:val="darkGray"/>
              </w:rPr>
            </w:pPr>
            <w:r>
              <w:rPr>
                <w:b/>
                <w:bCs w:val="0"/>
              </w:rPr>
              <w:t xml:space="preserve"> </w:t>
            </w:r>
            <w:r w:rsidRPr="00D52BD6">
              <w:rPr>
                <w:rFonts w:hint="eastAsia"/>
                <w:b/>
                <w:bCs w:val="0"/>
                <w:color w:val="000000"/>
                <w:w w:val="29"/>
                <w:shd w:val="solid" w:color="000000" w:fill="000000"/>
                <w:fitText w:val="130" w:id="-1032058361"/>
                <w14:textFill>
                  <w14:solidFill>
                    <w14:srgbClr w14:val="000000">
                      <w14:alpha w14:val="100000"/>
                    </w14:srgbClr>
                  </w14:solidFill>
                </w14:textFill>
              </w:rPr>
              <w:t xml:space="preserve">　</w:t>
            </w:r>
            <w:r w:rsidRPr="00D52BD6">
              <w:rPr>
                <w:b/>
                <w:bCs w:val="0"/>
                <w:color w:val="000000"/>
                <w:w w:val="29"/>
                <w:shd w:val="solid" w:color="000000" w:fill="000000"/>
                <w:fitText w:val="130" w:id="-1032058361"/>
                <w14:textFill>
                  <w14:solidFill>
                    <w14:srgbClr w14:val="000000">
                      <w14:alpha w14:val="100000"/>
                    </w14:srgbClr>
                  </w14:solidFill>
                </w14:textFill>
              </w:rPr>
              <w:t>|</w:t>
            </w:r>
            <w:r w:rsidRPr="00D52BD6">
              <w:rPr>
                <w:rFonts w:hint="eastAsia"/>
                <w:b/>
                <w:bCs w:val="0"/>
                <w:color w:val="000000"/>
                <w:spacing w:val="1"/>
                <w:w w:val="29"/>
                <w:shd w:val="solid" w:color="000000" w:fill="000000"/>
                <w:fitText w:val="130" w:id="-1032058361"/>
                <w14:textFill>
                  <w14:solidFill>
                    <w14:srgbClr w14:val="000000">
                      <w14:alpha w14:val="100000"/>
                    </w14:srgbClr>
                  </w14:solidFill>
                </w14:textFill>
              </w:rPr>
              <w:t xml:space="preserve">　</w:t>
            </w:r>
            <w:r w:rsidR="00DE5ED8">
              <w:rPr>
                <w:vertAlign w:val="superscript"/>
              </w:rPr>
              <w:t>1</w:t>
            </w:r>
          </w:p>
        </w:tc>
      </w:tr>
      <w:tr w:rsidR="00DD1DB5" w:rsidRPr="00E74297" w14:paraId="7F35203F" w14:textId="77777777" w:rsidTr="00CC6F1D">
        <w:tc>
          <w:tcPr>
            <w:tcW w:w="1197" w:type="pct"/>
          </w:tcPr>
          <w:p w14:paraId="07F8944F" w14:textId="77777777" w:rsidR="00DD1DB5" w:rsidRDefault="00DD1DB5" w:rsidP="001F3B65">
            <w:pPr>
              <w:pStyle w:val="TableText"/>
              <w:keepLines/>
              <w:snapToGrid w:val="0"/>
              <w:rPr>
                <w:szCs w:val="20"/>
              </w:rPr>
            </w:pPr>
            <w:r w:rsidRPr="00E74297">
              <w:rPr>
                <w:szCs w:val="20"/>
              </w:rPr>
              <w:t xml:space="preserve">No. scripts </w:t>
            </w:r>
          </w:p>
          <w:p w14:paraId="15FF3F39" w14:textId="3EA62C26" w:rsidR="00DD1DB5" w:rsidRPr="00E74297" w:rsidRDefault="00DD1DB5" w:rsidP="001F3B65">
            <w:pPr>
              <w:pStyle w:val="TableText"/>
              <w:keepLines/>
              <w:snapToGrid w:val="0"/>
              <w:rPr>
                <w:rFonts w:cstheme="minorHAnsi"/>
                <w:szCs w:val="20"/>
              </w:rPr>
            </w:pPr>
            <w:r w:rsidRPr="00E74297">
              <w:rPr>
                <w:rFonts w:cstheme="minorHAnsi"/>
                <w:szCs w:val="20"/>
              </w:rPr>
              <w:t>(17.64 per p</w:t>
            </w:r>
            <w:r>
              <w:rPr>
                <w:rFonts w:cstheme="minorHAnsi"/>
                <w:szCs w:val="20"/>
              </w:rPr>
              <w:t>a</w:t>
            </w:r>
            <w:r w:rsidRPr="00E74297">
              <w:rPr>
                <w:rFonts w:cstheme="minorHAnsi"/>
                <w:szCs w:val="20"/>
              </w:rPr>
              <w:t>t</w:t>
            </w:r>
            <w:r>
              <w:rPr>
                <w:rFonts w:cstheme="minorHAnsi"/>
                <w:szCs w:val="20"/>
              </w:rPr>
              <w:t>ient</w:t>
            </w:r>
            <w:r w:rsidRPr="00E74297">
              <w:rPr>
                <w:rFonts w:cstheme="minorHAnsi"/>
                <w:szCs w:val="20"/>
              </w:rPr>
              <w:t>)</w:t>
            </w:r>
          </w:p>
        </w:tc>
        <w:tc>
          <w:tcPr>
            <w:tcW w:w="639" w:type="pct"/>
            <w:vAlign w:val="center"/>
          </w:tcPr>
          <w:p w14:paraId="7C291F15" w14:textId="765C92D4"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18"/>
                <w:shd w:val="solid" w:color="000000" w:fill="000000"/>
                <w:fitText w:val="80" w:id="-1032058360"/>
                <w14:textFill>
                  <w14:solidFill>
                    <w14:srgbClr w14:val="000000">
                      <w14:alpha w14:val="100000"/>
                    </w14:srgbClr>
                  </w14:solidFill>
                </w14:textFill>
              </w:rPr>
              <w:t xml:space="preserve">　</w:t>
            </w:r>
            <w:r w:rsidRPr="00D52BD6">
              <w:rPr>
                <w:color w:val="000000"/>
                <w:w w:val="18"/>
                <w:shd w:val="solid" w:color="000000" w:fill="000000"/>
                <w:fitText w:val="80" w:id="-1032058360"/>
                <w14:textFill>
                  <w14:solidFill>
                    <w14:srgbClr w14:val="000000">
                      <w14:alpha w14:val="100000"/>
                    </w14:srgbClr>
                  </w14:solidFill>
                </w14:textFill>
              </w:rPr>
              <w:t>|</w:t>
            </w:r>
            <w:r w:rsidRPr="00D52BD6">
              <w:rPr>
                <w:rFonts w:hint="eastAsia"/>
                <w:color w:val="000000"/>
                <w:w w:val="18"/>
                <w:shd w:val="solid" w:color="000000" w:fill="000000"/>
                <w:fitText w:val="80" w:id="-1032058360"/>
                <w14:textFill>
                  <w14:solidFill>
                    <w14:srgbClr w14:val="000000">
                      <w14:alpha w14:val="100000"/>
                    </w14:srgbClr>
                  </w14:solidFill>
                </w14:textFill>
              </w:rPr>
              <w:t xml:space="preserve">　</w:t>
            </w:r>
            <w:r w:rsidR="00DE5ED8">
              <w:rPr>
                <w:vertAlign w:val="superscript"/>
              </w:rPr>
              <w:t>3</w:t>
            </w:r>
          </w:p>
        </w:tc>
        <w:tc>
          <w:tcPr>
            <w:tcW w:w="630" w:type="pct"/>
            <w:vAlign w:val="center"/>
          </w:tcPr>
          <w:p w14:paraId="509A5D5E" w14:textId="757242C7"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59"/>
                <w14:textFill>
                  <w14:solidFill>
                    <w14:srgbClr w14:val="000000">
                      <w14:alpha w14:val="100000"/>
                    </w14:srgbClr>
                  </w14:solidFill>
                </w14:textFill>
              </w:rPr>
              <w:t xml:space="preserve">　</w:t>
            </w:r>
            <w:r w:rsidRPr="00D52BD6">
              <w:rPr>
                <w:color w:val="000000"/>
                <w:w w:val="20"/>
                <w:shd w:val="solid" w:color="000000" w:fill="000000"/>
                <w:fitText w:val="90" w:id="-1032058359"/>
                <w14:textFill>
                  <w14:solidFill>
                    <w14:srgbClr w14:val="000000">
                      <w14:alpha w14:val="100000"/>
                    </w14:srgbClr>
                  </w14:solidFill>
                </w14:textFill>
              </w:rPr>
              <w:t>|</w:t>
            </w:r>
            <w:r w:rsidRPr="00D52BD6">
              <w:rPr>
                <w:rFonts w:hint="eastAsia"/>
                <w:color w:val="000000"/>
                <w:spacing w:val="3"/>
                <w:w w:val="20"/>
                <w:shd w:val="solid" w:color="000000" w:fill="000000"/>
                <w:fitText w:val="90" w:id="-1032058359"/>
                <w14:textFill>
                  <w14:solidFill>
                    <w14:srgbClr w14:val="000000">
                      <w14:alpha w14:val="100000"/>
                    </w14:srgbClr>
                  </w14:solidFill>
                </w14:textFill>
              </w:rPr>
              <w:t xml:space="preserve">　</w:t>
            </w:r>
            <w:r w:rsidR="00DE5ED8">
              <w:rPr>
                <w:vertAlign w:val="superscript"/>
              </w:rPr>
              <w:t>3</w:t>
            </w:r>
          </w:p>
        </w:tc>
        <w:tc>
          <w:tcPr>
            <w:tcW w:w="634" w:type="pct"/>
            <w:vAlign w:val="center"/>
          </w:tcPr>
          <w:p w14:paraId="4CFCB8FD" w14:textId="56F14083"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58"/>
                <w14:textFill>
                  <w14:solidFill>
                    <w14:srgbClr w14:val="000000">
                      <w14:alpha w14:val="100000"/>
                    </w14:srgbClr>
                  </w14:solidFill>
                </w14:textFill>
              </w:rPr>
              <w:t xml:space="preserve">　</w:t>
            </w:r>
            <w:r w:rsidRPr="00D52BD6">
              <w:rPr>
                <w:color w:val="000000"/>
                <w:w w:val="20"/>
                <w:shd w:val="solid" w:color="000000" w:fill="000000"/>
                <w:fitText w:val="90" w:id="-1032058358"/>
                <w14:textFill>
                  <w14:solidFill>
                    <w14:srgbClr w14:val="000000">
                      <w14:alpha w14:val="100000"/>
                    </w14:srgbClr>
                  </w14:solidFill>
                </w14:textFill>
              </w:rPr>
              <w:t>|</w:t>
            </w:r>
            <w:r w:rsidRPr="00D52BD6">
              <w:rPr>
                <w:rFonts w:hint="eastAsia"/>
                <w:color w:val="000000"/>
                <w:spacing w:val="3"/>
                <w:w w:val="20"/>
                <w:shd w:val="solid" w:color="000000" w:fill="000000"/>
                <w:fitText w:val="90" w:id="-1032058358"/>
                <w14:textFill>
                  <w14:solidFill>
                    <w14:srgbClr w14:val="000000">
                      <w14:alpha w14:val="100000"/>
                    </w14:srgbClr>
                  </w14:solidFill>
                </w14:textFill>
              </w:rPr>
              <w:t xml:space="preserve">　</w:t>
            </w:r>
            <w:r w:rsidR="00DE5ED8">
              <w:rPr>
                <w:vertAlign w:val="superscript"/>
              </w:rPr>
              <w:t>4</w:t>
            </w:r>
          </w:p>
        </w:tc>
        <w:tc>
          <w:tcPr>
            <w:tcW w:w="620" w:type="pct"/>
            <w:vAlign w:val="center"/>
          </w:tcPr>
          <w:p w14:paraId="16519396" w14:textId="27BDD847"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20"/>
                <w:shd w:val="solid" w:color="000000" w:fill="000000"/>
                <w:fitText w:val="90" w:id="-1032058357"/>
                <w14:textFill>
                  <w14:solidFill>
                    <w14:srgbClr w14:val="000000">
                      <w14:alpha w14:val="100000"/>
                    </w14:srgbClr>
                  </w14:solidFill>
                </w14:textFill>
              </w:rPr>
              <w:t xml:space="preserve">　</w:t>
            </w:r>
            <w:r w:rsidRPr="00D52BD6">
              <w:rPr>
                <w:color w:val="000000"/>
                <w:w w:val="20"/>
                <w:shd w:val="solid" w:color="000000" w:fill="000000"/>
                <w:fitText w:val="90" w:id="-1032058357"/>
                <w14:textFill>
                  <w14:solidFill>
                    <w14:srgbClr w14:val="000000">
                      <w14:alpha w14:val="100000"/>
                    </w14:srgbClr>
                  </w14:solidFill>
                </w14:textFill>
              </w:rPr>
              <w:t>|</w:t>
            </w:r>
            <w:r w:rsidRPr="00D52BD6">
              <w:rPr>
                <w:rFonts w:hint="eastAsia"/>
                <w:color w:val="000000"/>
                <w:spacing w:val="3"/>
                <w:w w:val="20"/>
                <w:shd w:val="solid" w:color="000000" w:fill="000000"/>
                <w:fitText w:val="90" w:id="-1032058357"/>
                <w14:textFill>
                  <w14:solidFill>
                    <w14:srgbClr w14:val="000000">
                      <w14:alpha w14:val="100000"/>
                    </w14:srgbClr>
                  </w14:solidFill>
                </w14:textFill>
              </w:rPr>
              <w:t xml:space="preserve">　</w:t>
            </w:r>
            <w:r w:rsidR="00DE5ED8">
              <w:rPr>
                <w:vertAlign w:val="superscript"/>
              </w:rPr>
              <w:t>4</w:t>
            </w:r>
          </w:p>
        </w:tc>
        <w:tc>
          <w:tcPr>
            <w:tcW w:w="642" w:type="pct"/>
            <w:vAlign w:val="center"/>
          </w:tcPr>
          <w:p w14:paraId="52979484" w14:textId="3B9F7D61"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15"/>
                <w:shd w:val="solid" w:color="000000" w:fill="000000"/>
                <w:fitText w:val="70" w:id="-1032058356"/>
                <w14:textFill>
                  <w14:solidFill>
                    <w14:srgbClr w14:val="000000">
                      <w14:alpha w14:val="100000"/>
                    </w14:srgbClr>
                  </w14:solidFill>
                </w14:textFill>
              </w:rPr>
              <w:t xml:space="preserve">　</w:t>
            </w:r>
            <w:r w:rsidRPr="00D52BD6">
              <w:rPr>
                <w:color w:val="000000"/>
                <w:w w:val="15"/>
                <w:shd w:val="solid" w:color="000000" w:fill="000000"/>
                <w:fitText w:val="70" w:id="-1032058356"/>
                <w14:textFill>
                  <w14:solidFill>
                    <w14:srgbClr w14:val="000000">
                      <w14:alpha w14:val="100000"/>
                    </w14:srgbClr>
                  </w14:solidFill>
                </w14:textFill>
              </w:rPr>
              <w:t>|</w:t>
            </w:r>
            <w:r w:rsidRPr="00D52BD6">
              <w:rPr>
                <w:rFonts w:hint="eastAsia"/>
                <w:color w:val="000000"/>
                <w:spacing w:val="4"/>
                <w:w w:val="15"/>
                <w:shd w:val="solid" w:color="000000" w:fill="000000"/>
                <w:fitText w:val="70" w:id="-1032058356"/>
                <w14:textFill>
                  <w14:solidFill>
                    <w14:srgbClr w14:val="000000">
                      <w14:alpha w14:val="100000"/>
                    </w14:srgbClr>
                  </w14:solidFill>
                </w14:textFill>
              </w:rPr>
              <w:t xml:space="preserve">　</w:t>
            </w:r>
            <w:r w:rsidR="00DE5ED8">
              <w:rPr>
                <w:vertAlign w:val="superscript"/>
              </w:rPr>
              <w:t>4</w:t>
            </w:r>
          </w:p>
        </w:tc>
        <w:tc>
          <w:tcPr>
            <w:tcW w:w="638" w:type="pct"/>
            <w:vAlign w:val="center"/>
          </w:tcPr>
          <w:p w14:paraId="1C29808B" w14:textId="41D8EF2C" w:rsidR="00DD1DB5" w:rsidRPr="00F0362D" w:rsidRDefault="00D52BD6" w:rsidP="001F3B65">
            <w:pPr>
              <w:pStyle w:val="TableText"/>
              <w:keepLines/>
              <w:snapToGrid w:val="0"/>
              <w:jc w:val="center"/>
              <w:rPr>
                <w:highlight w:val="darkGray"/>
              </w:rPr>
            </w:pPr>
            <w:r>
              <w:t xml:space="preserve"> </w:t>
            </w:r>
            <w:r w:rsidRPr="00D52BD6">
              <w:rPr>
                <w:rFonts w:hint="eastAsia"/>
                <w:color w:val="000000"/>
                <w:w w:val="18"/>
                <w:shd w:val="solid" w:color="000000" w:fill="000000"/>
                <w:fitText w:val="80" w:id="-1032058355"/>
                <w14:textFill>
                  <w14:solidFill>
                    <w14:srgbClr w14:val="000000">
                      <w14:alpha w14:val="100000"/>
                    </w14:srgbClr>
                  </w14:solidFill>
                </w14:textFill>
              </w:rPr>
              <w:t xml:space="preserve">　</w:t>
            </w:r>
            <w:r w:rsidRPr="00D52BD6">
              <w:rPr>
                <w:color w:val="000000"/>
                <w:w w:val="18"/>
                <w:shd w:val="solid" w:color="000000" w:fill="000000"/>
                <w:fitText w:val="80" w:id="-1032058355"/>
                <w14:textFill>
                  <w14:solidFill>
                    <w14:srgbClr w14:val="000000">
                      <w14:alpha w14:val="100000"/>
                    </w14:srgbClr>
                  </w14:solidFill>
                </w14:textFill>
              </w:rPr>
              <w:t>|</w:t>
            </w:r>
            <w:r w:rsidRPr="00D52BD6">
              <w:rPr>
                <w:rFonts w:hint="eastAsia"/>
                <w:color w:val="000000"/>
                <w:w w:val="18"/>
                <w:shd w:val="solid" w:color="000000" w:fill="000000"/>
                <w:fitText w:val="80" w:id="-1032058355"/>
                <w14:textFill>
                  <w14:solidFill>
                    <w14:srgbClr w14:val="000000">
                      <w14:alpha w14:val="100000"/>
                    </w14:srgbClr>
                  </w14:solidFill>
                </w14:textFill>
              </w:rPr>
              <w:t xml:space="preserve">　</w:t>
            </w:r>
            <w:r w:rsidR="00DE5ED8">
              <w:rPr>
                <w:vertAlign w:val="superscript"/>
              </w:rPr>
              <w:t>4</w:t>
            </w:r>
          </w:p>
        </w:tc>
      </w:tr>
      <w:tr w:rsidR="001665C3" w:rsidRPr="00E74297" w14:paraId="656C36D3" w14:textId="77777777" w:rsidTr="001665C3">
        <w:tc>
          <w:tcPr>
            <w:tcW w:w="5000" w:type="pct"/>
            <w:gridSpan w:val="7"/>
          </w:tcPr>
          <w:p w14:paraId="14E30CBC" w14:textId="1C32B67E" w:rsidR="001665C3" w:rsidRPr="00E74297" w:rsidRDefault="001665C3" w:rsidP="001F3B65">
            <w:pPr>
              <w:pStyle w:val="TableText"/>
              <w:keepLines/>
              <w:snapToGrid w:val="0"/>
              <w:rPr>
                <w:rFonts w:cstheme="minorHAnsi"/>
                <w:b/>
                <w:bCs w:val="0"/>
                <w:szCs w:val="20"/>
              </w:rPr>
            </w:pPr>
            <w:r w:rsidRPr="00E74297">
              <w:rPr>
                <w:b/>
                <w:bCs w:val="0"/>
                <w:szCs w:val="20"/>
              </w:rPr>
              <w:t>Net costs (no wastage)</w:t>
            </w:r>
          </w:p>
        </w:tc>
      </w:tr>
      <w:tr w:rsidR="00B24591" w:rsidRPr="00E74297" w14:paraId="03710D2A" w14:textId="77777777" w:rsidTr="00CC6F1D">
        <w:tc>
          <w:tcPr>
            <w:tcW w:w="1197" w:type="pct"/>
          </w:tcPr>
          <w:p w14:paraId="03803524" w14:textId="1505D040" w:rsidR="00B24591" w:rsidRPr="00E74297" w:rsidRDefault="00B24591" w:rsidP="001F3B65">
            <w:pPr>
              <w:pStyle w:val="TableText"/>
              <w:keepLines/>
              <w:snapToGrid w:val="0"/>
              <w:rPr>
                <w:rFonts w:cstheme="minorHAnsi"/>
                <w:szCs w:val="20"/>
              </w:rPr>
            </w:pPr>
            <w:r w:rsidRPr="00E74297">
              <w:rPr>
                <w:rFonts w:cstheme="minorHAnsi"/>
                <w:szCs w:val="20"/>
              </w:rPr>
              <w:t>Cost of SG to PBS/RPBS, less patient co-pays (</w:t>
            </w:r>
            <w:r w:rsidR="001F3B65">
              <w:rPr>
                <w:rFonts w:cstheme="minorHAnsi"/>
                <w:szCs w:val="20"/>
              </w:rPr>
              <w:t>$</w:t>
            </w:r>
            <w:r w:rsidR="00D52BD6" w:rsidRPr="001F3B65">
              <w:rPr>
                <w:rFonts w:cstheme="minorHAnsi"/>
                <w:color w:val="000000"/>
                <w:spacing w:val="53"/>
                <w:szCs w:val="20"/>
                <w:shd w:val="solid" w:color="000000" w:fill="000000"/>
                <w:fitText w:val="330" w:id="-1032058354"/>
                <w14:textFill>
                  <w14:solidFill>
                    <w14:srgbClr w14:val="000000">
                      <w14:alpha w14:val="100000"/>
                    </w14:srgbClr>
                  </w14:solidFill>
                </w14:textFill>
              </w:rPr>
              <w:t>|||</w:t>
            </w:r>
            <w:r w:rsidR="00D52BD6" w:rsidRPr="001F3B65">
              <w:rPr>
                <w:rFonts w:cstheme="minorHAnsi"/>
                <w:color w:val="000000"/>
                <w:spacing w:val="1"/>
                <w:szCs w:val="20"/>
                <w:shd w:val="solid" w:color="000000" w:fill="000000"/>
                <w:fitText w:val="330" w:id="-1032058354"/>
                <w14:textFill>
                  <w14:solidFill>
                    <w14:srgbClr w14:val="000000">
                      <w14:alpha w14:val="100000"/>
                    </w14:srgbClr>
                  </w14:solidFill>
                </w14:textFill>
              </w:rPr>
              <w:t>|</w:t>
            </w:r>
            <w:r w:rsidRPr="00E74297">
              <w:rPr>
                <w:rFonts w:cstheme="minorHAnsi"/>
                <w:szCs w:val="20"/>
              </w:rPr>
              <w:t xml:space="preserve"> per script) </w:t>
            </w:r>
          </w:p>
        </w:tc>
        <w:tc>
          <w:tcPr>
            <w:tcW w:w="639" w:type="pct"/>
            <w:vAlign w:val="center"/>
          </w:tcPr>
          <w:p w14:paraId="68835C8D" w14:textId="1EC9137E"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18"/>
                <w:shd w:val="solid" w:color="000000" w:fill="000000"/>
                <w:fitText w:val="80" w:id="-1032058353"/>
                <w14:textFill>
                  <w14:solidFill>
                    <w14:srgbClr w14:val="000000">
                      <w14:alpha w14:val="100000"/>
                    </w14:srgbClr>
                  </w14:solidFill>
                </w14:textFill>
              </w:rPr>
              <w:t xml:space="preserve">　</w:t>
            </w:r>
            <w:r w:rsidRPr="00D52BD6">
              <w:rPr>
                <w:color w:val="000000"/>
                <w:w w:val="18"/>
                <w:shd w:val="solid" w:color="000000" w:fill="000000"/>
                <w:fitText w:val="80" w:id="-1032058353"/>
                <w14:textFill>
                  <w14:solidFill>
                    <w14:srgbClr w14:val="000000">
                      <w14:alpha w14:val="100000"/>
                    </w14:srgbClr>
                  </w14:solidFill>
                </w14:textFill>
              </w:rPr>
              <w:t>|</w:t>
            </w:r>
            <w:r w:rsidRPr="00D52BD6">
              <w:rPr>
                <w:rFonts w:hint="eastAsia"/>
                <w:color w:val="000000"/>
                <w:w w:val="18"/>
                <w:shd w:val="solid" w:color="000000" w:fill="000000"/>
                <w:fitText w:val="80" w:id="-1032058353"/>
                <w14:textFill>
                  <w14:solidFill>
                    <w14:srgbClr w14:val="000000">
                      <w14:alpha w14:val="100000"/>
                    </w14:srgbClr>
                  </w14:solidFill>
                </w14:textFill>
              </w:rPr>
              <w:t xml:space="preserve">　</w:t>
            </w:r>
            <w:r w:rsidR="00DE5ED8">
              <w:rPr>
                <w:vertAlign w:val="superscript"/>
              </w:rPr>
              <w:t>5</w:t>
            </w:r>
          </w:p>
        </w:tc>
        <w:tc>
          <w:tcPr>
            <w:tcW w:w="630" w:type="pct"/>
            <w:vAlign w:val="center"/>
          </w:tcPr>
          <w:p w14:paraId="12826916" w14:textId="452E3CA7"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20"/>
                <w:shd w:val="solid" w:color="000000" w:fill="000000"/>
                <w:fitText w:val="90" w:id="-1032058352"/>
                <w14:textFill>
                  <w14:solidFill>
                    <w14:srgbClr w14:val="000000">
                      <w14:alpha w14:val="100000"/>
                    </w14:srgbClr>
                  </w14:solidFill>
                </w14:textFill>
              </w:rPr>
              <w:t xml:space="preserve">　</w:t>
            </w:r>
            <w:r w:rsidRPr="00D52BD6">
              <w:rPr>
                <w:color w:val="000000"/>
                <w:w w:val="20"/>
                <w:shd w:val="solid" w:color="000000" w:fill="000000"/>
                <w:fitText w:val="90" w:id="-1032058352"/>
                <w14:textFill>
                  <w14:solidFill>
                    <w14:srgbClr w14:val="000000">
                      <w14:alpha w14:val="100000"/>
                    </w14:srgbClr>
                  </w14:solidFill>
                </w14:textFill>
              </w:rPr>
              <w:t>|</w:t>
            </w:r>
            <w:r w:rsidRPr="00D52BD6">
              <w:rPr>
                <w:rFonts w:hint="eastAsia"/>
                <w:color w:val="000000"/>
                <w:spacing w:val="3"/>
                <w:w w:val="20"/>
                <w:shd w:val="solid" w:color="000000" w:fill="000000"/>
                <w:fitText w:val="90" w:id="-1032058352"/>
                <w14:textFill>
                  <w14:solidFill>
                    <w14:srgbClr w14:val="000000">
                      <w14:alpha w14:val="100000"/>
                    </w14:srgbClr>
                  </w14:solidFill>
                </w14:textFill>
              </w:rPr>
              <w:t xml:space="preserve">　</w:t>
            </w:r>
            <w:r w:rsidR="00DE5ED8">
              <w:rPr>
                <w:vertAlign w:val="superscript"/>
              </w:rPr>
              <w:t>5</w:t>
            </w:r>
          </w:p>
        </w:tc>
        <w:tc>
          <w:tcPr>
            <w:tcW w:w="634" w:type="pct"/>
            <w:vAlign w:val="center"/>
          </w:tcPr>
          <w:p w14:paraId="30063EFE" w14:textId="578A6F9D"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20"/>
                <w:shd w:val="solid" w:color="000000" w:fill="000000"/>
                <w:fitText w:val="90" w:id="-1032058368"/>
                <w14:textFill>
                  <w14:solidFill>
                    <w14:srgbClr w14:val="000000">
                      <w14:alpha w14:val="100000"/>
                    </w14:srgbClr>
                  </w14:solidFill>
                </w14:textFill>
              </w:rPr>
              <w:t xml:space="preserve">　</w:t>
            </w:r>
            <w:r w:rsidRPr="00D52BD6">
              <w:rPr>
                <w:color w:val="000000"/>
                <w:w w:val="20"/>
                <w:shd w:val="solid" w:color="000000" w:fill="000000"/>
                <w:fitText w:val="90" w:id="-1032058368"/>
                <w14:textFill>
                  <w14:solidFill>
                    <w14:srgbClr w14:val="000000">
                      <w14:alpha w14:val="100000"/>
                    </w14:srgbClr>
                  </w14:solidFill>
                </w14:textFill>
              </w:rPr>
              <w:t>|</w:t>
            </w:r>
            <w:r w:rsidRPr="00D52BD6">
              <w:rPr>
                <w:rFonts w:hint="eastAsia"/>
                <w:color w:val="000000"/>
                <w:spacing w:val="3"/>
                <w:w w:val="20"/>
                <w:shd w:val="solid" w:color="000000" w:fill="000000"/>
                <w:fitText w:val="90" w:id="-1032058368"/>
                <w14:textFill>
                  <w14:solidFill>
                    <w14:srgbClr w14:val="000000">
                      <w14:alpha w14:val="100000"/>
                    </w14:srgbClr>
                  </w14:solidFill>
                </w14:textFill>
              </w:rPr>
              <w:t xml:space="preserve">　</w:t>
            </w:r>
            <w:r w:rsidR="00DE5ED8">
              <w:rPr>
                <w:vertAlign w:val="superscript"/>
              </w:rPr>
              <w:t>6</w:t>
            </w:r>
          </w:p>
        </w:tc>
        <w:tc>
          <w:tcPr>
            <w:tcW w:w="620" w:type="pct"/>
            <w:vAlign w:val="center"/>
          </w:tcPr>
          <w:p w14:paraId="7AAB737B" w14:textId="4D944849"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20"/>
                <w:shd w:val="solid" w:color="000000" w:fill="000000"/>
                <w:fitText w:val="90" w:id="-1032058367"/>
                <w14:textFill>
                  <w14:solidFill>
                    <w14:srgbClr w14:val="000000">
                      <w14:alpha w14:val="100000"/>
                    </w14:srgbClr>
                  </w14:solidFill>
                </w14:textFill>
              </w:rPr>
              <w:t xml:space="preserve">　</w:t>
            </w:r>
            <w:r w:rsidRPr="00D52BD6">
              <w:rPr>
                <w:color w:val="000000"/>
                <w:w w:val="20"/>
                <w:shd w:val="solid" w:color="000000" w:fill="000000"/>
                <w:fitText w:val="90" w:id="-1032058367"/>
                <w14:textFill>
                  <w14:solidFill>
                    <w14:srgbClr w14:val="000000">
                      <w14:alpha w14:val="100000"/>
                    </w14:srgbClr>
                  </w14:solidFill>
                </w14:textFill>
              </w:rPr>
              <w:t>|</w:t>
            </w:r>
            <w:r w:rsidRPr="00D52BD6">
              <w:rPr>
                <w:rFonts w:hint="eastAsia"/>
                <w:color w:val="000000"/>
                <w:spacing w:val="3"/>
                <w:w w:val="20"/>
                <w:shd w:val="solid" w:color="000000" w:fill="000000"/>
                <w:fitText w:val="90" w:id="-1032058367"/>
                <w14:textFill>
                  <w14:solidFill>
                    <w14:srgbClr w14:val="000000">
                      <w14:alpha w14:val="100000"/>
                    </w14:srgbClr>
                  </w14:solidFill>
                </w14:textFill>
              </w:rPr>
              <w:t xml:space="preserve">　</w:t>
            </w:r>
            <w:r w:rsidR="00DE5ED8">
              <w:rPr>
                <w:vertAlign w:val="superscript"/>
              </w:rPr>
              <w:t>6</w:t>
            </w:r>
          </w:p>
        </w:tc>
        <w:tc>
          <w:tcPr>
            <w:tcW w:w="642" w:type="pct"/>
            <w:vAlign w:val="center"/>
          </w:tcPr>
          <w:p w14:paraId="1E7A3464" w14:textId="3BA72FAB"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15"/>
                <w:shd w:val="solid" w:color="000000" w:fill="000000"/>
                <w:fitText w:val="70" w:id="-1032058366"/>
                <w14:textFill>
                  <w14:solidFill>
                    <w14:srgbClr w14:val="000000">
                      <w14:alpha w14:val="100000"/>
                    </w14:srgbClr>
                  </w14:solidFill>
                </w14:textFill>
              </w:rPr>
              <w:t xml:space="preserve">　</w:t>
            </w:r>
            <w:r w:rsidRPr="00D52BD6">
              <w:rPr>
                <w:color w:val="000000"/>
                <w:w w:val="15"/>
                <w:shd w:val="solid" w:color="000000" w:fill="000000"/>
                <w:fitText w:val="70" w:id="-1032058366"/>
                <w14:textFill>
                  <w14:solidFill>
                    <w14:srgbClr w14:val="000000">
                      <w14:alpha w14:val="100000"/>
                    </w14:srgbClr>
                  </w14:solidFill>
                </w14:textFill>
              </w:rPr>
              <w:t>|</w:t>
            </w:r>
            <w:r w:rsidRPr="00D52BD6">
              <w:rPr>
                <w:rFonts w:hint="eastAsia"/>
                <w:color w:val="000000"/>
                <w:spacing w:val="4"/>
                <w:w w:val="15"/>
                <w:shd w:val="solid" w:color="000000" w:fill="000000"/>
                <w:fitText w:val="70" w:id="-1032058366"/>
                <w14:textFill>
                  <w14:solidFill>
                    <w14:srgbClr w14:val="000000">
                      <w14:alpha w14:val="100000"/>
                    </w14:srgbClr>
                  </w14:solidFill>
                </w14:textFill>
              </w:rPr>
              <w:t xml:space="preserve">　</w:t>
            </w:r>
            <w:r w:rsidR="00DE5ED8">
              <w:rPr>
                <w:vertAlign w:val="superscript"/>
              </w:rPr>
              <w:t>6</w:t>
            </w:r>
          </w:p>
        </w:tc>
        <w:tc>
          <w:tcPr>
            <w:tcW w:w="638" w:type="pct"/>
            <w:vAlign w:val="center"/>
          </w:tcPr>
          <w:p w14:paraId="513899CC" w14:textId="70178C8E"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18"/>
                <w:shd w:val="solid" w:color="000000" w:fill="000000"/>
                <w:fitText w:val="80" w:id="-1032058365"/>
                <w14:textFill>
                  <w14:solidFill>
                    <w14:srgbClr w14:val="000000">
                      <w14:alpha w14:val="100000"/>
                    </w14:srgbClr>
                  </w14:solidFill>
                </w14:textFill>
              </w:rPr>
              <w:t xml:space="preserve">　</w:t>
            </w:r>
            <w:r w:rsidRPr="00D52BD6">
              <w:rPr>
                <w:color w:val="000000"/>
                <w:w w:val="18"/>
                <w:shd w:val="solid" w:color="000000" w:fill="000000"/>
                <w:fitText w:val="80" w:id="-1032058365"/>
                <w14:textFill>
                  <w14:solidFill>
                    <w14:srgbClr w14:val="000000">
                      <w14:alpha w14:val="100000"/>
                    </w14:srgbClr>
                  </w14:solidFill>
                </w14:textFill>
              </w:rPr>
              <w:t>|</w:t>
            </w:r>
            <w:r w:rsidRPr="00D52BD6">
              <w:rPr>
                <w:rFonts w:hint="eastAsia"/>
                <w:color w:val="000000"/>
                <w:w w:val="18"/>
                <w:shd w:val="solid" w:color="000000" w:fill="000000"/>
                <w:fitText w:val="80" w:id="-1032058365"/>
                <w14:textFill>
                  <w14:solidFill>
                    <w14:srgbClr w14:val="000000">
                      <w14:alpha w14:val="100000"/>
                    </w14:srgbClr>
                  </w14:solidFill>
                </w14:textFill>
              </w:rPr>
              <w:t xml:space="preserve">　</w:t>
            </w:r>
            <w:r w:rsidR="00DE5ED8">
              <w:rPr>
                <w:vertAlign w:val="superscript"/>
              </w:rPr>
              <w:t>6</w:t>
            </w:r>
          </w:p>
        </w:tc>
      </w:tr>
      <w:tr w:rsidR="00B24591" w:rsidRPr="00E74297" w14:paraId="2A6CA077" w14:textId="77777777" w:rsidTr="00CC6F1D">
        <w:trPr>
          <w:trHeight w:val="680"/>
        </w:trPr>
        <w:tc>
          <w:tcPr>
            <w:tcW w:w="1197" w:type="pct"/>
          </w:tcPr>
          <w:p w14:paraId="2312C6DF" w14:textId="77777777" w:rsidR="00B24591" w:rsidRPr="00E74297" w:rsidRDefault="00B24591" w:rsidP="001F3B65">
            <w:pPr>
              <w:pStyle w:val="TableText"/>
              <w:keepLines/>
              <w:snapToGrid w:val="0"/>
              <w:rPr>
                <w:rFonts w:cstheme="minorHAnsi"/>
                <w:szCs w:val="20"/>
              </w:rPr>
            </w:pPr>
            <w:r w:rsidRPr="00E74297">
              <w:rPr>
                <w:rFonts w:cstheme="minorHAnsi"/>
                <w:szCs w:val="20"/>
              </w:rPr>
              <w:t>Net Reduction to RPBS/PBS less co-pays for the affected medicines</w:t>
            </w:r>
          </w:p>
        </w:tc>
        <w:tc>
          <w:tcPr>
            <w:tcW w:w="639" w:type="pct"/>
            <w:vAlign w:val="center"/>
          </w:tcPr>
          <w:p w14:paraId="22641ED9" w14:textId="2E566E89"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18"/>
                <w:shd w:val="solid" w:color="000000" w:fill="000000"/>
                <w:fitText w:val="80" w:id="-1032058364"/>
                <w14:textFill>
                  <w14:solidFill>
                    <w14:srgbClr w14:val="000000">
                      <w14:alpha w14:val="100000"/>
                    </w14:srgbClr>
                  </w14:solidFill>
                </w14:textFill>
              </w:rPr>
              <w:t xml:space="preserve">　</w:t>
            </w:r>
            <w:r w:rsidRPr="00D52BD6">
              <w:rPr>
                <w:color w:val="000000"/>
                <w:w w:val="18"/>
                <w:shd w:val="solid" w:color="000000" w:fill="000000"/>
                <w:fitText w:val="80" w:id="-1032058364"/>
                <w14:textFill>
                  <w14:solidFill>
                    <w14:srgbClr w14:val="000000">
                      <w14:alpha w14:val="100000"/>
                    </w14:srgbClr>
                  </w14:solidFill>
                </w14:textFill>
              </w:rPr>
              <w:t>|</w:t>
            </w:r>
            <w:r w:rsidRPr="00D52BD6">
              <w:rPr>
                <w:rFonts w:hint="eastAsia"/>
                <w:color w:val="000000"/>
                <w:w w:val="18"/>
                <w:shd w:val="solid" w:color="000000" w:fill="000000"/>
                <w:fitText w:val="80" w:id="-1032058364"/>
                <w14:textFill>
                  <w14:solidFill>
                    <w14:srgbClr w14:val="000000">
                      <w14:alpha w14:val="100000"/>
                    </w14:srgbClr>
                  </w14:solidFill>
                </w14:textFill>
              </w:rPr>
              <w:t xml:space="preserve">　</w:t>
            </w:r>
            <w:r w:rsidR="00DE5ED8">
              <w:rPr>
                <w:vertAlign w:val="superscript"/>
              </w:rPr>
              <w:t>7</w:t>
            </w:r>
          </w:p>
        </w:tc>
        <w:tc>
          <w:tcPr>
            <w:tcW w:w="630" w:type="pct"/>
            <w:vAlign w:val="center"/>
          </w:tcPr>
          <w:p w14:paraId="76002965" w14:textId="1E4B2C48"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20"/>
                <w:shd w:val="solid" w:color="000000" w:fill="000000"/>
                <w:fitText w:val="90" w:id="-1032058363"/>
                <w14:textFill>
                  <w14:solidFill>
                    <w14:srgbClr w14:val="000000">
                      <w14:alpha w14:val="100000"/>
                    </w14:srgbClr>
                  </w14:solidFill>
                </w14:textFill>
              </w:rPr>
              <w:t xml:space="preserve">　</w:t>
            </w:r>
            <w:r w:rsidRPr="00D52BD6">
              <w:rPr>
                <w:color w:val="000000"/>
                <w:w w:val="20"/>
                <w:shd w:val="solid" w:color="000000" w:fill="000000"/>
                <w:fitText w:val="90" w:id="-1032058363"/>
                <w14:textFill>
                  <w14:solidFill>
                    <w14:srgbClr w14:val="000000">
                      <w14:alpha w14:val="100000"/>
                    </w14:srgbClr>
                  </w14:solidFill>
                </w14:textFill>
              </w:rPr>
              <w:t>|</w:t>
            </w:r>
            <w:r w:rsidRPr="00D52BD6">
              <w:rPr>
                <w:rFonts w:hint="eastAsia"/>
                <w:color w:val="000000"/>
                <w:spacing w:val="3"/>
                <w:w w:val="20"/>
                <w:shd w:val="solid" w:color="000000" w:fill="000000"/>
                <w:fitText w:val="90" w:id="-1032058363"/>
                <w14:textFill>
                  <w14:solidFill>
                    <w14:srgbClr w14:val="000000">
                      <w14:alpha w14:val="100000"/>
                    </w14:srgbClr>
                  </w14:solidFill>
                </w14:textFill>
              </w:rPr>
              <w:t xml:space="preserve">　</w:t>
            </w:r>
            <w:r w:rsidR="00DE5ED8">
              <w:rPr>
                <w:vertAlign w:val="superscript"/>
              </w:rPr>
              <w:t>7</w:t>
            </w:r>
          </w:p>
        </w:tc>
        <w:tc>
          <w:tcPr>
            <w:tcW w:w="634" w:type="pct"/>
            <w:vAlign w:val="center"/>
          </w:tcPr>
          <w:p w14:paraId="7F40FB3A" w14:textId="705D9AA0"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20"/>
                <w:shd w:val="solid" w:color="000000" w:fill="000000"/>
                <w:fitText w:val="90" w:id="-1032058362"/>
                <w14:textFill>
                  <w14:solidFill>
                    <w14:srgbClr w14:val="000000">
                      <w14:alpha w14:val="100000"/>
                    </w14:srgbClr>
                  </w14:solidFill>
                </w14:textFill>
              </w:rPr>
              <w:t xml:space="preserve">　</w:t>
            </w:r>
            <w:r w:rsidRPr="00D52BD6">
              <w:rPr>
                <w:color w:val="000000"/>
                <w:w w:val="20"/>
                <w:shd w:val="solid" w:color="000000" w:fill="000000"/>
                <w:fitText w:val="90" w:id="-1032058362"/>
                <w14:textFill>
                  <w14:solidFill>
                    <w14:srgbClr w14:val="000000">
                      <w14:alpha w14:val="100000"/>
                    </w14:srgbClr>
                  </w14:solidFill>
                </w14:textFill>
              </w:rPr>
              <w:t>|</w:t>
            </w:r>
            <w:r w:rsidRPr="00D52BD6">
              <w:rPr>
                <w:rFonts w:hint="eastAsia"/>
                <w:color w:val="000000"/>
                <w:spacing w:val="3"/>
                <w:w w:val="20"/>
                <w:shd w:val="solid" w:color="000000" w:fill="000000"/>
                <w:fitText w:val="90" w:id="-1032058362"/>
                <w14:textFill>
                  <w14:solidFill>
                    <w14:srgbClr w14:val="000000">
                      <w14:alpha w14:val="100000"/>
                    </w14:srgbClr>
                  </w14:solidFill>
                </w14:textFill>
              </w:rPr>
              <w:t xml:space="preserve">　</w:t>
            </w:r>
            <w:r w:rsidR="00DE5ED8">
              <w:rPr>
                <w:vertAlign w:val="superscript"/>
              </w:rPr>
              <w:t>7</w:t>
            </w:r>
          </w:p>
        </w:tc>
        <w:tc>
          <w:tcPr>
            <w:tcW w:w="620" w:type="pct"/>
            <w:vAlign w:val="center"/>
          </w:tcPr>
          <w:p w14:paraId="7AF2E3DE" w14:textId="1A69B64D"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20"/>
                <w:shd w:val="solid" w:color="000000" w:fill="000000"/>
                <w:fitText w:val="90" w:id="-1032058361"/>
                <w14:textFill>
                  <w14:solidFill>
                    <w14:srgbClr w14:val="000000">
                      <w14:alpha w14:val="100000"/>
                    </w14:srgbClr>
                  </w14:solidFill>
                </w14:textFill>
              </w:rPr>
              <w:t xml:space="preserve">　</w:t>
            </w:r>
            <w:r w:rsidRPr="00D52BD6">
              <w:rPr>
                <w:color w:val="000000"/>
                <w:w w:val="20"/>
                <w:shd w:val="solid" w:color="000000" w:fill="000000"/>
                <w:fitText w:val="90" w:id="-1032058361"/>
                <w14:textFill>
                  <w14:solidFill>
                    <w14:srgbClr w14:val="000000">
                      <w14:alpha w14:val="100000"/>
                    </w14:srgbClr>
                  </w14:solidFill>
                </w14:textFill>
              </w:rPr>
              <w:t>|</w:t>
            </w:r>
            <w:r w:rsidRPr="00D52BD6">
              <w:rPr>
                <w:rFonts w:hint="eastAsia"/>
                <w:color w:val="000000"/>
                <w:spacing w:val="3"/>
                <w:w w:val="20"/>
                <w:shd w:val="solid" w:color="000000" w:fill="000000"/>
                <w:fitText w:val="90" w:id="-1032058361"/>
                <w14:textFill>
                  <w14:solidFill>
                    <w14:srgbClr w14:val="000000">
                      <w14:alpha w14:val="100000"/>
                    </w14:srgbClr>
                  </w14:solidFill>
                </w14:textFill>
              </w:rPr>
              <w:t xml:space="preserve">　</w:t>
            </w:r>
            <w:r w:rsidR="00DE5ED8">
              <w:rPr>
                <w:vertAlign w:val="superscript"/>
              </w:rPr>
              <w:t>7</w:t>
            </w:r>
          </w:p>
        </w:tc>
        <w:tc>
          <w:tcPr>
            <w:tcW w:w="642" w:type="pct"/>
            <w:vAlign w:val="center"/>
          </w:tcPr>
          <w:p w14:paraId="531CA8F8" w14:textId="245D917D"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15"/>
                <w:shd w:val="solid" w:color="000000" w:fill="000000"/>
                <w:fitText w:val="70" w:id="-1032058360"/>
                <w14:textFill>
                  <w14:solidFill>
                    <w14:srgbClr w14:val="000000">
                      <w14:alpha w14:val="100000"/>
                    </w14:srgbClr>
                  </w14:solidFill>
                </w14:textFill>
              </w:rPr>
              <w:t xml:space="preserve">　</w:t>
            </w:r>
            <w:r w:rsidRPr="00D52BD6">
              <w:rPr>
                <w:color w:val="000000"/>
                <w:w w:val="15"/>
                <w:shd w:val="solid" w:color="000000" w:fill="000000"/>
                <w:fitText w:val="70" w:id="-1032058360"/>
                <w14:textFill>
                  <w14:solidFill>
                    <w14:srgbClr w14:val="000000">
                      <w14:alpha w14:val="100000"/>
                    </w14:srgbClr>
                  </w14:solidFill>
                </w14:textFill>
              </w:rPr>
              <w:t>|</w:t>
            </w:r>
            <w:r w:rsidRPr="00D52BD6">
              <w:rPr>
                <w:rFonts w:hint="eastAsia"/>
                <w:color w:val="000000"/>
                <w:spacing w:val="4"/>
                <w:w w:val="15"/>
                <w:shd w:val="solid" w:color="000000" w:fill="000000"/>
                <w:fitText w:val="70" w:id="-1032058360"/>
                <w14:textFill>
                  <w14:solidFill>
                    <w14:srgbClr w14:val="000000">
                      <w14:alpha w14:val="100000"/>
                    </w14:srgbClr>
                  </w14:solidFill>
                </w14:textFill>
              </w:rPr>
              <w:t xml:space="preserve">　</w:t>
            </w:r>
            <w:r w:rsidR="00DE5ED8">
              <w:rPr>
                <w:vertAlign w:val="superscript"/>
              </w:rPr>
              <w:t>7</w:t>
            </w:r>
          </w:p>
        </w:tc>
        <w:tc>
          <w:tcPr>
            <w:tcW w:w="638" w:type="pct"/>
            <w:vAlign w:val="center"/>
          </w:tcPr>
          <w:p w14:paraId="0D8B0C89" w14:textId="44374A2B" w:rsidR="00B24591" w:rsidRPr="00F0362D" w:rsidRDefault="00D52BD6" w:rsidP="001F3B65">
            <w:pPr>
              <w:pStyle w:val="TableText"/>
              <w:keepLines/>
              <w:snapToGrid w:val="0"/>
              <w:jc w:val="center"/>
              <w:rPr>
                <w:rFonts w:cstheme="minorHAnsi"/>
                <w:szCs w:val="20"/>
                <w:highlight w:val="darkGray"/>
              </w:rPr>
            </w:pPr>
            <w:r>
              <w:t xml:space="preserve"> </w:t>
            </w:r>
            <w:r w:rsidRPr="00D52BD6">
              <w:rPr>
                <w:rFonts w:hint="eastAsia"/>
                <w:color w:val="000000"/>
                <w:w w:val="18"/>
                <w:shd w:val="solid" w:color="000000" w:fill="000000"/>
                <w:fitText w:val="80" w:id="-1032058359"/>
                <w14:textFill>
                  <w14:solidFill>
                    <w14:srgbClr w14:val="000000">
                      <w14:alpha w14:val="100000"/>
                    </w14:srgbClr>
                  </w14:solidFill>
                </w14:textFill>
              </w:rPr>
              <w:t xml:space="preserve">　</w:t>
            </w:r>
            <w:r w:rsidRPr="00D52BD6">
              <w:rPr>
                <w:color w:val="000000"/>
                <w:w w:val="18"/>
                <w:shd w:val="solid" w:color="000000" w:fill="000000"/>
                <w:fitText w:val="80" w:id="-1032058359"/>
                <w14:textFill>
                  <w14:solidFill>
                    <w14:srgbClr w14:val="000000">
                      <w14:alpha w14:val="100000"/>
                    </w14:srgbClr>
                  </w14:solidFill>
                </w14:textFill>
              </w:rPr>
              <w:t>|</w:t>
            </w:r>
            <w:r w:rsidRPr="00D52BD6">
              <w:rPr>
                <w:rFonts w:hint="eastAsia"/>
                <w:color w:val="000000"/>
                <w:w w:val="18"/>
                <w:shd w:val="solid" w:color="000000" w:fill="000000"/>
                <w:fitText w:val="80" w:id="-1032058359"/>
                <w14:textFill>
                  <w14:solidFill>
                    <w14:srgbClr w14:val="000000">
                      <w14:alpha w14:val="100000"/>
                    </w14:srgbClr>
                  </w14:solidFill>
                </w14:textFill>
              </w:rPr>
              <w:t xml:space="preserve">　</w:t>
            </w:r>
            <w:r w:rsidR="00DE5ED8">
              <w:rPr>
                <w:vertAlign w:val="superscript"/>
              </w:rPr>
              <w:t>7</w:t>
            </w:r>
          </w:p>
        </w:tc>
      </w:tr>
      <w:tr w:rsidR="00B24591" w:rsidRPr="00E74297" w14:paraId="267C7441" w14:textId="77777777" w:rsidTr="00AF781B">
        <w:tc>
          <w:tcPr>
            <w:tcW w:w="1197" w:type="pct"/>
          </w:tcPr>
          <w:p w14:paraId="2454ADA7" w14:textId="77777777" w:rsidR="00B24591" w:rsidRPr="00E74297" w:rsidRDefault="00B24591" w:rsidP="001F3B65">
            <w:pPr>
              <w:pStyle w:val="TableText"/>
              <w:keepLines/>
              <w:snapToGrid w:val="0"/>
              <w:rPr>
                <w:rFonts w:cstheme="minorHAnsi"/>
                <w:b/>
                <w:bCs w:val="0"/>
                <w:szCs w:val="20"/>
              </w:rPr>
            </w:pPr>
            <w:r w:rsidRPr="00E74297">
              <w:rPr>
                <w:rFonts w:cstheme="minorHAnsi"/>
                <w:b/>
                <w:bCs w:val="0"/>
                <w:szCs w:val="20"/>
              </w:rPr>
              <w:t>Net cost to the PBS/RPBS</w:t>
            </w:r>
          </w:p>
        </w:tc>
        <w:tc>
          <w:tcPr>
            <w:tcW w:w="639" w:type="pct"/>
          </w:tcPr>
          <w:p w14:paraId="5F96B0E3" w14:textId="24CFCE77" w:rsidR="00B24591" w:rsidRPr="00F0362D" w:rsidRDefault="00D52BD6" w:rsidP="001F3B65">
            <w:pPr>
              <w:pStyle w:val="TableText"/>
              <w:keepLines/>
              <w:snapToGrid w:val="0"/>
              <w:jc w:val="center"/>
              <w:rPr>
                <w:rFonts w:cstheme="minorHAnsi"/>
                <w:b/>
                <w:bCs w:val="0"/>
                <w:color w:val="FF0000"/>
                <w:szCs w:val="20"/>
                <w:highlight w:val="darkGray"/>
              </w:rPr>
            </w:pPr>
            <w:r>
              <w:rPr>
                <w:b/>
                <w:bCs w:val="0"/>
              </w:rPr>
              <w:t xml:space="preserve"> </w:t>
            </w:r>
            <w:r w:rsidRPr="00D52BD6">
              <w:rPr>
                <w:rFonts w:hint="eastAsia"/>
                <w:b/>
                <w:bCs w:val="0"/>
                <w:color w:val="000000"/>
                <w:w w:val="29"/>
                <w:shd w:val="solid" w:color="000000" w:fill="000000"/>
                <w:fitText w:val="130" w:id="-1032058358"/>
                <w14:textFill>
                  <w14:solidFill>
                    <w14:srgbClr w14:val="000000">
                      <w14:alpha w14:val="100000"/>
                    </w14:srgbClr>
                  </w14:solidFill>
                </w14:textFill>
              </w:rPr>
              <w:t xml:space="preserve">　</w:t>
            </w:r>
            <w:r w:rsidRPr="00D52BD6">
              <w:rPr>
                <w:b/>
                <w:bCs w:val="0"/>
                <w:color w:val="000000"/>
                <w:w w:val="29"/>
                <w:shd w:val="solid" w:color="000000" w:fill="000000"/>
                <w:fitText w:val="130" w:id="-1032058358"/>
                <w14:textFill>
                  <w14:solidFill>
                    <w14:srgbClr w14:val="000000">
                      <w14:alpha w14:val="100000"/>
                    </w14:srgbClr>
                  </w14:solidFill>
                </w14:textFill>
              </w:rPr>
              <w:t>|</w:t>
            </w:r>
            <w:r w:rsidRPr="00D52BD6">
              <w:rPr>
                <w:rFonts w:hint="eastAsia"/>
                <w:b/>
                <w:bCs w:val="0"/>
                <w:color w:val="000000"/>
                <w:spacing w:val="1"/>
                <w:w w:val="29"/>
                <w:shd w:val="solid" w:color="000000" w:fill="000000"/>
                <w:fitText w:val="130" w:id="-1032058358"/>
                <w14:textFill>
                  <w14:solidFill>
                    <w14:srgbClr w14:val="000000">
                      <w14:alpha w14:val="100000"/>
                    </w14:srgbClr>
                  </w14:solidFill>
                </w14:textFill>
              </w:rPr>
              <w:t xml:space="preserve">　</w:t>
            </w:r>
            <w:r w:rsidR="00DE5ED8">
              <w:rPr>
                <w:vertAlign w:val="superscript"/>
              </w:rPr>
              <w:t>5</w:t>
            </w:r>
          </w:p>
        </w:tc>
        <w:tc>
          <w:tcPr>
            <w:tcW w:w="630" w:type="pct"/>
          </w:tcPr>
          <w:p w14:paraId="330CF0C6" w14:textId="1D4C7263" w:rsidR="00B24591" w:rsidRPr="00F0362D" w:rsidRDefault="00D52BD6" w:rsidP="001F3B65">
            <w:pPr>
              <w:pStyle w:val="TableText"/>
              <w:keepLines/>
              <w:snapToGrid w:val="0"/>
              <w:jc w:val="center"/>
              <w:rPr>
                <w:rFonts w:cstheme="minorHAnsi"/>
                <w:b/>
                <w:bCs w:val="0"/>
                <w:color w:val="FF0000"/>
                <w:szCs w:val="20"/>
                <w:highlight w:val="darkGray"/>
              </w:rPr>
            </w:pPr>
            <w:r>
              <w:rPr>
                <w:b/>
                <w:bCs w:val="0"/>
              </w:rPr>
              <w:t xml:space="preserve"> </w:t>
            </w:r>
            <w:r w:rsidRPr="00D52BD6">
              <w:rPr>
                <w:rFonts w:hint="eastAsia"/>
                <w:b/>
                <w:bCs w:val="0"/>
                <w:color w:val="000000"/>
                <w:w w:val="29"/>
                <w:shd w:val="solid" w:color="000000" w:fill="000000"/>
                <w:fitText w:val="130" w:id="-1032058357"/>
                <w14:textFill>
                  <w14:solidFill>
                    <w14:srgbClr w14:val="000000">
                      <w14:alpha w14:val="100000"/>
                    </w14:srgbClr>
                  </w14:solidFill>
                </w14:textFill>
              </w:rPr>
              <w:t xml:space="preserve">　</w:t>
            </w:r>
            <w:r w:rsidRPr="00D52BD6">
              <w:rPr>
                <w:b/>
                <w:bCs w:val="0"/>
                <w:color w:val="000000"/>
                <w:w w:val="29"/>
                <w:shd w:val="solid" w:color="000000" w:fill="000000"/>
                <w:fitText w:val="130" w:id="-1032058357"/>
                <w14:textFill>
                  <w14:solidFill>
                    <w14:srgbClr w14:val="000000">
                      <w14:alpha w14:val="100000"/>
                    </w14:srgbClr>
                  </w14:solidFill>
                </w14:textFill>
              </w:rPr>
              <w:t>|</w:t>
            </w:r>
            <w:r w:rsidRPr="00D52BD6">
              <w:rPr>
                <w:rFonts w:hint="eastAsia"/>
                <w:b/>
                <w:bCs w:val="0"/>
                <w:color w:val="000000"/>
                <w:spacing w:val="1"/>
                <w:w w:val="29"/>
                <w:shd w:val="solid" w:color="000000" w:fill="000000"/>
                <w:fitText w:val="130" w:id="-1032058357"/>
                <w14:textFill>
                  <w14:solidFill>
                    <w14:srgbClr w14:val="000000">
                      <w14:alpha w14:val="100000"/>
                    </w14:srgbClr>
                  </w14:solidFill>
                </w14:textFill>
              </w:rPr>
              <w:t xml:space="preserve">　</w:t>
            </w:r>
            <w:r w:rsidR="00DE5ED8">
              <w:rPr>
                <w:vertAlign w:val="superscript"/>
              </w:rPr>
              <w:t>5</w:t>
            </w:r>
          </w:p>
        </w:tc>
        <w:tc>
          <w:tcPr>
            <w:tcW w:w="634" w:type="pct"/>
          </w:tcPr>
          <w:p w14:paraId="127D9C85" w14:textId="26AE97C2" w:rsidR="00B24591" w:rsidRPr="00F0362D" w:rsidRDefault="00D52BD6" w:rsidP="001F3B65">
            <w:pPr>
              <w:pStyle w:val="TableText"/>
              <w:keepLines/>
              <w:snapToGrid w:val="0"/>
              <w:jc w:val="center"/>
              <w:rPr>
                <w:rFonts w:cstheme="minorHAnsi"/>
                <w:b/>
                <w:bCs w:val="0"/>
                <w:color w:val="FF0000"/>
                <w:szCs w:val="20"/>
                <w:highlight w:val="darkGray"/>
              </w:rPr>
            </w:pPr>
            <w:r>
              <w:rPr>
                <w:b/>
                <w:bCs w:val="0"/>
              </w:rPr>
              <w:t xml:space="preserve"> </w:t>
            </w:r>
            <w:r w:rsidRPr="00D52BD6">
              <w:rPr>
                <w:rFonts w:hint="eastAsia"/>
                <w:b/>
                <w:bCs w:val="0"/>
                <w:color w:val="000000"/>
                <w:w w:val="26"/>
                <w:shd w:val="solid" w:color="000000" w:fill="000000"/>
                <w:fitText w:val="120" w:id="-1032058356"/>
                <w14:textFill>
                  <w14:solidFill>
                    <w14:srgbClr w14:val="000000">
                      <w14:alpha w14:val="100000"/>
                    </w14:srgbClr>
                  </w14:solidFill>
                </w14:textFill>
              </w:rPr>
              <w:t xml:space="preserve">　</w:t>
            </w:r>
            <w:r w:rsidRPr="00D52BD6">
              <w:rPr>
                <w:b/>
                <w:bCs w:val="0"/>
                <w:color w:val="000000"/>
                <w:w w:val="26"/>
                <w:shd w:val="solid" w:color="000000" w:fill="000000"/>
                <w:fitText w:val="120" w:id="-1032058356"/>
                <w14:textFill>
                  <w14:solidFill>
                    <w14:srgbClr w14:val="000000">
                      <w14:alpha w14:val="100000"/>
                    </w14:srgbClr>
                  </w14:solidFill>
                </w14:textFill>
              </w:rPr>
              <w:t>|</w:t>
            </w:r>
            <w:r w:rsidRPr="00D52BD6">
              <w:rPr>
                <w:rFonts w:hint="eastAsia"/>
                <w:b/>
                <w:bCs w:val="0"/>
                <w:color w:val="000000"/>
                <w:spacing w:val="4"/>
                <w:w w:val="26"/>
                <w:shd w:val="solid" w:color="000000" w:fill="000000"/>
                <w:fitText w:val="120" w:id="-1032058356"/>
                <w14:textFill>
                  <w14:solidFill>
                    <w14:srgbClr w14:val="000000">
                      <w14:alpha w14:val="100000"/>
                    </w14:srgbClr>
                  </w14:solidFill>
                </w14:textFill>
              </w:rPr>
              <w:t xml:space="preserve">　</w:t>
            </w:r>
            <w:r w:rsidR="00DE5ED8">
              <w:rPr>
                <w:vertAlign w:val="superscript"/>
              </w:rPr>
              <w:t>5</w:t>
            </w:r>
          </w:p>
        </w:tc>
        <w:tc>
          <w:tcPr>
            <w:tcW w:w="620" w:type="pct"/>
          </w:tcPr>
          <w:p w14:paraId="77EA63D1" w14:textId="166A456E" w:rsidR="00B24591" w:rsidRPr="00F0362D" w:rsidRDefault="00D52BD6" w:rsidP="001F3B65">
            <w:pPr>
              <w:pStyle w:val="TableText"/>
              <w:keepLines/>
              <w:snapToGrid w:val="0"/>
              <w:jc w:val="center"/>
              <w:rPr>
                <w:rFonts w:cstheme="minorHAnsi"/>
                <w:b/>
                <w:bCs w:val="0"/>
                <w:color w:val="FF0000"/>
                <w:szCs w:val="20"/>
                <w:highlight w:val="darkGray"/>
              </w:rPr>
            </w:pPr>
            <w:r>
              <w:rPr>
                <w:b/>
                <w:bCs w:val="0"/>
              </w:rPr>
              <w:t xml:space="preserve"> </w:t>
            </w:r>
            <w:r w:rsidRPr="00D52BD6">
              <w:rPr>
                <w:rFonts w:hint="eastAsia"/>
                <w:b/>
                <w:bCs w:val="0"/>
                <w:color w:val="000000"/>
                <w:w w:val="31"/>
                <w:shd w:val="solid" w:color="000000" w:fill="000000"/>
                <w:fitText w:val="140" w:id="-1032058355"/>
                <w14:textFill>
                  <w14:solidFill>
                    <w14:srgbClr w14:val="000000">
                      <w14:alpha w14:val="100000"/>
                    </w14:srgbClr>
                  </w14:solidFill>
                </w14:textFill>
              </w:rPr>
              <w:t xml:space="preserve">　</w:t>
            </w:r>
            <w:r w:rsidRPr="00D52BD6">
              <w:rPr>
                <w:b/>
                <w:bCs w:val="0"/>
                <w:color w:val="000000"/>
                <w:w w:val="31"/>
                <w:shd w:val="solid" w:color="000000" w:fill="000000"/>
                <w:fitText w:val="140" w:id="-1032058355"/>
                <w14:textFill>
                  <w14:solidFill>
                    <w14:srgbClr w14:val="000000">
                      <w14:alpha w14:val="100000"/>
                    </w14:srgbClr>
                  </w14:solidFill>
                </w14:textFill>
              </w:rPr>
              <w:t>|</w:t>
            </w:r>
            <w:r w:rsidRPr="00D52BD6">
              <w:rPr>
                <w:rFonts w:hint="eastAsia"/>
                <w:b/>
                <w:bCs w:val="0"/>
                <w:color w:val="000000"/>
                <w:spacing w:val="3"/>
                <w:w w:val="31"/>
                <w:shd w:val="solid" w:color="000000" w:fill="000000"/>
                <w:fitText w:val="140" w:id="-1032058355"/>
                <w14:textFill>
                  <w14:solidFill>
                    <w14:srgbClr w14:val="000000">
                      <w14:alpha w14:val="100000"/>
                    </w14:srgbClr>
                  </w14:solidFill>
                </w14:textFill>
              </w:rPr>
              <w:t xml:space="preserve">　</w:t>
            </w:r>
            <w:r w:rsidR="00DE5ED8">
              <w:rPr>
                <w:vertAlign w:val="superscript"/>
              </w:rPr>
              <w:t>5</w:t>
            </w:r>
          </w:p>
        </w:tc>
        <w:tc>
          <w:tcPr>
            <w:tcW w:w="642" w:type="pct"/>
          </w:tcPr>
          <w:p w14:paraId="76045065" w14:textId="15909715" w:rsidR="00B24591" w:rsidRPr="00F0362D" w:rsidRDefault="00D52BD6" w:rsidP="001F3B65">
            <w:pPr>
              <w:pStyle w:val="TableText"/>
              <w:keepLines/>
              <w:snapToGrid w:val="0"/>
              <w:jc w:val="center"/>
              <w:rPr>
                <w:rFonts w:cstheme="minorHAnsi"/>
                <w:b/>
                <w:bCs w:val="0"/>
                <w:color w:val="FF0000"/>
                <w:szCs w:val="20"/>
                <w:highlight w:val="darkGray"/>
              </w:rPr>
            </w:pPr>
            <w:r>
              <w:rPr>
                <w:b/>
                <w:bCs w:val="0"/>
              </w:rPr>
              <w:t xml:space="preserve"> </w:t>
            </w:r>
            <w:r w:rsidRPr="00D52BD6">
              <w:rPr>
                <w:rFonts w:hint="eastAsia"/>
                <w:b/>
                <w:bCs w:val="0"/>
                <w:color w:val="000000"/>
                <w:w w:val="26"/>
                <w:shd w:val="solid" w:color="000000" w:fill="000000"/>
                <w:fitText w:val="120" w:id="-1032058354"/>
                <w14:textFill>
                  <w14:solidFill>
                    <w14:srgbClr w14:val="000000">
                      <w14:alpha w14:val="100000"/>
                    </w14:srgbClr>
                  </w14:solidFill>
                </w14:textFill>
              </w:rPr>
              <w:t xml:space="preserve">　</w:t>
            </w:r>
            <w:r w:rsidRPr="00D52BD6">
              <w:rPr>
                <w:b/>
                <w:bCs w:val="0"/>
                <w:color w:val="000000"/>
                <w:w w:val="26"/>
                <w:shd w:val="solid" w:color="000000" w:fill="000000"/>
                <w:fitText w:val="120" w:id="-1032058354"/>
                <w14:textFill>
                  <w14:solidFill>
                    <w14:srgbClr w14:val="000000">
                      <w14:alpha w14:val="100000"/>
                    </w14:srgbClr>
                  </w14:solidFill>
                </w14:textFill>
              </w:rPr>
              <w:t>|</w:t>
            </w:r>
            <w:r w:rsidRPr="00D52BD6">
              <w:rPr>
                <w:rFonts w:hint="eastAsia"/>
                <w:b/>
                <w:bCs w:val="0"/>
                <w:color w:val="000000"/>
                <w:spacing w:val="4"/>
                <w:w w:val="26"/>
                <w:shd w:val="solid" w:color="000000" w:fill="000000"/>
                <w:fitText w:val="120" w:id="-1032058354"/>
                <w14:textFill>
                  <w14:solidFill>
                    <w14:srgbClr w14:val="000000">
                      <w14:alpha w14:val="100000"/>
                    </w14:srgbClr>
                  </w14:solidFill>
                </w14:textFill>
              </w:rPr>
              <w:t xml:space="preserve">　</w:t>
            </w:r>
            <w:r w:rsidR="00DE5ED8">
              <w:rPr>
                <w:vertAlign w:val="superscript"/>
              </w:rPr>
              <w:t>6</w:t>
            </w:r>
          </w:p>
        </w:tc>
        <w:tc>
          <w:tcPr>
            <w:tcW w:w="638" w:type="pct"/>
          </w:tcPr>
          <w:p w14:paraId="1E8D1C1E" w14:textId="05F64148" w:rsidR="00B24591" w:rsidRPr="00F0362D" w:rsidRDefault="00D52BD6" w:rsidP="001F3B65">
            <w:pPr>
              <w:pStyle w:val="TableText"/>
              <w:keepLines/>
              <w:snapToGrid w:val="0"/>
              <w:jc w:val="center"/>
              <w:rPr>
                <w:rFonts w:cstheme="minorHAnsi"/>
                <w:b/>
                <w:bCs w:val="0"/>
                <w:color w:val="FF0000"/>
                <w:szCs w:val="20"/>
                <w:highlight w:val="darkGray"/>
              </w:rPr>
            </w:pPr>
            <w:r>
              <w:rPr>
                <w:b/>
                <w:bCs w:val="0"/>
              </w:rPr>
              <w:t xml:space="preserve"> </w:t>
            </w:r>
            <w:r w:rsidRPr="00D52BD6">
              <w:rPr>
                <w:rFonts w:hint="eastAsia"/>
                <w:b/>
                <w:bCs w:val="0"/>
                <w:color w:val="000000"/>
                <w:w w:val="29"/>
                <w:shd w:val="solid" w:color="000000" w:fill="000000"/>
                <w:fitText w:val="130" w:id="-1032058353"/>
                <w14:textFill>
                  <w14:solidFill>
                    <w14:srgbClr w14:val="000000">
                      <w14:alpha w14:val="100000"/>
                    </w14:srgbClr>
                  </w14:solidFill>
                </w14:textFill>
              </w:rPr>
              <w:t xml:space="preserve">　</w:t>
            </w:r>
            <w:r w:rsidRPr="00D52BD6">
              <w:rPr>
                <w:b/>
                <w:bCs w:val="0"/>
                <w:color w:val="000000"/>
                <w:w w:val="29"/>
                <w:shd w:val="solid" w:color="000000" w:fill="000000"/>
                <w:fitText w:val="130" w:id="-1032058353"/>
                <w14:textFill>
                  <w14:solidFill>
                    <w14:srgbClr w14:val="000000">
                      <w14:alpha w14:val="100000"/>
                    </w14:srgbClr>
                  </w14:solidFill>
                </w14:textFill>
              </w:rPr>
              <w:t>|</w:t>
            </w:r>
            <w:r w:rsidRPr="00D52BD6">
              <w:rPr>
                <w:rFonts w:hint="eastAsia"/>
                <w:b/>
                <w:bCs w:val="0"/>
                <w:color w:val="000000"/>
                <w:spacing w:val="1"/>
                <w:w w:val="29"/>
                <w:shd w:val="solid" w:color="000000" w:fill="000000"/>
                <w:fitText w:val="130" w:id="-1032058353"/>
                <w14:textFill>
                  <w14:solidFill>
                    <w14:srgbClr w14:val="000000">
                      <w14:alpha w14:val="100000"/>
                    </w14:srgbClr>
                  </w14:solidFill>
                </w14:textFill>
              </w:rPr>
              <w:t xml:space="preserve">　</w:t>
            </w:r>
            <w:r w:rsidR="00DE5ED8">
              <w:rPr>
                <w:vertAlign w:val="superscript"/>
              </w:rPr>
              <w:t>6</w:t>
            </w:r>
          </w:p>
        </w:tc>
      </w:tr>
      <w:tr w:rsidR="001665C3" w:rsidRPr="00E74297" w14:paraId="4B3C1BA3" w14:textId="77777777" w:rsidTr="001665C3">
        <w:tc>
          <w:tcPr>
            <w:tcW w:w="5000" w:type="pct"/>
            <w:gridSpan w:val="7"/>
          </w:tcPr>
          <w:p w14:paraId="1124C8E8" w14:textId="27234EC1" w:rsidR="001665C3" w:rsidRPr="00E74297" w:rsidRDefault="001665C3" w:rsidP="001F3B65">
            <w:pPr>
              <w:pStyle w:val="TableText"/>
              <w:keepLines/>
              <w:snapToGrid w:val="0"/>
              <w:rPr>
                <w:rFonts w:cstheme="minorHAnsi"/>
                <w:b/>
                <w:bCs w:val="0"/>
                <w:szCs w:val="20"/>
              </w:rPr>
            </w:pPr>
            <w:r w:rsidRPr="00E74297">
              <w:rPr>
                <w:b/>
                <w:bCs w:val="0"/>
                <w:szCs w:val="20"/>
              </w:rPr>
              <w:t>Net costs – including wastage</w:t>
            </w:r>
          </w:p>
        </w:tc>
      </w:tr>
      <w:tr w:rsidR="00747F8D" w:rsidRPr="0070023C" w14:paraId="4628CE4B" w14:textId="77777777" w:rsidTr="00AF781B">
        <w:tc>
          <w:tcPr>
            <w:tcW w:w="1197" w:type="pct"/>
          </w:tcPr>
          <w:p w14:paraId="5BFD0E43" w14:textId="29C4E9C3" w:rsidR="00747F8D" w:rsidRPr="0070023C" w:rsidRDefault="00747F8D" w:rsidP="001F3B65">
            <w:pPr>
              <w:pStyle w:val="TableText"/>
              <w:keepLines/>
              <w:snapToGrid w:val="0"/>
              <w:rPr>
                <w:rFonts w:cstheme="minorHAnsi"/>
                <w:b/>
                <w:bCs w:val="0"/>
                <w:iCs/>
                <w:szCs w:val="20"/>
              </w:rPr>
            </w:pPr>
            <w:r w:rsidRPr="0070023C">
              <w:rPr>
                <w:iCs/>
              </w:rPr>
              <w:t>Cost to the PBS/RPBS of SG</w:t>
            </w:r>
            <w:r w:rsidRPr="0070023C">
              <w:rPr>
                <w:iCs/>
                <w:vertAlign w:val="superscript"/>
              </w:rPr>
              <w:t xml:space="preserve">a </w:t>
            </w:r>
            <w:r w:rsidRPr="0070023C">
              <w:rPr>
                <w:iCs/>
              </w:rPr>
              <w:t>(incl. wastage)</w:t>
            </w:r>
          </w:p>
        </w:tc>
        <w:tc>
          <w:tcPr>
            <w:tcW w:w="639" w:type="pct"/>
            <w:vAlign w:val="center"/>
          </w:tcPr>
          <w:p w14:paraId="1618F636" w14:textId="6D54C516"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18"/>
                <w:szCs w:val="20"/>
                <w:shd w:val="solid" w:color="000000" w:fill="000000"/>
                <w:fitText w:val="80" w:id="-1032058352"/>
                <w14:textFill>
                  <w14:solidFill>
                    <w14:srgbClr w14:val="000000">
                      <w14:alpha w14:val="100000"/>
                    </w14:srgbClr>
                  </w14:solidFill>
                </w14:textFill>
              </w:rPr>
              <w:t xml:space="preserve">　</w:t>
            </w:r>
            <w:r w:rsidRPr="00D52BD6">
              <w:rPr>
                <w:rFonts w:cstheme="minorHAnsi"/>
                <w:iCs/>
                <w:color w:val="000000"/>
                <w:w w:val="18"/>
                <w:szCs w:val="20"/>
                <w:shd w:val="solid" w:color="000000" w:fill="000000"/>
                <w:fitText w:val="80" w:id="-1032058352"/>
                <w14:textFill>
                  <w14:solidFill>
                    <w14:srgbClr w14:val="000000">
                      <w14:alpha w14:val="100000"/>
                    </w14:srgbClr>
                  </w14:solidFill>
                </w14:textFill>
              </w:rPr>
              <w:t>|</w:t>
            </w:r>
            <w:r w:rsidRPr="00D52BD6">
              <w:rPr>
                <w:rFonts w:cstheme="minorHAnsi" w:hint="eastAsia"/>
                <w:iCs/>
                <w:color w:val="000000"/>
                <w:w w:val="18"/>
                <w:szCs w:val="20"/>
                <w:shd w:val="solid" w:color="000000" w:fill="000000"/>
                <w:fitText w:val="80" w:id="-1032058352"/>
                <w14:textFill>
                  <w14:solidFill>
                    <w14:srgbClr w14:val="000000">
                      <w14:alpha w14:val="100000"/>
                    </w14:srgbClr>
                  </w14:solidFill>
                </w14:textFill>
              </w:rPr>
              <w:t xml:space="preserve">　</w:t>
            </w:r>
            <w:r w:rsidR="00DE5ED8">
              <w:rPr>
                <w:vertAlign w:val="superscript"/>
              </w:rPr>
              <w:t>6</w:t>
            </w:r>
          </w:p>
        </w:tc>
        <w:tc>
          <w:tcPr>
            <w:tcW w:w="630" w:type="pct"/>
            <w:vAlign w:val="center"/>
          </w:tcPr>
          <w:p w14:paraId="56AA2F3C" w14:textId="30E3295C"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20"/>
                <w:szCs w:val="20"/>
                <w:shd w:val="solid" w:color="000000" w:fill="000000"/>
                <w:fitText w:val="90" w:id="-1032058368"/>
                <w14:textFill>
                  <w14:solidFill>
                    <w14:srgbClr w14:val="000000">
                      <w14:alpha w14:val="100000"/>
                    </w14:srgbClr>
                  </w14:solidFill>
                </w14:textFill>
              </w:rPr>
              <w:t xml:space="preserve">　</w:t>
            </w:r>
            <w:r w:rsidRPr="00D52BD6">
              <w:rPr>
                <w:rFonts w:cstheme="minorHAnsi"/>
                <w:iCs/>
                <w:color w:val="000000"/>
                <w:w w:val="20"/>
                <w:szCs w:val="20"/>
                <w:shd w:val="solid" w:color="000000" w:fill="000000"/>
                <w:fitText w:val="90" w:id="-1032058368"/>
                <w14:textFill>
                  <w14:solidFill>
                    <w14:srgbClr w14:val="000000">
                      <w14:alpha w14:val="100000"/>
                    </w14:srgbClr>
                  </w14:solidFill>
                </w14:textFill>
              </w:rPr>
              <w:t>|</w:t>
            </w:r>
            <w:r w:rsidRPr="00D52BD6">
              <w:rPr>
                <w:rFonts w:cstheme="minorHAnsi" w:hint="eastAsia"/>
                <w:iCs/>
                <w:color w:val="000000"/>
                <w:spacing w:val="3"/>
                <w:w w:val="20"/>
                <w:szCs w:val="20"/>
                <w:shd w:val="solid" w:color="000000" w:fill="000000"/>
                <w:fitText w:val="90" w:id="-1032058368"/>
                <w14:textFill>
                  <w14:solidFill>
                    <w14:srgbClr w14:val="000000">
                      <w14:alpha w14:val="100000"/>
                    </w14:srgbClr>
                  </w14:solidFill>
                </w14:textFill>
              </w:rPr>
              <w:t xml:space="preserve">　</w:t>
            </w:r>
            <w:r w:rsidR="00DE5ED8">
              <w:rPr>
                <w:vertAlign w:val="superscript"/>
              </w:rPr>
              <w:t>6</w:t>
            </w:r>
          </w:p>
        </w:tc>
        <w:tc>
          <w:tcPr>
            <w:tcW w:w="634" w:type="pct"/>
            <w:vAlign w:val="center"/>
          </w:tcPr>
          <w:p w14:paraId="59E304C9" w14:textId="30763837"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15"/>
                <w:szCs w:val="20"/>
                <w:shd w:val="solid" w:color="000000" w:fill="000000"/>
                <w:fitText w:val="60" w:id="-1032058367"/>
                <w14:textFill>
                  <w14:solidFill>
                    <w14:srgbClr w14:val="000000">
                      <w14:alpha w14:val="100000"/>
                    </w14:srgbClr>
                  </w14:solidFill>
                </w14:textFill>
              </w:rPr>
              <w:t xml:space="preserve">　</w:t>
            </w:r>
            <w:r w:rsidRPr="00D52BD6">
              <w:rPr>
                <w:rFonts w:cstheme="minorHAnsi"/>
                <w:iCs/>
                <w:color w:val="000000"/>
                <w:w w:val="15"/>
                <w:szCs w:val="20"/>
                <w:shd w:val="solid" w:color="000000" w:fill="000000"/>
                <w:fitText w:val="60" w:id="-1032058367"/>
                <w14:textFill>
                  <w14:solidFill>
                    <w14:srgbClr w14:val="000000">
                      <w14:alpha w14:val="100000"/>
                    </w14:srgbClr>
                  </w14:solidFill>
                </w14:textFill>
              </w:rPr>
              <w:t>|</w:t>
            </w:r>
            <w:r w:rsidRPr="00D52BD6">
              <w:rPr>
                <w:rFonts w:cstheme="minorHAnsi" w:hint="eastAsia"/>
                <w:iCs/>
                <w:color w:val="000000"/>
                <w:spacing w:val="-5"/>
                <w:w w:val="15"/>
                <w:szCs w:val="20"/>
                <w:shd w:val="solid" w:color="000000" w:fill="000000"/>
                <w:fitText w:val="60" w:id="-1032058367"/>
                <w14:textFill>
                  <w14:solidFill>
                    <w14:srgbClr w14:val="000000">
                      <w14:alpha w14:val="100000"/>
                    </w14:srgbClr>
                  </w14:solidFill>
                </w14:textFill>
              </w:rPr>
              <w:t xml:space="preserve">　</w:t>
            </w:r>
          </w:p>
        </w:tc>
        <w:tc>
          <w:tcPr>
            <w:tcW w:w="620" w:type="pct"/>
            <w:vAlign w:val="center"/>
          </w:tcPr>
          <w:p w14:paraId="753B73C0" w14:textId="58EBBE64"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20"/>
                <w:szCs w:val="20"/>
                <w:shd w:val="solid" w:color="000000" w:fill="000000"/>
                <w:fitText w:val="90" w:id="-1032058366"/>
                <w14:textFill>
                  <w14:solidFill>
                    <w14:srgbClr w14:val="000000">
                      <w14:alpha w14:val="100000"/>
                    </w14:srgbClr>
                  </w14:solidFill>
                </w14:textFill>
              </w:rPr>
              <w:t xml:space="preserve">　</w:t>
            </w:r>
            <w:r w:rsidRPr="00D52BD6">
              <w:rPr>
                <w:rFonts w:cstheme="minorHAnsi"/>
                <w:iCs/>
                <w:color w:val="000000"/>
                <w:w w:val="20"/>
                <w:szCs w:val="20"/>
                <w:shd w:val="solid" w:color="000000" w:fill="000000"/>
                <w:fitText w:val="90" w:id="-1032058366"/>
                <w14:textFill>
                  <w14:solidFill>
                    <w14:srgbClr w14:val="000000">
                      <w14:alpha w14:val="100000"/>
                    </w14:srgbClr>
                  </w14:solidFill>
                </w14:textFill>
              </w:rPr>
              <w:t>|</w:t>
            </w:r>
            <w:r w:rsidRPr="00D52BD6">
              <w:rPr>
                <w:rFonts w:cstheme="minorHAnsi" w:hint="eastAsia"/>
                <w:iCs/>
                <w:color w:val="000000"/>
                <w:spacing w:val="3"/>
                <w:w w:val="20"/>
                <w:szCs w:val="20"/>
                <w:shd w:val="solid" w:color="000000" w:fill="000000"/>
                <w:fitText w:val="90" w:id="-1032058366"/>
                <w14:textFill>
                  <w14:solidFill>
                    <w14:srgbClr w14:val="000000">
                      <w14:alpha w14:val="100000"/>
                    </w14:srgbClr>
                  </w14:solidFill>
                </w14:textFill>
              </w:rPr>
              <w:t xml:space="preserve">　</w:t>
            </w:r>
            <w:r w:rsidR="00DE5ED8">
              <w:rPr>
                <w:vertAlign w:val="superscript"/>
              </w:rPr>
              <w:t>8</w:t>
            </w:r>
          </w:p>
        </w:tc>
        <w:tc>
          <w:tcPr>
            <w:tcW w:w="642" w:type="pct"/>
            <w:vAlign w:val="center"/>
          </w:tcPr>
          <w:p w14:paraId="04D479B3" w14:textId="2291BB2B"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15"/>
                <w:szCs w:val="20"/>
                <w:shd w:val="solid" w:color="000000" w:fill="000000"/>
                <w:fitText w:val="70" w:id="-1032058365"/>
                <w14:textFill>
                  <w14:solidFill>
                    <w14:srgbClr w14:val="000000">
                      <w14:alpha w14:val="100000"/>
                    </w14:srgbClr>
                  </w14:solidFill>
                </w14:textFill>
              </w:rPr>
              <w:t xml:space="preserve">　</w:t>
            </w:r>
            <w:r w:rsidRPr="00D52BD6">
              <w:rPr>
                <w:rFonts w:cstheme="minorHAnsi"/>
                <w:iCs/>
                <w:color w:val="000000"/>
                <w:w w:val="15"/>
                <w:szCs w:val="20"/>
                <w:shd w:val="solid" w:color="000000" w:fill="000000"/>
                <w:fitText w:val="70" w:id="-1032058365"/>
                <w14:textFill>
                  <w14:solidFill>
                    <w14:srgbClr w14:val="000000">
                      <w14:alpha w14:val="100000"/>
                    </w14:srgbClr>
                  </w14:solidFill>
                </w14:textFill>
              </w:rPr>
              <w:t>|</w:t>
            </w:r>
            <w:r w:rsidRPr="00D52BD6">
              <w:rPr>
                <w:rFonts w:cstheme="minorHAnsi" w:hint="eastAsia"/>
                <w:iCs/>
                <w:color w:val="000000"/>
                <w:spacing w:val="4"/>
                <w:w w:val="15"/>
                <w:szCs w:val="20"/>
                <w:shd w:val="solid" w:color="000000" w:fill="000000"/>
                <w:fitText w:val="70" w:id="-1032058365"/>
                <w14:textFill>
                  <w14:solidFill>
                    <w14:srgbClr w14:val="000000">
                      <w14:alpha w14:val="100000"/>
                    </w14:srgbClr>
                  </w14:solidFill>
                </w14:textFill>
              </w:rPr>
              <w:t xml:space="preserve">　</w:t>
            </w:r>
            <w:r w:rsidR="00DE5ED8">
              <w:rPr>
                <w:vertAlign w:val="superscript"/>
              </w:rPr>
              <w:t>8</w:t>
            </w:r>
          </w:p>
        </w:tc>
        <w:tc>
          <w:tcPr>
            <w:tcW w:w="638" w:type="pct"/>
            <w:vAlign w:val="center"/>
          </w:tcPr>
          <w:p w14:paraId="664D7FB2" w14:textId="6593CA0D"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18"/>
                <w:szCs w:val="20"/>
                <w:shd w:val="solid" w:color="000000" w:fill="000000"/>
                <w:fitText w:val="80" w:id="-1032058364"/>
                <w14:textFill>
                  <w14:solidFill>
                    <w14:srgbClr w14:val="000000">
                      <w14:alpha w14:val="100000"/>
                    </w14:srgbClr>
                  </w14:solidFill>
                </w14:textFill>
              </w:rPr>
              <w:t xml:space="preserve">　</w:t>
            </w:r>
            <w:r w:rsidRPr="00D52BD6">
              <w:rPr>
                <w:rFonts w:cstheme="minorHAnsi"/>
                <w:iCs/>
                <w:color w:val="000000"/>
                <w:w w:val="18"/>
                <w:szCs w:val="20"/>
                <w:shd w:val="solid" w:color="000000" w:fill="000000"/>
                <w:fitText w:val="80" w:id="-1032058364"/>
                <w14:textFill>
                  <w14:solidFill>
                    <w14:srgbClr w14:val="000000">
                      <w14:alpha w14:val="100000"/>
                    </w14:srgbClr>
                  </w14:solidFill>
                </w14:textFill>
              </w:rPr>
              <w:t>|</w:t>
            </w:r>
            <w:r w:rsidRPr="00D52BD6">
              <w:rPr>
                <w:rFonts w:cstheme="minorHAnsi" w:hint="eastAsia"/>
                <w:iCs/>
                <w:color w:val="000000"/>
                <w:w w:val="18"/>
                <w:szCs w:val="20"/>
                <w:shd w:val="solid" w:color="000000" w:fill="000000"/>
                <w:fitText w:val="80" w:id="-1032058364"/>
                <w14:textFill>
                  <w14:solidFill>
                    <w14:srgbClr w14:val="000000">
                      <w14:alpha w14:val="100000"/>
                    </w14:srgbClr>
                  </w14:solidFill>
                </w14:textFill>
              </w:rPr>
              <w:t xml:space="preserve">　</w:t>
            </w:r>
            <w:r w:rsidR="00DE5ED8">
              <w:rPr>
                <w:vertAlign w:val="superscript"/>
              </w:rPr>
              <w:t>8</w:t>
            </w:r>
          </w:p>
        </w:tc>
      </w:tr>
      <w:tr w:rsidR="00747F8D" w:rsidRPr="0070023C" w14:paraId="2DBB0E55" w14:textId="77777777" w:rsidTr="00AF781B">
        <w:tc>
          <w:tcPr>
            <w:tcW w:w="1197" w:type="pct"/>
          </w:tcPr>
          <w:p w14:paraId="267EEC0A" w14:textId="3640737C" w:rsidR="00747F8D" w:rsidRPr="0070023C" w:rsidRDefault="00747F8D" w:rsidP="001F3B65">
            <w:pPr>
              <w:pStyle w:val="TableText"/>
              <w:keepLines/>
              <w:snapToGrid w:val="0"/>
              <w:rPr>
                <w:rFonts w:cstheme="minorHAnsi"/>
                <w:b/>
                <w:bCs w:val="0"/>
                <w:iCs/>
                <w:szCs w:val="20"/>
              </w:rPr>
            </w:pPr>
            <w:r w:rsidRPr="0070023C">
              <w:rPr>
                <w:iCs/>
              </w:rPr>
              <w:t>Reduction in cost to the PBS/RPBS for affected scripts</w:t>
            </w:r>
            <w:r w:rsidRPr="0070023C">
              <w:rPr>
                <w:iCs/>
                <w:vertAlign w:val="superscript"/>
              </w:rPr>
              <w:t xml:space="preserve">b </w:t>
            </w:r>
            <w:r w:rsidRPr="0070023C">
              <w:rPr>
                <w:iCs/>
              </w:rPr>
              <w:t>(incl. wastage)</w:t>
            </w:r>
          </w:p>
        </w:tc>
        <w:tc>
          <w:tcPr>
            <w:tcW w:w="639" w:type="pct"/>
            <w:vAlign w:val="center"/>
          </w:tcPr>
          <w:p w14:paraId="6E31F879" w14:textId="1BB46926"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18"/>
                <w:szCs w:val="20"/>
                <w:shd w:val="solid" w:color="000000" w:fill="000000"/>
                <w:fitText w:val="80" w:id="-1032058363"/>
                <w14:textFill>
                  <w14:solidFill>
                    <w14:srgbClr w14:val="000000">
                      <w14:alpha w14:val="100000"/>
                    </w14:srgbClr>
                  </w14:solidFill>
                </w14:textFill>
              </w:rPr>
              <w:t xml:space="preserve">　</w:t>
            </w:r>
            <w:r w:rsidRPr="00D52BD6">
              <w:rPr>
                <w:rFonts w:cstheme="minorHAnsi"/>
                <w:iCs/>
                <w:color w:val="000000"/>
                <w:w w:val="18"/>
                <w:szCs w:val="20"/>
                <w:shd w:val="solid" w:color="000000" w:fill="000000"/>
                <w:fitText w:val="80" w:id="-1032058363"/>
                <w14:textFill>
                  <w14:solidFill>
                    <w14:srgbClr w14:val="000000">
                      <w14:alpha w14:val="100000"/>
                    </w14:srgbClr>
                  </w14:solidFill>
                </w14:textFill>
              </w:rPr>
              <w:t>|</w:t>
            </w:r>
            <w:r w:rsidRPr="00D52BD6">
              <w:rPr>
                <w:rFonts w:cstheme="minorHAnsi" w:hint="eastAsia"/>
                <w:iCs/>
                <w:color w:val="000000"/>
                <w:w w:val="18"/>
                <w:szCs w:val="20"/>
                <w:shd w:val="solid" w:color="000000" w:fill="000000"/>
                <w:fitText w:val="80" w:id="-1032058363"/>
                <w14:textFill>
                  <w14:solidFill>
                    <w14:srgbClr w14:val="000000">
                      <w14:alpha w14:val="100000"/>
                    </w14:srgbClr>
                  </w14:solidFill>
                </w14:textFill>
              </w:rPr>
              <w:t xml:space="preserve">　</w:t>
            </w:r>
            <w:r w:rsidR="00DE5ED8">
              <w:rPr>
                <w:vertAlign w:val="superscript"/>
              </w:rPr>
              <w:t>7</w:t>
            </w:r>
          </w:p>
        </w:tc>
        <w:tc>
          <w:tcPr>
            <w:tcW w:w="630" w:type="pct"/>
            <w:vAlign w:val="center"/>
          </w:tcPr>
          <w:p w14:paraId="0E1626AE" w14:textId="482C9484"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20"/>
                <w:szCs w:val="20"/>
                <w:shd w:val="solid" w:color="000000" w:fill="000000"/>
                <w:fitText w:val="90" w:id="-1032058362"/>
                <w14:textFill>
                  <w14:solidFill>
                    <w14:srgbClr w14:val="000000">
                      <w14:alpha w14:val="100000"/>
                    </w14:srgbClr>
                  </w14:solidFill>
                </w14:textFill>
              </w:rPr>
              <w:t xml:space="preserve">　</w:t>
            </w:r>
            <w:r w:rsidRPr="00D52BD6">
              <w:rPr>
                <w:rFonts w:cstheme="minorHAnsi"/>
                <w:iCs/>
                <w:color w:val="000000"/>
                <w:w w:val="20"/>
                <w:szCs w:val="20"/>
                <w:shd w:val="solid" w:color="000000" w:fill="000000"/>
                <w:fitText w:val="90" w:id="-1032058362"/>
                <w14:textFill>
                  <w14:solidFill>
                    <w14:srgbClr w14:val="000000">
                      <w14:alpha w14:val="100000"/>
                    </w14:srgbClr>
                  </w14:solidFill>
                </w14:textFill>
              </w:rPr>
              <w:t>|</w:t>
            </w:r>
            <w:r w:rsidRPr="00D52BD6">
              <w:rPr>
                <w:rFonts w:cstheme="minorHAnsi" w:hint="eastAsia"/>
                <w:iCs/>
                <w:color w:val="000000"/>
                <w:spacing w:val="3"/>
                <w:w w:val="20"/>
                <w:szCs w:val="20"/>
                <w:shd w:val="solid" w:color="000000" w:fill="000000"/>
                <w:fitText w:val="90" w:id="-1032058362"/>
                <w14:textFill>
                  <w14:solidFill>
                    <w14:srgbClr w14:val="000000">
                      <w14:alpha w14:val="100000"/>
                    </w14:srgbClr>
                  </w14:solidFill>
                </w14:textFill>
              </w:rPr>
              <w:t xml:space="preserve">　</w:t>
            </w:r>
            <w:r w:rsidR="00DE5ED8">
              <w:rPr>
                <w:vertAlign w:val="superscript"/>
              </w:rPr>
              <w:t>7</w:t>
            </w:r>
          </w:p>
        </w:tc>
        <w:tc>
          <w:tcPr>
            <w:tcW w:w="634" w:type="pct"/>
            <w:vAlign w:val="center"/>
          </w:tcPr>
          <w:p w14:paraId="02D6AA45" w14:textId="27B8C834"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20"/>
                <w:szCs w:val="20"/>
                <w:shd w:val="solid" w:color="000000" w:fill="000000"/>
                <w:fitText w:val="90" w:id="-1032058361"/>
                <w14:textFill>
                  <w14:solidFill>
                    <w14:srgbClr w14:val="000000">
                      <w14:alpha w14:val="100000"/>
                    </w14:srgbClr>
                  </w14:solidFill>
                </w14:textFill>
              </w:rPr>
              <w:t xml:space="preserve">　</w:t>
            </w:r>
            <w:r w:rsidRPr="00D52BD6">
              <w:rPr>
                <w:rFonts w:cstheme="minorHAnsi"/>
                <w:iCs/>
                <w:color w:val="000000"/>
                <w:w w:val="20"/>
                <w:szCs w:val="20"/>
                <w:shd w:val="solid" w:color="000000" w:fill="000000"/>
                <w:fitText w:val="90" w:id="-1032058361"/>
                <w14:textFill>
                  <w14:solidFill>
                    <w14:srgbClr w14:val="000000">
                      <w14:alpha w14:val="100000"/>
                    </w14:srgbClr>
                  </w14:solidFill>
                </w14:textFill>
              </w:rPr>
              <w:t>|</w:t>
            </w:r>
            <w:r w:rsidRPr="00D52BD6">
              <w:rPr>
                <w:rFonts w:cstheme="minorHAnsi" w:hint="eastAsia"/>
                <w:iCs/>
                <w:color w:val="000000"/>
                <w:spacing w:val="3"/>
                <w:w w:val="20"/>
                <w:szCs w:val="20"/>
                <w:shd w:val="solid" w:color="000000" w:fill="000000"/>
                <w:fitText w:val="90" w:id="-1032058361"/>
                <w14:textFill>
                  <w14:solidFill>
                    <w14:srgbClr w14:val="000000">
                      <w14:alpha w14:val="100000"/>
                    </w14:srgbClr>
                  </w14:solidFill>
                </w14:textFill>
              </w:rPr>
              <w:t xml:space="preserve">　</w:t>
            </w:r>
            <w:r w:rsidR="00DE5ED8">
              <w:rPr>
                <w:vertAlign w:val="superscript"/>
              </w:rPr>
              <w:t>7</w:t>
            </w:r>
          </w:p>
        </w:tc>
        <w:tc>
          <w:tcPr>
            <w:tcW w:w="620" w:type="pct"/>
            <w:vAlign w:val="center"/>
          </w:tcPr>
          <w:p w14:paraId="004ED05E" w14:textId="5516C4C7"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20"/>
                <w:szCs w:val="20"/>
                <w:shd w:val="solid" w:color="000000" w:fill="000000"/>
                <w:fitText w:val="90" w:id="-1032058360"/>
                <w14:textFill>
                  <w14:solidFill>
                    <w14:srgbClr w14:val="000000">
                      <w14:alpha w14:val="100000"/>
                    </w14:srgbClr>
                  </w14:solidFill>
                </w14:textFill>
              </w:rPr>
              <w:t xml:space="preserve">　</w:t>
            </w:r>
            <w:r w:rsidRPr="00D52BD6">
              <w:rPr>
                <w:rFonts w:cstheme="minorHAnsi"/>
                <w:iCs/>
                <w:color w:val="000000"/>
                <w:w w:val="20"/>
                <w:szCs w:val="20"/>
                <w:shd w:val="solid" w:color="000000" w:fill="000000"/>
                <w:fitText w:val="90" w:id="-1032058360"/>
                <w14:textFill>
                  <w14:solidFill>
                    <w14:srgbClr w14:val="000000">
                      <w14:alpha w14:val="100000"/>
                    </w14:srgbClr>
                  </w14:solidFill>
                </w14:textFill>
              </w:rPr>
              <w:t>|</w:t>
            </w:r>
            <w:r w:rsidRPr="00D52BD6">
              <w:rPr>
                <w:rFonts w:cstheme="minorHAnsi" w:hint="eastAsia"/>
                <w:iCs/>
                <w:color w:val="000000"/>
                <w:spacing w:val="3"/>
                <w:w w:val="20"/>
                <w:szCs w:val="20"/>
                <w:shd w:val="solid" w:color="000000" w:fill="000000"/>
                <w:fitText w:val="90" w:id="-1032058360"/>
                <w14:textFill>
                  <w14:solidFill>
                    <w14:srgbClr w14:val="000000">
                      <w14:alpha w14:val="100000"/>
                    </w14:srgbClr>
                  </w14:solidFill>
                </w14:textFill>
              </w:rPr>
              <w:t xml:space="preserve">　</w:t>
            </w:r>
            <w:r w:rsidR="00DE5ED8">
              <w:rPr>
                <w:vertAlign w:val="superscript"/>
              </w:rPr>
              <w:t>7</w:t>
            </w:r>
          </w:p>
        </w:tc>
        <w:tc>
          <w:tcPr>
            <w:tcW w:w="642" w:type="pct"/>
            <w:vAlign w:val="center"/>
          </w:tcPr>
          <w:p w14:paraId="6A9C5B93" w14:textId="7908DE3C"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15"/>
                <w:szCs w:val="20"/>
                <w:shd w:val="solid" w:color="000000" w:fill="000000"/>
                <w:fitText w:val="70" w:id="-1032058359"/>
                <w14:textFill>
                  <w14:solidFill>
                    <w14:srgbClr w14:val="000000">
                      <w14:alpha w14:val="100000"/>
                    </w14:srgbClr>
                  </w14:solidFill>
                </w14:textFill>
              </w:rPr>
              <w:t xml:space="preserve">　</w:t>
            </w:r>
            <w:r w:rsidRPr="00D52BD6">
              <w:rPr>
                <w:rFonts w:cstheme="minorHAnsi"/>
                <w:iCs/>
                <w:color w:val="000000"/>
                <w:w w:val="15"/>
                <w:szCs w:val="20"/>
                <w:shd w:val="solid" w:color="000000" w:fill="000000"/>
                <w:fitText w:val="70" w:id="-1032058359"/>
                <w14:textFill>
                  <w14:solidFill>
                    <w14:srgbClr w14:val="000000">
                      <w14:alpha w14:val="100000"/>
                    </w14:srgbClr>
                  </w14:solidFill>
                </w14:textFill>
              </w:rPr>
              <w:t>|</w:t>
            </w:r>
            <w:r w:rsidRPr="00D52BD6">
              <w:rPr>
                <w:rFonts w:cstheme="minorHAnsi" w:hint="eastAsia"/>
                <w:iCs/>
                <w:color w:val="000000"/>
                <w:spacing w:val="4"/>
                <w:w w:val="15"/>
                <w:szCs w:val="20"/>
                <w:shd w:val="solid" w:color="000000" w:fill="000000"/>
                <w:fitText w:val="70" w:id="-1032058359"/>
                <w14:textFill>
                  <w14:solidFill>
                    <w14:srgbClr w14:val="000000">
                      <w14:alpha w14:val="100000"/>
                    </w14:srgbClr>
                  </w14:solidFill>
                </w14:textFill>
              </w:rPr>
              <w:t xml:space="preserve">　</w:t>
            </w:r>
            <w:r w:rsidR="00DE5ED8">
              <w:rPr>
                <w:vertAlign w:val="superscript"/>
              </w:rPr>
              <w:t>7</w:t>
            </w:r>
          </w:p>
        </w:tc>
        <w:tc>
          <w:tcPr>
            <w:tcW w:w="638" w:type="pct"/>
            <w:vAlign w:val="center"/>
          </w:tcPr>
          <w:p w14:paraId="0B71F46F" w14:textId="4DA4D9B5" w:rsidR="00747F8D" w:rsidRPr="00F0362D" w:rsidRDefault="00D52BD6" w:rsidP="001F3B65">
            <w:pPr>
              <w:pStyle w:val="TableText"/>
              <w:keepLines/>
              <w:snapToGrid w:val="0"/>
              <w:jc w:val="center"/>
              <w:rPr>
                <w:rFonts w:cstheme="minorHAnsi"/>
                <w:iCs/>
                <w:szCs w:val="20"/>
                <w:highlight w:val="darkGray"/>
              </w:rPr>
            </w:pPr>
            <w:r>
              <w:rPr>
                <w:rFonts w:cstheme="minorHAnsi"/>
                <w:iCs/>
                <w:szCs w:val="20"/>
              </w:rPr>
              <w:t xml:space="preserve"> </w:t>
            </w:r>
            <w:r w:rsidRPr="00D52BD6">
              <w:rPr>
                <w:rFonts w:cstheme="minorHAnsi" w:hint="eastAsia"/>
                <w:iCs/>
                <w:color w:val="000000"/>
                <w:w w:val="18"/>
                <w:szCs w:val="20"/>
                <w:shd w:val="solid" w:color="000000" w:fill="000000"/>
                <w:fitText w:val="80" w:id="-1032058358"/>
                <w14:textFill>
                  <w14:solidFill>
                    <w14:srgbClr w14:val="000000">
                      <w14:alpha w14:val="100000"/>
                    </w14:srgbClr>
                  </w14:solidFill>
                </w14:textFill>
              </w:rPr>
              <w:t xml:space="preserve">　</w:t>
            </w:r>
            <w:r w:rsidRPr="00D52BD6">
              <w:rPr>
                <w:rFonts w:cstheme="minorHAnsi"/>
                <w:iCs/>
                <w:color w:val="000000"/>
                <w:w w:val="18"/>
                <w:szCs w:val="20"/>
                <w:shd w:val="solid" w:color="000000" w:fill="000000"/>
                <w:fitText w:val="80" w:id="-1032058358"/>
                <w14:textFill>
                  <w14:solidFill>
                    <w14:srgbClr w14:val="000000">
                      <w14:alpha w14:val="100000"/>
                    </w14:srgbClr>
                  </w14:solidFill>
                </w14:textFill>
              </w:rPr>
              <w:t>|</w:t>
            </w:r>
            <w:r w:rsidRPr="00D52BD6">
              <w:rPr>
                <w:rFonts w:cstheme="minorHAnsi" w:hint="eastAsia"/>
                <w:iCs/>
                <w:color w:val="000000"/>
                <w:w w:val="18"/>
                <w:szCs w:val="20"/>
                <w:shd w:val="solid" w:color="000000" w:fill="000000"/>
                <w:fitText w:val="80" w:id="-1032058358"/>
                <w14:textFill>
                  <w14:solidFill>
                    <w14:srgbClr w14:val="000000">
                      <w14:alpha w14:val="100000"/>
                    </w14:srgbClr>
                  </w14:solidFill>
                </w14:textFill>
              </w:rPr>
              <w:t xml:space="preserve">　</w:t>
            </w:r>
            <w:r w:rsidR="00DE5ED8">
              <w:rPr>
                <w:vertAlign w:val="superscript"/>
              </w:rPr>
              <w:t>7</w:t>
            </w:r>
          </w:p>
        </w:tc>
      </w:tr>
      <w:tr w:rsidR="00747F8D" w:rsidRPr="0070023C" w14:paraId="7A800DEF" w14:textId="77777777" w:rsidTr="00AF781B">
        <w:tc>
          <w:tcPr>
            <w:tcW w:w="1197" w:type="pct"/>
          </w:tcPr>
          <w:p w14:paraId="7C219BB5" w14:textId="77777777" w:rsidR="00747F8D" w:rsidRPr="0070023C" w:rsidRDefault="00747F8D" w:rsidP="001F3B65">
            <w:pPr>
              <w:pStyle w:val="TableText"/>
              <w:keepLines/>
              <w:snapToGrid w:val="0"/>
              <w:rPr>
                <w:rFonts w:cstheme="minorHAnsi"/>
                <w:b/>
                <w:bCs w:val="0"/>
                <w:iCs/>
                <w:szCs w:val="20"/>
              </w:rPr>
            </w:pPr>
            <w:r w:rsidRPr="0070023C">
              <w:rPr>
                <w:b/>
                <w:bCs w:val="0"/>
                <w:iCs/>
              </w:rPr>
              <w:t>Net cost to the PBS/RPBS (incl. wastage)</w:t>
            </w:r>
          </w:p>
        </w:tc>
        <w:tc>
          <w:tcPr>
            <w:tcW w:w="639" w:type="pct"/>
            <w:vAlign w:val="center"/>
          </w:tcPr>
          <w:p w14:paraId="305F5DE0" w14:textId="2AD1088F" w:rsidR="00747F8D" w:rsidRPr="00F0362D" w:rsidRDefault="00D52BD6" w:rsidP="001F3B65">
            <w:pPr>
              <w:pStyle w:val="TableText"/>
              <w:keepLines/>
              <w:snapToGrid w:val="0"/>
              <w:jc w:val="center"/>
              <w:rPr>
                <w:rFonts w:cstheme="minorHAnsi"/>
                <w:b/>
                <w:bCs w:val="0"/>
                <w:iCs/>
                <w:szCs w:val="20"/>
                <w:highlight w:val="darkGray"/>
              </w:rPr>
            </w:pPr>
            <w:r>
              <w:rPr>
                <w:rFonts w:cstheme="minorHAnsi"/>
                <w:b/>
                <w:bCs w:val="0"/>
                <w:iCs/>
                <w:szCs w:val="20"/>
              </w:rPr>
              <w:t xml:space="preserve"> </w:t>
            </w:r>
            <w:r w:rsidRPr="00D52BD6">
              <w:rPr>
                <w:rFonts w:cstheme="minorHAnsi" w:hint="eastAsia"/>
                <w:b/>
                <w:bCs w:val="0"/>
                <w:iCs/>
                <w:color w:val="000000"/>
                <w:w w:val="29"/>
                <w:szCs w:val="20"/>
                <w:shd w:val="solid" w:color="000000" w:fill="000000"/>
                <w:fitText w:val="130" w:id="-1032058357"/>
                <w14:textFill>
                  <w14:solidFill>
                    <w14:srgbClr w14:val="000000">
                      <w14:alpha w14:val="100000"/>
                    </w14:srgbClr>
                  </w14:solidFill>
                </w14:textFill>
              </w:rPr>
              <w:t xml:space="preserve">　</w:t>
            </w:r>
            <w:r w:rsidRPr="00D52BD6">
              <w:rPr>
                <w:rFonts w:cstheme="minorHAnsi"/>
                <w:b/>
                <w:bCs w:val="0"/>
                <w:iCs/>
                <w:color w:val="000000"/>
                <w:w w:val="29"/>
                <w:szCs w:val="20"/>
                <w:shd w:val="solid" w:color="000000" w:fill="000000"/>
                <w:fitText w:val="130" w:id="-1032058357"/>
                <w14:textFill>
                  <w14:solidFill>
                    <w14:srgbClr w14:val="000000">
                      <w14:alpha w14:val="100000"/>
                    </w14:srgbClr>
                  </w14:solidFill>
                </w14:textFill>
              </w:rPr>
              <w:t>|</w:t>
            </w:r>
            <w:r w:rsidRPr="00D52BD6">
              <w:rPr>
                <w:rFonts w:cstheme="minorHAnsi" w:hint="eastAsia"/>
                <w:b/>
                <w:bCs w:val="0"/>
                <w:iCs/>
                <w:color w:val="000000"/>
                <w:spacing w:val="1"/>
                <w:w w:val="29"/>
                <w:szCs w:val="20"/>
                <w:shd w:val="solid" w:color="000000" w:fill="000000"/>
                <w:fitText w:val="130" w:id="-1032058357"/>
                <w14:textFill>
                  <w14:solidFill>
                    <w14:srgbClr w14:val="000000">
                      <w14:alpha w14:val="100000"/>
                    </w14:srgbClr>
                  </w14:solidFill>
                </w14:textFill>
              </w:rPr>
              <w:t xml:space="preserve">　</w:t>
            </w:r>
            <w:r w:rsidR="00DE5ED8">
              <w:rPr>
                <w:vertAlign w:val="superscript"/>
              </w:rPr>
              <w:t>5</w:t>
            </w:r>
          </w:p>
        </w:tc>
        <w:tc>
          <w:tcPr>
            <w:tcW w:w="630" w:type="pct"/>
            <w:vAlign w:val="center"/>
          </w:tcPr>
          <w:p w14:paraId="55A11C3C" w14:textId="6D553EF3" w:rsidR="00747F8D" w:rsidRPr="00F0362D" w:rsidRDefault="00D52BD6" w:rsidP="001F3B65">
            <w:pPr>
              <w:pStyle w:val="TableText"/>
              <w:keepLines/>
              <w:snapToGrid w:val="0"/>
              <w:jc w:val="center"/>
              <w:rPr>
                <w:rFonts w:cstheme="minorHAnsi"/>
                <w:b/>
                <w:bCs w:val="0"/>
                <w:iCs/>
                <w:szCs w:val="20"/>
                <w:highlight w:val="darkGray"/>
              </w:rPr>
            </w:pPr>
            <w:r>
              <w:rPr>
                <w:rFonts w:cstheme="minorHAnsi"/>
                <w:b/>
                <w:bCs w:val="0"/>
                <w:iCs/>
                <w:szCs w:val="20"/>
              </w:rPr>
              <w:t xml:space="preserve"> </w:t>
            </w:r>
            <w:r w:rsidRPr="00D52BD6">
              <w:rPr>
                <w:rFonts w:cstheme="minorHAnsi" w:hint="eastAsia"/>
                <w:b/>
                <w:bCs w:val="0"/>
                <w:iCs/>
                <w:color w:val="000000"/>
                <w:w w:val="29"/>
                <w:szCs w:val="20"/>
                <w:shd w:val="solid" w:color="000000" w:fill="000000"/>
                <w:fitText w:val="130" w:id="-1032058356"/>
                <w14:textFill>
                  <w14:solidFill>
                    <w14:srgbClr w14:val="000000">
                      <w14:alpha w14:val="100000"/>
                    </w14:srgbClr>
                  </w14:solidFill>
                </w14:textFill>
              </w:rPr>
              <w:t xml:space="preserve">　</w:t>
            </w:r>
            <w:r w:rsidRPr="00D52BD6">
              <w:rPr>
                <w:rFonts w:cstheme="minorHAnsi"/>
                <w:b/>
                <w:bCs w:val="0"/>
                <w:iCs/>
                <w:color w:val="000000"/>
                <w:w w:val="29"/>
                <w:szCs w:val="20"/>
                <w:shd w:val="solid" w:color="000000" w:fill="000000"/>
                <w:fitText w:val="130" w:id="-1032058356"/>
                <w14:textFill>
                  <w14:solidFill>
                    <w14:srgbClr w14:val="000000">
                      <w14:alpha w14:val="100000"/>
                    </w14:srgbClr>
                  </w14:solidFill>
                </w14:textFill>
              </w:rPr>
              <w:t>|</w:t>
            </w:r>
            <w:r w:rsidRPr="00D52BD6">
              <w:rPr>
                <w:rFonts w:cstheme="minorHAnsi" w:hint="eastAsia"/>
                <w:b/>
                <w:bCs w:val="0"/>
                <w:iCs/>
                <w:color w:val="000000"/>
                <w:spacing w:val="1"/>
                <w:w w:val="29"/>
                <w:szCs w:val="20"/>
                <w:shd w:val="solid" w:color="000000" w:fill="000000"/>
                <w:fitText w:val="130" w:id="-1032058356"/>
                <w14:textFill>
                  <w14:solidFill>
                    <w14:srgbClr w14:val="000000">
                      <w14:alpha w14:val="100000"/>
                    </w14:srgbClr>
                  </w14:solidFill>
                </w14:textFill>
              </w:rPr>
              <w:t xml:space="preserve">　</w:t>
            </w:r>
            <w:r w:rsidR="00DE5ED8">
              <w:rPr>
                <w:vertAlign w:val="superscript"/>
              </w:rPr>
              <w:t>6</w:t>
            </w:r>
          </w:p>
        </w:tc>
        <w:tc>
          <w:tcPr>
            <w:tcW w:w="634" w:type="pct"/>
            <w:vAlign w:val="center"/>
          </w:tcPr>
          <w:p w14:paraId="20C51D0A" w14:textId="0E9FCDB0" w:rsidR="00747F8D" w:rsidRPr="00F0362D" w:rsidRDefault="00D52BD6" w:rsidP="001F3B65">
            <w:pPr>
              <w:pStyle w:val="TableText"/>
              <w:keepLines/>
              <w:snapToGrid w:val="0"/>
              <w:jc w:val="center"/>
              <w:rPr>
                <w:rFonts w:cstheme="minorHAnsi"/>
                <w:b/>
                <w:bCs w:val="0"/>
                <w:iCs/>
                <w:szCs w:val="20"/>
                <w:highlight w:val="darkGray"/>
              </w:rPr>
            </w:pPr>
            <w:r>
              <w:rPr>
                <w:rFonts w:cstheme="minorHAnsi"/>
                <w:b/>
                <w:bCs w:val="0"/>
                <w:iCs/>
                <w:szCs w:val="20"/>
              </w:rPr>
              <w:t xml:space="preserve"> </w:t>
            </w:r>
            <w:r w:rsidRPr="00D52BD6">
              <w:rPr>
                <w:rFonts w:cstheme="minorHAnsi" w:hint="eastAsia"/>
                <w:b/>
                <w:bCs w:val="0"/>
                <w:iCs/>
                <w:color w:val="000000"/>
                <w:w w:val="26"/>
                <w:szCs w:val="20"/>
                <w:shd w:val="solid" w:color="000000" w:fill="000000"/>
                <w:fitText w:val="120" w:id="-1032058355"/>
                <w14:textFill>
                  <w14:solidFill>
                    <w14:srgbClr w14:val="000000">
                      <w14:alpha w14:val="100000"/>
                    </w14:srgbClr>
                  </w14:solidFill>
                </w14:textFill>
              </w:rPr>
              <w:t xml:space="preserve">　</w:t>
            </w:r>
            <w:r w:rsidRPr="00D52BD6">
              <w:rPr>
                <w:rFonts w:cstheme="minorHAnsi"/>
                <w:b/>
                <w:bCs w:val="0"/>
                <w:iCs/>
                <w:color w:val="000000"/>
                <w:w w:val="26"/>
                <w:szCs w:val="20"/>
                <w:shd w:val="solid" w:color="000000" w:fill="000000"/>
                <w:fitText w:val="120" w:id="-1032058355"/>
                <w14:textFill>
                  <w14:solidFill>
                    <w14:srgbClr w14:val="000000">
                      <w14:alpha w14:val="100000"/>
                    </w14:srgbClr>
                  </w14:solidFill>
                </w14:textFill>
              </w:rPr>
              <w:t>|</w:t>
            </w:r>
            <w:r w:rsidRPr="00D52BD6">
              <w:rPr>
                <w:rFonts w:cstheme="minorHAnsi" w:hint="eastAsia"/>
                <w:b/>
                <w:bCs w:val="0"/>
                <w:iCs/>
                <w:color w:val="000000"/>
                <w:spacing w:val="4"/>
                <w:w w:val="26"/>
                <w:szCs w:val="20"/>
                <w:shd w:val="solid" w:color="000000" w:fill="000000"/>
                <w:fitText w:val="120" w:id="-1032058355"/>
                <w14:textFill>
                  <w14:solidFill>
                    <w14:srgbClr w14:val="000000">
                      <w14:alpha w14:val="100000"/>
                    </w14:srgbClr>
                  </w14:solidFill>
                </w14:textFill>
              </w:rPr>
              <w:t xml:space="preserve">　</w:t>
            </w:r>
            <w:r w:rsidR="00DE5ED8">
              <w:rPr>
                <w:vertAlign w:val="superscript"/>
              </w:rPr>
              <w:t>6</w:t>
            </w:r>
          </w:p>
        </w:tc>
        <w:tc>
          <w:tcPr>
            <w:tcW w:w="620" w:type="pct"/>
            <w:vAlign w:val="center"/>
          </w:tcPr>
          <w:p w14:paraId="44F7CA0C" w14:textId="1C46A3F2" w:rsidR="00747F8D" w:rsidRPr="00F0362D" w:rsidRDefault="00D52BD6" w:rsidP="001F3B65">
            <w:pPr>
              <w:pStyle w:val="TableText"/>
              <w:keepLines/>
              <w:snapToGrid w:val="0"/>
              <w:jc w:val="center"/>
              <w:rPr>
                <w:rFonts w:cstheme="minorHAnsi"/>
                <w:b/>
                <w:bCs w:val="0"/>
                <w:iCs/>
                <w:szCs w:val="20"/>
                <w:highlight w:val="darkGray"/>
              </w:rPr>
            </w:pPr>
            <w:r>
              <w:rPr>
                <w:rFonts w:cstheme="minorHAnsi"/>
                <w:b/>
                <w:bCs w:val="0"/>
                <w:iCs/>
                <w:szCs w:val="20"/>
              </w:rPr>
              <w:t xml:space="preserve"> </w:t>
            </w:r>
            <w:r w:rsidRPr="00D52BD6">
              <w:rPr>
                <w:rFonts w:cstheme="minorHAnsi" w:hint="eastAsia"/>
                <w:b/>
                <w:bCs w:val="0"/>
                <w:iCs/>
                <w:color w:val="000000"/>
                <w:w w:val="31"/>
                <w:szCs w:val="20"/>
                <w:shd w:val="solid" w:color="000000" w:fill="000000"/>
                <w:fitText w:val="140" w:id="-1032058354"/>
                <w14:textFill>
                  <w14:solidFill>
                    <w14:srgbClr w14:val="000000">
                      <w14:alpha w14:val="100000"/>
                    </w14:srgbClr>
                  </w14:solidFill>
                </w14:textFill>
              </w:rPr>
              <w:t xml:space="preserve">　</w:t>
            </w:r>
            <w:r w:rsidRPr="00D52BD6">
              <w:rPr>
                <w:rFonts w:cstheme="minorHAnsi"/>
                <w:b/>
                <w:bCs w:val="0"/>
                <w:iCs/>
                <w:color w:val="000000"/>
                <w:w w:val="31"/>
                <w:szCs w:val="20"/>
                <w:shd w:val="solid" w:color="000000" w:fill="000000"/>
                <w:fitText w:val="140" w:id="-1032058354"/>
                <w14:textFill>
                  <w14:solidFill>
                    <w14:srgbClr w14:val="000000">
                      <w14:alpha w14:val="100000"/>
                    </w14:srgbClr>
                  </w14:solidFill>
                </w14:textFill>
              </w:rPr>
              <w:t>|</w:t>
            </w:r>
            <w:r w:rsidRPr="00D52BD6">
              <w:rPr>
                <w:rFonts w:cstheme="minorHAnsi" w:hint="eastAsia"/>
                <w:b/>
                <w:bCs w:val="0"/>
                <w:iCs/>
                <w:color w:val="000000"/>
                <w:spacing w:val="3"/>
                <w:w w:val="31"/>
                <w:szCs w:val="20"/>
                <w:shd w:val="solid" w:color="000000" w:fill="000000"/>
                <w:fitText w:val="140" w:id="-1032058354"/>
                <w14:textFill>
                  <w14:solidFill>
                    <w14:srgbClr w14:val="000000">
                      <w14:alpha w14:val="100000"/>
                    </w14:srgbClr>
                  </w14:solidFill>
                </w14:textFill>
              </w:rPr>
              <w:t xml:space="preserve">　</w:t>
            </w:r>
            <w:r w:rsidR="00DE5ED8">
              <w:rPr>
                <w:vertAlign w:val="superscript"/>
              </w:rPr>
              <w:t>6</w:t>
            </w:r>
          </w:p>
        </w:tc>
        <w:tc>
          <w:tcPr>
            <w:tcW w:w="642" w:type="pct"/>
            <w:vAlign w:val="center"/>
          </w:tcPr>
          <w:p w14:paraId="710EF7C9" w14:textId="6A04EA8E" w:rsidR="00747F8D" w:rsidRPr="00F0362D" w:rsidRDefault="00D52BD6" w:rsidP="001F3B65">
            <w:pPr>
              <w:pStyle w:val="TableText"/>
              <w:keepLines/>
              <w:snapToGrid w:val="0"/>
              <w:jc w:val="center"/>
              <w:rPr>
                <w:rFonts w:cstheme="minorHAnsi"/>
                <w:b/>
                <w:bCs w:val="0"/>
                <w:iCs/>
                <w:szCs w:val="20"/>
                <w:highlight w:val="darkGray"/>
              </w:rPr>
            </w:pPr>
            <w:r>
              <w:rPr>
                <w:rFonts w:cstheme="minorHAnsi"/>
                <w:b/>
                <w:bCs w:val="0"/>
                <w:iCs/>
                <w:szCs w:val="20"/>
              </w:rPr>
              <w:t xml:space="preserve"> </w:t>
            </w:r>
            <w:r w:rsidRPr="00D52BD6">
              <w:rPr>
                <w:rFonts w:cstheme="minorHAnsi" w:hint="eastAsia"/>
                <w:b/>
                <w:bCs w:val="0"/>
                <w:iCs/>
                <w:color w:val="000000"/>
                <w:w w:val="26"/>
                <w:szCs w:val="20"/>
                <w:shd w:val="solid" w:color="000000" w:fill="000000"/>
                <w:fitText w:val="120" w:id="-1032058353"/>
                <w14:textFill>
                  <w14:solidFill>
                    <w14:srgbClr w14:val="000000">
                      <w14:alpha w14:val="100000"/>
                    </w14:srgbClr>
                  </w14:solidFill>
                </w14:textFill>
              </w:rPr>
              <w:t xml:space="preserve">　</w:t>
            </w:r>
            <w:r w:rsidRPr="00D52BD6">
              <w:rPr>
                <w:rFonts w:cstheme="minorHAnsi"/>
                <w:b/>
                <w:bCs w:val="0"/>
                <w:iCs/>
                <w:color w:val="000000"/>
                <w:w w:val="26"/>
                <w:szCs w:val="20"/>
                <w:shd w:val="solid" w:color="000000" w:fill="000000"/>
                <w:fitText w:val="120" w:id="-1032058353"/>
                <w14:textFill>
                  <w14:solidFill>
                    <w14:srgbClr w14:val="000000">
                      <w14:alpha w14:val="100000"/>
                    </w14:srgbClr>
                  </w14:solidFill>
                </w14:textFill>
              </w:rPr>
              <w:t>|</w:t>
            </w:r>
            <w:r w:rsidRPr="00D52BD6">
              <w:rPr>
                <w:rFonts w:cstheme="minorHAnsi" w:hint="eastAsia"/>
                <w:b/>
                <w:bCs w:val="0"/>
                <w:iCs/>
                <w:color w:val="000000"/>
                <w:spacing w:val="4"/>
                <w:w w:val="26"/>
                <w:szCs w:val="20"/>
                <w:shd w:val="solid" w:color="000000" w:fill="000000"/>
                <w:fitText w:val="120" w:id="-1032058353"/>
                <w14:textFill>
                  <w14:solidFill>
                    <w14:srgbClr w14:val="000000">
                      <w14:alpha w14:val="100000"/>
                    </w14:srgbClr>
                  </w14:solidFill>
                </w14:textFill>
              </w:rPr>
              <w:t xml:space="preserve">　</w:t>
            </w:r>
            <w:r w:rsidR="00DE5ED8">
              <w:rPr>
                <w:vertAlign w:val="superscript"/>
              </w:rPr>
              <w:t>6</w:t>
            </w:r>
          </w:p>
        </w:tc>
        <w:tc>
          <w:tcPr>
            <w:tcW w:w="638" w:type="pct"/>
            <w:vAlign w:val="center"/>
          </w:tcPr>
          <w:p w14:paraId="6644DA85" w14:textId="1264F6FA" w:rsidR="00747F8D" w:rsidRPr="00F0362D" w:rsidRDefault="00D52BD6" w:rsidP="001F3B65">
            <w:pPr>
              <w:pStyle w:val="TableText"/>
              <w:keepLines/>
              <w:snapToGrid w:val="0"/>
              <w:jc w:val="center"/>
              <w:rPr>
                <w:rFonts w:cstheme="minorHAnsi"/>
                <w:b/>
                <w:bCs w:val="0"/>
                <w:iCs/>
                <w:szCs w:val="20"/>
                <w:highlight w:val="darkGray"/>
              </w:rPr>
            </w:pPr>
            <w:r>
              <w:rPr>
                <w:rFonts w:cstheme="minorHAnsi"/>
                <w:b/>
                <w:bCs w:val="0"/>
                <w:iCs/>
                <w:szCs w:val="20"/>
              </w:rPr>
              <w:t xml:space="preserve"> </w:t>
            </w:r>
            <w:r w:rsidRPr="00D52BD6">
              <w:rPr>
                <w:rFonts w:cstheme="minorHAnsi" w:hint="eastAsia"/>
                <w:b/>
                <w:bCs w:val="0"/>
                <w:iCs/>
                <w:color w:val="000000"/>
                <w:w w:val="29"/>
                <w:szCs w:val="20"/>
                <w:shd w:val="solid" w:color="000000" w:fill="000000"/>
                <w:fitText w:val="130" w:id="-1032058352"/>
                <w14:textFill>
                  <w14:solidFill>
                    <w14:srgbClr w14:val="000000">
                      <w14:alpha w14:val="100000"/>
                    </w14:srgbClr>
                  </w14:solidFill>
                </w14:textFill>
              </w:rPr>
              <w:t xml:space="preserve">　</w:t>
            </w:r>
            <w:r w:rsidRPr="00D52BD6">
              <w:rPr>
                <w:rFonts w:cstheme="minorHAnsi"/>
                <w:b/>
                <w:bCs w:val="0"/>
                <w:iCs/>
                <w:color w:val="000000"/>
                <w:w w:val="29"/>
                <w:szCs w:val="20"/>
                <w:shd w:val="solid" w:color="000000" w:fill="000000"/>
                <w:fitText w:val="130" w:id="-1032058352"/>
                <w14:textFill>
                  <w14:solidFill>
                    <w14:srgbClr w14:val="000000">
                      <w14:alpha w14:val="100000"/>
                    </w14:srgbClr>
                  </w14:solidFill>
                </w14:textFill>
              </w:rPr>
              <w:t>|</w:t>
            </w:r>
            <w:r w:rsidRPr="00D52BD6">
              <w:rPr>
                <w:rFonts w:cstheme="minorHAnsi" w:hint="eastAsia"/>
                <w:b/>
                <w:bCs w:val="0"/>
                <w:iCs/>
                <w:color w:val="000000"/>
                <w:spacing w:val="1"/>
                <w:w w:val="29"/>
                <w:szCs w:val="20"/>
                <w:shd w:val="solid" w:color="000000" w:fill="000000"/>
                <w:fitText w:val="130" w:id="-1032058352"/>
                <w14:textFill>
                  <w14:solidFill>
                    <w14:srgbClr w14:val="000000">
                      <w14:alpha w14:val="100000"/>
                    </w14:srgbClr>
                  </w14:solidFill>
                </w14:textFill>
              </w:rPr>
              <w:t xml:space="preserve">　</w:t>
            </w:r>
            <w:r w:rsidR="00DE5ED8">
              <w:rPr>
                <w:vertAlign w:val="superscript"/>
              </w:rPr>
              <w:t>8</w:t>
            </w:r>
          </w:p>
        </w:tc>
      </w:tr>
    </w:tbl>
    <w:p w14:paraId="2509B2A5" w14:textId="50EA2DC0" w:rsidR="00F16767" w:rsidRPr="00A40AA1" w:rsidRDefault="00F16767" w:rsidP="001F3B65">
      <w:pPr>
        <w:pStyle w:val="FooterTableFigure"/>
        <w:keepNext/>
        <w:keepLines/>
      </w:pPr>
      <w:r w:rsidRPr="00A40AA1">
        <w:t xml:space="preserve">a </w:t>
      </w:r>
      <w:r w:rsidRPr="00E74297">
        <w:t xml:space="preserve">Cost per SG script revised </w:t>
      </w:r>
      <w:r w:rsidRPr="00A40AA1">
        <w:t xml:space="preserve">from </w:t>
      </w:r>
      <w:r w:rsidR="001F3B65">
        <w:t>$</w:t>
      </w:r>
      <w:r w:rsidR="00D52BD6" w:rsidRPr="001F3B65">
        <w:rPr>
          <w:color w:val="000000"/>
          <w:spacing w:val="40"/>
          <w:shd w:val="solid" w:color="000000" w:fill="000000"/>
          <w:fitText w:val="280" w:id="-1032058368"/>
          <w14:textFill>
            <w14:solidFill>
              <w14:srgbClr w14:val="000000">
                <w14:alpha w14:val="100000"/>
              </w14:srgbClr>
            </w14:solidFill>
          </w14:textFill>
        </w:rPr>
        <w:t xml:space="preserve">|  </w:t>
      </w:r>
      <w:r w:rsidR="00D52BD6" w:rsidRPr="001F3B65">
        <w:rPr>
          <w:color w:val="000000"/>
          <w:spacing w:val="2"/>
          <w:shd w:val="solid" w:color="000000" w:fill="000000"/>
          <w:fitText w:val="280" w:id="-1032058368"/>
          <w14:textFill>
            <w14:solidFill>
              <w14:srgbClr w14:val="000000">
                <w14:alpha w14:val="100000"/>
              </w14:srgbClr>
            </w14:solidFill>
          </w14:textFill>
        </w:rPr>
        <w:t>|</w:t>
      </w:r>
      <w:r w:rsidRPr="00E74297">
        <w:t xml:space="preserve">to </w:t>
      </w:r>
      <w:r w:rsidR="001F3B65">
        <w:t>$</w:t>
      </w:r>
      <w:r w:rsidR="00D52BD6" w:rsidRPr="001F3B65">
        <w:rPr>
          <w:color w:val="000000"/>
          <w:spacing w:val="40"/>
          <w:shd w:val="solid" w:color="000000" w:fill="000000"/>
          <w:fitText w:val="280" w:id="-1032058367"/>
          <w14:textFill>
            <w14:solidFill>
              <w14:srgbClr w14:val="000000">
                <w14:alpha w14:val="100000"/>
              </w14:srgbClr>
            </w14:solidFill>
          </w14:textFill>
        </w:rPr>
        <w:t xml:space="preserve">|  </w:t>
      </w:r>
      <w:r w:rsidR="00D52BD6" w:rsidRPr="001F3B65">
        <w:rPr>
          <w:color w:val="000000"/>
          <w:spacing w:val="2"/>
          <w:shd w:val="solid" w:color="000000" w:fill="000000"/>
          <w:fitText w:val="280" w:id="-1032058367"/>
          <w14:textFill>
            <w14:solidFill>
              <w14:srgbClr w14:val="000000">
                <w14:alpha w14:val="100000"/>
              </w14:srgbClr>
            </w14:solidFill>
          </w14:textFill>
        </w:rPr>
        <w:t>|</w:t>
      </w:r>
    </w:p>
    <w:p w14:paraId="08CDC98D" w14:textId="5233D6CC" w:rsidR="00A40AA1" w:rsidRDefault="00F16767" w:rsidP="001F3B65">
      <w:pPr>
        <w:pStyle w:val="FooterTableFigure"/>
        <w:keepNext/>
        <w:keepLines/>
      </w:pPr>
      <w:r w:rsidRPr="00A40AA1">
        <w:t xml:space="preserve">b </w:t>
      </w:r>
      <w:r w:rsidRPr="00E74297">
        <w:t xml:space="preserve">Cost per eribulin script revised from </w:t>
      </w:r>
      <w:r w:rsidR="00A40AA1" w:rsidRPr="00A40AA1">
        <w:t xml:space="preserve">$643.06 </w:t>
      </w:r>
      <w:r w:rsidRPr="00E74297">
        <w:t xml:space="preserve">to </w:t>
      </w:r>
      <w:r w:rsidR="00A40AA1" w:rsidRPr="00A40AA1">
        <w:t>$797.03</w:t>
      </w:r>
      <w:r w:rsidRPr="00E74297">
        <w:t xml:space="preserve">, cost per vinorelbine script revised from </w:t>
      </w:r>
      <w:r w:rsidR="00A40AA1" w:rsidRPr="00A40AA1">
        <w:t xml:space="preserve">$110.64 </w:t>
      </w:r>
      <w:r w:rsidRPr="00E74297">
        <w:t xml:space="preserve">to </w:t>
      </w:r>
      <w:r w:rsidR="00A40AA1" w:rsidRPr="00A40AA1">
        <w:t xml:space="preserve">$161.89 </w:t>
      </w:r>
      <w:r w:rsidRPr="00E74297">
        <w:t xml:space="preserve">and cost per gemcitabine script revised from </w:t>
      </w:r>
      <w:r w:rsidR="00A40AA1" w:rsidRPr="00A40AA1">
        <w:t xml:space="preserve">$129.90 </w:t>
      </w:r>
      <w:r w:rsidRPr="00E74297">
        <w:t xml:space="preserve">to </w:t>
      </w:r>
      <w:r w:rsidR="00A40AA1" w:rsidRPr="00A40AA1">
        <w:t>$176.29</w:t>
      </w:r>
    </w:p>
    <w:p w14:paraId="29C43B69" w14:textId="7C5C4522" w:rsidR="00DE5ED8" w:rsidRPr="00F0362D" w:rsidRDefault="00DE5ED8" w:rsidP="001F3B65">
      <w:pPr>
        <w:pStyle w:val="FooterTableFigure"/>
        <w:keepNext/>
        <w:keepLines/>
        <w:rPr>
          <w:i/>
          <w:iCs/>
        </w:rPr>
      </w:pPr>
      <w:r w:rsidRPr="00F0362D">
        <w:rPr>
          <w:i/>
          <w:iCs/>
        </w:rPr>
        <w:t>The redacted values correspond to the following ranges:</w:t>
      </w:r>
    </w:p>
    <w:p w14:paraId="7AD52A73" w14:textId="070B4863" w:rsidR="00DE5ED8" w:rsidRPr="00F0362D" w:rsidRDefault="00DE5ED8" w:rsidP="001F3B65">
      <w:pPr>
        <w:pStyle w:val="FooterTableFigure"/>
        <w:keepNext/>
        <w:keepLines/>
        <w:rPr>
          <w:i/>
          <w:iCs/>
        </w:rPr>
      </w:pPr>
      <w:r w:rsidRPr="00F0362D">
        <w:rPr>
          <w:i/>
          <w:iCs/>
          <w:vertAlign w:val="superscript"/>
        </w:rPr>
        <w:t>1</w:t>
      </w:r>
      <w:r w:rsidRPr="00F0362D">
        <w:rPr>
          <w:i/>
          <w:iCs/>
        </w:rPr>
        <w:t xml:space="preserve"> 500 to &lt; 5,000</w:t>
      </w:r>
    </w:p>
    <w:p w14:paraId="56E4A214" w14:textId="33C23409" w:rsidR="00DE5ED8" w:rsidRPr="00F0362D" w:rsidRDefault="00DE5ED8" w:rsidP="001F3B65">
      <w:pPr>
        <w:pStyle w:val="FooterTableFigure"/>
        <w:keepNext/>
        <w:keepLines/>
        <w:rPr>
          <w:i/>
          <w:iCs/>
        </w:rPr>
      </w:pPr>
      <w:r w:rsidRPr="00F0362D">
        <w:rPr>
          <w:i/>
          <w:iCs/>
          <w:vertAlign w:val="superscript"/>
        </w:rPr>
        <w:t>2</w:t>
      </w:r>
      <w:r w:rsidRPr="00F0362D">
        <w:rPr>
          <w:i/>
          <w:iCs/>
        </w:rPr>
        <w:t xml:space="preserve"> &lt; 500</w:t>
      </w:r>
    </w:p>
    <w:p w14:paraId="3C52FA69" w14:textId="4C432F20" w:rsidR="00DE5ED8" w:rsidRPr="00F0362D" w:rsidRDefault="00DE5ED8" w:rsidP="001F3B65">
      <w:pPr>
        <w:pStyle w:val="FooterTableFigure"/>
        <w:keepNext/>
        <w:keepLines/>
        <w:rPr>
          <w:i/>
          <w:iCs/>
        </w:rPr>
      </w:pPr>
      <w:r w:rsidRPr="00F0362D">
        <w:rPr>
          <w:i/>
          <w:iCs/>
          <w:vertAlign w:val="superscript"/>
        </w:rPr>
        <w:t>3</w:t>
      </w:r>
      <w:r w:rsidRPr="00F0362D">
        <w:rPr>
          <w:i/>
          <w:iCs/>
        </w:rPr>
        <w:t xml:space="preserve"> 10,000 to &lt; 20,000</w:t>
      </w:r>
    </w:p>
    <w:p w14:paraId="4873CB59" w14:textId="7BE03F07" w:rsidR="00DE5ED8" w:rsidRPr="00F0362D" w:rsidRDefault="00DE5ED8" w:rsidP="00A40AA1">
      <w:pPr>
        <w:pStyle w:val="FooterTableFigure"/>
        <w:rPr>
          <w:i/>
          <w:iCs/>
        </w:rPr>
      </w:pPr>
      <w:r w:rsidRPr="00F0362D">
        <w:rPr>
          <w:i/>
          <w:iCs/>
          <w:vertAlign w:val="superscript"/>
        </w:rPr>
        <w:t>4</w:t>
      </w:r>
      <w:r w:rsidRPr="00F0362D">
        <w:rPr>
          <w:i/>
          <w:iCs/>
        </w:rPr>
        <w:t xml:space="preserve"> 20,000 to &lt; 30,000</w:t>
      </w:r>
    </w:p>
    <w:p w14:paraId="64DEF7B0" w14:textId="794FFEBE" w:rsidR="00DE5ED8" w:rsidRPr="00F0362D" w:rsidRDefault="00DE5ED8" w:rsidP="00A40AA1">
      <w:pPr>
        <w:pStyle w:val="FooterTableFigure"/>
        <w:rPr>
          <w:i/>
          <w:iCs/>
        </w:rPr>
      </w:pPr>
      <w:r w:rsidRPr="00F0362D">
        <w:rPr>
          <w:i/>
          <w:iCs/>
          <w:vertAlign w:val="superscript"/>
        </w:rPr>
        <w:t>5</w:t>
      </w:r>
      <w:r w:rsidRPr="00F0362D">
        <w:rPr>
          <w:i/>
          <w:iCs/>
        </w:rPr>
        <w:t xml:space="preserve"> $20 million to &lt; $30 million</w:t>
      </w:r>
    </w:p>
    <w:p w14:paraId="0CECBC15" w14:textId="1D6255AA" w:rsidR="00DE5ED8" w:rsidRPr="00F0362D" w:rsidRDefault="00DE5ED8" w:rsidP="00A40AA1">
      <w:pPr>
        <w:pStyle w:val="FooterTableFigure"/>
        <w:rPr>
          <w:i/>
          <w:iCs/>
        </w:rPr>
      </w:pPr>
      <w:r w:rsidRPr="00F0362D">
        <w:rPr>
          <w:i/>
          <w:iCs/>
          <w:vertAlign w:val="superscript"/>
        </w:rPr>
        <w:t>6</w:t>
      </w:r>
      <w:r w:rsidRPr="00F0362D">
        <w:rPr>
          <w:i/>
          <w:iCs/>
        </w:rPr>
        <w:t xml:space="preserve"> $30 million to &lt; $40 million </w:t>
      </w:r>
    </w:p>
    <w:p w14:paraId="607D1A25" w14:textId="699A91B3" w:rsidR="00DE5ED8" w:rsidRPr="00F0362D" w:rsidRDefault="00DE5ED8" w:rsidP="00A40AA1">
      <w:pPr>
        <w:pStyle w:val="FooterTableFigure"/>
        <w:rPr>
          <w:i/>
          <w:iCs/>
        </w:rPr>
      </w:pPr>
      <w:r w:rsidRPr="00F0362D">
        <w:rPr>
          <w:i/>
          <w:iCs/>
          <w:vertAlign w:val="superscript"/>
        </w:rPr>
        <w:t>7</w:t>
      </w:r>
      <w:r w:rsidRPr="00F0362D">
        <w:rPr>
          <w:i/>
          <w:iCs/>
        </w:rPr>
        <w:t xml:space="preserve"> net cost saving</w:t>
      </w:r>
    </w:p>
    <w:p w14:paraId="7B0901E8" w14:textId="4ED55603" w:rsidR="00DE5ED8" w:rsidRPr="001F3B65" w:rsidRDefault="00DE5ED8" w:rsidP="00A40AA1">
      <w:pPr>
        <w:pStyle w:val="FooterTableFigure"/>
        <w:rPr>
          <w:i/>
          <w:iCs/>
        </w:rPr>
      </w:pPr>
      <w:r w:rsidRPr="00F0362D">
        <w:rPr>
          <w:i/>
          <w:iCs/>
          <w:vertAlign w:val="superscript"/>
        </w:rPr>
        <w:t>8</w:t>
      </w:r>
      <w:r w:rsidRPr="00F0362D">
        <w:rPr>
          <w:i/>
          <w:iCs/>
        </w:rPr>
        <w:t xml:space="preserve"> $40 million to &lt; $50 million</w:t>
      </w:r>
    </w:p>
    <w:p w14:paraId="5DA59002" w14:textId="77777777" w:rsidR="0019198E" w:rsidRPr="00DC59D4" w:rsidRDefault="0019198E" w:rsidP="00DC59D4">
      <w:pPr>
        <w:rPr>
          <w:bCs/>
          <w:i/>
          <w:iCs/>
        </w:rPr>
      </w:pPr>
      <w:r w:rsidRPr="00DC59D4">
        <w:rPr>
          <w:i/>
          <w:iCs/>
          <w:lang w:eastAsia="en-US"/>
        </w:rPr>
        <w:t>For more detail on PBAC’s view, see section</w:t>
      </w:r>
      <w:r w:rsidRPr="00396E49">
        <w:rPr>
          <w:bCs/>
          <w:i/>
          <w:iCs/>
          <w:lang w:eastAsia="en-US"/>
        </w:rPr>
        <w:t xml:space="preserve"> 5</w:t>
      </w:r>
      <w:r w:rsidRPr="00DC59D4">
        <w:rPr>
          <w:i/>
          <w:iCs/>
          <w:lang w:eastAsia="en-US"/>
        </w:rPr>
        <w:t xml:space="preserve"> PBAC outcome</w:t>
      </w:r>
      <w:r w:rsidRPr="00DC59D4">
        <w:rPr>
          <w:b/>
          <w:i/>
          <w:iCs/>
          <w:lang w:eastAsia="en-US"/>
        </w:rPr>
        <w:t>.</w:t>
      </w:r>
    </w:p>
    <w:p w14:paraId="4D568F4F" w14:textId="77777777" w:rsidR="00DC59D4" w:rsidRPr="0090150D" w:rsidRDefault="00DC59D4" w:rsidP="00396E49">
      <w:pPr>
        <w:pStyle w:val="2-SectionHeading"/>
      </w:pPr>
      <w:bookmarkStart w:id="25" w:name="_Hlk76381249"/>
      <w:bookmarkStart w:id="26" w:name="_Hlk76377955"/>
      <w:r w:rsidRPr="0090150D">
        <w:t>PBAC Outcome</w:t>
      </w:r>
    </w:p>
    <w:p w14:paraId="064D346C" w14:textId="49B8B492" w:rsidR="004D0C71" w:rsidRPr="00E74297" w:rsidRDefault="009D45A3" w:rsidP="00C6582E">
      <w:pPr>
        <w:pStyle w:val="3-BodyText"/>
      </w:pPr>
      <w:r w:rsidRPr="00E74297">
        <w:t xml:space="preserve">The PBAC did not recommend the listing of sacituzumab govitecan (SG), </w:t>
      </w:r>
      <w:r w:rsidRPr="00396E49">
        <w:t>for the treatment of adult patients with unresectable locally advanced or metastatic hormone receptor positive (HR+), human epidermal growth factor receptor 2 (HER2) negative (HR+/HER2-) breast cancer, who have previously received at least two prior chemotherapeutic regimens.</w:t>
      </w:r>
      <w:r w:rsidR="00964441">
        <w:t xml:space="preserve"> In making this recommendation, the PBAC</w:t>
      </w:r>
      <w:r w:rsidR="005C23A1">
        <w:t xml:space="preserve"> considered</w:t>
      </w:r>
      <w:r w:rsidR="005C23A1">
        <w:rPr>
          <w:snapToGrid w:val="0"/>
          <w:lang w:val="en-GB"/>
        </w:rPr>
        <w:t xml:space="preserve"> that the </w:t>
      </w:r>
      <w:r w:rsidR="00511AB5">
        <w:t xml:space="preserve">changes made to the proposed </w:t>
      </w:r>
      <w:r w:rsidR="005C23A1">
        <w:t>restriction of SG</w:t>
      </w:r>
      <w:r w:rsidR="005C23A1" w:rsidRPr="00827149">
        <w:t xml:space="preserve"> </w:t>
      </w:r>
      <w:r w:rsidR="00511AB5">
        <w:t xml:space="preserve">appropriately </w:t>
      </w:r>
      <w:r w:rsidR="005C23A1" w:rsidRPr="0070023C">
        <w:t>reflect</w:t>
      </w:r>
      <w:r w:rsidR="005C23A1">
        <w:t>ed</w:t>
      </w:r>
      <w:r w:rsidR="005C23A1" w:rsidRPr="0070023C">
        <w:t xml:space="preserve"> the inclusion criteria for </w:t>
      </w:r>
      <w:r w:rsidR="00C553B2">
        <w:t xml:space="preserve">the </w:t>
      </w:r>
      <w:r w:rsidR="005C23A1" w:rsidRPr="0070023C">
        <w:t xml:space="preserve">TROPiCS-02 </w:t>
      </w:r>
      <w:r w:rsidR="00511AB5">
        <w:t xml:space="preserve">trial and </w:t>
      </w:r>
      <w:r w:rsidR="00964441">
        <w:t xml:space="preserve">accepted </w:t>
      </w:r>
      <w:r w:rsidR="00E95FA1">
        <w:t xml:space="preserve">that </w:t>
      </w:r>
      <w:r w:rsidR="00964441">
        <w:t xml:space="preserve">there is a </w:t>
      </w:r>
      <w:r w:rsidR="00E95FA1">
        <w:t xml:space="preserve">moderate </w:t>
      </w:r>
      <w:r w:rsidR="00964441">
        <w:t xml:space="preserve">clinical need for </w:t>
      </w:r>
      <w:r w:rsidR="00E95FA1">
        <w:t xml:space="preserve">new and effective therapies </w:t>
      </w:r>
      <w:r w:rsidR="00360535">
        <w:t>in</w:t>
      </w:r>
      <w:r w:rsidR="00E95FA1">
        <w:t xml:space="preserve"> this indication</w:t>
      </w:r>
      <w:r w:rsidR="005C23A1">
        <w:t xml:space="preserve">. </w:t>
      </w:r>
      <w:r w:rsidR="00360535">
        <w:t xml:space="preserve">The PBAC </w:t>
      </w:r>
      <w:r w:rsidR="005C23A1" w:rsidRPr="00E74297">
        <w:t>considered that SG provided</w:t>
      </w:r>
      <w:r w:rsidR="00C6582E">
        <w:t xml:space="preserve"> a</w:t>
      </w:r>
      <w:r w:rsidR="005C23A1">
        <w:t xml:space="preserve"> </w:t>
      </w:r>
      <w:r w:rsidR="005C23A1" w:rsidRPr="00E74297">
        <w:t xml:space="preserve">clinical </w:t>
      </w:r>
      <w:r w:rsidR="005C23A1">
        <w:t xml:space="preserve">benefit </w:t>
      </w:r>
      <w:r w:rsidR="003347D4">
        <w:t>with a significant</w:t>
      </w:r>
      <w:r w:rsidR="00E552E5">
        <w:t xml:space="preserve"> improvement in </w:t>
      </w:r>
      <w:r w:rsidR="003347D4">
        <w:t>progression free survival (PFS) and overall survival (OS)</w:t>
      </w:r>
      <w:r w:rsidR="000E1976">
        <w:t xml:space="preserve"> compared with </w:t>
      </w:r>
      <w:r w:rsidR="000E1976" w:rsidRPr="00024387">
        <w:rPr>
          <w:rFonts w:cstheme="minorHAnsi"/>
          <w:szCs w:val="20"/>
        </w:rPr>
        <w:t>treatment of physician’s choice (</w:t>
      </w:r>
      <w:r w:rsidR="000E1976" w:rsidRPr="00024387">
        <w:rPr>
          <w:snapToGrid w:val="0"/>
        </w:rPr>
        <w:t>TPC)</w:t>
      </w:r>
      <w:r w:rsidR="003347D4">
        <w:t>. However, t</w:t>
      </w:r>
      <w:r w:rsidR="003347D4" w:rsidRPr="002C3702">
        <w:t xml:space="preserve">he PBAC noted that </w:t>
      </w:r>
      <w:r w:rsidR="000E1976">
        <w:t>revised</w:t>
      </w:r>
      <w:r w:rsidR="003347D4" w:rsidRPr="002C3702">
        <w:t xml:space="preserve"> economic evaluation had </w:t>
      </w:r>
      <w:r w:rsidR="003347D4">
        <w:t>not</w:t>
      </w:r>
      <w:r w:rsidR="003347D4" w:rsidRPr="002C3702">
        <w:t xml:space="preserve"> addressed</w:t>
      </w:r>
      <w:r w:rsidR="003347D4">
        <w:t xml:space="preserve"> </w:t>
      </w:r>
      <w:r w:rsidR="00387AF9">
        <w:t xml:space="preserve">a number </w:t>
      </w:r>
      <w:r w:rsidR="003347D4">
        <w:t>of</w:t>
      </w:r>
      <w:r w:rsidR="003347D4" w:rsidRPr="002C3702">
        <w:t xml:space="preserve"> the Committee’s previous concerns.</w:t>
      </w:r>
      <w:r w:rsidR="003347D4">
        <w:t xml:space="preserve"> </w:t>
      </w:r>
      <w:r w:rsidR="003347D4" w:rsidRPr="007E7CA0">
        <w:t xml:space="preserve">The PBAC considered that the </w:t>
      </w:r>
      <w:r w:rsidR="003347D4" w:rsidRPr="007E7CA0">
        <w:lastRenderedPageBreak/>
        <w:t xml:space="preserve">incremental cost-effectiveness ratio (ICER) </w:t>
      </w:r>
      <w:r w:rsidR="003347D4">
        <w:t>remained</w:t>
      </w:r>
      <w:r w:rsidR="003347D4" w:rsidRPr="007E7CA0">
        <w:t xml:space="preserve"> underestimated</w:t>
      </w:r>
      <w:r w:rsidR="00905A5F">
        <w:t xml:space="preserve"> and SG was not cost-effective at the price proposed in the submission</w:t>
      </w:r>
      <w:r w:rsidR="003347D4" w:rsidRPr="007E7CA0">
        <w:t>.</w:t>
      </w:r>
      <w:r w:rsidR="004D0C71">
        <w:t xml:space="preserve"> </w:t>
      </w:r>
    </w:p>
    <w:p w14:paraId="4CADC504" w14:textId="77777777" w:rsidR="00FA476F" w:rsidRDefault="00C6582E" w:rsidP="00FA476F">
      <w:pPr>
        <w:pStyle w:val="3-BodyText"/>
        <w:rPr>
          <w:snapToGrid w:val="0"/>
          <w:lang w:val="en-GB"/>
        </w:rPr>
      </w:pPr>
      <w:r>
        <w:rPr>
          <w:snapToGrid w:val="0"/>
          <w:lang w:val="en-GB"/>
        </w:rPr>
        <w:t>The PBAC considered that the key reason for this outcome was due to the economic evaluation provided.</w:t>
      </w:r>
    </w:p>
    <w:p w14:paraId="1180AEBF" w14:textId="486136E9" w:rsidR="00FA476F" w:rsidRDefault="00C6582E" w:rsidP="00FA476F">
      <w:pPr>
        <w:pStyle w:val="3-BodyText"/>
        <w:rPr>
          <w:snapToGrid w:val="0"/>
          <w:lang w:val="en-GB"/>
        </w:rPr>
      </w:pPr>
      <w:r w:rsidRPr="00FA476F">
        <w:rPr>
          <w:snapToGrid w:val="0"/>
          <w:lang w:val="en-GB"/>
        </w:rPr>
        <w:t>The PBAC noted the</w:t>
      </w:r>
      <w:r w:rsidR="00504C16" w:rsidRPr="00FA476F">
        <w:rPr>
          <w:snapToGrid w:val="0"/>
          <w:lang w:val="en-GB"/>
        </w:rPr>
        <w:t xml:space="preserve"> input received from consumer and medical organisations </w:t>
      </w:r>
      <w:r w:rsidR="00FA476F" w:rsidRPr="00FA476F">
        <w:rPr>
          <w:snapToGrid w:val="0"/>
          <w:lang w:val="en-GB"/>
        </w:rPr>
        <w:t>expressing their continued support for the listing of SG and emphasis</w:t>
      </w:r>
      <w:r w:rsidR="001D6003">
        <w:rPr>
          <w:snapToGrid w:val="0"/>
          <w:lang w:val="en-GB"/>
        </w:rPr>
        <w:t>ing</w:t>
      </w:r>
      <w:r w:rsidR="00504C16" w:rsidRPr="00FA476F">
        <w:rPr>
          <w:snapToGrid w:val="0"/>
          <w:lang w:val="en-GB"/>
        </w:rPr>
        <w:t xml:space="preserve"> the need for additional treatment options for this condition. The PBAC </w:t>
      </w:r>
      <w:r w:rsidR="00FA476F">
        <w:rPr>
          <w:snapToGrid w:val="0"/>
          <w:lang w:val="en-GB"/>
        </w:rPr>
        <w:t xml:space="preserve">also </w:t>
      </w:r>
      <w:r w:rsidR="00504C16" w:rsidRPr="00FA476F">
        <w:rPr>
          <w:snapToGrid w:val="0"/>
          <w:lang w:val="en-GB"/>
        </w:rPr>
        <w:t xml:space="preserve">noted that the input </w:t>
      </w:r>
      <w:r w:rsidR="00FA476F">
        <w:rPr>
          <w:bCs/>
          <w:snapToGrid w:val="0"/>
        </w:rPr>
        <w:t>maintained</w:t>
      </w:r>
      <w:r w:rsidR="00504C16" w:rsidRPr="00FA476F">
        <w:rPr>
          <w:bCs/>
          <w:snapToGrid w:val="0"/>
        </w:rPr>
        <w:t xml:space="preserve"> that the improved PFS and OS</w:t>
      </w:r>
      <w:r w:rsidR="00FA476F" w:rsidRPr="00FA476F">
        <w:rPr>
          <w:bCs/>
          <w:snapToGrid w:val="0"/>
        </w:rPr>
        <w:t xml:space="preserve"> demonstrated</w:t>
      </w:r>
      <w:r w:rsidR="00504C16" w:rsidRPr="00FA476F">
        <w:rPr>
          <w:bCs/>
          <w:snapToGrid w:val="0"/>
        </w:rPr>
        <w:t xml:space="preserve"> for patients treated with SG </w:t>
      </w:r>
      <w:r w:rsidR="005A302F">
        <w:rPr>
          <w:bCs/>
          <w:snapToGrid w:val="0"/>
        </w:rPr>
        <w:t>would be</w:t>
      </w:r>
      <w:r w:rsidR="00504C16" w:rsidRPr="00FA476F">
        <w:rPr>
          <w:bCs/>
          <w:snapToGrid w:val="0"/>
        </w:rPr>
        <w:t xml:space="preserve"> highly valuable to </w:t>
      </w:r>
      <w:r w:rsidR="00003912">
        <w:rPr>
          <w:bCs/>
          <w:snapToGrid w:val="0"/>
        </w:rPr>
        <w:t>people</w:t>
      </w:r>
      <w:r w:rsidR="00504C16" w:rsidRPr="00FA476F">
        <w:rPr>
          <w:bCs/>
          <w:snapToGrid w:val="0"/>
        </w:rPr>
        <w:t xml:space="preserve"> with metastatic breast cancer</w:t>
      </w:r>
      <w:r w:rsidR="00FA476F" w:rsidRPr="00FA476F">
        <w:rPr>
          <w:bCs/>
          <w:snapToGrid w:val="0"/>
        </w:rPr>
        <w:t xml:space="preserve"> and</w:t>
      </w:r>
      <w:r w:rsidR="00FA476F" w:rsidRPr="00FA476F">
        <w:rPr>
          <w:bCs/>
        </w:rPr>
        <w:t xml:space="preserve"> that the private cost of SG remained a financial </w:t>
      </w:r>
      <w:r w:rsidR="00FA476F">
        <w:rPr>
          <w:bCs/>
        </w:rPr>
        <w:t>barrier</w:t>
      </w:r>
      <w:r w:rsidR="00FA476F" w:rsidRPr="00FA476F">
        <w:rPr>
          <w:bCs/>
        </w:rPr>
        <w:t xml:space="preserve"> to patients.</w:t>
      </w:r>
    </w:p>
    <w:p w14:paraId="6BCC0362" w14:textId="096409C3" w:rsidR="00C6582E" w:rsidRDefault="00387BC7" w:rsidP="00FA476F">
      <w:pPr>
        <w:pStyle w:val="3-BodyText"/>
        <w:rPr>
          <w:snapToGrid w:val="0"/>
          <w:lang w:val="en-GB"/>
        </w:rPr>
      </w:pPr>
      <w:r>
        <w:rPr>
          <w:snapToGrid w:val="0"/>
          <w:lang w:val="en-GB"/>
        </w:rPr>
        <w:t>N</w:t>
      </w:r>
      <w:r w:rsidR="00765986">
        <w:rPr>
          <w:snapToGrid w:val="0"/>
          <w:lang w:val="en-GB"/>
        </w:rPr>
        <w:t>ot</w:t>
      </w:r>
      <w:r>
        <w:rPr>
          <w:snapToGrid w:val="0"/>
          <w:lang w:val="en-GB"/>
        </w:rPr>
        <w:t>ing</w:t>
      </w:r>
      <w:r w:rsidR="00765986">
        <w:rPr>
          <w:snapToGrid w:val="0"/>
          <w:lang w:val="en-GB"/>
        </w:rPr>
        <w:t xml:space="preserve"> that there are</w:t>
      </w:r>
      <w:r w:rsidR="00504C16" w:rsidRPr="00FA476F">
        <w:rPr>
          <w:snapToGrid w:val="0"/>
          <w:lang w:val="en-GB"/>
        </w:rPr>
        <w:t xml:space="preserve"> multiple</w:t>
      </w:r>
      <w:r w:rsidR="00765986">
        <w:rPr>
          <w:snapToGrid w:val="0"/>
          <w:lang w:val="en-GB"/>
        </w:rPr>
        <w:t xml:space="preserve"> </w:t>
      </w:r>
      <w:r w:rsidR="00504C16" w:rsidRPr="00FA476F">
        <w:rPr>
          <w:snapToGrid w:val="0"/>
          <w:lang w:val="en-GB"/>
        </w:rPr>
        <w:t xml:space="preserve">therapies </w:t>
      </w:r>
      <w:r w:rsidR="00765986">
        <w:rPr>
          <w:snapToGrid w:val="0"/>
          <w:lang w:val="en-GB"/>
        </w:rPr>
        <w:t xml:space="preserve">currently available </w:t>
      </w:r>
      <w:r w:rsidR="005A302F">
        <w:rPr>
          <w:snapToGrid w:val="0"/>
          <w:lang w:val="en-GB"/>
        </w:rPr>
        <w:t>in the</w:t>
      </w:r>
      <w:r w:rsidR="00765986">
        <w:rPr>
          <w:snapToGrid w:val="0"/>
          <w:lang w:val="en-GB"/>
        </w:rPr>
        <w:t xml:space="preserve"> HR+ </w:t>
      </w:r>
      <w:r w:rsidR="00504C16" w:rsidRPr="00FA476F">
        <w:rPr>
          <w:snapToGrid w:val="0"/>
          <w:lang w:val="en-GB"/>
        </w:rPr>
        <w:t xml:space="preserve">metastatic </w:t>
      </w:r>
      <w:r w:rsidR="00765986">
        <w:rPr>
          <w:snapToGrid w:val="0"/>
          <w:lang w:val="en-GB"/>
        </w:rPr>
        <w:t>breast cancer</w:t>
      </w:r>
      <w:r w:rsidR="005A302F">
        <w:rPr>
          <w:snapToGrid w:val="0"/>
          <w:lang w:val="en-GB"/>
        </w:rPr>
        <w:t xml:space="preserve"> setting</w:t>
      </w:r>
      <w:r>
        <w:rPr>
          <w:snapToGrid w:val="0"/>
          <w:lang w:val="en-GB"/>
        </w:rPr>
        <w:t xml:space="preserve">, and </w:t>
      </w:r>
      <w:r w:rsidR="00765986">
        <w:rPr>
          <w:snapToGrid w:val="0"/>
          <w:lang w:val="en-GB"/>
        </w:rPr>
        <w:t>that patients are able to receive several lines of effective therapies with existing PBS listed medicines</w:t>
      </w:r>
      <w:r>
        <w:rPr>
          <w:snapToGrid w:val="0"/>
          <w:lang w:val="en-GB"/>
        </w:rPr>
        <w:t>, t</w:t>
      </w:r>
      <w:r w:rsidR="00504C16" w:rsidRPr="00FA476F">
        <w:rPr>
          <w:snapToGrid w:val="0"/>
          <w:lang w:val="en-GB"/>
        </w:rPr>
        <w:t>he PBAC considered there remain</w:t>
      </w:r>
      <w:r w:rsidR="00FA476F" w:rsidRPr="00FA476F">
        <w:rPr>
          <w:snapToGrid w:val="0"/>
          <w:lang w:val="en-GB"/>
        </w:rPr>
        <w:t>ed</w:t>
      </w:r>
      <w:r w:rsidR="00504C16" w:rsidRPr="00FA476F">
        <w:rPr>
          <w:snapToGrid w:val="0"/>
          <w:lang w:val="en-GB"/>
        </w:rPr>
        <w:t xml:space="preserve"> a </w:t>
      </w:r>
      <w:r w:rsidR="00C6582E" w:rsidRPr="00FA476F">
        <w:rPr>
          <w:snapToGrid w:val="0"/>
          <w:lang w:val="en-GB"/>
        </w:rPr>
        <w:t xml:space="preserve">moderate clinical need for effective treatments for patients with </w:t>
      </w:r>
      <w:r w:rsidR="00504C16" w:rsidRPr="00FA476F">
        <w:rPr>
          <w:snapToGrid w:val="0"/>
          <w:lang w:val="en-GB"/>
        </w:rPr>
        <w:t>t</w:t>
      </w:r>
      <w:r w:rsidR="00C6582E" w:rsidRPr="00FA476F">
        <w:rPr>
          <w:snapToGrid w:val="0"/>
          <w:lang w:val="en-GB"/>
        </w:rPr>
        <w:t xml:space="preserve">his condition. </w:t>
      </w:r>
    </w:p>
    <w:p w14:paraId="3328751E" w14:textId="73C622E9" w:rsidR="00BA33CF" w:rsidRPr="00024387" w:rsidRDefault="00C052B9" w:rsidP="00BA33CF">
      <w:pPr>
        <w:pStyle w:val="3-BodyText"/>
      </w:pPr>
      <w:r>
        <w:t xml:space="preserve">The PBAC noted the changes made by the sponsor to the proposed restriction (see paragraphs </w:t>
      </w:r>
      <w:r>
        <w:fldChar w:fldCharType="begin" w:fldLock="1"/>
      </w:r>
      <w:r>
        <w:instrText xml:space="preserve"> REF _Ref152059465 \r \h </w:instrText>
      </w:r>
      <w:r>
        <w:fldChar w:fldCharType="separate"/>
      </w:r>
      <w:r w:rsidR="0086428F">
        <w:t>3.4</w:t>
      </w:r>
      <w:r>
        <w:fldChar w:fldCharType="end"/>
      </w:r>
      <w:r>
        <w:rPr>
          <w:rFonts w:cstheme="minorHAnsi"/>
        </w:rPr>
        <w:t>−</w:t>
      </w:r>
      <w:r>
        <w:fldChar w:fldCharType="begin" w:fldLock="1"/>
      </w:r>
      <w:r>
        <w:rPr>
          <w:rFonts w:cstheme="minorHAnsi"/>
        </w:rPr>
        <w:instrText xml:space="preserve"> REF _Ref152059304 \r \h </w:instrText>
      </w:r>
      <w:r>
        <w:fldChar w:fldCharType="separate"/>
      </w:r>
      <w:r w:rsidR="0086428F">
        <w:rPr>
          <w:rFonts w:cstheme="minorHAnsi"/>
        </w:rPr>
        <w:t>3.8</w:t>
      </w:r>
      <w:r>
        <w:fldChar w:fldCharType="end"/>
      </w:r>
      <w:r>
        <w:t xml:space="preserve">). The PBAC noted that the revised restriction had been </w:t>
      </w:r>
      <w:r w:rsidR="00BA33CF">
        <w:t>amended</w:t>
      </w:r>
      <w:r>
        <w:t xml:space="preserve"> to </w:t>
      </w:r>
      <w:r w:rsidRPr="00827149">
        <w:t xml:space="preserve">restrict </w:t>
      </w:r>
      <w:r>
        <w:t xml:space="preserve">treatment </w:t>
      </w:r>
      <w:r w:rsidRPr="00827149">
        <w:t xml:space="preserve">to </w:t>
      </w:r>
      <w:r>
        <w:t>patients who develop progressive disease after receiving treatment with</w:t>
      </w:r>
      <w:r w:rsidRPr="00827149">
        <w:t xml:space="preserve"> at least two prior chemotherapeutic regimens in the unresectable, locally advanced, or metastatic setting. </w:t>
      </w:r>
      <w:r>
        <w:t xml:space="preserve">The PBAC considered that this </w:t>
      </w:r>
      <w:r w:rsidR="00BA33CF">
        <w:t>change</w:t>
      </w:r>
      <w:r>
        <w:t xml:space="preserve"> accurately reflect</w:t>
      </w:r>
      <w:r w:rsidR="00003912">
        <w:t>ed</w:t>
      </w:r>
      <w:r>
        <w:t xml:space="preserve"> </w:t>
      </w:r>
      <w:r w:rsidRPr="00924891">
        <w:t>the population of the TROPiCS-02 trial</w:t>
      </w:r>
      <w:r>
        <w:t xml:space="preserve"> and addresses the Committee’s previous concerns, and overall considered the revised restriction was </w:t>
      </w:r>
      <w:r w:rsidRPr="00024387">
        <w:t>acceptable.</w:t>
      </w:r>
    </w:p>
    <w:p w14:paraId="1D56B5D3" w14:textId="329EA5DF" w:rsidR="00BA33CF" w:rsidRPr="00024387" w:rsidRDefault="00BA33CF" w:rsidP="00BA33CF">
      <w:pPr>
        <w:pStyle w:val="3-BodyText"/>
      </w:pPr>
      <w:r w:rsidRPr="00024387">
        <w:rPr>
          <w:snapToGrid w:val="0"/>
          <w:lang w:val="en-GB"/>
        </w:rPr>
        <w:t xml:space="preserve">The PBAC </w:t>
      </w:r>
      <w:r w:rsidR="00AD0AC3" w:rsidRPr="00024387">
        <w:rPr>
          <w:snapToGrid w:val="0"/>
          <w:lang w:val="en-GB"/>
        </w:rPr>
        <w:t>reaffirmed its view expressed in July 2023 that</w:t>
      </w:r>
      <w:r w:rsidRPr="00024387">
        <w:rPr>
          <w:snapToGrid w:val="0"/>
          <w:lang w:val="en-GB"/>
        </w:rPr>
        <w:t xml:space="preserve"> the</w:t>
      </w:r>
      <w:r w:rsidR="00AD0AC3" w:rsidRPr="00024387">
        <w:rPr>
          <w:snapToGrid w:val="0"/>
          <w:lang w:val="en-GB"/>
        </w:rPr>
        <w:t xml:space="preserve"> nominated</w:t>
      </w:r>
      <w:r w:rsidRPr="00024387">
        <w:rPr>
          <w:snapToGrid w:val="0"/>
          <w:lang w:val="en-GB"/>
        </w:rPr>
        <w:t xml:space="preserve"> comparator of</w:t>
      </w:r>
      <w:r w:rsidR="000E1976">
        <w:rPr>
          <w:snapToGrid w:val="0"/>
          <w:lang w:val="en-GB"/>
        </w:rPr>
        <w:t xml:space="preserve"> </w:t>
      </w:r>
      <w:r w:rsidRPr="00024387">
        <w:rPr>
          <w:snapToGrid w:val="0"/>
        </w:rPr>
        <w:t>TPC was appropriate and that TPC would include eribulin, capecitabine, gemcitabine and vinorelbine but may also include other drugs</w:t>
      </w:r>
      <w:r w:rsidR="00EE1CAA" w:rsidRPr="00024387">
        <w:rPr>
          <w:snapToGrid w:val="0"/>
        </w:rPr>
        <w:t xml:space="preserve"> (</w:t>
      </w:r>
      <w:r w:rsidR="00AD0AC3" w:rsidRPr="00024387">
        <w:rPr>
          <w:iCs/>
        </w:rPr>
        <w:t xml:space="preserve">para 7.5, SG </w:t>
      </w:r>
      <w:r w:rsidR="00DE5ED8">
        <w:rPr>
          <w:iCs/>
        </w:rPr>
        <w:t>PSD</w:t>
      </w:r>
      <w:r w:rsidR="00AD0AC3" w:rsidRPr="00024387">
        <w:rPr>
          <w:iCs/>
        </w:rPr>
        <w:t>, July</w:t>
      </w:r>
      <w:r w:rsidR="001F3B65">
        <w:rPr>
          <w:iCs/>
        </w:rPr>
        <w:t> </w:t>
      </w:r>
      <w:r w:rsidR="00AD0AC3" w:rsidRPr="00024387">
        <w:rPr>
          <w:iCs/>
        </w:rPr>
        <w:t>2023 PBAC meeting).</w:t>
      </w:r>
    </w:p>
    <w:p w14:paraId="0C267E56" w14:textId="43470D25" w:rsidR="005A302F" w:rsidRPr="000931B5" w:rsidRDefault="00AD0AC3" w:rsidP="000931B5">
      <w:pPr>
        <w:pStyle w:val="3-BodyText"/>
      </w:pPr>
      <w:r w:rsidRPr="00024387">
        <w:rPr>
          <w:snapToGrid w:val="0"/>
          <w:lang w:val="en-GB"/>
        </w:rPr>
        <w:t xml:space="preserve">The PBAC noted, as for the July 2023 submission, the clinical claim was based on </w:t>
      </w:r>
      <w:r w:rsidRPr="00024387">
        <w:rPr>
          <w:snapToGrid w:val="0"/>
        </w:rPr>
        <w:t xml:space="preserve">the TROPiCS-02 trial, an open label, randomised comparison of SG and TPC. </w:t>
      </w:r>
      <w:r w:rsidR="006A24E0">
        <w:t xml:space="preserve">The </w:t>
      </w:r>
      <w:r w:rsidR="006A24E0" w:rsidRPr="00E74297">
        <w:t xml:space="preserve">PBAC </w:t>
      </w:r>
      <w:r w:rsidR="006A24E0">
        <w:t xml:space="preserve">recalled it previously </w:t>
      </w:r>
      <w:r w:rsidR="006A24E0" w:rsidRPr="00E74297">
        <w:t xml:space="preserve">considered that the clinical claim of superior efficacy was reasonable, </w:t>
      </w:r>
      <w:r w:rsidR="006A24E0" w:rsidRPr="00E74297">
        <w:rPr>
          <w:snapToGrid w:val="0"/>
          <w:szCs w:val="20"/>
        </w:rPr>
        <w:t>though the magnitude of benefit is modest and likely to depend on the applicability of the trial population to the Australian PBS population</w:t>
      </w:r>
      <w:r w:rsidR="006A24E0">
        <w:rPr>
          <w:snapToGrid w:val="0"/>
          <w:szCs w:val="20"/>
        </w:rPr>
        <w:t xml:space="preserve"> </w:t>
      </w:r>
      <w:r w:rsidR="006A24E0" w:rsidRPr="00024387">
        <w:rPr>
          <w:snapToGrid w:val="0"/>
        </w:rPr>
        <w:t>(</w:t>
      </w:r>
      <w:r w:rsidR="006A24E0" w:rsidRPr="00024387">
        <w:rPr>
          <w:iCs/>
        </w:rPr>
        <w:t>para 7.</w:t>
      </w:r>
      <w:r w:rsidR="006A24E0">
        <w:rPr>
          <w:iCs/>
        </w:rPr>
        <w:t>7</w:t>
      </w:r>
      <w:r w:rsidR="006A24E0" w:rsidRPr="00024387">
        <w:rPr>
          <w:iCs/>
        </w:rPr>
        <w:t xml:space="preserve">, SG </w:t>
      </w:r>
      <w:r w:rsidR="00DE5ED8">
        <w:rPr>
          <w:iCs/>
        </w:rPr>
        <w:t>PSD</w:t>
      </w:r>
      <w:r w:rsidR="006A24E0" w:rsidRPr="00024387">
        <w:rPr>
          <w:iCs/>
        </w:rPr>
        <w:t>, July 2023 PBAC meeting)</w:t>
      </w:r>
      <w:r w:rsidR="006A24E0" w:rsidRPr="00E74297">
        <w:rPr>
          <w:snapToGrid w:val="0"/>
          <w:szCs w:val="20"/>
        </w:rPr>
        <w:t>.</w:t>
      </w:r>
      <w:r w:rsidR="006A24E0">
        <w:rPr>
          <w:snapToGrid w:val="0"/>
          <w:szCs w:val="20"/>
        </w:rPr>
        <w:t xml:space="preserve"> </w:t>
      </w:r>
      <w:r w:rsidR="008362F2" w:rsidRPr="00024387">
        <w:rPr>
          <w:snapToGrid w:val="0"/>
        </w:rPr>
        <w:t xml:space="preserve">The PBAC reaffirmed that based on the available data, the </w:t>
      </w:r>
      <w:r w:rsidR="008362F2" w:rsidRPr="00024387">
        <w:t>clinical claim of superior efficacy was reasonable</w:t>
      </w:r>
      <w:r w:rsidR="00024387" w:rsidRPr="00024387">
        <w:t>.</w:t>
      </w:r>
      <w:r w:rsidR="008362F2" w:rsidRPr="00024387">
        <w:t xml:space="preserve"> </w:t>
      </w:r>
    </w:p>
    <w:p w14:paraId="0C6E7062" w14:textId="6FC09495" w:rsidR="00024387" w:rsidRPr="00E74297" w:rsidRDefault="00024387" w:rsidP="00024387">
      <w:pPr>
        <w:pStyle w:val="3-BodyText"/>
      </w:pPr>
      <w:bookmarkStart w:id="27" w:name="_Ref152153141"/>
      <w:r w:rsidRPr="00E74297">
        <w:rPr>
          <w:snapToGrid w:val="0"/>
        </w:rPr>
        <w:t xml:space="preserve">The PBAC </w:t>
      </w:r>
      <w:r w:rsidR="009247AC">
        <w:rPr>
          <w:snapToGrid w:val="0"/>
        </w:rPr>
        <w:t>recalled</w:t>
      </w:r>
      <w:r w:rsidRPr="00E74297">
        <w:rPr>
          <w:snapToGrid w:val="0"/>
        </w:rPr>
        <w:t xml:space="preserve"> that in TROPiCS-02 the SG arm had higher rates of grade 3 or higher </w:t>
      </w:r>
      <w:r w:rsidR="006A24E0">
        <w:rPr>
          <w:snapToGrid w:val="0"/>
        </w:rPr>
        <w:t>treatment emergent adverse events (</w:t>
      </w:r>
      <w:r w:rsidRPr="00E74297">
        <w:rPr>
          <w:snapToGrid w:val="0"/>
        </w:rPr>
        <w:t>TEAEs</w:t>
      </w:r>
      <w:r w:rsidR="006A24E0">
        <w:rPr>
          <w:snapToGrid w:val="0"/>
        </w:rPr>
        <w:t>)</w:t>
      </w:r>
      <w:r w:rsidRPr="00E74297">
        <w:rPr>
          <w:snapToGrid w:val="0"/>
        </w:rPr>
        <w:t xml:space="preserve">, treatment related TEAEs, treatment emergent treatment related SAEs, and TEAEs leading to dose interruption or discontinuation. </w:t>
      </w:r>
      <w:r w:rsidRPr="00E74297">
        <w:t>Overall</w:t>
      </w:r>
      <w:r w:rsidR="009247AC">
        <w:t>,</w:t>
      </w:r>
      <w:r w:rsidRPr="00E74297">
        <w:t xml:space="preserve"> the PBAC </w:t>
      </w:r>
      <w:r w:rsidR="009247AC">
        <w:t>reaffirmed its view from July 2023</w:t>
      </w:r>
      <w:r w:rsidRPr="00E74297">
        <w:t xml:space="preserve"> that SG has inferior safety compared with TPC</w:t>
      </w:r>
      <w:r w:rsidR="000931B5">
        <w:t xml:space="preserve"> </w:t>
      </w:r>
      <w:r w:rsidR="000931B5" w:rsidRPr="00024387">
        <w:rPr>
          <w:snapToGrid w:val="0"/>
        </w:rPr>
        <w:t>(</w:t>
      </w:r>
      <w:r w:rsidR="000931B5" w:rsidRPr="00024387">
        <w:rPr>
          <w:iCs/>
        </w:rPr>
        <w:t>para 7.</w:t>
      </w:r>
      <w:r w:rsidR="000931B5">
        <w:rPr>
          <w:iCs/>
        </w:rPr>
        <w:t>8</w:t>
      </w:r>
      <w:r w:rsidR="000931B5" w:rsidRPr="00024387">
        <w:rPr>
          <w:iCs/>
        </w:rPr>
        <w:t xml:space="preserve">, SG </w:t>
      </w:r>
      <w:r w:rsidR="00DE5ED8">
        <w:rPr>
          <w:iCs/>
        </w:rPr>
        <w:t>PSD</w:t>
      </w:r>
      <w:r w:rsidR="000931B5" w:rsidRPr="00024387">
        <w:rPr>
          <w:iCs/>
        </w:rPr>
        <w:t>, July 2023 PBAC meeting).</w:t>
      </w:r>
      <w:bookmarkEnd w:id="27"/>
    </w:p>
    <w:p w14:paraId="193D7389" w14:textId="53237FC9" w:rsidR="00024387" w:rsidRDefault="008B5A90" w:rsidP="00B94E9C">
      <w:pPr>
        <w:pStyle w:val="3-BodyText"/>
        <w:rPr>
          <w:snapToGrid w:val="0"/>
          <w:lang w:val="en-GB"/>
        </w:rPr>
      </w:pPr>
      <w:r>
        <w:rPr>
          <w:snapToGrid w:val="0"/>
          <w:lang w:val="en-GB"/>
        </w:rPr>
        <w:t xml:space="preserve">The PBAC noted that the resubmission provided </w:t>
      </w:r>
      <w:r w:rsidR="00B94E9C">
        <w:rPr>
          <w:snapToGrid w:val="0"/>
          <w:lang w:val="en-GB"/>
        </w:rPr>
        <w:t>a</w:t>
      </w:r>
      <w:r w:rsidR="002E3626">
        <w:rPr>
          <w:snapToGrid w:val="0"/>
          <w:lang w:val="en-GB"/>
        </w:rPr>
        <w:t xml:space="preserve"> revised </w:t>
      </w:r>
      <w:r>
        <w:rPr>
          <w:snapToGrid w:val="0"/>
          <w:lang w:val="en-GB"/>
        </w:rPr>
        <w:t>economic model that incorporated</w:t>
      </w:r>
      <w:r w:rsidR="00B94E9C">
        <w:rPr>
          <w:snapToGrid w:val="0"/>
          <w:lang w:val="en-GB"/>
        </w:rPr>
        <w:t xml:space="preserve"> a number of changes that were in line </w:t>
      </w:r>
      <w:r w:rsidR="000931B5">
        <w:rPr>
          <w:snapToGrid w:val="0"/>
          <w:lang w:val="en-GB"/>
        </w:rPr>
        <w:t xml:space="preserve">with </w:t>
      </w:r>
      <w:r w:rsidR="00B94E9C">
        <w:rPr>
          <w:snapToGrid w:val="0"/>
          <w:lang w:val="en-GB"/>
        </w:rPr>
        <w:t xml:space="preserve">its previous </w:t>
      </w:r>
      <w:r w:rsidR="002E3626">
        <w:rPr>
          <w:snapToGrid w:val="0"/>
          <w:lang w:val="en-GB"/>
        </w:rPr>
        <w:t>advice</w:t>
      </w:r>
      <w:r w:rsidR="000931B5">
        <w:rPr>
          <w:snapToGrid w:val="0"/>
          <w:lang w:val="en-GB"/>
        </w:rPr>
        <w:t xml:space="preserve"> </w:t>
      </w:r>
      <w:r w:rsidR="000931B5" w:rsidRPr="00024387">
        <w:rPr>
          <w:snapToGrid w:val="0"/>
        </w:rPr>
        <w:t>(</w:t>
      </w:r>
      <w:r w:rsidR="000931B5" w:rsidRPr="00024387">
        <w:rPr>
          <w:iCs/>
        </w:rPr>
        <w:t>para 7.</w:t>
      </w:r>
      <w:r w:rsidR="000931B5">
        <w:rPr>
          <w:iCs/>
        </w:rPr>
        <w:t>9</w:t>
      </w:r>
      <w:r w:rsidR="000931B5" w:rsidRPr="00024387">
        <w:rPr>
          <w:iCs/>
        </w:rPr>
        <w:t xml:space="preserve">, </w:t>
      </w:r>
      <w:r w:rsidR="000931B5" w:rsidRPr="00024387">
        <w:rPr>
          <w:iCs/>
        </w:rPr>
        <w:lastRenderedPageBreak/>
        <w:t xml:space="preserve">SG </w:t>
      </w:r>
      <w:r w:rsidR="00DE5ED8">
        <w:rPr>
          <w:iCs/>
        </w:rPr>
        <w:t>PSD</w:t>
      </w:r>
      <w:r w:rsidR="000931B5" w:rsidRPr="00024387">
        <w:rPr>
          <w:iCs/>
        </w:rPr>
        <w:t>, July 2023 PBAC meeting).</w:t>
      </w:r>
      <w:r w:rsidR="002E3626">
        <w:rPr>
          <w:snapToGrid w:val="0"/>
          <w:lang w:val="en-GB"/>
        </w:rPr>
        <w:t xml:space="preserve"> However, the PBAC noted </w:t>
      </w:r>
      <w:r w:rsidR="001D6003">
        <w:rPr>
          <w:snapToGrid w:val="0"/>
          <w:lang w:val="en-GB"/>
        </w:rPr>
        <w:t xml:space="preserve">there were </w:t>
      </w:r>
      <w:r w:rsidR="002E3626">
        <w:rPr>
          <w:snapToGrid w:val="0"/>
          <w:lang w:val="en-GB"/>
        </w:rPr>
        <w:t>issues previously raised that were not addressed</w:t>
      </w:r>
      <w:r w:rsidR="00487E7B">
        <w:rPr>
          <w:snapToGrid w:val="0"/>
          <w:lang w:val="en-GB"/>
        </w:rPr>
        <w:t xml:space="preserve"> in the revised economic model</w:t>
      </w:r>
      <w:r w:rsidR="00304C2B">
        <w:rPr>
          <w:snapToGrid w:val="0"/>
          <w:lang w:val="en-GB"/>
        </w:rPr>
        <w:t>,</w:t>
      </w:r>
      <w:r w:rsidR="002E3626">
        <w:rPr>
          <w:snapToGrid w:val="0"/>
          <w:lang w:val="en-GB"/>
        </w:rPr>
        <w:t xml:space="preserve"> includ</w:t>
      </w:r>
      <w:r w:rsidR="000931B5">
        <w:rPr>
          <w:snapToGrid w:val="0"/>
          <w:lang w:val="en-GB"/>
        </w:rPr>
        <w:t>ing</w:t>
      </w:r>
      <w:r w:rsidR="002E3626">
        <w:rPr>
          <w:snapToGrid w:val="0"/>
          <w:lang w:val="en-GB"/>
        </w:rPr>
        <w:t>:</w:t>
      </w:r>
    </w:p>
    <w:p w14:paraId="19F8072D" w14:textId="7DD0A097" w:rsidR="002E3626" w:rsidRDefault="000931B5" w:rsidP="007136D2">
      <w:pPr>
        <w:pStyle w:val="3-BodyText"/>
        <w:numPr>
          <w:ilvl w:val="0"/>
          <w:numId w:val="9"/>
        </w:numPr>
        <w:ind w:left="1134" w:hanging="425"/>
        <w:rPr>
          <w:snapToGrid w:val="0"/>
          <w:lang w:val="en-GB"/>
        </w:rPr>
      </w:pPr>
      <w:r w:rsidRPr="0070023C">
        <w:t xml:space="preserve">The </w:t>
      </w:r>
      <w:r w:rsidR="002E381D">
        <w:t xml:space="preserve">resubmission </w:t>
      </w:r>
      <w:r w:rsidR="00D5148C">
        <w:t xml:space="preserve">applied a </w:t>
      </w:r>
      <w:r w:rsidRPr="0070023C">
        <w:t>7</w:t>
      </w:r>
      <w:r w:rsidR="00D5148C">
        <w:t>-</w:t>
      </w:r>
      <w:r w:rsidRPr="0070023C">
        <w:t>year</w:t>
      </w:r>
      <w:r w:rsidR="00D5148C">
        <w:t xml:space="preserve"> time horizon to the economic evaluation (para</w:t>
      </w:r>
      <w:r w:rsidR="0086428F">
        <w:t>s</w:t>
      </w:r>
      <w:r w:rsidR="00D5148C">
        <w:t xml:space="preserve"> </w:t>
      </w:r>
      <w:r w:rsidR="00D5148C">
        <w:fldChar w:fldCharType="begin" w:fldLock="1"/>
      </w:r>
      <w:r w:rsidR="00D5148C">
        <w:instrText xml:space="preserve"> REF _Ref152148988 \r \h </w:instrText>
      </w:r>
      <w:r w:rsidR="00D5148C">
        <w:fldChar w:fldCharType="separate"/>
      </w:r>
      <w:r w:rsidR="0086428F">
        <w:t>4.12</w:t>
      </w:r>
      <w:r w:rsidR="00D5148C">
        <w:fldChar w:fldCharType="end"/>
      </w:r>
      <w:r w:rsidR="0086428F">
        <w:rPr>
          <w:rFonts w:cstheme="minorHAnsi"/>
        </w:rPr>
        <w:t>−</w:t>
      </w:r>
      <w:r w:rsidR="0086428F">
        <w:fldChar w:fldCharType="begin" w:fldLock="1"/>
      </w:r>
      <w:r w:rsidR="0086428F">
        <w:rPr>
          <w:rFonts w:cstheme="minorHAnsi"/>
        </w:rPr>
        <w:instrText xml:space="preserve"> REF _Ref152154113 \r \h </w:instrText>
      </w:r>
      <w:r w:rsidR="0086428F">
        <w:fldChar w:fldCharType="separate"/>
      </w:r>
      <w:r w:rsidR="0086428F">
        <w:rPr>
          <w:rFonts w:cstheme="minorHAnsi"/>
        </w:rPr>
        <w:t>4.13</w:t>
      </w:r>
      <w:r w:rsidR="0086428F">
        <w:fldChar w:fldCharType="end"/>
      </w:r>
      <w:r w:rsidR="00D5148C">
        <w:t>)</w:t>
      </w:r>
      <w:r w:rsidRPr="0070023C">
        <w:t>.</w:t>
      </w:r>
      <w:r w:rsidR="006A24E0">
        <w:t xml:space="preserve"> </w:t>
      </w:r>
      <w:r w:rsidR="00C553B2">
        <w:t>T</w:t>
      </w:r>
      <w:r w:rsidR="00D5148C">
        <w:t>he</w:t>
      </w:r>
      <w:r w:rsidR="00D5148C" w:rsidRPr="00E74297">
        <w:t xml:space="preserve"> PBAC </w:t>
      </w:r>
      <w:r w:rsidR="00D5148C">
        <w:t>reaffirmed its view expressed in July 2023, that</w:t>
      </w:r>
      <w:r w:rsidR="00D5148C" w:rsidRPr="00E74297">
        <w:t xml:space="preserve"> if the proposed PBS population is aligned to the TROPiCS-02 trial a time horizon of 5</w:t>
      </w:r>
      <w:r w:rsidR="00CC6F1D">
        <w:t> </w:t>
      </w:r>
      <w:r w:rsidR="00D5148C" w:rsidRPr="00E74297">
        <w:t>years would be more appropriate for the heavily pre-treated population</w:t>
      </w:r>
      <w:r w:rsidR="00D5148C">
        <w:t xml:space="preserve"> </w:t>
      </w:r>
      <w:r w:rsidR="00D5148C" w:rsidRPr="00024387">
        <w:rPr>
          <w:snapToGrid w:val="0"/>
        </w:rPr>
        <w:t>(</w:t>
      </w:r>
      <w:r w:rsidR="00D5148C" w:rsidRPr="00024387">
        <w:rPr>
          <w:iCs/>
        </w:rPr>
        <w:t>para 7.</w:t>
      </w:r>
      <w:r w:rsidR="00D5148C">
        <w:rPr>
          <w:iCs/>
        </w:rPr>
        <w:t>9</w:t>
      </w:r>
      <w:r w:rsidR="00D5148C" w:rsidRPr="00024387">
        <w:rPr>
          <w:iCs/>
        </w:rPr>
        <w:t xml:space="preserve">, SG </w:t>
      </w:r>
      <w:r w:rsidR="00DE5ED8">
        <w:rPr>
          <w:iCs/>
        </w:rPr>
        <w:t>PSD</w:t>
      </w:r>
      <w:r w:rsidR="00D5148C" w:rsidRPr="00024387">
        <w:rPr>
          <w:iCs/>
        </w:rPr>
        <w:t>, July 2023 PBAC meeting).</w:t>
      </w:r>
    </w:p>
    <w:p w14:paraId="6136D0B8" w14:textId="2C556C7D" w:rsidR="001E4277" w:rsidRDefault="001E4277" w:rsidP="007136D2">
      <w:pPr>
        <w:pStyle w:val="3-BodyText"/>
        <w:numPr>
          <w:ilvl w:val="0"/>
          <w:numId w:val="9"/>
        </w:numPr>
        <w:ind w:left="1134" w:hanging="425"/>
        <w:rPr>
          <w:snapToGrid w:val="0"/>
          <w:lang w:val="en-GB"/>
        </w:rPr>
      </w:pPr>
      <w:r>
        <w:rPr>
          <w:snapToGrid w:val="0"/>
          <w:lang w:val="en-GB"/>
        </w:rPr>
        <w:t>T</w:t>
      </w:r>
      <w:r w:rsidR="000B32BE">
        <w:rPr>
          <w:snapToGrid w:val="0"/>
          <w:lang w:val="en-GB"/>
        </w:rPr>
        <w:t xml:space="preserve">he </w:t>
      </w:r>
      <w:r w:rsidR="000B32BE" w:rsidRPr="0070023C">
        <w:t xml:space="preserve">economic model used </w:t>
      </w:r>
      <w:r w:rsidR="000B32BE">
        <w:rPr>
          <w:szCs w:val="24"/>
        </w:rPr>
        <w:t>Kaplan-Meier</w:t>
      </w:r>
      <w:r w:rsidR="000B32BE" w:rsidRPr="0070023C">
        <w:t xml:space="preserve"> </w:t>
      </w:r>
      <w:r w:rsidR="000B32BE">
        <w:t>(</w:t>
      </w:r>
      <w:r w:rsidR="000B32BE" w:rsidRPr="0070023C">
        <w:t>KM</w:t>
      </w:r>
      <w:r w:rsidR="000B32BE">
        <w:t>)</w:t>
      </w:r>
      <w:r w:rsidR="000B32BE" w:rsidRPr="0070023C">
        <w:t xml:space="preserve"> </w:t>
      </w:r>
      <w:r w:rsidR="000B32BE">
        <w:t>time to discontinuation (</w:t>
      </w:r>
      <w:r w:rsidR="000B32BE" w:rsidRPr="0070023C">
        <w:t>TTD</w:t>
      </w:r>
      <w:r w:rsidR="000B32BE">
        <w:t>)</w:t>
      </w:r>
      <w:r w:rsidR="000B32BE" w:rsidRPr="0070023C">
        <w:t xml:space="preserve"> data from</w:t>
      </w:r>
      <w:r w:rsidR="00003912">
        <w:t xml:space="preserve"> the</w:t>
      </w:r>
      <w:r w:rsidR="000B32BE" w:rsidRPr="0070023C">
        <w:t xml:space="preserve"> TROPiCS-02</w:t>
      </w:r>
      <w:r w:rsidR="00003912">
        <w:t xml:space="preserve"> trial</w:t>
      </w:r>
      <w:r w:rsidR="000B32BE" w:rsidRPr="0070023C">
        <w:t xml:space="preserve"> up to the mean follow-up time (13.1 months)</w:t>
      </w:r>
      <w:r w:rsidR="00A762DE">
        <w:t xml:space="preserve"> (paras </w:t>
      </w:r>
      <w:r w:rsidR="00A762DE">
        <w:fldChar w:fldCharType="begin" w:fldLock="1"/>
      </w:r>
      <w:r w:rsidR="00A762DE">
        <w:instrText xml:space="preserve"> REF _Ref152151261 \r \h </w:instrText>
      </w:r>
      <w:r w:rsidR="00A762DE">
        <w:fldChar w:fldCharType="separate"/>
      </w:r>
      <w:r w:rsidR="006833C8">
        <w:t>4.16</w:t>
      </w:r>
      <w:r w:rsidR="00A762DE">
        <w:fldChar w:fldCharType="end"/>
      </w:r>
      <w:r w:rsidR="00A762DE">
        <w:rPr>
          <w:rFonts w:cstheme="minorHAnsi"/>
        </w:rPr>
        <w:t>−</w:t>
      </w:r>
      <w:r w:rsidR="00A762DE">
        <w:fldChar w:fldCharType="begin" w:fldLock="1"/>
      </w:r>
      <w:r w:rsidR="00A762DE">
        <w:rPr>
          <w:rFonts w:cstheme="minorHAnsi"/>
        </w:rPr>
        <w:instrText xml:space="preserve"> REF _Ref152151269 \r \h </w:instrText>
      </w:r>
      <w:r w:rsidR="00A762DE">
        <w:fldChar w:fldCharType="separate"/>
      </w:r>
      <w:r w:rsidR="006833C8">
        <w:rPr>
          <w:rFonts w:cstheme="minorHAnsi"/>
        </w:rPr>
        <w:t>4.17</w:t>
      </w:r>
      <w:r w:rsidR="00A762DE">
        <w:fldChar w:fldCharType="end"/>
      </w:r>
      <w:r w:rsidR="00A762DE">
        <w:t>). However, the PBAC</w:t>
      </w:r>
      <w:r w:rsidR="007C20A2">
        <w:t xml:space="preserve"> maintained </w:t>
      </w:r>
      <w:r w:rsidR="00A762DE" w:rsidRPr="0070023C">
        <w:t>that as TTD data were mature</w:t>
      </w:r>
      <w:r w:rsidR="007C20A2">
        <w:t xml:space="preserve">, </w:t>
      </w:r>
      <w:r w:rsidR="009A567C">
        <w:t>the economic model should include the complete</w:t>
      </w:r>
      <w:r w:rsidR="009A567C" w:rsidRPr="000B32BE">
        <w:t xml:space="preserve"> KM </w:t>
      </w:r>
      <w:r w:rsidR="009A567C">
        <w:t>curve</w:t>
      </w:r>
      <w:r w:rsidR="009A567C" w:rsidRPr="000B32BE">
        <w:t xml:space="preserve"> without extrapolation </w:t>
      </w:r>
      <w:r w:rsidR="00A762DE" w:rsidRPr="0070023C">
        <w:t xml:space="preserve">(para 7.9, SG </w:t>
      </w:r>
      <w:r w:rsidR="00DE5ED8">
        <w:t>PSD</w:t>
      </w:r>
      <w:r w:rsidR="00A762DE" w:rsidRPr="0070023C">
        <w:t>, July 2023 PBAC meeting)</w:t>
      </w:r>
      <w:r w:rsidR="007C20A2">
        <w:t xml:space="preserve">, </w:t>
      </w:r>
      <w:r w:rsidR="009A567C" w:rsidRPr="000B32BE">
        <w:t xml:space="preserve">and </w:t>
      </w:r>
      <w:r w:rsidR="009A567C">
        <w:t xml:space="preserve">noted that </w:t>
      </w:r>
      <w:r w:rsidR="009A567C" w:rsidRPr="000B32BE">
        <w:t xml:space="preserve">in this case low </w:t>
      </w:r>
      <w:r w:rsidR="009A567C">
        <w:t xml:space="preserve">patient </w:t>
      </w:r>
      <w:r w:rsidR="009A567C" w:rsidRPr="000B32BE">
        <w:t>number</w:t>
      </w:r>
      <w:r w:rsidR="009A567C">
        <w:t>s</w:t>
      </w:r>
      <w:r w:rsidR="009A567C" w:rsidRPr="000B32BE">
        <w:t xml:space="preserve"> at risk</w:t>
      </w:r>
      <w:r w:rsidR="009A567C">
        <w:t xml:space="preserve"> </w:t>
      </w:r>
      <w:r w:rsidR="00304C2B">
        <w:t>indicates</w:t>
      </w:r>
      <w:r w:rsidR="009A567C">
        <w:t xml:space="preserve"> the </w:t>
      </w:r>
      <w:r w:rsidR="009A567C" w:rsidRPr="000B32BE">
        <w:t>data</w:t>
      </w:r>
      <w:r w:rsidR="009A567C">
        <w:t xml:space="preserve"> are robust,</w:t>
      </w:r>
      <w:r w:rsidR="009A567C" w:rsidRPr="000B32BE">
        <w:t xml:space="preserve"> </w:t>
      </w:r>
      <w:r w:rsidR="009A567C">
        <w:t>as</w:t>
      </w:r>
      <w:r w:rsidR="009A567C" w:rsidRPr="000B32BE">
        <w:t xml:space="preserve"> </w:t>
      </w:r>
      <w:r w:rsidR="006A24E0">
        <w:t>few patients remain on treatment</w:t>
      </w:r>
      <w:r w:rsidR="009A567C">
        <w:t>.</w:t>
      </w:r>
    </w:p>
    <w:p w14:paraId="59E7E18C" w14:textId="4D11017C" w:rsidR="00533244" w:rsidRPr="00533244" w:rsidRDefault="00487E7B" w:rsidP="007136D2">
      <w:pPr>
        <w:pStyle w:val="3-BodyText"/>
        <w:numPr>
          <w:ilvl w:val="0"/>
          <w:numId w:val="9"/>
        </w:numPr>
        <w:ind w:left="1134" w:hanging="425"/>
        <w:rPr>
          <w:snapToGrid w:val="0"/>
          <w:lang w:val="en-GB"/>
        </w:rPr>
      </w:pPr>
      <w:r w:rsidRPr="00533244">
        <w:rPr>
          <w:snapToGrid w:val="0"/>
          <w:lang w:val="en-GB"/>
        </w:rPr>
        <w:t xml:space="preserve">The </w:t>
      </w:r>
      <w:r w:rsidR="002E381D" w:rsidRPr="00533244">
        <w:rPr>
          <w:snapToGrid w:val="0"/>
          <w:lang w:val="en-GB"/>
        </w:rPr>
        <w:t xml:space="preserve">resubmission applied </w:t>
      </w:r>
      <w:r w:rsidR="002E381D" w:rsidRPr="0070023C">
        <w:t xml:space="preserve">treatment specific utility values for the </w:t>
      </w:r>
      <w:r w:rsidR="002E381D">
        <w:t>progression free (</w:t>
      </w:r>
      <w:r w:rsidR="002E381D" w:rsidRPr="0070023C">
        <w:t>PF</w:t>
      </w:r>
      <w:r w:rsidR="002E381D">
        <w:t>)</w:t>
      </w:r>
      <w:r w:rsidR="002E381D" w:rsidRPr="0070023C">
        <w:t xml:space="preserve"> health state</w:t>
      </w:r>
      <w:r w:rsidR="002E381D">
        <w:t xml:space="preserve"> (paras </w:t>
      </w:r>
      <w:r w:rsidR="002E381D">
        <w:fldChar w:fldCharType="begin" w:fldLock="1"/>
      </w:r>
      <w:r w:rsidR="002E381D">
        <w:instrText xml:space="preserve"> REF _Ref152152812 \r \h </w:instrText>
      </w:r>
      <w:r w:rsidR="002E381D">
        <w:fldChar w:fldCharType="separate"/>
      </w:r>
      <w:r w:rsidR="006833C8">
        <w:t>4.19</w:t>
      </w:r>
      <w:r w:rsidR="002E381D">
        <w:fldChar w:fldCharType="end"/>
      </w:r>
      <w:r w:rsidR="002E381D" w:rsidRPr="00533244">
        <w:rPr>
          <w:rFonts w:cstheme="minorHAnsi"/>
        </w:rPr>
        <w:t>−</w:t>
      </w:r>
      <w:r w:rsidR="002E381D">
        <w:fldChar w:fldCharType="begin" w:fldLock="1"/>
      </w:r>
      <w:r w:rsidR="002E381D" w:rsidRPr="00533244">
        <w:rPr>
          <w:rFonts w:cstheme="minorHAnsi"/>
        </w:rPr>
        <w:instrText xml:space="preserve"> REF _Ref152152819 \r \h </w:instrText>
      </w:r>
      <w:r w:rsidR="002E381D">
        <w:fldChar w:fldCharType="separate"/>
      </w:r>
      <w:r w:rsidR="006833C8">
        <w:rPr>
          <w:rFonts w:cstheme="minorHAnsi"/>
        </w:rPr>
        <w:t>4.20</w:t>
      </w:r>
      <w:r w:rsidR="002E381D">
        <w:fldChar w:fldCharType="end"/>
      </w:r>
      <w:r w:rsidR="002E381D">
        <w:t>)</w:t>
      </w:r>
      <w:r w:rsidR="002E381D" w:rsidRPr="0070023C">
        <w:t>.</w:t>
      </w:r>
      <w:r w:rsidR="002E381D">
        <w:t xml:space="preserve"> The PBAC </w:t>
      </w:r>
      <w:r w:rsidR="00304C2B">
        <w:t xml:space="preserve">noted </w:t>
      </w:r>
      <w:r w:rsidR="00CB5ABF">
        <w:t xml:space="preserve">that SG was associated with higher rates of adverse events and inferior safety compared with TPC (para </w:t>
      </w:r>
      <w:r w:rsidR="00CB5ABF">
        <w:fldChar w:fldCharType="begin" w:fldLock="1"/>
      </w:r>
      <w:r w:rsidR="00CB5ABF">
        <w:instrText xml:space="preserve"> REF _Ref152153141 \r \h </w:instrText>
      </w:r>
      <w:r w:rsidR="00CB5ABF">
        <w:fldChar w:fldCharType="separate"/>
      </w:r>
      <w:r w:rsidR="006833C8">
        <w:t>5.8</w:t>
      </w:r>
      <w:r w:rsidR="00CB5ABF">
        <w:fldChar w:fldCharType="end"/>
      </w:r>
      <w:r w:rsidR="00CB5ABF">
        <w:t xml:space="preserve">) and </w:t>
      </w:r>
      <w:r w:rsidR="00533244">
        <w:t xml:space="preserve">considered that the resubmission had not provided evidence to suggest that SG was associated with higher utility in the PF health state compared with TPC and </w:t>
      </w:r>
      <w:r w:rsidR="00304C2B">
        <w:t xml:space="preserve">therefore </w:t>
      </w:r>
      <w:r w:rsidR="00533244">
        <w:t>a pooled utility for PF was more appropriate.</w:t>
      </w:r>
    </w:p>
    <w:p w14:paraId="7F663181" w14:textId="0090B100" w:rsidR="00C05DB2" w:rsidRPr="00533244" w:rsidRDefault="006D6136" w:rsidP="007136D2">
      <w:pPr>
        <w:pStyle w:val="3-BodyText"/>
        <w:numPr>
          <w:ilvl w:val="0"/>
          <w:numId w:val="9"/>
        </w:numPr>
        <w:ind w:left="1134" w:hanging="425"/>
        <w:rPr>
          <w:snapToGrid w:val="0"/>
          <w:lang w:val="en-GB"/>
        </w:rPr>
      </w:pPr>
      <w:r w:rsidRPr="00533244">
        <w:rPr>
          <w:snapToGrid w:val="0"/>
          <w:lang w:val="en-GB"/>
        </w:rPr>
        <w:t xml:space="preserve">The </w:t>
      </w:r>
      <w:r w:rsidR="00927361" w:rsidRPr="00533244">
        <w:rPr>
          <w:snapToGrid w:val="0"/>
          <w:lang w:val="en-GB"/>
        </w:rPr>
        <w:t>economic model applied an</w:t>
      </w:r>
      <w:r w:rsidRPr="00533244">
        <w:rPr>
          <w:snapToGrid w:val="0"/>
          <w:lang w:val="en-GB"/>
        </w:rPr>
        <w:t xml:space="preserve"> assum</w:t>
      </w:r>
      <w:r w:rsidR="00927361" w:rsidRPr="00533244">
        <w:rPr>
          <w:snapToGrid w:val="0"/>
          <w:lang w:val="en-GB"/>
        </w:rPr>
        <w:t>ption of</w:t>
      </w:r>
      <w:r w:rsidRPr="00533244">
        <w:rPr>
          <w:snapToGrid w:val="0"/>
          <w:lang w:val="en-GB"/>
        </w:rPr>
        <w:t xml:space="preserve"> vial sharing </w:t>
      </w:r>
      <w:r w:rsidR="00927361" w:rsidRPr="00533244">
        <w:rPr>
          <w:snapToGrid w:val="0"/>
          <w:lang w:val="en-GB"/>
        </w:rPr>
        <w:t>for SG and comparator drugs</w:t>
      </w:r>
      <w:r w:rsidR="0086428F" w:rsidRPr="00533244">
        <w:rPr>
          <w:snapToGrid w:val="0"/>
          <w:lang w:val="en-GB"/>
        </w:rPr>
        <w:t xml:space="preserve"> (paras </w:t>
      </w:r>
      <w:r w:rsidR="00AA11B3" w:rsidRPr="00533244">
        <w:rPr>
          <w:snapToGrid w:val="0"/>
          <w:lang w:val="en-GB"/>
        </w:rPr>
        <w:fldChar w:fldCharType="begin" w:fldLock="1"/>
      </w:r>
      <w:r w:rsidR="00AA11B3" w:rsidRPr="00533244">
        <w:rPr>
          <w:snapToGrid w:val="0"/>
          <w:lang w:val="en-GB"/>
        </w:rPr>
        <w:instrText xml:space="preserve"> REF _Ref152154291 \r \h </w:instrText>
      </w:r>
      <w:r w:rsidR="00AA11B3" w:rsidRPr="00533244">
        <w:rPr>
          <w:snapToGrid w:val="0"/>
          <w:lang w:val="en-GB"/>
        </w:rPr>
      </w:r>
      <w:r w:rsidR="00AA11B3" w:rsidRPr="00533244">
        <w:rPr>
          <w:snapToGrid w:val="0"/>
          <w:lang w:val="en-GB"/>
        </w:rPr>
        <w:fldChar w:fldCharType="separate"/>
      </w:r>
      <w:r w:rsidR="006A24E0">
        <w:rPr>
          <w:snapToGrid w:val="0"/>
          <w:lang w:val="en-GB"/>
        </w:rPr>
        <w:t>4.21</w:t>
      </w:r>
      <w:r w:rsidR="00AA11B3" w:rsidRPr="00533244">
        <w:rPr>
          <w:snapToGrid w:val="0"/>
          <w:lang w:val="en-GB"/>
        </w:rPr>
        <w:fldChar w:fldCharType="end"/>
      </w:r>
      <w:r w:rsidR="00AA11B3" w:rsidRPr="00533244">
        <w:rPr>
          <w:rFonts w:cstheme="minorHAnsi"/>
          <w:snapToGrid w:val="0"/>
          <w:lang w:val="en-GB"/>
        </w:rPr>
        <w:t>−</w:t>
      </w:r>
      <w:r w:rsidR="00AA11B3" w:rsidRPr="00533244">
        <w:rPr>
          <w:snapToGrid w:val="0"/>
          <w:lang w:val="en-GB"/>
        </w:rPr>
        <w:fldChar w:fldCharType="begin" w:fldLock="1"/>
      </w:r>
      <w:r w:rsidR="00AA11B3" w:rsidRPr="00533244">
        <w:rPr>
          <w:rFonts w:cstheme="minorHAnsi"/>
          <w:snapToGrid w:val="0"/>
          <w:lang w:val="en-GB"/>
        </w:rPr>
        <w:instrText xml:space="preserve"> REF _Ref152154303 \r \h </w:instrText>
      </w:r>
      <w:r w:rsidR="00AA11B3" w:rsidRPr="00533244">
        <w:rPr>
          <w:snapToGrid w:val="0"/>
          <w:lang w:val="en-GB"/>
        </w:rPr>
      </w:r>
      <w:r w:rsidR="00AA11B3" w:rsidRPr="00533244">
        <w:rPr>
          <w:snapToGrid w:val="0"/>
          <w:lang w:val="en-GB"/>
        </w:rPr>
        <w:fldChar w:fldCharType="separate"/>
      </w:r>
      <w:r w:rsidR="006A24E0">
        <w:rPr>
          <w:rFonts w:cstheme="minorHAnsi"/>
          <w:snapToGrid w:val="0"/>
          <w:lang w:val="en-GB"/>
        </w:rPr>
        <w:t>4.23</w:t>
      </w:r>
      <w:r w:rsidR="00AA11B3" w:rsidRPr="00533244">
        <w:rPr>
          <w:snapToGrid w:val="0"/>
          <w:lang w:val="en-GB"/>
        </w:rPr>
        <w:fldChar w:fldCharType="end"/>
      </w:r>
      <w:r w:rsidR="00AA11B3" w:rsidRPr="00533244">
        <w:rPr>
          <w:snapToGrid w:val="0"/>
          <w:lang w:val="en-GB"/>
        </w:rPr>
        <w:t>)</w:t>
      </w:r>
      <w:r w:rsidR="00927361" w:rsidRPr="00533244">
        <w:rPr>
          <w:snapToGrid w:val="0"/>
          <w:lang w:val="en-GB"/>
        </w:rPr>
        <w:t>.</w:t>
      </w:r>
      <w:r w:rsidR="00AA11B3" w:rsidRPr="00533244">
        <w:rPr>
          <w:snapToGrid w:val="0"/>
          <w:lang w:val="en-GB"/>
        </w:rPr>
        <w:t xml:space="preserve"> </w:t>
      </w:r>
      <w:r w:rsidR="006A24E0">
        <w:t>T</w:t>
      </w:r>
      <w:r w:rsidR="00C05DB2" w:rsidRPr="00533244">
        <w:rPr>
          <w:snapToGrid w:val="0"/>
          <w:lang w:val="en-GB"/>
        </w:rPr>
        <w:t xml:space="preserve">he PBAC reaffirmed its position in July 2023 that </w:t>
      </w:r>
      <w:r w:rsidR="00C05DB2" w:rsidRPr="000B2FCC">
        <w:t>the economic model</w:t>
      </w:r>
      <w:r w:rsidR="00C05DB2">
        <w:t xml:space="preserve"> </w:t>
      </w:r>
      <w:r w:rsidR="00C05DB2" w:rsidRPr="000B2FCC">
        <w:t>should include wastage</w:t>
      </w:r>
      <w:r w:rsidR="006A24E0">
        <w:t>, consistent with the PBAC Guidelines</w:t>
      </w:r>
      <w:r w:rsidR="00C05DB2" w:rsidRPr="000B2FCC">
        <w:t xml:space="preserve"> </w:t>
      </w:r>
      <w:r w:rsidR="00C05DB2">
        <w:t xml:space="preserve">(paras 6.45, 7.9, </w:t>
      </w:r>
      <w:r w:rsidR="00C05DB2" w:rsidRPr="00451998">
        <w:t xml:space="preserve">SG </w:t>
      </w:r>
      <w:r w:rsidR="00DE5ED8">
        <w:t>PSD</w:t>
      </w:r>
      <w:r w:rsidR="00C05DB2" w:rsidRPr="00451998">
        <w:t>, July 2023 PBAC meeting).</w:t>
      </w:r>
    </w:p>
    <w:p w14:paraId="3ECBFB96" w14:textId="7D164ED2" w:rsidR="006833C8" w:rsidRPr="006833C8" w:rsidRDefault="006460C1" w:rsidP="001E4277">
      <w:pPr>
        <w:pStyle w:val="3-BodyText"/>
        <w:rPr>
          <w:snapToGrid w:val="0"/>
          <w:lang w:val="en-GB"/>
        </w:rPr>
      </w:pPr>
      <w:r>
        <w:rPr>
          <w:snapToGrid w:val="0"/>
          <w:lang w:val="en-GB"/>
        </w:rPr>
        <w:t xml:space="preserve">The PBAC noted that the revised base case ICER </w:t>
      </w:r>
      <w:r>
        <w:rPr>
          <w:iCs/>
        </w:rPr>
        <w:t>wa</w:t>
      </w:r>
      <w:r w:rsidRPr="0070023C">
        <w:rPr>
          <w:iCs/>
        </w:rPr>
        <w:t>s $</w:t>
      </w:r>
      <w:r w:rsidR="00DE5ED8">
        <w:rPr>
          <w:iCs/>
        </w:rPr>
        <w:t>95,000 to &lt; $115,000</w:t>
      </w:r>
      <w:r w:rsidRPr="0070023C">
        <w:rPr>
          <w:iCs/>
        </w:rPr>
        <w:t xml:space="preserve"> per QALY gained</w:t>
      </w:r>
      <w:r>
        <w:rPr>
          <w:iCs/>
        </w:rPr>
        <w:t xml:space="preserve"> and that a</w:t>
      </w:r>
      <w:r w:rsidRPr="0070023C">
        <w:rPr>
          <w:iCs/>
        </w:rPr>
        <w:t xml:space="preserve"> price reduction was not proposed in the resubmission.</w:t>
      </w:r>
      <w:r>
        <w:rPr>
          <w:iCs/>
        </w:rPr>
        <w:t xml:space="preserve"> Noting the outstanding issues described above, </w:t>
      </w:r>
      <w:r w:rsidRPr="00E74297">
        <w:t xml:space="preserve">the </w:t>
      </w:r>
      <w:r w:rsidR="009A567C">
        <w:t>C</w:t>
      </w:r>
      <w:r w:rsidRPr="00E74297">
        <w:t xml:space="preserve">ommittee considered that </w:t>
      </w:r>
      <w:r>
        <w:t>the</w:t>
      </w:r>
      <w:r w:rsidRPr="00E74297">
        <w:t xml:space="preserve"> ICER </w:t>
      </w:r>
      <w:r>
        <w:t>remained</w:t>
      </w:r>
      <w:r w:rsidRPr="00E74297">
        <w:t xml:space="preserve"> underestimated</w:t>
      </w:r>
      <w:r>
        <w:t xml:space="preserve">. </w:t>
      </w:r>
      <w:r w:rsidRPr="00E74297">
        <w:t>The PBAC noted that</w:t>
      </w:r>
      <w:r w:rsidR="00304C2B">
        <w:t>,</w:t>
      </w:r>
      <w:r w:rsidRPr="00E74297">
        <w:t xml:space="preserve"> with changes applied as above</w:t>
      </w:r>
      <w:r w:rsidR="00304C2B">
        <w:t>,</w:t>
      </w:r>
      <w:r w:rsidRPr="00E74297">
        <w:t xml:space="preserve"> the ICER increased to $</w:t>
      </w:r>
      <w:r w:rsidR="00DE5ED8">
        <w:t>155,000 to &lt; $255,000</w:t>
      </w:r>
      <w:r w:rsidR="006833C8" w:rsidRPr="0070023C">
        <w:rPr>
          <w:iCs/>
        </w:rPr>
        <w:t xml:space="preserve"> </w:t>
      </w:r>
      <w:r w:rsidRPr="00E74297">
        <w:t xml:space="preserve">per QALY gained. </w:t>
      </w:r>
      <w:r>
        <w:t>T</w:t>
      </w:r>
      <w:r w:rsidRPr="00E74297">
        <w:t xml:space="preserve">he PBAC </w:t>
      </w:r>
      <w:r>
        <w:t>reiterated</w:t>
      </w:r>
      <w:r w:rsidRPr="00E74297">
        <w:t xml:space="preserve"> that SG was not cost-effective at the proposed price. </w:t>
      </w:r>
    </w:p>
    <w:p w14:paraId="7838F40F" w14:textId="4FE5ACAF" w:rsidR="006460C1" w:rsidRDefault="006460C1" w:rsidP="001E4277">
      <w:pPr>
        <w:pStyle w:val="3-BodyText"/>
        <w:rPr>
          <w:snapToGrid w:val="0"/>
          <w:lang w:val="en-GB"/>
        </w:rPr>
      </w:pPr>
      <w:r w:rsidRPr="00E74297">
        <w:t xml:space="preserve">The PBAC </w:t>
      </w:r>
      <w:r w:rsidR="00304C2B">
        <w:t xml:space="preserve">recalled it previously considered that SG would be acceptably cost-effective at a price resulting in an ICER of $75,000 per QALY. However, the PBAC revised </w:t>
      </w:r>
      <w:r w:rsidR="008F76A4">
        <w:t>its previous</w:t>
      </w:r>
      <w:r w:rsidR="00304C2B">
        <w:t xml:space="preserve"> advice </w:t>
      </w:r>
      <w:r w:rsidRPr="00E74297">
        <w:t xml:space="preserve">and </w:t>
      </w:r>
      <w:r w:rsidR="006833C8">
        <w:t xml:space="preserve">considered that a base case ICER </w:t>
      </w:r>
      <w:r w:rsidR="006833C8" w:rsidRPr="00331881">
        <w:t>of $45,000</w:t>
      </w:r>
      <w:r w:rsidR="006A24E0" w:rsidRPr="00331881">
        <w:t>-$50,000</w:t>
      </w:r>
      <w:r w:rsidR="006833C8" w:rsidRPr="00331881">
        <w:t xml:space="preserve"> per QALY gained would be </w:t>
      </w:r>
      <w:r w:rsidR="0079173F" w:rsidRPr="00331881">
        <w:t xml:space="preserve">more </w:t>
      </w:r>
      <w:r w:rsidR="006833C8" w:rsidRPr="00331881">
        <w:t xml:space="preserve">appropriate in the </w:t>
      </w:r>
      <w:r w:rsidR="00342E89" w:rsidRPr="00331881">
        <w:t>HR+/</w:t>
      </w:r>
      <w:r w:rsidR="006833C8" w:rsidRPr="00331881">
        <w:t>HER2</w:t>
      </w:r>
      <w:r w:rsidR="00342E89" w:rsidRPr="00331881">
        <w:t>-</w:t>
      </w:r>
      <w:r w:rsidR="006833C8" w:rsidRPr="00331881">
        <w:t xml:space="preserve"> population, based on previous</w:t>
      </w:r>
      <w:r w:rsidR="006833C8" w:rsidRPr="00CF75EB">
        <w:t xml:space="preserve"> considerations</w:t>
      </w:r>
      <w:r w:rsidR="006833C8">
        <w:t xml:space="preserve"> in similar patient populations (i.e., eribulin, CDK4/6 inhibitors) and </w:t>
      </w:r>
      <w:r w:rsidR="008F76A4">
        <w:t xml:space="preserve">recognising </w:t>
      </w:r>
      <w:r w:rsidR="006833C8">
        <w:t xml:space="preserve">the moderate clinical need. The PBAC recalled it had recommended pembrolizumab and SG for </w:t>
      </w:r>
      <w:r w:rsidR="00A8744A">
        <w:t>triple negative breast cancer (</w:t>
      </w:r>
      <w:r w:rsidR="006833C8">
        <w:t>TNBC</w:t>
      </w:r>
      <w:r w:rsidR="00A8744A">
        <w:t>)</w:t>
      </w:r>
      <w:r w:rsidR="006833C8">
        <w:t xml:space="preserve"> with higher ICERs but noted TNBC was an aggressive condition, with poorer survival and fewer treatment options. The PBAC also recalled it had recommended </w:t>
      </w:r>
      <w:r w:rsidR="0079173F">
        <w:t>tr</w:t>
      </w:r>
      <w:r w:rsidR="008F76A4">
        <w:t>a</w:t>
      </w:r>
      <w:r w:rsidR="0079173F">
        <w:t>stuzumab deruxtecan (</w:t>
      </w:r>
      <w:r w:rsidR="006833C8">
        <w:t>T-DXd</w:t>
      </w:r>
      <w:r w:rsidR="0079173F">
        <w:t>)</w:t>
      </w:r>
      <w:r w:rsidR="00A8744A">
        <w:t xml:space="preserve"> </w:t>
      </w:r>
      <w:r w:rsidR="006833C8">
        <w:lastRenderedPageBreak/>
        <w:t>for HER2+ breast cancer with a higher ICER but noted HER2+ was an aggressive condition and the relative benefit of treatment was substantially higher.</w:t>
      </w:r>
    </w:p>
    <w:p w14:paraId="31DC4B0E" w14:textId="7EDAEC8E" w:rsidR="0071625B" w:rsidRPr="00A01828" w:rsidRDefault="0079173F" w:rsidP="00A81C24">
      <w:pPr>
        <w:pStyle w:val="3-BodyText"/>
        <w:rPr>
          <w:lang w:val="en-GB"/>
        </w:rPr>
      </w:pPr>
      <w:r>
        <w:rPr>
          <w:lang w:val="en-GB"/>
        </w:rPr>
        <w:t xml:space="preserve">The PBAC noted that </w:t>
      </w:r>
      <w:r w:rsidR="0071625B">
        <w:rPr>
          <w:lang w:val="en-GB"/>
        </w:rPr>
        <w:t xml:space="preserve">the resubmission had </w:t>
      </w:r>
      <w:r w:rsidR="0071625B" w:rsidRPr="0070023C">
        <w:t>revised the incident population of the financial estimates to reflect patients initiating CDK4/6 inhibitors (palbociclib, ribociclib and abemaciclib) based on PBS data</w:t>
      </w:r>
      <w:r w:rsidR="00905A5F">
        <w:t>,</w:t>
      </w:r>
      <w:r w:rsidR="0071625B">
        <w:t xml:space="preserve"> and reduced the uptake</w:t>
      </w:r>
      <w:r w:rsidR="0071625B" w:rsidRPr="0070023C">
        <w:t xml:space="preserve"> rates</w:t>
      </w:r>
      <w:r w:rsidR="0071625B">
        <w:t xml:space="preserve"> consistent with the July 2023 submission </w:t>
      </w:r>
      <w:r w:rsidR="0071625B" w:rsidRPr="0070023C">
        <w:t>(65% in Year 1, increasing to 75% by Year 3)</w:t>
      </w:r>
      <w:r w:rsidR="0071625B">
        <w:t xml:space="preserve">. The PBAC considered the changes made in the resubmission to the financial estimates were appropriate and in line with previous advice </w:t>
      </w:r>
      <w:r w:rsidR="0071625B" w:rsidRPr="0070023C">
        <w:t xml:space="preserve">(para 7.11, SG </w:t>
      </w:r>
      <w:r w:rsidR="00DE5ED8">
        <w:t>PSD</w:t>
      </w:r>
      <w:r w:rsidR="0071625B" w:rsidRPr="0070023C">
        <w:t>, July</w:t>
      </w:r>
      <w:r w:rsidR="00CC6F1D">
        <w:t> </w:t>
      </w:r>
      <w:r w:rsidR="0071625B" w:rsidRPr="0070023C">
        <w:t>2023 PBAC meeting)</w:t>
      </w:r>
      <w:r w:rsidR="0071625B">
        <w:t>. However, t</w:t>
      </w:r>
      <w:r w:rsidR="0071625B" w:rsidRPr="00E74297">
        <w:t xml:space="preserve">he PBAC </w:t>
      </w:r>
      <w:r w:rsidR="0071625B">
        <w:t xml:space="preserve">noted </w:t>
      </w:r>
      <w:r w:rsidR="0071625B" w:rsidRPr="00E74297">
        <w:t>that the revised estimates did not account for wastage</w:t>
      </w:r>
      <w:r w:rsidR="0071625B">
        <w:t xml:space="preserve">. </w:t>
      </w:r>
      <w:r w:rsidR="00060B7C">
        <w:rPr>
          <w:snapToGrid w:val="0"/>
          <w:lang w:val="en-GB"/>
        </w:rPr>
        <w:t>As above</w:t>
      </w:r>
      <w:r w:rsidR="0071625B" w:rsidRPr="00533244">
        <w:rPr>
          <w:snapToGrid w:val="0"/>
          <w:lang w:val="en-GB"/>
        </w:rPr>
        <w:t xml:space="preserve">, the PBAC reaffirmed its </w:t>
      </w:r>
      <w:r w:rsidR="005E4A64">
        <w:rPr>
          <w:snapToGrid w:val="0"/>
          <w:lang w:val="en-GB"/>
        </w:rPr>
        <w:t>view</w:t>
      </w:r>
      <w:r w:rsidR="0071625B" w:rsidRPr="00533244">
        <w:rPr>
          <w:snapToGrid w:val="0"/>
          <w:lang w:val="en-GB"/>
        </w:rPr>
        <w:t xml:space="preserve"> that </w:t>
      </w:r>
      <w:r w:rsidR="0071625B" w:rsidRPr="000B2FCC">
        <w:t xml:space="preserve">the </w:t>
      </w:r>
      <w:r w:rsidR="005E4A64">
        <w:t>financial estimates</w:t>
      </w:r>
      <w:r w:rsidR="0071625B">
        <w:t xml:space="preserve"> </w:t>
      </w:r>
      <w:r w:rsidR="0071625B" w:rsidRPr="000B2FCC">
        <w:t>should include wastage</w:t>
      </w:r>
      <w:r w:rsidR="005E4A64">
        <w:t>.</w:t>
      </w:r>
    </w:p>
    <w:p w14:paraId="47709C89" w14:textId="7F13E5C0" w:rsidR="00A01828" w:rsidRDefault="00A01828" w:rsidP="00A81C24">
      <w:pPr>
        <w:pStyle w:val="3-BodyText"/>
        <w:rPr>
          <w:lang w:val="en-GB"/>
        </w:rPr>
      </w:pPr>
      <w:r>
        <w:t xml:space="preserve">The PBAC considered any resubmission needs to address the outstanding issues related to </w:t>
      </w:r>
      <w:r w:rsidR="009A567C">
        <w:t xml:space="preserve">the </w:t>
      </w:r>
      <w:r>
        <w:t>economic evaluation and financial estimates.</w:t>
      </w:r>
      <w:r w:rsidR="00905A5F">
        <w:t xml:space="preserve"> </w:t>
      </w:r>
      <w:r w:rsidR="00905A5F" w:rsidRPr="00C6512B">
        <w:rPr>
          <w:rFonts w:cs="Arial"/>
          <w:bCs/>
          <w:snapToGrid w:val="0"/>
          <w:lang w:val="en-GB"/>
        </w:rPr>
        <w:t>The resubmission may be lodged at any future standard due date for PBAC submissions using the standard re</w:t>
      </w:r>
      <w:r w:rsidR="00905A5F">
        <w:rPr>
          <w:rFonts w:cs="Arial"/>
          <w:bCs/>
          <w:snapToGrid w:val="0"/>
          <w:lang w:val="en-GB"/>
        </w:rPr>
        <w:noBreakHyphen/>
      </w:r>
      <w:r w:rsidR="00905A5F" w:rsidRPr="00C6512B">
        <w:rPr>
          <w:rFonts w:cs="Arial"/>
          <w:bCs/>
          <w:snapToGrid w:val="0"/>
          <w:lang w:val="en-GB"/>
        </w:rPr>
        <w:t>entry pathway</w:t>
      </w:r>
      <w:r w:rsidR="00905A5F">
        <w:rPr>
          <w:rFonts w:cs="Arial"/>
          <w:bCs/>
          <w:snapToGrid w:val="0"/>
          <w:lang w:val="en-GB"/>
        </w:rPr>
        <w:t>.</w:t>
      </w:r>
    </w:p>
    <w:p w14:paraId="67F44532" w14:textId="70BA4A45" w:rsidR="00A81C24" w:rsidRPr="00A81C24" w:rsidRDefault="00A81C24" w:rsidP="00A81C24">
      <w:pPr>
        <w:pStyle w:val="3-BodyText"/>
        <w:rPr>
          <w:lang w:val="en-GB"/>
        </w:rPr>
      </w:pPr>
      <w:r>
        <w:rPr>
          <w:lang w:val="en-GB"/>
        </w:rPr>
        <w:t>The PBAC noted that this submission is eligible for an Independent review.</w:t>
      </w:r>
    </w:p>
    <w:p w14:paraId="405F178F" w14:textId="77777777" w:rsidR="00DC59D4" w:rsidRPr="00525B39" w:rsidRDefault="00DC59D4" w:rsidP="00DC59D4">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434B8227" w14:textId="71033E29" w:rsidR="008164CA" w:rsidRDefault="00DC59D4" w:rsidP="00DC59D4">
      <w:pPr>
        <w:rPr>
          <w:rFonts w:asciiTheme="minorHAnsi" w:hAnsiTheme="minorHAnsi" w:cs="Arial"/>
          <w:bCs/>
          <w:snapToGrid w:val="0"/>
          <w:lang w:val="en-GB"/>
        </w:rPr>
      </w:pPr>
      <w:r>
        <w:rPr>
          <w:rFonts w:asciiTheme="minorHAnsi" w:hAnsiTheme="minorHAnsi" w:cs="Arial"/>
          <w:bCs/>
          <w:snapToGrid w:val="0"/>
          <w:lang w:val="en-GB"/>
        </w:rPr>
        <w:t>Not recommended</w:t>
      </w:r>
      <w:r w:rsidRPr="00525B39">
        <w:rPr>
          <w:rFonts w:asciiTheme="minorHAnsi" w:hAnsiTheme="minorHAnsi" w:cs="Arial"/>
          <w:bCs/>
          <w:snapToGrid w:val="0"/>
          <w:lang w:val="en-GB"/>
        </w:rPr>
        <w:t xml:space="preserve"> </w:t>
      </w:r>
      <w:bookmarkEnd w:id="25"/>
      <w:bookmarkEnd w:id="26"/>
    </w:p>
    <w:p w14:paraId="0F406271" w14:textId="5E420F74" w:rsidR="008164CA" w:rsidRPr="008164CA" w:rsidRDefault="008164CA" w:rsidP="008164CA">
      <w:pPr>
        <w:pStyle w:val="2-SectionHeading"/>
      </w:pPr>
      <w:r w:rsidRPr="00061CBE">
        <w:t>Context for Decision</w:t>
      </w:r>
    </w:p>
    <w:p w14:paraId="340D4DB0" w14:textId="77777777" w:rsidR="008164CA" w:rsidRPr="00061CBE" w:rsidRDefault="008164CA" w:rsidP="008164CA">
      <w:pPr>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D6A1B19" w14:textId="0EFEDACE" w:rsidR="008164CA" w:rsidRPr="00061CBE" w:rsidRDefault="008164CA" w:rsidP="008164CA">
      <w:pPr>
        <w:pStyle w:val="2-SectionHeading"/>
      </w:pPr>
      <w:r w:rsidRPr="00061CBE">
        <w:t>Sponsor’s Comment</w:t>
      </w:r>
    </w:p>
    <w:p w14:paraId="72F0DC03" w14:textId="7C1977DB" w:rsidR="004D5A8A" w:rsidRPr="00061CBE" w:rsidRDefault="004D5A8A" w:rsidP="00F0362D">
      <w:pPr>
        <w:ind w:left="720"/>
        <w:rPr>
          <w:bCs/>
        </w:rPr>
      </w:pPr>
      <w:r w:rsidRPr="007E138E">
        <w:rPr>
          <w:bCs/>
        </w:rPr>
        <w:t>Gilead Sciences is disappointed by this decision as we believe Australians living with</w:t>
      </w:r>
      <w:r>
        <w:rPr>
          <w:bCs/>
        </w:rPr>
        <w:t xml:space="preserve"> </w:t>
      </w:r>
      <w:r w:rsidRPr="007E138E">
        <w:rPr>
          <w:bCs/>
        </w:rPr>
        <w:t>metastatic breast cancer need new treatment options.</w:t>
      </w:r>
      <w:r>
        <w:rPr>
          <w:bCs/>
        </w:rPr>
        <w:t xml:space="preserve"> </w:t>
      </w:r>
      <w:r w:rsidRPr="007E138E">
        <w:rPr>
          <w:bCs/>
        </w:rPr>
        <w:t>We wish to thank the many patient organisations and clinicians who took the time to submit consumer comments in support of our submission.</w:t>
      </w:r>
    </w:p>
    <w:p w14:paraId="4916EAF4" w14:textId="77777777" w:rsidR="008164CA" w:rsidRPr="00525B39" w:rsidRDefault="008164CA" w:rsidP="00DC59D4">
      <w:pPr>
        <w:rPr>
          <w:rFonts w:asciiTheme="minorHAnsi" w:hAnsiTheme="minorHAnsi" w:cs="Arial"/>
          <w:bCs/>
          <w:snapToGrid w:val="0"/>
          <w:lang w:val="en-GB"/>
        </w:rPr>
      </w:pPr>
    </w:p>
    <w:sectPr w:rsidR="008164CA" w:rsidRPr="00525B39" w:rsidSect="00241BC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F0A28" w14:textId="77777777" w:rsidR="005746F3" w:rsidRDefault="005746F3" w:rsidP="001B615C">
      <w:r>
        <w:separator/>
      </w:r>
    </w:p>
  </w:endnote>
  <w:endnote w:type="continuationSeparator" w:id="0">
    <w:p w14:paraId="218A57BD" w14:textId="77777777" w:rsidR="005746F3" w:rsidRDefault="005746F3" w:rsidP="001B615C">
      <w:r>
        <w:continuationSeparator/>
      </w:r>
    </w:p>
  </w:endnote>
  <w:endnote w:type="continuationNotice" w:id="1">
    <w:p w14:paraId="74CFBE2E" w14:textId="77777777" w:rsidR="005746F3" w:rsidRDefault="00574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3B346" w14:textId="77777777" w:rsidR="00D52BD6" w:rsidRDefault="00D52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08216"/>
      <w:docPartObj>
        <w:docPartGallery w:val="Page Numbers (Bottom of Page)"/>
        <w:docPartUnique/>
      </w:docPartObj>
    </w:sdtPr>
    <w:sdtEndPr>
      <w:rPr>
        <w:b/>
        <w:bCs/>
        <w:noProof/>
      </w:rPr>
    </w:sdtEndPr>
    <w:sdtContent>
      <w:p w14:paraId="45143AFA" w14:textId="77777777" w:rsidR="00241BC6" w:rsidRDefault="00241BC6" w:rsidP="00241BC6">
        <w:pPr>
          <w:pStyle w:val="Footer"/>
          <w:jc w:val="center"/>
        </w:pPr>
      </w:p>
      <w:p w14:paraId="7C2AD632" w14:textId="727D1ED1" w:rsidR="001B615C" w:rsidRPr="00241BC6" w:rsidRDefault="0032424F" w:rsidP="00241BC6">
        <w:pPr>
          <w:pStyle w:val="Footer"/>
          <w:jc w:val="center"/>
          <w:rPr>
            <w:b/>
            <w:bCs/>
          </w:rPr>
        </w:pPr>
        <w:r w:rsidRPr="00241BC6">
          <w:rPr>
            <w:b/>
            <w:bCs/>
          </w:rPr>
          <w:fldChar w:fldCharType="begin"/>
        </w:r>
        <w:r w:rsidRPr="00241BC6">
          <w:rPr>
            <w:b/>
            <w:bCs/>
          </w:rPr>
          <w:instrText xml:space="preserve"> PAGE   \* MERGEFORMAT </w:instrText>
        </w:r>
        <w:r w:rsidRPr="00241BC6">
          <w:rPr>
            <w:b/>
            <w:bCs/>
          </w:rPr>
          <w:fldChar w:fldCharType="separate"/>
        </w:r>
        <w:r w:rsidRPr="00241BC6">
          <w:rPr>
            <w:b/>
            <w:bCs/>
            <w:noProof/>
          </w:rPr>
          <w:t>2</w:t>
        </w:r>
        <w:r w:rsidRPr="00241BC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B7F6" w14:textId="77777777" w:rsidR="00D52BD6" w:rsidRDefault="00D52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B86D" w14:textId="77777777" w:rsidR="005746F3" w:rsidRDefault="005746F3" w:rsidP="001B615C">
      <w:r>
        <w:separator/>
      </w:r>
    </w:p>
  </w:footnote>
  <w:footnote w:type="continuationSeparator" w:id="0">
    <w:p w14:paraId="15E3B660" w14:textId="77777777" w:rsidR="005746F3" w:rsidRDefault="005746F3" w:rsidP="001B615C">
      <w:r>
        <w:continuationSeparator/>
      </w:r>
    </w:p>
  </w:footnote>
  <w:footnote w:type="continuationNotice" w:id="1">
    <w:p w14:paraId="146523F1" w14:textId="77777777" w:rsidR="005746F3" w:rsidRDefault="005746F3"/>
  </w:footnote>
  <w:footnote w:id="2">
    <w:p w14:paraId="52AA8E61" w14:textId="7E8B95A3" w:rsidR="008A17A2" w:rsidRDefault="008A17A2">
      <w:pPr>
        <w:pStyle w:val="FootnoteText"/>
      </w:pPr>
      <w:r>
        <w:rPr>
          <w:rStyle w:val="FootnoteReference"/>
        </w:rPr>
        <w:footnoteRef/>
      </w:r>
      <w:r>
        <w:t xml:space="preserve"> </w:t>
      </w:r>
      <w:r w:rsidRPr="008A17A2">
        <w:t>Cherny NI, Dafni U, Bogaerts J, et al: ESMO-Magnitude of Clinical Benefit Scale version 1.1. Annals of Oncology 28:2340-2366, 2017</w:t>
      </w:r>
    </w:p>
  </w:footnote>
  <w:footnote w:id="3">
    <w:p w14:paraId="5F487FA9" w14:textId="76915BA3" w:rsidR="00982A12" w:rsidRPr="00C87D14" w:rsidRDefault="00982A12">
      <w:pPr>
        <w:pStyle w:val="FootnoteText"/>
        <w:rPr>
          <w:rFonts w:cs="Calibri"/>
        </w:rPr>
      </w:pPr>
      <w:r w:rsidRPr="00C87D14">
        <w:rPr>
          <w:rStyle w:val="FootnoteReference"/>
          <w:rFonts w:cs="Calibri"/>
        </w:rPr>
        <w:footnoteRef/>
      </w:r>
      <w:r w:rsidRPr="00C87D14">
        <w:rPr>
          <w:rFonts w:cs="Calibri"/>
        </w:rPr>
        <w:t xml:space="preserve"> </w:t>
      </w:r>
      <w:r w:rsidR="00C87D14" w:rsidRPr="00C87D14">
        <w:rPr>
          <w:rFonts w:cs="Calibri"/>
        </w:rPr>
        <w:t xml:space="preserve">Alexander M, King J, Bajel A, Doecke C, Fox P, Lingaratnam S, Mellor JD, Nicholson L, Roos I, Saunders T, Wilkes J, Zielinski R, Byrne J, MacMillan K, Mollo A, Kirsa S, Green M. Australian consensus guidelines for the safe handling of monoclonal antibodies for cancer treatment by healthcare personnel. Intern Med J. 2014 Oct;44(10):1018-26.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70D9" w14:textId="77777777" w:rsidR="00D52BD6" w:rsidRDefault="00D52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B1FB" w14:textId="4D8FAA9D" w:rsidR="0070023C" w:rsidRPr="00056684" w:rsidRDefault="00243FFD" w:rsidP="0070023C">
    <w:pPr>
      <w:pStyle w:val="Header"/>
      <w:keepNext/>
      <w:ind w:left="360"/>
      <w:jc w:val="center"/>
      <w:rPr>
        <w:rFonts w:asciiTheme="minorHAnsi" w:hAnsiTheme="minorHAnsi" w:cs="Arial"/>
        <w:i/>
        <w:color w:val="808080"/>
      </w:rPr>
    </w:pPr>
    <w:bookmarkStart w:id="28" w:name="_Hlk76375146"/>
    <w:r>
      <w:rPr>
        <w:rFonts w:asciiTheme="minorHAnsi" w:hAnsiTheme="minorHAnsi" w:cs="Arial"/>
        <w:i/>
        <w:color w:val="808080"/>
      </w:rPr>
      <w:t>Public Summary Document</w:t>
    </w:r>
    <w:r w:rsidR="00E53893">
      <w:rPr>
        <w:rFonts w:asciiTheme="minorHAnsi" w:hAnsiTheme="minorHAnsi" w:cs="Arial"/>
        <w:i/>
        <w:color w:val="808080"/>
      </w:rPr>
      <w:t xml:space="preserve"> </w:t>
    </w:r>
    <w:r w:rsidR="0070023C" w:rsidRPr="00056684">
      <w:rPr>
        <w:rFonts w:asciiTheme="minorHAnsi" w:hAnsiTheme="minorHAnsi" w:cs="Arial"/>
        <w:i/>
        <w:color w:val="808080"/>
      </w:rPr>
      <w:t xml:space="preserve">– </w:t>
    </w:r>
    <w:r w:rsidR="00374841">
      <w:rPr>
        <w:rFonts w:asciiTheme="minorHAnsi" w:hAnsiTheme="minorHAnsi" w:cs="Arial"/>
        <w:i/>
        <w:color w:val="808080"/>
      </w:rPr>
      <w:t>November</w:t>
    </w:r>
    <w:r w:rsidR="0070023C">
      <w:rPr>
        <w:rFonts w:asciiTheme="minorHAnsi" w:hAnsiTheme="minorHAnsi" w:cs="Arial"/>
        <w:i/>
        <w:color w:val="808080"/>
      </w:rPr>
      <w:t xml:space="preserve"> 202</w:t>
    </w:r>
    <w:r w:rsidR="00374841">
      <w:rPr>
        <w:rFonts w:asciiTheme="minorHAnsi" w:hAnsiTheme="minorHAnsi" w:cs="Arial"/>
        <w:i/>
        <w:color w:val="808080"/>
      </w:rPr>
      <w:t>3</w:t>
    </w:r>
    <w:r w:rsidR="0070023C" w:rsidRPr="00056684">
      <w:rPr>
        <w:rFonts w:asciiTheme="minorHAnsi" w:hAnsiTheme="minorHAnsi" w:cs="Arial"/>
        <w:i/>
        <w:color w:val="808080"/>
      </w:rPr>
      <w:t xml:space="preserve"> PBAC Meeting</w:t>
    </w:r>
  </w:p>
  <w:bookmarkEnd w:id="28"/>
  <w:p w14:paraId="2D71A186" w14:textId="77777777" w:rsidR="00B36767" w:rsidRPr="001B615C" w:rsidRDefault="00B36767" w:rsidP="001B615C">
    <w:pPr>
      <w:pStyle w:val="Header"/>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FAC3" w14:textId="77777777" w:rsidR="00D52BD6" w:rsidRDefault="00D52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E4A2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F604E7"/>
    <w:multiLevelType w:val="hybridMultilevel"/>
    <w:tmpl w:val="2AF68514"/>
    <w:lvl w:ilvl="0" w:tplc="BFE0758E">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04772"/>
    <w:multiLevelType w:val="hybridMultilevel"/>
    <w:tmpl w:val="5B5068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7EE5E3F"/>
    <w:multiLevelType w:val="hybridMultilevel"/>
    <w:tmpl w:val="AA82E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8D6AEC"/>
    <w:multiLevelType w:val="hybridMultilevel"/>
    <w:tmpl w:val="52E6BE8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AC5FFD"/>
    <w:multiLevelType w:val="multilevel"/>
    <w:tmpl w:val="28C22752"/>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iCs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9" w15:restartNumberingAfterBreak="0">
    <w:nsid w:val="5F811EE0"/>
    <w:multiLevelType w:val="multilevel"/>
    <w:tmpl w:val="4A9EE328"/>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784D033C"/>
    <w:multiLevelType w:val="multilevel"/>
    <w:tmpl w:val="4044E9B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29589538">
    <w:abstractNumId w:val="8"/>
  </w:num>
  <w:num w:numId="2" w16cid:durableId="528688229">
    <w:abstractNumId w:val="6"/>
  </w:num>
  <w:num w:numId="3" w16cid:durableId="1224562199">
    <w:abstractNumId w:val="4"/>
  </w:num>
  <w:num w:numId="4" w16cid:durableId="545800292">
    <w:abstractNumId w:val="1"/>
  </w:num>
  <w:num w:numId="5" w16cid:durableId="121465260">
    <w:abstractNumId w:val="2"/>
  </w:num>
  <w:num w:numId="6" w16cid:durableId="963999112">
    <w:abstractNumId w:val="9"/>
  </w:num>
  <w:num w:numId="7" w16cid:durableId="197789053">
    <w:abstractNumId w:val="5"/>
  </w:num>
  <w:num w:numId="8" w16cid:durableId="1813937804">
    <w:abstractNumId w:val="7"/>
  </w:num>
  <w:num w:numId="9" w16cid:durableId="1430352254">
    <w:abstractNumId w:val="3"/>
  </w:num>
  <w:num w:numId="10" w16cid:durableId="175921453">
    <w:abstractNumId w:val="0"/>
  </w:num>
  <w:num w:numId="11" w16cid:durableId="99372999">
    <w:abstractNumId w:val="10"/>
  </w:num>
  <w:num w:numId="12" w16cid:durableId="1810393531">
    <w:abstractNumId w:val="8"/>
  </w:num>
  <w:num w:numId="13" w16cid:durableId="104124954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7F"/>
    <w:rsid w:val="00003912"/>
    <w:rsid w:val="00007DE3"/>
    <w:rsid w:val="00020C2D"/>
    <w:rsid w:val="00024387"/>
    <w:rsid w:val="00025A71"/>
    <w:rsid w:val="00026905"/>
    <w:rsid w:val="0003296C"/>
    <w:rsid w:val="00053CB8"/>
    <w:rsid w:val="00055518"/>
    <w:rsid w:val="00060B7C"/>
    <w:rsid w:val="0006109E"/>
    <w:rsid w:val="00061A6E"/>
    <w:rsid w:val="00063B91"/>
    <w:rsid w:val="00086EA5"/>
    <w:rsid w:val="00087831"/>
    <w:rsid w:val="000925F7"/>
    <w:rsid w:val="000931B5"/>
    <w:rsid w:val="00095865"/>
    <w:rsid w:val="000B2FCC"/>
    <w:rsid w:val="000B32BE"/>
    <w:rsid w:val="000C6670"/>
    <w:rsid w:val="000C66E5"/>
    <w:rsid w:val="000C753B"/>
    <w:rsid w:val="000D0E8A"/>
    <w:rsid w:val="000D2F63"/>
    <w:rsid w:val="000E1976"/>
    <w:rsid w:val="000F5631"/>
    <w:rsid w:val="000F5640"/>
    <w:rsid w:val="000F66D4"/>
    <w:rsid w:val="000F6BE2"/>
    <w:rsid w:val="001009C3"/>
    <w:rsid w:val="00100DC2"/>
    <w:rsid w:val="00101528"/>
    <w:rsid w:val="001018B8"/>
    <w:rsid w:val="00104134"/>
    <w:rsid w:val="00107048"/>
    <w:rsid w:val="001136FB"/>
    <w:rsid w:val="001209A6"/>
    <w:rsid w:val="0012307A"/>
    <w:rsid w:val="00127D8A"/>
    <w:rsid w:val="00131DA5"/>
    <w:rsid w:val="00135100"/>
    <w:rsid w:val="00147723"/>
    <w:rsid w:val="00157199"/>
    <w:rsid w:val="00162F48"/>
    <w:rsid w:val="00165592"/>
    <w:rsid w:val="001665C3"/>
    <w:rsid w:val="00174CF1"/>
    <w:rsid w:val="00180C16"/>
    <w:rsid w:val="0019198E"/>
    <w:rsid w:val="00195928"/>
    <w:rsid w:val="001A33A0"/>
    <w:rsid w:val="001B1979"/>
    <w:rsid w:val="001B4BEA"/>
    <w:rsid w:val="001B5699"/>
    <w:rsid w:val="001B615C"/>
    <w:rsid w:val="001C6B61"/>
    <w:rsid w:val="001D4569"/>
    <w:rsid w:val="001D4F34"/>
    <w:rsid w:val="001D6003"/>
    <w:rsid w:val="001E4277"/>
    <w:rsid w:val="001F3B65"/>
    <w:rsid w:val="00204877"/>
    <w:rsid w:val="002112DF"/>
    <w:rsid w:val="002332A6"/>
    <w:rsid w:val="002366DA"/>
    <w:rsid w:val="00241BC6"/>
    <w:rsid w:val="002425A6"/>
    <w:rsid w:val="00243FFD"/>
    <w:rsid w:val="002440C2"/>
    <w:rsid w:val="00245F52"/>
    <w:rsid w:val="00267AFC"/>
    <w:rsid w:val="002731AA"/>
    <w:rsid w:val="00287032"/>
    <w:rsid w:val="00291F72"/>
    <w:rsid w:val="002A7DB2"/>
    <w:rsid w:val="002B0708"/>
    <w:rsid w:val="002B366C"/>
    <w:rsid w:val="002C1A87"/>
    <w:rsid w:val="002C3FD2"/>
    <w:rsid w:val="002C590F"/>
    <w:rsid w:val="002D00B0"/>
    <w:rsid w:val="002E04A8"/>
    <w:rsid w:val="002E3626"/>
    <w:rsid w:val="002E381D"/>
    <w:rsid w:val="002F2D44"/>
    <w:rsid w:val="00301796"/>
    <w:rsid w:val="00304C2B"/>
    <w:rsid w:val="00307A43"/>
    <w:rsid w:val="0032177C"/>
    <w:rsid w:val="00321C2B"/>
    <w:rsid w:val="0032424F"/>
    <w:rsid w:val="0032703D"/>
    <w:rsid w:val="00331881"/>
    <w:rsid w:val="003347D4"/>
    <w:rsid w:val="00335163"/>
    <w:rsid w:val="00336278"/>
    <w:rsid w:val="003415F0"/>
    <w:rsid w:val="00342E89"/>
    <w:rsid w:val="00343999"/>
    <w:rsid w:val="003476E7"/>
    <w:rsid w:val="00350DC6"/>
    <w:rsid w:val="00350DE1"/>
    <w:rsid w:val="00352468"/>
    <w:rsid w:val="003562D2"/>
    <w:rsid w:val="00357F05"/>
    <w:rsid w:val="00360535"/>
    <w:rsid w:val="003665F6"/>
    <w:rsid w:val="00374841"/>
    <w:rsid w:val="00375251"/>
    <w:rsid w:val="0038062E"/>
    <w:rsid w:val="00387AF9"/>
    <w:rsid w:val="00387BC7"/>
    <w:rsid w:val="00394A9B"/>
    <w:rsid w:val="00396E49"/>
    <w:rsid w:val="0039769B"/>
    <w:rsid w:val="003B4855"/>
    <w:rsid w:val="003B4D65"/>
    <w:rsid w:val="003B4FCF"/>
    <w:rsid w:val="003F2880"/>
    <w:rsid w:val="003F2921"/>
    <w:rsid w:val="004065C6"/>
    <w:rsid w:val="004104E8"/>
    <w:rsid w:val="00415BCB"/>
    <w:rsid w:val="00426800"/>
    <w:rsid w:val="004314C1"/>
    <w:rsid w:val="00435825"/>
    <w:rsid w:val="00451998"/>
    <w:rsid w:val="00461F96"/>
    <w:rsid w:val="00462905"/>
    <w:rsid w:val="00472B5D"/>
    <w:rsid w:val="0047459B"/>
    <w:rsid w:val="004762C9"/>
    <w:rsid w:val="00477487"/>
    <w:rsid w:val="00485226"/>
    <w:rsid w:val="0048560B"/>
    <w:rsid w:val="00487E7B"/>
    <w:rsid w:val="00494263"/>
    <w:rsid w:val="004A30E9"/>
    <w:rsid w:val="004A3CF7"/>
    <w:rsid w:val="004A411D"/>
    <w:rsid w:val="004B14C6"/>
    <w:rsid w:val="004C360F"/>
    <w:rsid w:val="004C75CD"/>
    <w:rsid w:val="004D0BA3"/>
    <w:rsid w:val="004D0C71"/>
    <w:rsid w:val="004D2F92"/>
    <w:rsid w:val="004D5A8A"/>
    <w:rsid w:val="004D6EA9"/>
    <w:rsid w:val="004E3285"/>
    <w:rsid w:val="004E5B2A"/>
    <w:rsid w:val="00504C16"/>
    <w:rsid w:val="00506913"/>
    <w:rsid w:val="00511AB5"/>
    <w:rsid w:val="0051291B"/>
    <w:rsid w:val="00517E8A"/>
    <w:rsid w:val="00533244"/>
    <w:rsid w:val="00544EE0"/>
    <w:rsid w:val="00550319"/>
    <w:rsid w:val="0056435A"/>
    <w:rsid w:val="005746F3"/>
    <w:rsid w:val="00576E17"/>
    <w:rsid w:val="005818FA"/>
    <w:rsid w:val="00596393"/>
    <w:rsid w:val="005A302F"/>
    <w:rsid w:val="005B12E3"/>
    <w:rsid w:val="005B20E3"/>
    <w:rsid w:val="005B605C"/>
    <w:rsid w:val="005C23A1"/>
    <w:rsid w:val="005C3103"/>
    <w:rsid w:val="005C43DE"/>
    <w:rsid w:val="005C7424"/>
    <w:rsid w:val="005D0853"/>
    <w:rsid w:val="005D368F"/>
    <w:rsid w:val="005D5535"/>
    <w:rsid w:val="005E19BF"/>
    <w:rsid w:val="005E4A64"/>
    <w:rsid w:val="005E4F34"/>
    <w:rsid w:val="005E628A"/>
    <w:rsid w:val="0061732C"/>
    <w:rsid w:val="0063711E"/>
    <w:rsid w:val="00640A9D"/>
    <w:rsid w:val="006460C1"/>
    <w:rsid w:val="00654A3A"/>
    <w:rsid w:val="006627D3"/>
    <w:rsid w:val="006763E1"/>
    <w:rsid w:val="0068229C"/>
    <w:rsid w:val="00682B9C"/>
    <w:rsid w:val="006833C8"/>
    <w:rsid w:val="00691B14"/>
    <w:rsid w:val="0069312F"/>
    <w:rsid w:val="006A24E0"/>
    <w:rsid w:val="006B24BD"/>
    <w:rsid w:val="006D01DD"/>
    <w:rsid w:val="006D1797"/>
    <w:rsid w:val="006D6136"/>
    <w:rsid w:val="006D676B"/>
    <w:rsid w:val="006E63D8"/>
    <w:rsid w:val="006E6443"/>
    <w:rsid w:val="0070023C"/>
    <w:rsid w:val="0070778F"/>
    <w:rsid w:val="007136D2"/>
    <w:rsid w:val="0071625B"/>
    <w:rsid w:val="00717C71"/>
    <w:rsid w:val="007224C9"/>
    <w:rsid w:val="0072778E"/>
    <w:rsid w:val="00733DAE"/>
    <w:rsid w:val="007426BB"/>
    <w:rsid w:val="00745944"/>
    <w:rsid w:val="00747F8D"/>
    <w:rsid w:val="0076260A"/>
    <w:rsid w:val="00765986"/>
    <w:rsid w:val="00772E22"/>
    <w:rsid w:val="00776A3A"/>
    <w:rsid w:val="0077754E"/>
    <w:rsid w:val="00780216"/>
    <w:rsid w:val="0079124D"/>
    <w:rsid w:val="0079173F"/>
    <w:rsid w:val="007A15F2"/>
    <w:rsid w:val="007A48BD"/>
    <w:rsid w:val="007A6ACE"/>
    <w:rsid w:val="007B37AA"/>
    <w:rsid w:val="007C00D6"/>
    <w:rsid w:val="007C20A2"/>
    <w:rsid w:val="007C5F08"/>
    <w:rsid w:val="007D4F93"/>
    <w:rsid w:val="007F7E76"/>
    <w:rsid w:val="008003F2"/>
    <w:rsid w:val="008063D1"/>
    <w:rsid w:val="00807772"/>
    <w:rsid w:val="00807D73"/>
    <w:rsid w:val="008118B5"/>
    <w:rsid w:val="008122B2"/>
    <w:rsid w:val="00814C4F"/>
    <w:rsid w:val="008164CA"/>
    <w:rsid w:val="00820E80"/>
    <w:rsid w:val="00827149"/>
    <w:rsid w:val="00830F1C"/>
    <w:rsid w:val="008362F2"/>
    <w:rsid w:val="00843779"/>
    <w:rsid w:val="008514A0"/>
    <w:rsid w:val="00855245"/>
    <w:rsid w:val="00860B2D"/>
    <w:rsid w:val="0086428F"/>
    <w:rsid w:val="008768CC"/>
    <w:rsid w:val="00880103"/>
    <w:rsid w:val="00892FF5"/>
    <w:rsid w:val="008943E9"/>
    <w:rsid w:val="008A17A2"/>
    <w:rsid w:val="008B5A90"/>
    <w:rsid w:val="008B6C25"/>
    <w:rsid w:val="008D3F58"/>
    <w:rsid w:val="008D6C6F"/>
    <w:rsid w:val="008F068F"/>
    <w:rsid w:val="008F36E4"/>
    <w:rsid w:val="008F5A04"/>
    <w:rsid w:val="008F76A4"/>
    <w:rsid w:val="00905A5F"/>
    <w:rsid w:val="00914A87"/>
    <w:rsid w:val="00917203"/>
    <w:rsid w:val="00923798"/>
    <w:rsid w:val="00924425"/>
    <w:rsid w:val="009247AC"/>
    <w:rsid w:val="00924891"/>
    <w:rsid w:val="00927361"/>
    <w:rsid w:val="00932F68"/>
    <w:rsid w:val="0093376A"/>
    <w:rsid w:val="0093666C"/>
    <w:rsid w:val="00940043"/>
    <w:rsid w:val="00941E2C"/>
    <w:rsid w:val="00964441"/>
    <w:rsid w:val="009678AC"/>
    <w:rsid w:val="009714D5"/>
    <w:rsid w:val="00982A12"/>
    <w:rsid w:val="009847FE"/>
    <w:rsid w:val="00992D07"/>
    <w:rsid w:val="009A349D"/>
    <w:rsid w:val="009A54BD"/>
    <w:rsid w:val="009A567C"/>
    <w:rsid w:val="009B4B51"/>
    <w:rsid w:val="009D0198"/>
    <w:rsid w:val="009D3CE5"/>
    <w:rsid w:val="009D45A3"/>
    <w:rsid w:val="009E6D83"/>
    <w:rsid w:val="009F1664"/>
    <w:rsid w:val="009F16FF"/>
    <w:rsid w:val="009F195D"/>
    <w:rsid w:val="009F3340"/>
    <w:rsid w:val="00A01828"/>
    <w:rsid w:val="00A03C71"/>
    <w:rsid w:val="00A20F6F"/>
    <w:rsid w:val="00A233AA"/>
    <w:rsid w:val="00A27305"/>
    <w:rsid w:val="00A345F0"/>
    <w:rsid w:val="00A36E01"/>
    <w:rsid w:val="00A36FBD"/>
    <w:rsid w:val="00A40AA1"/>
    <w:rsid w:val="00A474DB"/>
    <w:rsid w:val="00A524F5"/>
    <w:rsid w:val="00A625CB"/>
    <w:rsid w:val="00A74223"/>
    <w:rsid w:val="00A74B77"/>
    <w:rsid w:val="00A762DE"/>
    <w:rsid w:val="00A81790"/>
    <w:rsid w:val="00A81C24"/>
    <w:rsid w:val="00A83935"/>
    <w:rsid w:val="00A845FC"/>
    <w:rsid w:val="00A85A97"/>
    <w:rsid w:val="00A8744A"/>
    <w:rsid w:val="00A87810"/>
    <w:rsid w:val="00A92512"/>
    <w:rsid w:val="00A94012"/>
    <w:rsid w:val="00AA11B3"/>
    <w:rsid w:val="00AA159B"/>
    <w:rsid w:val="00AB0628"/>
    <w:rsid w:val="00AB38E2"/>
    <w:rsid w:val="00AC572E"/>
    <w:rsid w:val="00AD0418"/>
    <w:rsid w:val="00AD0AC3"/>
    <w:rsid w:val="00AD147C"/>
    <w:rsid w:val="00AE6128"/>
    <w:rsid w:val="00AF0B44"/>
    <w:rsid w:val="00AF1CD4"/>
    <w:rsid w:val="00AF4DCF"/>
    <w:rsid w:val="00AF781B"/>
    <w:rsid w:val="00B07394"/>
    <w:rsid w:val="00B10329"/>
    <w:rsid w:val="00B1323F"/>
    <w:rsid w:val="00B16AAB"/>
    <w:rsid w:val="00B20E68"/>
    <w:rsid w:val="00B24591"/>
    <w:rsid w:val="00B320B5"/>
    <w:rsid w:val="00B36767"/>
    <w:rsid w:val="00B442E8"/>
    <w:rsid w:val="00B47061"/>
    <w:rsid w:val="00B51314"/>
    <w:rsid w:val="00B53C41"/>
    <w:rsid w:val="00B54140"/>
    <w:rsid w:val="00B554A2"/>
    <w:rsid w:val="00B60744"/>
    <w:rsid w:val="00B6241C"/>
    <w:rsid w:val="00B65292"/>
    <w:rsid w:val="00B65EAB"/>
    <w:rsid w:val="00B74D90"/>
    <w:rsid w:val="00B92A7C"/>
    <w:rsid w:val="00B94E9C"/>
    <w:rsid w:val="00B94F0B"/>
    <w:rsid w:val="00B96E93"/>
    <w:rsid w:val="00BA33CF"/>
    <w:rsid w:val="00BB0C33"/>
    <w:rsid w:val="00BB16AD"/>
    <w:rsid w:val="00BB5271"/>
    <w:rsid w:val="00BB6AE5"/>
    <w:rsid w:val="00BB74A0"/>
    <w:rsid w:val="00BD5DA2"/>
    <w:rsid w:val="00BD7583"/>
    <w:rsid w:val="00BD7917"/>
    <w:rsid w:val="00BE16BD"/>
    <w:rsid w:val="00BE4266"/>
    <w:rsid w:val="00BE447E"/>
    <w:rsid w:val="00BE5F71"/>
    <w:rsid w:val="00BE6204"/>
    <w:rsid w:val="00BE703D"/>
    <w:rsid w:val="00C00C6B"/>
    <w:rsid w:val="00C052B9"/>
    <w:rsid w:val="00C05DB2"/>
    <w:rsid w:val="00C073C8"/>
    <w:rsid w:val="00C10CF9"/>
    <w:rsid w:val="00C36CF2"/>
    <w:rsid w:val="00C375F2"/>
    <w:rsid w:val="00C553B2"/>
    <w:rsid w:val="00C62A56"/>
    <w:rsid w:val="00C6582E"/>
    <w:rsid w:val="00C71574"/>
    <w:rsid w:val="00C77EC2"/>
    <w:rsid w:val="00C82114"/>
    <w:rsid w:val="00C87D14"/>
    <w:rsid w:val="00CA3618"/>
    <w:rsid w:val="00CB5ABF"/>
    <w:rsid w:val="00CC6F1D"/>
    <w:rsid w:val="00CD1CEE"/>
    <w:rsid w:val="00CD321D"/>
    <w:rsid w:val="00CE2229"/>
    <w:rsid w:val="00CE7468"/>
    <w:rsid w:val="00D02DCE"/>
    <w:rsid w:val="00D077C9"/>
    <w:rsid w:val="00D12EA8"/>
    <w:rsid w:val="00D23A44"/>
    <w:rsid w:val="00D33F93"/>
    <w:rsid w:val="00D35554"/>
    <w:rsid w:val="00D42A97"/>
    <w:rsid w:val="00D5148C"/>
    <w:rsid w:val="00D52917"/>
    <w:rsid w:val="00D52BD6"/>
    <w:rsid w:val="00D63945"/>
    <w:rsid w:val="00D63FA8"/>
    <w:rsid w:val="00D84107"/>
    <w:rsid w:val="00D86E70"/>
    <w:rsid w:val="00D927B4"/>
    <w:rsid w:val="00D93ACA"/>
    <w:rsid w:val="00DA44B8"/>
    <w:rsid w:val="00DC1E30"/>
    <w:rsid w:val="00DC3C30"/>
    <w:rsid w:val="00DC59D4"/>
    <w:rsid w:val="00DD0650"/>
    <w:rsid w:val="00DD1DB5"/>
    <w:rsid w:val="00DD2380"/>
    <w:rsid w:val="00DD7877"/>
    <w:rsid w:val="00DE5144"/>
    <w:rsid w:val="00DE5ED8"/>
    <w:rsid w:val="00DF0BF5"/>
    <w:rsid w:val="00E01CB1"/>
    <w:rsid w:val="00E11DD6"/>
    <w:rsid w:val="00E14D25"/>
    <w:rsid w:val="00E168CE"/>
    <w:rsid w:val="00E2017F"/>
    <w:rsid w:val="00E23E26"/>
    <w:rsid w:val="00E256FD"/>
    <w:rsid w:val="00E257F2"/>
    <w:rsid w:val="00E262D6"/>
    <w:rsid w:val="00E50E2B"/>
    <w:rsid w:val="00E53455"/>
    <w:rsid w:val="00E53893"/>
    <w:rsid w:val="00E552E5"/>
    <w:rsid w:val="00E566C2"/>
    <w:rsid w:val="00E56826"/>
    <w:rsid w:val="00E60743"/>
    <w:rsid w:val="00E621DC"/>
    <w:rsid w:val="00E63B2D"/>
    <w:rsid w:val="00E823A4"/>
    <w:rsid w:val="00E84D2C"/>
    <w:rsid w:val="00E95FA1"/>
    <w:rsid w:val="00E96224"/>
    <w:rsid w:val="00EA4D9B"/>
    <w:rsid w:val="00EA60F9"/>
    <w:rsid w:val="00EC1AA5"/>
    <w:rsid w:val="00EC2222"/>
    <w:rsid w:val="00ED40A1"/>
    <w:rsid w:val="00EE1CAA"/>
    <w:rsid w:val="00EE4688"/>
    <w:rsid w:val="00EE51F9"/>
    <w:rsid w:val="00EF0B19"/>
    <w:rsid w:val="00F02D05"/>
    <w:rsid w:val="00F0362D"/>
    <w:rsid w:val="00F04B99"/>
    <w:rsid w:val="00F16767"/>
    <w:rsid w:val="00F1748B"/>
    <w:rsid w:val="00F21C25"/>
    <w:rsid w:val="00F27651"/>
    <w:rsid w:val="00F30FF1"/>
    <w:rsid w:val="00F32F91"/>
    <w:rsid w:val="00F36D12"/>
    <w:rsid w:val="00F40899"/>
    <w:rsid w:val="00F5351A"/>
    <w:rsid w:val="00F64997"/>
    <w:rsid w:val="00F70C72"/>
    <w:rsid w:val="00F71AD1"/>
    <w:rsid w:val="00F751EB"/>
    <w:rsid w:val="00F76554"/>
    <w:rsid w:val="00F815CC"/>
    <w:rsid w:val="00F82555"/>
    <w:rsid w:val="00F90252"/>
    <w:rsid w:val="00F93948"/>
    <w:rsid w:val="00FA2D26"/>
    <w:rsid w:val="00FA476F"/>
    <w:rsid w:val="00FB73D9"/>
    <w:rsid w:val="00FC2E16"/>
    <w:rsid w:val="00FC52E8"/>
    <w:rsid w:val="00FE0C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EE1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5C"/>
    <w:pPr>
      <w:spacing w:after="0" w:line="240" w:lineRule="auto"/>
      <w:jc w:val="both"/>
    </w:pPr>
    <w:rPr>
      <w:rFonts w:ascii="Calibri" w:eastAsia="Times New Roman" w:hAnsi="Calibri" w:cs="Times New Roman"/>
      <w:sz w:val="24"/>
      <w:szCs w:val="24"/>
      <w:lang w:eastAsia="en-AU"/>
    </w:rPr>
  </w:style>
  <w:style w:type="paragraph" w:styleId="Heading2">
    <w:name w:val="heading 2"/>
    <w:basedOn w:val="Normal"/>
    <w:next w:val="Normal"/>
    <w:link w:val="Heading2Char"/>
    <w:uiPriority w:val="9"/>
    <w:semiHidden/>
    <w:unhideWhenUsed/>
    <w:qFormat/>
    <w:rsid w:val="008943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61732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ainHeading">
    <w:name w:val="1-Main Heading"/>
    <w:link w:val="1-MainHeadingChar"/>
    <w:qFormat/>
    <w:rsid w:val="008D3F58"/>
    <w:pPr>
      <w:keepNext/>
      <w:spacing w:before="120" w:line="240" w:lineRule="auto"/>
      <w:ind w:left="720" w:hanging="720"/>
      <w:outlineLvl w:val="0"/>
    </w:pPr>
    <w:rPr>
      <w:rFonts w:eastAsiaTheme="majorEastAsia" w:cstheme="majorBidi"/>
      <w:b/>
      <w:spacing w:val="5"/>
      <w:kern w:val="28"/>
      <w:sz w:val="36"/>
      <w:szCs w:val="36"/>
      <w:lang w:eastAsia="en-AU"/>
    </w:rPr>
  </w:style>
  <w:style w:type="character" w:customStyle="1" w:styleId="1-MainHeadingChar">
    <w:name w:val="1-Main Heading Char"/>
    <w:basedOn w:val="DefaultParagraphFont"/>
    <w:link w:val="1-MainHeading"/>
    <w:rsid w:val="008D3F58"/>
    <w:rPr>
      <w:rFonts w:eastAsiaTheme="majorEastAsia" w:cstheme="majorBidi"/>
      <w:b/>
      <w:spacing w:val="5"/>
      <w:kern w:val="28"/>
      <w:sz w:val="36"/>
      <w:szCs w:val="36"/>
      <w:lang w:eastAsia="en-AU"/>
    </w:rPr>
  </w:style>
  <w:style w:type="paragraph" w:customStyle="1" w:styleId="2-SectionHeading">
    <w:name w:val="2-Section Heading"/>
    <w:qFormat/>
    <w:rsid w:val="00396E49"/>
    <w:pPr>
      <w:keepNext/>
      <w:numPr>
        <w:numId w:val="1"/>
      </w:numPr>
      <w:spacing w:before="240" w:after="120" w:line="240" w:lineRule="auto"/>
      <w:outlineLvl w:val="0"/>
    </w:pPr>
    <w:rPr>
      <w:rFonts w:eastAsia="Times New Roman" w:cs="Arial"/>
      <w:b/>
      <w:snapToGrid w:val="0"/>
      <w:sz w:val="32"/>
      <w:szCs w:val="32"/>
      <w:lang w:eastAsia="en-AU"/>
    </w:rPr>
  </w:style>
  <w:style w:type="paragraph" w:customStyle="1" w:styleId="3-BodyText">
    <w:name w:val="3-Body Text"/>
    <w:link w:val="3-BodyTextChar"/>
    <w:qFormat/>
    <w:rsid w:val="00396E49"/>
    <w:pPr>
      <w:numPr>
        <w:ilvl w:val="1"/>
        <w:numId w:val="1"/>
      </w:numPr>
      <w:spacing w:after="120" w:line="240" w:lineRule="auto"/>
      <w:jc w:val="both"/>
    </w:pPr>
    <w:rPr>
      <w:sz w:val="24"/>
      <w:lang w:eastAsia="en-AU"/>
    </w:rPr>
  </w:style>
  <w:style w:type="character" w:customStyle="1" w:styleId="3-BodyTextChar">
    <w:name w:val="3-Body Text Char"/>
    <w:basedOn w:val="DefaultParagraphFont"/>
    <w:link w:val="3-BodyText"/>
    <w:rsid w:val="00396E49"/>
    <w:rPr>
      <w:sz w:val="24"/>
      <w:lang w:eastAsia="en-AU"/>
    </w:rPr>
  </w:style>
  <w:style w:type="paragraph" w:styleId="Header">
    <w:name w:val="header"/>
    <w:aliases w:val="Page Header,Header title,he=header,cntr/bld"/>
    <w:basedOn w:val="Normal"/>
    <w:link w:val="HeaderChar"/>
    <w:uiPriority w:val="99"/>
    <w:unhideWhenUsed/>
    <w:rsid w:val="001B615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B615C"/>
  </w:style>
  <w:style w:type="paragraph" w:styleId="Footer">
    <w:name w:val="footer"/>
    <w:basedOn w:val="Normal"/>
    <w:link w:val="FooterChar"/>
    <w:uiPriority w:val="99"/>
    <w:unhideWhenUsed/>
    <w:rsid w:val="001B615C"/>
    <w:pPr>
      <w:tabs>
        <w:tab w:val="center" w:pos="4513"/>
        <w:tab w:val="right" w:pos="9026"/>
      </w:tabs>
    </w:pPr>
  </w:style>
  <w:style w:type="character" w:customStyle="1" w:styleId="FooterChar">
    <w:name w:val="Footer Char"/>
    <w:basedOn w:val="DefaultParagraphFont"/>
    <w:link w:val="Footer"/>
    <w:uiPriority w:val="99"/>
    <w:rsid w:val="001B615C"/>
  </w:style>
  <w:style w:type="paragraph" w:customStyle="1" w:styleId="MinorOVRHeader">
    <w:name w:val="Minor OVR Header"/>
    <w:basedOn w:val="Header"/>
    <w:link w:val="MinorOVRHeaderChar"/>
    <w:rsid w:val="001B615C"/>
    <w:pPr>
      <w:keepNext/>
      <w:jc w:val="right"/>
    </w:pPr>
    <w:rPr>
      <w:rFonts w:cs="Arial"/>
    </w:rPr>
  </w:style>
  <w:style w:type="character" w:customStyle="1" w:styleId="MinorOVRHeaderChar">
    <w:name w:val="Minor OVR Header Char"/>
    <w:basedOn w:val="DefaultParagraphFont"/>
    <w:link w:val="MinorOVRHeader"/>
    <w:rsid w:val="001B615C"/>
    <w:rPr>
      <w:rFonts w:eastAsia="Times New Roman" w:cs="Arial"/>
      <w:sz w:val="24"/>
      <w:szCs w:val="24"/>
      <w:lang w:eastAsia="en-AU"/>
    </w:rPr>
  </w:style>
  <w:style w:type="paragraph" w:customStyle="1" w:styleId="TableText">
    <w:name w:val="Table Text"/>
    <w:link w:val="TableTextChar"/>
    <w:qFormat/>
    <w:rsid w:val="001B615C"/>
    <w:pPr>
      <w:keepNext/>
      <w:spacing w:after="0" w:line="240" w:lineRule="auto"/>
    </w:pPr>
    <w:rPr>
      <w:rFonts w:ascii="Arial Narrow" w:eastAsiaTheme="majorEastAsia" w:hAnsi="Arial Narrow" w:cstheme="majorBidi"/>
      <w:bCs/>
      <w:sz w:val="20"/>
      <w:szCs w:val="24"/>
      <w:lang w:eastAsia="en-AU"/>
    </w:rPr>
  </w:style>
  <w:style w:type="character" w:customStyle="1" w:styleId="TableTextChar">
    <w:name w:val="Table Text Char"/>
    <w:basedOn w:val="DefaultParagraphFont"/>
    <w:link w:val="TableText"/>
    <w:rsid w:val="001B615C"/>
    <w:rPr>
      <w:rFonts w:ascii="Arial Narrow" w:eastAsiaTheme="majorEastAsia" w:hAnsi="Arial Narrow" w:cstheme="majorBidi"/>
      <w:bCs/>
      <w:sz w:val="20"/>
      <w:szCs w:val="24"/>
      <w:lang w:eastAsia="en-AU"/>
    </w:rPr>
  </w:style>
  <w:style w:type="paragraph" w:customStyle="1" w:styleId="In-tableHeading">
    <w:name w:val="In-table Heading"/>
    <w:qFormat/>
    <w:rsid w:val="001B615C"/>
    <w:pPr>
      <w:keepNext/>
      <w:spacing w:after="0" w:line="240" w:lineRule="auto"/>
    </w:pPr>
    <w:rPr>
      <w:rFonts w:ascii="Arial Narrow" w:eastAsiaTheme="majorEastAsia" w:hAnsi="Arial Narrow" w:cs="Times New Roman"/>
      <w:b/>
      <w:sz w:val="20"/>
      <w:szCs w:val="24"/>
      <w:lang w:val="en-US" w:eastAsia="en-AU"/>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nhideWhenUsed/>
    <w:qFormat/>
    <w:rsid w:val="001B615C"/>
    <w:pPr>
      <w:spacing w:after="200"/>
    </w:pPr>
    <w:rPr>
      <w:i/>
      <w:iCs/>
      <w:color w:val="44546A" w:themeColor="text2"/>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qFormat/>
    <w:rsid w:val="001B615C"/>
    <w:rPr>
      <w:rFonts w:ascii="Calibri" w:eastAsia="Times New Roman" w:hAnsi="Calibri" w:cs="Times New Roman"/>
      <w:i/>
      <w:iCs/>
      <w:color w:val="44546A" w:themeColor="text2"/>
      <w:sz w:val="18"/>
      <w:szCs w:val="18"/>
      <w:lang w:eastAsia="en-AU"/>
    </w:rPr>
  </w:style>
  <w:style w:type="paragraph" w:customStyle="1" w:styleId="TableFigureFooter">
    <w:name w:val="Table/Figure Footer"/>
    <w:basedOn w:val="Normal"/>
    <w:link w:val="TableFigureFooterChar"/>
    <w:qFormat/>
    <w:rsid w:val="001B615C"/>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1B615C"/>
    <w:rPr>
      <w:rFonts w:ascii="Arial Narrow" w:eastAsia="Times New Roman" w:hAnsi="Arial Narrow" w:cs="Arial"/>
      <w:snapToGrid w:val="0"/>
      <w:sz w:val="18"/>
      <w:lang w:eastAsia="en-AU"/>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basedOn w:val="3-BodyText"/>
    <w:next w:val="ListBullet"/>
    <w:link w:val="ListParagraphChar"/>
    <w:uiPriority w:val="34"/>
    <w:qFormat/>
    <w:rsid w:val="00CC6F1D"/>
    <w:pPr>
      <w:numPr>
        <w:ilvl w:val="0"/>
        <w:numId w:val="4"/>
      </w:numPr>
      <w:ind w:left="1134"/>
    </w:p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CC6F1D"/>
    <w:rPr>
      <w:sz w:val="24"/>
      <w:lang w:eastAsia="en-AU"/>
    </w:rPr>
  </w:style>
  <w:style w:type="paragraph" w:styleId="ListBullet">
    <w:name w:val="List Bullet"/>
    <w:basedOn w:val="Normal"/>
    <w:uiPriority w:val="99"/>
    <w:semiHidden/>
    <w:unhideWhenUsed/>
    <w:rsid w:val="00D077C9"/>
    <w:pPr>
      <w:ind w:left="720" w:hanging="360"/>
      <w:contextualSpacing/>
    </w:pPr>
  </w:style>
  <w:style w:type="paragraph" w:customStyle="1" w:styleId="4-SubsectionHeading">
    <w:name w:val="4-Subsection Heading"/>
    <w:basedOn w:val="Heading2"/>
    <w:next w:val="3-BodyText"/>
    <w:link w:val="4-SubsectionHeadingChar"/>
    <w:qFormat/>
    <w:rsid w:val="00A36FBD"/>
    <w:pPr>
      <w:keepLines w:val="0"/>
      <w:spacing w:before="120" w:after="120"/>
    </w:pPr>
    <w:rPr>
      <w:rFonts w:asciiTheme="minorHAnsi" w:hAnsiTheme="minorHAnsi"/>
      <w:b/>
      <w:i/>
      <w:color w:val="auto"/>
      <w:spacing w:val="5"/>
      <w:kern w:val="28"/>
      <w:sz w:val="28"/>
      <w:szCs w:val="36"/>
    </w:rPr>
  </w:style>
  <w:style w:type="character" w:customStyle="1" w:styleId="4-SubsectionHeadingChar">
    <w:name w:val="4-Subsection Heading Char"/>
    <w:basedOn w:val="Heading2Char"/>
    <w:link w:val="4-SubsectionHeading"/>
    <w:rsid w:val="00A36FBD"/>
    <w:rPr>
      <w:rFonts w:asciiTheme="majorHAnsi" w:eastAsiaTheme="majorEastAsia" w:hAnsiTheme="majorHAnsi" w:cstheme="majorBidi"/>
      <w:b/>
      <w:i/>
      <w:color w:val="2F5496" w:themeColor="accent1" w:themeShade="BF"/>
      <w:spacing w:val="5"/>
      <w:kern w:val="28"/>
      <w:sz w:val="28"/>
      <w:szCs w:val="36"/>
      <w:lang w:eastAsia="en-AU"/>
    </w:rPr>
  </w:style>
  <w:style w:type="character" w:customStyle="1" w:styleId="Heading2Char">
    <w:name w:val="Heading 2 Char"/>
    <w:basedOn w:val="DefaultParagraphFont"/>
    <w:link w:val="Heading2"/>
    <w:uiPriority w:val="9"/>
    <w:semiHidden/>
    <w:rsid w:val="008943E9"/>
    <w:rPr>
      <w:rFonts w:asciiTheme="majorHAnsi" w:eastAsiaTheme="majorEastAsia" w:hAnsiTheme="majorHAnsi" w:cstheme="majorBidi"/>
      <w:color w:val="2F5496" w:themeColor="accent1" w:themeShade="BF"/>
      <w:sz w:val="26"/>
      <w:szCs w:val="26"/>
      <w:lang w:eastAsia="en-AU"/>
    </w:rPr>
  </w:style>
  <w:style w:type="character" w:styleId="CommentReference">
    <w:name w:val="annotation reference"/>
    <w:aliases w:val="Table Title,Table HEADER PBAC,-H18"/>
    <w:uiPriority w:val="99"/>
    <w:qFormat/>
    <w:rsid w:val="00A94012"/>
    <w:rPr>
      <w:rFonts w:ascii="Arial Narrow" w:hAnsi="Arial Narrow"/>
      <w:b/>
      <w:sz w:val="20"/>
      <w:szCs w:val="16"/>
    </w:rPr>
  </w:style>
  <w:style w:type="paragraph" w:customStyle="1" w:styleId="FooterTableFigure">
    <w:name w:val="Footer Table/Figure"/>
    <w:basedOn w:val="Normal"/>
    <w:link w:val="FooterTableFigureChar"/>
    <w:qFormat/>
    <w:rsid w:val="00A94012"/>
    <w:pPr>
      <w:spacing w:after="120"/>
      <w:contextualSpacing/>
    </w:pPr>
    <w:rPr>
      <w:rFonts w:ascii="Arial Narrow" w:eastAsia="SimSun" w:hAnsi="Arial Narrow" w:cs="Arial"/>
      <w:snapToGrid w:val="0"/>
      <w:sz w:val="18"/>
      <w:szCs w:val="22"/>
    </w:rPr>
  </w:style>
  <w:style w:type="character" w:customStyle="1" w:styleId="FooterTableFigureChar">
    <w:name w:val="Footer Table/Figure Char"/>
    <w:link w:val="FooterTableFigure"/>
    <w:rsid w:val="00A94012"/>
    <w:rPr>
      <w:rFonts w:ascii="Arial Narrow" w:eastAsia="SimSun" w:hAnsi="Arial Narrow" w:cs="Arial"/>
      <w:snapToGrid w:val="0"/>
      <w:sz w:val="18"/>
      <w:lang w:eastAsia="en-AU"/>
    </w:rPr>
  </w:style>
  <w:style w:type="paragraph" w:customStyle="1" w:styleId="Tablenormal0">
    <w:name w:val="Table normal"/>
    <w:basedOn w:val="Normal"/>
    <w:link w:val="TablenormalChar"/>
    <w:qFormat/>
    <w:rsid w:val="00A94012"/>
    <w:pPr>
      <w:widowControl w:val="0"/>
      <w:spacing w:before="40" w:after="40" w:line="259" w:lineRule="auto"/>
      <w:jc w:val="left"/>
    </w:pPr>
    <w:rPr>
      <w:rFonts w:asciiTheme="minorHAnsi" w:eastAsiaTheme="minorHAnsi" w:hAnsiTheme="minorHAnsi" w:cstheme="minorBidi"/>
      <w:sz w:val="18"/>
      <w:lang w:eastAsia="en-US"/>
    </w:rPr>
  </w:style>
  <w:style w:type="character" w:customStyle="1" w:styleId="TablenormalChar">
    <w:name w:val="Table normal Char"/>
    <w:basedOn w:val="DefaultParagraphFont"/>
    <w:link w:val="Tablenormal0"/>
    <w:rsid w:val="00A94012"/>
    <w:rPr>
      <w:sz w:val="18"/>
      <w:szCs w:val="24"/>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uiPriority w:val="99"/>
    <w:unhideWhenUsed/>
    <w:rsid w:val="005B20E3"/>
    <w:rPr>
      <w:sz w:val="20"/>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5B20E3"/>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B20E3"/>
    <w:rPr>
      <w:b/>
      <w:bCs/>
    </w:rPr>
  </w:style>
  <w:style w:type="character" w:customStyle="1" w:styleId="CommentSubjectChar">
    <w:name w:val="Comment Subject Char"/>
    <w:basedOn w:val="CommentTextChar"/>
    <w:link w:val="CommentSubject"/>
    <w:uiPriority w:val="99"/>
    <w:semiHidden/>
    <w:rsid w:val="005B20E3"/>
    <w:rPr>
      <w:rFonts w:ascii="Calibri" w:eastAsia="Times New Roman" w:hAnsi="Calibri" w:cs="Times New Roman"/>
      <w:b/>
      <w:bCs/>
      <w:sz w:val="20"/>
      <w:szCs w:val="20"/>
      <w:lang w:eastAsia="en-AU"/>
    </w:rPr>
  </w:style>
  <w:style w:type="paragraph" w:customStyle="1" w:styleId="TableBullet">
    <w:name w:val="Table Bullet"/>
    <w:basedOn w:val="TableText"/>
    <w:qFormat/>
    <w:rsid w:val="002332A6"/>
    <w:pPr>
      <w:keepNext w:val="0"/>
      <w:numPr>
        <w:numId w:val="5"/>
      </w:numPr>
      <w:spacing w:before="40" w:after="40" w:line="276" w:lineRule="auto"/>
      <w:ind w:left="357" w:hanging="357"/>
    </w:pPr>
    <w:rPr>
      <w:rFonts w:eastAsiaTheme="minorHAnsi" w:cstheme="minorBidi"/>
      <w:bCs w:val="0"/>
      <w:szCs w:val="22"/>
      <w:lang w:eastAsia="en-US"/>
    </w:rPr>
  </w:style>
  <w:style w:type="paragraph" w:styleId="FootnoteText">
    <w:name w:val="footnote text"/>
    <w:basedOn w:val="Normal"/>
    <w:link w:val="FootnoteTextChar"/>
    <w:uiPriority w:val="99"/>
    <w:semiHidden/>
    <w:unhideWhenUsed/>
    <w:rsid w:val="00982A12"/>
    <w:rPr>
      <w:sz w:val="20"/>
      <w:szCs w:val="20"/>
    </w:rPr>
  </w:style>
  <w:style w:type="character" w:customStyle="1" w:styleId="FootnoteTextChar">
    <w:name w:val="Footnote Text Char"/>
    <w:basedOn w:val="DefaultParagraphFont"/>
    <w:link w:val="FootnoteText"/>
    <w:uiPriority w:val="99"/>
    <w:semiHidden/>
    <w:rsid w:val="00982A12"/>
    <w:rPr>
      <w:rFonts w:ascii="Calibri" w:eastAsia="Times New Roman" w:hAnsi="Calibri" w:cs="Times New Roman"/>
      <w:sz w:val="20"/>
      <w:szCs w:val="20"/>
      <w:lang w:eastAsia="en-AU"/>
    </w:rPr>
  </w:style>
  <w:style w:type="character" w:styleId="FootnoteReference">
    <w:name w:val="footnote reference"/>
    <w:basedOn w:val="DefaultParagraphFont"/>
    <w:uiPriority w:val="99"/>
    <w:semiHidden/>
    <w:unhideWhenUsed/>
    <w:rsid w:val="00982A12"/>
    <w:rPr>
      <w:vertAlign w:val="superscript"/>
    </w:rPr>
  </w:style>
  <w:style w:type="table" w:styleId="TableGrid">
    <w:name w:val="Table Grid"/>
    <w:aliases w:val="Summary box,Table Gridbeth,CMA Table Template,ASD Table,Dossier table,Section 3- footnotes,Summary Table,MSD Table Grid,PBAC table,HTAtableplain,new style,RTI AMCP Table,Table Grid nm,PHE Table Grid,Lash Style Table"/>
    <w:basedOn w:val="TableNormal"/>
    <w:uiPriority w:val="39"/>
    <w:rsid w:val="00E01CB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61732C"/>
    <w:rPr>
      <w:rFonts w:asciiTheme="majorHAnsi" w:eastAsiaTheme="majorEastAsia" w:hAnsiTheme="majorHAnsi" w:cstheme="majorBidi"/>
      <w:i/>
      <w:iCs/>
      <w:color w:val="2F5496" w:themeColor="accent1" w:themeShade="BF"/>
      <w:sz w:val="24"/>
      <w:szCs w:val="24"/>
      <w:lang w:eastAsia="en-AU"/>
    </w:rPr>
  </w:style>
  <w:style w:type="paragraph" w:styleId="Revision">
    <w:name w:val="Revision"/>
    <w:hidden/>
    <w:uiPriority w:val="99"/>
    <w:semiHidden/>
    <w:rsid w:val="004065C6"/>
    <w:pPr>
      <w:spacing w:after="0" w:line="240" w:lineRule="auto"/>
    </w:pPr>
    <w:rPr>
      <w:rFonts w:ascii="Calibri" w:eastAsia="Times New Roman" w:hAnsi="Calibri" w:cs="Times New Roman"/>
      <w:sz w:val="24"/>
      <w:szCs w:val="24"/>
      <w:lang w:eastAsia="en-AU"/>
    </w:rPr>
  </w:style>
  <w:style w:type="paragraph" w:customStyle="1" w:styleId="pf0">
    <w:name w:val="pf0"/>
    <w:basedOn w:val="Normal"/>
    <w:rsid w:val="00B92A7C"/>
    <w:pPr>
      <w:spacing w:before="100" w:beforeAutospacing="1" w:after="100" w:afterAutospacing="1"/>
      <w:jc w:val="left"/>
    </w:pPr>
    <w:rPr>
      <w:rFonts w:ascii="Times New Roman" w:hAnsi="Times New Roman"/>
    </w:rPr>
  </w:style>
  <w:style w:type="character" w:customStyle="1" w:styleId="cf01">
    <w:name w:val="cf01"/>
    <w:basedOn w:val="DefaultParagraphFont"/>
    <w:rsid w:val="00B92A7C"/>
    <w:rPr>
      <w:rFonts w:ascii="Segoe UI" w:hAnsi="Segoe UI" w:cs="Segoe UI" w:hint="default"/>
      <w:sz w:val="18"/>
      <w:szCs w:val="18"/>
    </w:rPr>
  </w:style>
  <w:style w:type="paragraph" w:customStyle="1" w:styleId="5-SubsectionSubheading">
    <w:name w:val="5-Subsection Subheading"/>
    <w:next w:val="Normal"/>
    <w:link w:val="5-SubsectionSubheadingChar"/>
    <w:qFormat/>
    <w:rsid w:val="0063711E"/>
    <w:pPr>
      <w:spacing w:before="40" w:after="0" w:line="240" w:lineRule="auto"/>
      <w:outlineLvl w:val="2"/>
    </w:pPr>
    <w:rPr>
      <w:rFonts w:eastAsiaTheme="majorEastAsia" w:cstheme="majorBidi"/>
      <w:b/>
      <w:color w:val="000000" w:themeColor="text1"/>
      <w:sz w:val="24"/>
      <w:szCs w:val="24"/>
      <w:lang w:eastAsia="en-AU"/>
    </w:rPr>
  </w:style>
  <w:style w:type="character" w:customStyle="1" w:styleId="5-SubsectionSubheadingChar">
    <w:name w:val="5-Subsection Subheading Char"/>
    <w:basedOn w:val="DefaultParagraphFont"/>
    <w:link w:val="5-SubsectionSubheading"/>
    <w:rsid w:val="0063711E"/>
    <w:rPr>
      <w:rFonts w:eastAsiaTheme="majorEastAsia" w:cstheme="majorBidi"/>
      <w:b/>
      <w:color w:val="000000" w:themeColor="text1"/>
      <w:sz w:val="24"/>
      <w:szCs w:val="24"/>
      <w:lang w:eastAsia="en-AU"/>
    </w:rPr>
  </w:style>
  <w:style w:type="character" w:styleId="Hyperlink">
    <w:name w:val="Hyperlink"/>
    <w:uiPriority w:val="99"/>
    <w:rsid w:val="00DC59D4"/>
    <w:rPr>
      <w:color w:val="0000FF"/>
      <w:u w:val="single"/>
    </w:rPr>
  </w:style>
  <w:style w:type="paragraph" w:styleId="NoSpacing">
    <w:name w:val="No Spacing"/>
    <w:uiPriority w:val="1"/>
    <w:qFormat/>
    <w:rsid w:val="00DC59D4"/>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40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7763">
      <w:bodyDiv w:val="1"/>
      <w:marLeft w:val="0"/>
      <w:marRight w:val="0"/>
      <w:marTop w:val="0"/>
      <w:marBottom w:val="0"/>
      <w:divBdr>
        <w:top w:val="none" w:sz="0" w:space="0" w:color="auto"/>
        <w:left w:val="none" w:sz="0" w:space="0" w:color="auto"/>
        <w:bottom w:val="none" w:sz="0" w:space="0" w:color="auto"/>
        <w:right w:val="none" w:sz="0" w:space="0" w:color="auto"/>
      </w:divBdr>
    </w:div>
    <w:div w:id="240070799">
      <w:bodyDiv w:val="1"/>
      <w:marLeft w:val="0"/>
      <w:marRight w:val="0"/>
      <w:marTop w:val="0"/>
      <w:marBottom w:val="0"/>
      <w:divBdr>
        <w:top w:val="none" w:sz="0" w:space="0" w:color="auto"/>
        <w:left w:val="none" w:sz="0" w:space="0" w:color="auto"/>
        <w:bottom w:val="none" w:sz="0" w:space="0" w:color="auto"/>
        <w:right w:val="none" w:sz="0" w:space="0" w:color="auto"/>
      </w:divBdr>
    </w:div>
    <w:div w:id="501437521">
      <w:bodyDiv w:val="1"/>
      <w:marLeft w:val="0"/>
      <w:marRight w:val="0"/>
      <w:marTop w:val="0"/>
      <w:marBottom w:val="0"/>
      <w:divBdr>
        <w:top w:val="none" w:sz="0" w:space="0" w:color="auto"/>
        <w:left w:val="none" w:sz="0" w:space="0" w:color="auto"/>
        <w:bottom w:val="none" w:sz="0" w:space="0" w:color="auto"/>
        <w:right w:val="none" w:sz="0" w:space="0" w:color="auto"/>
      </w:divBdr>
    </w:div>
    <w:div w:id="530456882">
      <w:bodyDiv w:val="1"/>
      <w:marLeft w:val="0"/>
      <w:marRight w:val="0"/>
      <w:marTop w:val="0"/>
      <w:marBottom w:val="0"/>
      <w:divBdr>
        <w:top w:val="none" w:sz="0" w:space="0" w:color="auto"/>
        <w:left w:val="none" w:sz="0" w:space="0" w:color="auto"/>
        <w:bottom w:val="none" w:sz="0" w:space="0" w:color="auto"/>
        <w:right w:val="none" w:sz="0" w:space="0" w:color="auto"/>
      </w:divBdr>
    </w:div>
    <w:div w:id="537278815">
      <w:bodyDiv w:val="1"/>
      <w:marLeft w:val="0"/>
      <w:marRight w:val="0"/>
      <w:marTop w:val="0"/>
      <w:marBottom w:val="0"/>
      <w:divBdr>
        <w:top w:val="none" w:sz="0" w:space="0" w:color="auto"/>
        <w:left w:val="none" w:sz="0" w:space="0" w:color="auto"/>
        <w:bottom w:val="none" w:sz="0" w:space="0" w:color="auto"/>
        <w:right w:val="none" w:sz="0" w:space="0" w:color="auto"/>
      </w:divBdr>
    </w:div>
    <w:div w:id="648828877">
      <w:bodyDiv w:val="1"/>
      <w:marLeft w:val="0"/>
      <w:marRight w:val="0"/>
      <w:marTop w:val="0"/>
      <w:marBottom w:val="0"/>
      <w:divBdr>
        <w:top w:val="none" w:sz="0" w:space="0" w:color="auto"/>
        <w:left w:val="none" w:sz="0" w:space="0" w:color="auto"/>
        <w:bottom w:val="none" w:sz="0" w:space="0" w:color="auto"/>
        <w:right w:val="none" w:sz="0" w:space="0" w:color="auto"/>
      </w:divBdr>
    </w:div>
    <w:div w:id="819923324">
      <w:bodyDiv w:val="1"/>
      <w:marLeft w:val="0"/>
      <w:marRight w:val="0"/>
      <w:marTop w:val="0"/>
      <w:marBottom w:val="0"/>
      <w:divBdr>
        <w:top w:val="none" w:sz="0" w:space="0" w:color="auto"/>
        <w:left w:val="none" w:sz="0" w:space="0" w:color="auto"/>
        <w:bottom w:val="none" w:sz="0" w:space="0" w:color="auto"/>
        <w:right w:val="none" w:sz="0" w:space="0" w:color="auto"/>
      </w:divBdr>
    </w:div>
    <w:div w:id="868444908">
      <w:bodyDiv w:val="1"/>
      <w:marLeft w:val="0"/>
      <w:marRight w:val="0"/>
      <w:marTop w:val="0"/>
      <w:marBottom w:val="0"/>
      <w:divBdr>
        <w:top w:val="none" w:sz="0" w:space="0" w:color="auto"/>
        <w:left w:val="none" w:sz="0" w:space="0" w:color="auto"/>
        <w:bottom w:val="none" w:sz="0" w:space="0" w:color="auto"/>
        <w:right w:val="none" w:sz="0" w:space="0" w:color="auto"/>
      </w:divBdr>
    </w:div>
    <w:div w:id="1114013147">
      <w:bodyDiv w:val="1"/>
      <w:marLeft w:val="0"/>
      <w:marRight w:val="0"/>
      <w:marTop w:val="0"/>
      <w:marBottom w:val="0"/>
      <w:divBdr>
        <w:top w:val="none" w:sz="0" w:space="0" w:color="auto"/>
        <w:left w:val="none" w:sz="0" w:space="0" w:color="auto"/>
        <w:bottom w:val="none" w:sz="0" w:space="0" w:color="auto"/>
        <w:right w:val="none" w:sz="0" w:space="0" w:color="auto"/>
      </w:divBdr>
    </w:div>
    <w:div w:id="1165783970">
      <w:bodyDiv w:val="1"/>
      <w:marLeft w:val="0"/>
      <w:marRight w:val="0"/>
      <w:marTop w:val="0"/>
      <w:marBottom w:val="0"/>
      <w:divBdr>
        <w:top w:val="none" w:sz="0" w:space="0" w:color="auto"/>
        <w:left w:val="none" w:sz="0" w:space="0" w:color="auto"/>
        <w:bottom w:val="none" w:sz="0" w:space="0" w:color="auto"/>
        <w:right w:val="none" w:sz="0" w:space="0" w:color="auto"/>
      </w:divBdr>
    </w:div>
    <w:div w:id="1568614152">
      <w:bodyDiv w:val="1"/>
      <w:marLeft w:val="0"/>
      <w:marRight w:val="0"/>
      <w:marTop w:val="0"/>
      <w:marBottom w:val="0"/>
      <w:divBdr>
        <w:top w:val="none" w:sz="0" w:space="0" w:color="auto"/>
        <w:left w:val="none" w:sz="0" w:space="0" w:color="auto"/>
        <w:bottom w:val="none" w:sz="0" w:space="0" w:color="auto"/>
        <w:right w:val="none" w:sz="0" w:space="0" w:color="auto"/>
      </w:divBdr>
    </w:div>
    <w:div w:id="200200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E3A90-577B-4167-BDA4-D4FCFAAD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8124</Words>
  <Characters>46309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2024-02-28T06:23:00Z</dcterms:created>
  <dcterms:modified xsi:type="dcterms:W3CDTF">2024-02-28T06:25:00Z</dcterms:modified>
</cp:coreProperties>
</file>