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5D02D" w14:textId="59EB6065" w:rsidR="00E16CF3" w:rsidRPr="009E09F1" w:rsidRDefault="00046C4B" w:rsidP="00E16CF3">
      <w:pPr>
        <w:pStyle w:val="1-MainHeading"/>
      </w:pPr>
      <w:r w:rsidRPr="009E09F1">
        <w:t>6.10</w:t>
      </w:r>
      <w:r w:rsidR="001B2E90" w:rsidRPr="009E09F1">
        <w:t xml:space="preserve"> OXY</w:t>
      </w:r>
      <w:r w:rsidR="00224A0E" w:rsidRPr="009E09F1">
        <w:t>BUTYNIN</w:t>
      </w:r>
      <w:r w:rsidR="00A229E2" w:rsidRPr="009E09F1">
        <w:t>,</w:t>
      </w:r>
      <w:r w:rsidR="00E16CF3" w:rsidRPr="009E09F1">
        <w:br/>
        <w:t>Transdermal patches 36 mg, 8</w:t>
      </w:r>
      <w:r w:rsidR="00E16CF3" w:rsidRPr="009E09F1">
        <w:br/>
        <w:t>Oxytrol®,</w:t>
      </w:r>
      <w:r w:rsidR="00E16CF3" w:rsidRPr="009E09F1">
        <w:br/>
        <w:t>Theramex Australia Pty Ltd</w:t>
      </w:r>
    </w:p>
    <w:p w14:paraId="116DB5FE" w14:textId="4326E8FD" w:rsidR="00A229E2" w:rsidRPr="009E09F1" w:rsidRDefault="00A229E2" w:rsidP="00A229E2">
      <w:pPr>
        <w:pStyle w:val="2-SectionHeading"/>
        <w:rPr>
          <w:rFonts w:cstheme="minorHAnsi"/>
          <w:color w:val="FF0000"/>
        </w:rPr>
      </w:pPr>
      <w:r w:rsidRPr="009E09F1">
        <w:t xml:space="preserve">Purpose of Submission </w:t>
      </w:r>
    </w:p>
    <w:p w14:paraId="5577A477" w14:textId="5BFAEB1D" w:rsidR="00A229E2" w:rsidRPr="009E09F1" w:rsidRDefault="00A229E2" w:rsidP="002E3008">
      <w:pPr>
        <w:pStyle w:val="3-BodyText"/>
      </w:pPr>
      <w:r w:rsidRPr="009E09F1">
        <w:t xml:space="preserve">The Category </w:t>
      </w:r>
      <w:r w:rsidR="009871F8" w:rsidRPr="009E09F1">
        <w:t>4</w:t>
      </w:r>
      <w:r w:rsidRPr="009E09F1">
        <w:t xml:space="preserve"> submission</w:t>
      </w:r>
      <w:r w:rsidR="001D4237" w:rsidRPr="009E09F1">
        <w:t xml:space="preserve"> </w:t>
      </w:r>
      <w:r w:rsidRPr="009E09F1">
        <w:t>request</w:t>
      </w:r>
      <w:r w:rsidR="001D4237" w:rsidRPr="009E09F1">
        <w:t>ed</w:t>
      </w:r>
      <w:r w:rsidRPr="009E09F1">
        <w:t xml:space="preserve"> </w:t>
      </w:r>
      <w:r w:rsidR="00A545D7" w:rsidRPr="009E09F1">
        <w:t>oxybutynin 3.9 mg transdermal patch</w:t>
      </w:r>
      <w:r w:rsidR="00F21712" w:rsidRPr="009E09F1">
        <w:t xml:space="preserve"> (Oxytrol®</w:t>
      </w:r>
      <w:r w:rsidR="00A545D7" w:rsidRPr="009E09F1">
        <w:t>)</w:t>
      </w:r>
      <w:r w:rsidR="009312F8" w:rsidRPr="009E09F1">
        <w:t xml:space="preserve"> </w:t>
      </w:r>
      <w:r w:rsidRPr="009E09F1">
        <w:t>be considered as an exempt item under subsection 84AH of the</w:t>
      </w:r>
      <w:r w:rsidR="006729FA" w:rsidRPr="009E09F1">
        <w:t xml:space="preserve"> Act</w:t>
      </w:r>
      <w:r w:rsidRPr="009E09F1">
        <w:t>.</w:t>
      </w:r>
    </w:p>
    <w:p w14:paraId="69ED52A7" w14:textId="77777777" w:rsidR="00A229E2" w:rsidRPr="009E09F1" w:rsidRDefault="00A229E2" w:rsidP="00A229E2">
      <w:pPr>
        <w:pStyle w:val="2-SectionHeading"/>
      </w:pPr>
      <w:r w:rsidRPr="009E09F1">
        <w:t xml:space="preserve">Background </w:t>
      </w:r>
    </w:p>
    <w:p w14:paraId="120CC521" w14:textId="1B926CF8" w:rsidR="00A229E2" w:rsidRPr="009E09F1" w:rsidRDefault="00B942FA" w:rsidP="002E3008">
      <w:pPr>
        <w:pStyle w:val="3-BodyText"/>
      </w:pPr>
      <w:r w:rsidRPr="009E09F1">
        <w:t xml:space="preserve">Oxybutynin 3.9 mg transdermal patch </w:t>
      </w:r>
      <w:r w:rsidR="00A229E2" w:rsidRPr="009E09F1">
        <w:t xml:space="preserve">is listed on the PBS as </w:t>
      </w:r>
      <w:r w:rsidR="00EC223D" w:rsidRPr="009E09F1">
        <w:t>a</w:t>
      </w:r>
      <w:r w:rsidR="00A229E2" w:rsidRPr="009E09F1">
        <w:t xml:space="preserve"> </w:t>
      </w:r>
      <w:r w:rsidR="00C707B8" w:rsidRPr="009E09F1">
        <w:t xml:space="preserve">Restricted </w:t>
      </w:r>
      <w:r w:rsidR="001B13CF" w:rsidRPr="009E09F1">
        <w:t>Benefit listing</w:t>
      </w:r>
      <w:r w:rsidR="00A229E2" w:rsidRPr="009E09F1">
        <w:t xml:space="preserve"> for</w:t>
      </w:r>
      <w:r w:rsidR="001B13CF" w:rsidRPr="009E09F1">
        <w:t xml:space="preserve"> detrusor overactivity in patients unable to tolerate or swallow oral oxybutynin.</w:t>
      </w:r>
    </w:p>
    <w:p w14:paraId="2696A136" w14:textId="77777777" w:rsidR="00A229E2" w:rsidRPr="009E09F1" w:rsidRDefault="00A229E2" w:rsidP="00646376">
      <w:pPr>
        <w:pStyle w:val="4-SubsectionHeading"/>
      </w:pPr>
      <w:r w:rsidRPr="009E09F1">
        <w:t>Registration status</w:t>
      </w:r>
    </w:p>
    <w:p w14:paraId="061B8C58" w14:textId="604EE84C" w:rsidR="00A229E2" w:rsidRPr="009E09F1" w:rsidRDefault="00AB5C7B" w:rsidP="002E3008">
      <w:pPr>
        <w:pStyle w:val="3-BodyText"/>
      </w:pPr>
      <w:r w:rsidRPr="009E09F1">
        <w:t>Ox</w:t>
      </w:r>
      <w:r w:rsidR="00D27542" w:rsidRPr="009E09F1">
        <w:t>ybutynin 3.9 mg transdermal patch</w:t>
      </w:r>
      <w:r w:rsidR="00E66E74" w:rsidRPr="009E09F1">
        <w:t>,</w:t>
      </w:r>
      <w:r w:rsidR="00D27542" w:rsidRPr="009E09F1">
        <w:t xml:space="preserve"> </w:t>
      </w:r>
      <w:r w:rsidR="00E66E74" w:rsidRPr="009E09F1">
        <w:t xml:space="preserve">under the brand name Oxytrol, </w:t>
      </w:r>
      <w:r w:rsidR="00DD79E6" w:rsidRPr="009E09F1">
        <w:t xml:space="preserve">was first </w:t>
      </w:r>
      <w:r w:rsidR="00EC223D" w:rsidRPr="009E09F1">
        <w:t>registered</w:t>
      </w:r>
      <w:r w:rsidR="00DD79E6" w:rsidRPr="009E09F1">
        <w:t xml:space="preserve"> </w:t>
      </w:r>
      <w:r w:rsidR="00EC223D" w:rsidRPr="009E09F1">
        <w:t xml:space="preserve">by the TGA </w:t>
      </w:r>
      <w:r w:rsidR="00EB1814" w:rsidRPr="009E09F1">
        <w:t>on 10</w:t>
      </w:r>
      <w:r w:rsidR="00690716" w:rsidRPr="009E09F1">
        <w:t xml:space="preserve"> May 2007 for </w:t>
      </w:r>
      <w:r w:rsidR="00A6574F" w:rsidRPr="009E09F1">
        <w:t>the treatment of overactive bladder with symptoms of urinary frequency, urgency or incontinence or any combination of these symptoms</w:t>
      </w:r>
      <w:r w:rsidR="001F6FF4" w:rsidRPr="009E09F1">
        <w:t>.</w:t>
      </w:r>
    </w:p>
    <w:p w14:paraId="69E3C31D" w14:textId="2695DC3F" w:rsidR="00A229E2" w:rsidRPr="009E09F1" w:rsidRDefault="00A229E2" w:rsidP="00A229E2">
      <w:pPr>
        <w:pStyle w:val="4-SubsectionHeading"/>
      </w:pPr>
      <w:r w:rsidRPr="009E09F1">
        <w:t>Previous PBAC consideration</w:t>
      </w:r>
    </w:p>
    <w:p w14:paraId="17A0264E" w14:textId="686D2E99" w:rsidR="00646376" w:rsidRPr="009E09F1" w:rsidRDefault="0005698F" w:rsidP="00646376">
      <w:pPr>
        <w:pStyle w:val="3-BodyText"/>
      </w:pPr>
      <w:r w:rsidRPr="009E09F1">
        <w:t>There have been n</w:t>
      </w:r>
      <w:r w:rsidR="00646376" w:rsidRPr="009E09F1">
        <w:t>o previous submission</w:t>
      </w:r>
      <w:r w:rsidRPr="009E09F1">
        <w:t>s for this type of request</w:t>
      </w:r>
      <w:r w:rsidR="00E66E74" w:rsidRPr="009E09F1">
        <w:t xml:space="preserve"> in relation to oxybutynin 3.9 mg transdermal patch</w:t>
      </w:r>
      <w:r w:rsidR="00545B7A" w:rsidRPr="009E09F1">
        <w:t>es</w:t>
      </w:r>
      <w:r w:rsidR="00646376" w:rsidRPr="009E09F1">
        <w:t>.</w:t>
      </w:r>
    </w:p>
    <w:p w14:paraId="18B8E5E9" w14:textId="5B9049F2" w:rsidR="001357B0" w:rsidRPr="009E09F1" w:rsidRDefault="001357B0" w:rsidP="002E3008">
      <w:pPr>
        <w:pStyle w:val="2-SectionHeading"/>
        <w:rPr>
          <w:color w:val="FF0000"/>
        </w:rPr>
      </w:pPr>
      <w:r w:rsidRPr="009E09F1">
        <w:t>Consideration of</w:t>
      </w:r>
      <w:r w:rsidR="005E2270" w:rsidRPr="009E09F1">
        <w:t xml:space="preserve"> the evidence</w:t>
      </w:r>
    </w:p>
    <w:p w14:paraId="2AD07182" w14:textId="304E3141" w:rsidR="00D15E09" w:rsidRPr="009E09F1" w:rsidRDefault="00D15E09" w:rsidP="00D15E09">
      <w:pPr>
        <w:pStyle w:val="4-SubsectionHeading"/>
      </w:pPr>
      <w:r w:rsidRPr="009E09F1">
        <w:t>Sponsor hearing</w:t>
      </w:r>
    </w:p>
    <w:p w14:paraId="42C4498E" w14:textId="6B7A2105" w:rsidR="00D15E09" w:rsidRPr="009E09F1" w:rsidRDefault="00D15E09" w:rsidP="00D15E09">
      <w:pPr>
        <w:pStyle w:val="3-BodyText"/>
        <w:rPr>
          <w:lang w:eastAsia="en-AU"/>
        </w:rPr>
      </w:pPr>
      <w:r w:rsidRPr="009E09F1">
        <w:rPr>
          <w:lang w:eastAsia="en-AU"/>
        </w:rPr>
        <w:t>There was no hearing for this item.</w:t>
      </w:r>
    </w:p>
    <w:p w14:paraId="58882321" w14:textId="77777777" w:rsidR="00D15E09" w:rsidRPr="009E09F1" w:rsidRDefault="00D15E09" w:rsidP="00D15E09">
      <w:pPr>
        <w:pStyle w:val="4-SubsectionHeading"/>
      </w:pPr>
      <w:r w:rsidRPr="009E09F1">
        <w:t>Consumer comments</w:t>
      </w:r>
    </w:p>
    <w:p w14:paraId="4971B8EE" w14:textId="37A2986A" w:rsidR="00D15E09" w:rsidRPr="009E09F1" w:rsidRDefault="00D15E09" w:rsidP="00D15E09">
      <w:pPr>
        <w:pStyle w:val="3-BodyText"/>
      </w:pPr>
      <w:r w:rsidRPr="009E09F1">
        <w:t>The PBAC noted that no consumer comments were received for this item.</w:t>
      </w:r>
    </w:p>
    <w:p w14:paraId="73BDFB9D" w14:textId="36071EAD" w:rsidR="00D15E09" w:rsidRPr="009E09F1" w:rsidRDefault="00D15E09" w:rsidP="00D15E09">
      <w:pPr>
        <w:pStyle w:val="4-SubsectionHeading"/>
      </w:pPr>
      <w:r w:rsidRPr="009E09F1">
        <w:t>Exempt status claim</w:t>
      </w:r>
    </w:p>
    <w:p w14:paraId="0858C934" w14:textId="7452CBA2" w:rsidR="001357B0" w:rsidRPr="009E09F1" w:rsidRDefault="001357B0" w:rsidP="001357B0">
      <w:pPr>
        <w:pStyle w:val="3-BodyText"/>
        <w:numPr>
          <w:ilvl w:val="1"/>
          <w:numId w:val="2"/>
        </w:numPr>
        <w:rPr>
          <w:rFonts w:cstheme="minorHAnsi"/>
        </w:rPr>
      </w:pPr>
      <w:r w:rsidRPr="009E09F1">
        <w:rPr>
          <w:rFonts w:cstheme="minorHAnsi"/>
        </w:rPr>
        <w:t xml:space="preserve">The submission requested </w:t>
      </w:r>
      <w:r w:rsidRPr="009E09F1">
        <w:t xml:space="preserve">oxybutynin 3.9 mg transdermal patch </w:t>
      </w:r>
      <w:r w:rsidRPr="009E09F1">
        <w:rPr>
          <w:rFonts w:cstheme="minorHAnsi"/>
        </w:rPr>
        <w:t xml:space="preserve">be determined as an ‘exempt item’ under </w:t>
      </w:r>
      <w:r w:rsidR="006729FA" w:rsidRPr="009E09F1">
        <w:rPr>
          <w:rFonts w:cstheme="minorHAnsi"/>
        </w:rPr>
        <w:t>subs</w:t>
      </w:r>
      <w:r w:rsidRPr="009E09F1">
        <w:rPr>
          <w:rFonts w:cstheme="minorHAnsi"/>
        </w:rPr>
        <w:t>ection 84AH</w:t>
      </w:r>
      <w:r w:rsidRPr="009E09F1">
        <w:rPr>
          <w:sz w:val="22"/>
        </w:rPr>
        <w:t xml:space="preserve"> </w:t>
      </w:r>
      <w:r w:rsidRPr="009E09F1">
        <w:rPr>
          <w:rFonts w:cstheme="minorHAnsi"/>
        </w:rPr>
        <w:t xml:space="preserve">of the Act. </w:t>
      </w:r>
      <w:r w:rsidR="00F070E5" w:rsidRPr="009E09F1">
        <w:rPr>
          <w:rFonts w:cstheme="minorHAnsi"/>
        </w:rPr>
        <w:t>Subs</w:t>
      </w:r>
      <w:r w:rsidRPr="009E09F1">
        <w:rPr>
          <w:rFonts w:cstheme="minorHAnsi"/>
        </w:rPr>
        <w:t>ection 84AH of the Act provides that the Minister may, by legislative instrument, determine a pharmaceutical item to be an exempt item if:</w:t>
      </w:r>
    </w:p>
    <w:p w14:paraId="512B9426" w14:textId="77777777" w:rsidR="001357B0" w:rsidRPr="009E09F1" w:rsidRDefault="001357B0" w:rsidP="001357B0">
      <w:pPr>
        <w:numPr>
          <w:ilvl w:val="0"/>
          <w:numId w:val="16"/>
        </w:numPr>
        <w:spacing w:after="120"/>
        <w:rPr>
          <w:rFonts w:asciiTheme="minorHAnsi" w:hAnsiTheme="minorHAnsi" w:cstheme="minorHAnsi"/>
          <w:snapToGrid w:val="0"/>
        </w:rPr>
      </w:pPr>
      <w:r w:rsidRPr="009E09F1">
        <w:rPr>
          <w:rFonts w:asciiTheme="minorHAnsi" w:hAnsiTheme="minorHAnsi" w:cstheme="minorHAnsi"/>
        </w:rPr>
        <w:t>there is only one listed brand of the relevant item; and</w:t>
      </w:r>
    </w:p>
    <w:p w14:paraId="0FDF61DB" w14:textId="77777777" w:rsidR="001357B0" w:rsidRPr="009E09F1" w:rsidRDefault="001357B0" w:rsidP="001357B0">
      <w:pPr>
        <w:numPr>
          <w:ilvl w:val="0"/>
          <w:numId w:val="16"/>
        </w:numPr>
        <w:spacing w:after="120"/>
        <w:ind w:hanging="357"/>
        <w:rPr>
          <w:rFonts w:asciiTheme="minorHAnsi" w:hAnsiTheme="minorHAnsi" w:cstheme="minorHAnsi"/>
        </w:rPr>
      </w:pPr>
      <w:r w:rsidRPr="009E09F1">
        <w:rPr>
          <w:rFonts w:asciiTheme="minorHAnsi" w:hAnsiTheme="minorHAnsi" w:cstheme="minorHAnsi"/>
        </w:rPr>
        <w:t>there are no listed brands of other pharmaceutical items that are bioequivalent or biosimilar to the listed brand of the relevant item; and</w:t>
      </w:r>
    </w:p>
    <w:p w14:paraId="07B9BF31" w14:textId="77777777" w:rsidR="001357B0" w:rsidRPr="009E09F1" w:rsidRDefault="001357B0" w:rsidP="001357B0">
      <w:pPr>
        <w:numPr>
          <w:ilvl w:val="0"/>
          <w:numId w:val="16"/>
        </w:numPr>
        <w:spacing w:after="120"/>
        <w:ind w:hanging="357"/>
        <w:rPr>
          <w:rFonts w:asciiTheme="minorHAnsi" w:hAnsiTheme="minorHAnsi" w:cstheme="minorHAnsi"/>
        </w:rPr>
      </w:pPr>
      <w:r w:rsidRPr="009E09F1">
        <w:rPr>
          <w:rFonts w:asciiTheme="minorHAnsi" w:hAnsiTheme="minorHAnsi" w:cstheme="minorHAnsi"/>
        </w:rPr>
        <w:lastRenderedPageBreak/>
        <w:t>the relevant item and at least one listed brand of another pharmaceutical item have the same drug; and</w:t>
      </w:r>
    </w:p>
    <w:p w14:paraId="7BE869DA" w14:textId="77777777" w:rsidR="001357B0" w:rsidRPr="009E09F1" w:rsidRDefault="001357B0" w:rsidP="001357B0">
      <w:pPr>
        <w:numPr>
          <w:ilvl w:val="0"/>
          <w:numId w:val="16"/>
        </w:numPr>
        <w:spacing w:after="120"/>
        <w:ind w:hanging="357"/>
        <w:rPr>
          <w:rFonts w:asciiTheme="minorHAnsi" w:hAnsiTheme="minorHAnsi" w:cstheme="minorHAnsi"/>
        </w:rPr>
      </w:pPr>
      <w:r w:rsidRPr="009E09F1">
        <w:rPr>
          <w:rFonts w:asciiTheme="minorHAnsi" w:hAnsiTheme="minorHAnsi" w:cstheme="minorHAnsi"/>
        </w:rPr>
        <w:t>the Minister is satisfied, having regard to advice (if any) given to the Minister by the Pharmaceutical Benefits Advisory Committee (whether before or after the commencement of this section), that:</w:t>
      </w:r>
    </w:p>
    <w:p w14:paraId="1E31D319" w14:textId="77777777" w:rsidR="001357B0" w:rsidRPr="009E09F1" w:rsidRDefault="001357B0" w:rsidP="001357B0">
      <w:pPr>
        <w:numPr>
          <w:ilvl w:val="1"/>
          <w:numId w:val="16"/>
        </w:numPr>
        <w:spacing w:after="120"/>
        <w:ind w:hanging="357"/>
        <w:rPr>
          <w:rFonts w:asciiTheme="minorHAnsi" w:hAnsiTheme="minorHAnsi" w:cstheme="minorHAnsi"/>
        </w:rPr>
      </w:pPr>
      <w:r w:rsidRPr="009E09F1">
        <w:rPr>
          <w:rFonts w:asciiTheme="minorHAnsi" w:hAnsiTheme="minorHAnsi" w:cstheme="minorHAnsi"/>
        </w:rPr>
        <w:t>the listed drug in the relevant item represents suitable therapy for a particular patient population; and</w:t>
      </w:r>
    </w:p>
    <w:p w14:paraId="787C2625" w14:textId="77777777" w:rsidR="001357B0" w:rsidRPr="009E09F1" w:rsidRDefault="001357B0" w:rsidP="001357B0">
      <w:pPr>
        <w:numPr>
          <w:ilvl w:val="1"/>
          <w:numId w:val="16"/>
        </w:numPr>
        <w:spacing w:after="120"/>
        <w:ind w:hanging="357"/>
        <w:rPr>
          <w:rFonts w:asciiTheme="minorHAnsi" w:hAnsiTheme="minorHAnsi" w:cstheme="minorHAnsi"/>
        </w:rPr>
      </w:pPr>
      <w:r w:rsidRPr="009E09F1">
        <w:rPr>
          <w:rFonts w:asciiTheme="minorHAnsi" w:hAnsiTheme="minorHAnsi" w:cstheme="minorHAnsi"/>
        </w:rPr>
        <w:t>the relevant item is suitable for use by a particular subgroup of that population because of either or both of the form and manner of administration of the drug in the item; and</w:t>
      </w:r>
    </w:p>
    <w:p w14:paraId="4DD03EE5" w14:textId="77777777" w:rsidR="001357B0" w:rsidRPr="009E09F1" w:rsidRDefault="001357B0" w:rsidP="001357B0">
      <w:pPr>
        <w:numPr>
          <w:ilvl w:val="1"/>
          <w:numId w:val="16"/>
        </w:numPr>
        <w:spacing w:after="120"/>
        <w:ind w:hanging="357"/>
        <w:rPr>
          <w:rFonts w:asciiTheme="minorHAnsi" w:hAnsiTheme="minorHAnsi" w:cstheme="minorHAnsi"/>
        </w:rPr>
      </w:pPr>
      <w:r w:rsidRPr="009E09F1">
        <w:rPr>
          <w:rFonts w:asciiTheme="minorHAnsi" w:hAnsiTheme="minorHAnsi" w:cstheme="minorHAnsi"/>
        </w:rPr>
        <w:t>no other pharmaceutical item that has that drug is suitable for use by that subgroup because of either or both of the form and manner of administration of the drug in that other item.</w:t>
      </w:r>
    </w:p>
    <w:p w14:paraId="4909AEEF" w14:textId="4D2855D2" w:rsidR="001357B0" w:rsidRPr="009E09F1" w:rsidRDefault="001357B0" w:rsidP="00E57E60">
      <w:pPr>
        <w:pStyle w:val="3-BodyText"/>
      </w:pPr>
      <w:r w:rsidRPr="009E09F1">
        <w:t>T</w:t>
      </w:r>
      <w:r w:rsidR="00E57E60" w:rsidRPr="009E09F1">
        <w:t>he table below shows the submission’s rationale.</w:t>
      </w:r>
    </w:p>
    <w:p w14:paraId="241E754C" w14:textId="1C0A88BD" w:rsidR="00E57E60" w:rsidRPr="009E09F1" w:rsidRDefault="00E57E60" w:rsidP="002E3008">
      <w:pPr>
        <w:pStyle w:val="TableFigureHeading"/>
      </w:pPr>
      <w:r w:rsidRPr="009E09F1">
        <w:t xml:space="preserve">Table 1: Submission rationale for </w:t>
      </w:r>
      <w:r w:rsidR="00E25490" w:rsidRPr="009E09F1">
        <w:t>exempt item eligibility</w:t>
      </w:r>
    </w:p>
    <w:tbl>
      <w:tblPr>
        <w:tblStyle w:val="TableGrid"/>
        <w:tblW w:w="9351" w:type="dxa"/>
        <w:tblLook w:val="04A0" w:firstRow="1" w:lastRow="0" w:firstColumn="1" w:lastColumn="0" w:noHBand="0" w:noVBand="1"/>
        <w:tblCaption w:val="Table 1: Submission rationale for exempt item eligibility"/>
      </w:tblPr>
      <w:tblGrid>
        <w:gridCol w:w="4531"/>
        <w:gridCol w:w="4820"/>
      </w:tblGrid>
      <w:tr w:rsidR="001357B0" w:rsidRPr="009E09F1" w14:paraId="42EB2B14" w14:textId="77777777" w:rsidTr="00E905F3">
        <w:tc>
          <w:tcPr>
            <w:tcW w:w="4531" w:type="dxa"/>
            <w:shd w:val="clear" w:color="auto" w:fill="F2F2F2" w:themeFill="background1" w:themeFillShade="F2"/>
          </w:tcPr>
          <w:p w14:paraId="1388D534" w14:textId="77777777" w:rsidR="001357B0" w:rsidRPr="007547CF" w:rsidRDefault="001357B0" w:rsidP="00541D8B">
            <w:pPr>
              <w:pStyle w:val="In-tableHeading"/>
              <w:rPr>
                <w:lang w:val="en-AU"/>
              </w:rPr>
            </w:pPr>
            <w:r w:rsidRPr="007547CF">
              <w:rPr>
                <w:lang w:val="en-AU"/>
              </w:rPr>
              <w:t>Section 84AH Criteria</w:t>
            </w:r>
          </w:p>
        </w:tc>
        <w:tc>
          <w:tcPr>
            <w:tcW w:w="4820" w:type="dxa"/>
            <w:shd w:val="clear" w:color="auto" w:fill="F2F2F2" w:themeFill="background1" w:themeFillShade="F2"/>
          </w:tcPr>
          <w:p w14:paraId="0367DF38" w14:textId="77777777" w:rsidR="001357B0" w:rsidRPr="007547CF" w:rsidRDefault="001357B0" w:rsidP="00541D8B">
            <w:pPr>
              <w:pStyle w:val="In-tableHeading"/>
              <w:rPr>
                <w:lang w:val="en-AU"/>
              </w:rPr>
            </w:pPr>
            <w:r w:rsidRPr="007547CF">
              <w:rPr>
                <w:lang w:val="en-AU"/>
              </w:rPr>
              <w:t>Oxytrol (PBS item 9454N)</w:t>
            </w:r>
          </w:p>
        </w:tc>
      </w:tr>
      <w:tr w:rsidR="001357B0" w:rsidRPr="009E09F1" w14:paraId="107ECDB5" w14:textId="77777777" w:rsidTr="00E905F3">
        <w:tc>
          <w:tcPr>
            <w:tcW w:w="4531" w:type="dxa"/>
          </w:tcPr>
          <w:p w14:paraId="52E07FE5" w14:textId="77777777" w:rsidR="001357B0" w:rsidRPr="009E09F1" w:rsidRDefault="001357B0" w:rsidP="00E905F3">
            <w:pPr>
              <w:pStyle w:val="ListParagraph"/>
              <w:numPr>
                <w:ilvl w:val="0"/>
                <w:numId w:val="27"/>
              </w:numPr>
              <w:spacing w:before="40" w:after="0"/>
              <w:ind w:right="113"/>
              <w:contextualSpacing/>
              <w:rPr>
                <w:rFonts w:ascii="Arial Narrow" w:hAnsi="Arial Narrow"/>
                <w:sz w:val="20"/>
                <w:szCs w:val="20"/>
              </w:rPr>
            </w:pPr>
            <w:r w:rsidRPr="009E09F1">
              <w:rPr>
                <w:rFonts w:ascii="Arial Narrow" w:hAnsi="Arial Narrow" w:cs="Calibri"/>
                <w:sz w:val="20"/>
                <w:szCs w:val="20"/>
              </w:rPr>
              <w:t>there is only one listed brand of the relevant item; and</w:t>
            </w:r>
          </w:p>
        </w:tc>
        <w:tc>
          <w:tcPr>
            <w:tcW w:w="4820" w:type="dxa"/>
          </w:tcPr>
          <w:p w14:paraId="09976809" w14:textId="0F41398E" w:rsidR="001357B0" w:rsidRPr="009E09F1" w:rsidRDefault="001357B0" w:rsidP="00541D8B">
            <w:pPr>
              <w:pStyle w:val="TableText0"/>
            </w:pPr>
            <w:r w:rsidRPr="009E09F1">
              <w:t>There are no other listed brands delivering oxybutynin via a transdermal patch formulation</w:t>
            </w:r>
            <w:r w:rsidR="00D70F10" w:rsidRPr="009E09F1">
              <w:t>.</w:t>
            </w:r>
          </w:p>
        </w:tc>
      </w:tr>
      <w:tr w:rsidR="001357B0" w:rsidRPr="009E09F1" w14:paraId="56442858" w14:textId="77777777" w:rsidTr="00E905F3">
        <w:tc>
          <w:tcPr>
            <w:tcW w:w="4531" w:type="dxa"/>
          </w:tcPr>
          <w:p w14:paraId="6BA64136" w14:textId="77777777" w:rsidR="001357B0" w:rsidRPr="009E09F1" w:rsidRDefault="001357B0" w:rsidP="00E905F3">
            <w:pPr>
              <w:pStyle w:val="ListParagraph"/>
              <w:numPr>
                <w:ilvl w:val="0"/>
                <w:numId w:val="27"/>
              </w:numPr>
              <w:spacing w:before="20" w:after="0"/>
              <w:ind w:right="113"/>
              <w:contextualSpacing/>
              <w:jc w:val="both"/>
              <w:rPr>
                <w:rFonts w:ascii="Arial Narrow" w:hAnsi="Arial Narrow"/>
                <w:sz w:val="20"/>
                <w:szCs w:val="20"/>
              </w:rPr>
            </w:pPr>
            <w:r w:rsidRPr="009E09F1">
              <w:rPr>
                <w:rFonts w:ascii="Arial Narrow" w:hAnsi="Arial Narrow" w:cs="Calibri"/>
                <w:sz w:val="20"/>
                <w:szCs w:val="20"/>
              </w:rPr>
              <w:t>there are no listed brands of other pharmaceutical items that are bioequivalent or biosimilar to the listed brand of the relevant item; and</w:t>
            </w:r>
          </w:p>
        </w:tc>
        <w:tc>
          <w:tcPr>
            <w:tcW w:w="4820" w:type="dxa"/>
          </w:tcPr>
          <w:p w14:paraId="6420B81D" w14:textId="623BFEE3" w:rsidR="001357B0" w:rsidRPr="009E09F1" w:rsidRDefault="001357B0" w:rsidP="00541D8B">
            <w:pPr>
              <w:pStyle w:val="TableText0"/>
              <w:rPr>
                <w:i/>
                <w:iCs/>
              </w:rPr>
            </w:pPr>
            <w:r w:rsidRPr="009E09F1">
              <w:t>Oxytrol is not ‘a’ flagged to any other PBS listed brands</w:t>
            </w:r>
            <w:r w:rsidR="0061592A" w:rsidRPr="009E09F1">
              <w:t xml:space="preserve">. </w:t>
            </w:r>
            <w:r w:rsidR="002A127E" w:rsidRPr="009E09F1">
              <w:rPr>
                <w:iCs/>
              </w:rPr>
              <w:t>Ditropan</w:t>
            </w:r>
            <w:r w:rsidR="00121A7E" w:rsidRPr="009E09F1">
              <w:rPr>
                <w:iCs/>
                <w:vertAlign w:val="superscript"/>
              </w:rPr>
              <w:t>®</w:t>
            </w:r>
            <w:r w:rsidR="002A127E" w:rsidRPr="009E09F1">
              <w:rPr>
                <w:iCs/>
              </w:rPr>
              <w:t xml:space="preserve"> is the only other listed oxybutynin product</w:t>
            </w:r>
            <w:r w:rsidR="005315D4" w:rsidRPr="009E09F1">
              <w:rPr>
                <w:iCs/>
              </w:rPr>
              <w:t>. It is a tablet and is not bioequivalent or ‘a’-flagged to the patch.</w:t>
            </w:r>
          </w:p>
        </w:tc>
      </w:tr>
      <w:tr w:rsidR="001357B0" w:rsidRPr="009E09F1" w14:paraId="61F9C094" w14:textId="77777777" w:rsidTr="00E905F3">
        <w:tc>
          <w:tcPr>
            <w:tcW w:w="4531" w:type="dxa"/>
          </w:tcPr>
          <w:p w14:paraId="0FCCA2D2" w14:textId="77777777" w:rsidR="001357B0" w:rsidRPr="009E09F1" w:rsidRDefault="001357B0" w:rsidP="00E905F3">
            <w:pPr>
              <w:pStyle w:val="ListParagraph"/>
              <w:numPr>
                <w:ilvl w:val="0"/>
                <w:numId w:val="28"/>
              </w:numPr>
              <w:spacing w:before="20" w:after="20"/>
              <w:ind w:right="113"/>
              <w:contextualSpacing/>
              <w:jc w:val="both"/>
              <w:rPr>
                <w:rFonts w:ascii="Arial Narrow" w:hAnsi="Arial Narrow"/>
                <w:sz w:val="20"/>
                <w:szCs w:val="20"/>
              </w:rPr>
            </w:pPr>
            <w:r w:rsidRPr="009E09F1">
              <w:rPr>
                <w:rFonts w:ascii="Arial Narrow" w:hAnsi="Arial Narrow" w:cs="Calibri"/>
                <w:sz w:val="20"/>
                <w:szCs w:val="20"/>
              </w:rPr>
              <w:t>the relevant item and at least one listed brand of another pharmaceutical item have the same drug; and</w:t>
            </w:r>
          </w:p>
        </w:tc>
        <w:tc>
          <w:tcPr>
            <w:tcW w:w="4820" w:type="dxa"/>
          </w:tcPr>
          <w:p w14:paraId="388F0684" w14:textId="1CB33118" w:rsidR="001357B0" w:rsidRPr="009E09F1" w:rsidRDefault="001357B0" w:rsidP="00541D8B">
            <w:pPr>
              <w:pStyle w:val="TableText0"/>
            </w:pPr>
            <w:r w:rsidRPr="009E09F1">
              <w:t>The listed brand Ditropan (</w:t>
            </w:r>
            <w:r w:rsidR="00121A7E" w:rsidRPr="009E09F1">
              <w:t xml:space="preserve">PBS item code </w:t>
            </w:r>
            <w:r w:rsidRPr="009E09F1">
              <w:t>8039D) is an oral formulation of the same drug, oxybutynin</w:t>
            </w:r>
            <w:r w:rsidR="005315D4" w:rsidRPr="009E09F1">
              <w:t>.</w:t>
            </w:r>
          </w:p>
        </w:tc>
      </w:tr>
      <w:tr w:rsidR="001357B0" w:rsidRPr="009E09F1" w14:paraId="15324968" w14:textId="77777777" w:rsidTr="00E905F3">
        <w:tc>
          <w:tcPr>
            <w:tcW w:w="4531" w:type="dxa"/>
          </w:tcPr>
          <w:p w14:paraId="455DEAAC" w14:textId="77777777" w:rsidR="001357B0" w:rsidRPr="009E09F1" w:rsidRDefault="001357B0" w:rsidP="00E905F3">
            <w:pPr>
              <w:pStyle w:val="ListParagraph"/>
              <w:numPr>
                <w:ilvl w:val="0"/>
                <w:numId w:val="28"/>
              </w:numPr>
              <w:spacing w:before="20" w:after="20"/>
              <w:ind w:right="113"/>
              <w:contextualSpacing/>
              <w:rPr>
                <w:rFonts w:ascii="Arial Narrow" w:hAnsi="Arial Narrow"/>
                <w:sz w:val="20"/>
                <w:szCs w:val="20"/>
              </w:rPr>
            </w:pPr>
            <w:r w:rsidRPr="009E09F1">
              <w:rPr>
                <w:rFonts w:ascii="Arial Narrow" w:eastAsiaTheme="minorHAnsi" w:hAnsi="Arial Narrow"/>
                <w:sz w:val="20"/>
                <w:szCs w:val="20"/>
              </w:rPr>
              <w:t>Advice (if any) given by the Pharmaceutical Benefits Advisory Committee, that:</w:t>
            </w:r>
          </w:p>
        </w:tc>
        <w:tc>
          <w:tcPr>
            <w:tcW w:w="4820" w:type="dxa"/>
          </w:tcPr>
          <w:p w14:paraId="3F009A75" w14:textId="3862BA0A" w:rsidR="001357B0" w:rsidRPr="009E09F1" w:rsidRDefault="001357B0" w:rsidP="00541D8B">
            <w:pPr>
              <w:pStyle w:val="TableText0"/>
            </w:pPr>
            <w:r w:rsidRPr="009E09F1">
              <w:t>This submission reques</w:t>
            </w:r>
            <w:r w:rsidR="00121A7E" w:rsidRPr="009E09F1">
              <w:t>ted</w:t>
            </w:r>
            <w:r w:rsidRPr="009E09F1">
              <w:t xml:space="preserve"> provision/confirmation of such advice</w:t>
            </w:r>
            <w:r w:rsidR="008519A4" w:rsidRPr="009E09F1">
              <w:t>:</w:t>
            </w:r>
          </w:p>
        </w:tc>
      </w:tr>
      <w:tr w:rsidR="001357B0" w:rsidRPr="009E09F1" w14:paraId="550FE3B7" w14:textId="77777777" w:rsidTr="00E905F3">
        <w:tc>
          <w:tcPr>
            <w:tcW w:w="4531" w:type="dxa"/>
          </w:tcPr>
          <w:p w14:paraId="4536D886" w14:textId="77777777" w:rsidR="001357B0" w:rsidRPr="009E09F1" w:rsidRDefault="001357B0" w:rsidP="00E905F3">
            <w:pPr>
              <w:pStyle w:val="ListParagraph"/>
              <w:numPr>
                <w:ilvl w:val="0"/>
                <w:numId w:val="29"/>
              </w:numPr>
              <w:spacing w:before="20" w:after="20"/>
              <w:ind w:right="113"/>
              <w:contextualSpacing/>
              <w:rPr>
                <w:rFonts w:ascii="Arial Narrow" w:hAnsi="Arial Narrow"/>
                <w:sz w:val="20"/>
                <w:szCs w:val="20"/>
                <w:lang w:eastAsia="en-GB"/>
              </w:rPr>
            </w:pPr>
            <w:r w:rsidRPr="009E09F1">
              <w:rPr>
                <w:rFonts w:ascii="Arial Narrow" w:hAnsi="Arial Narrow"/>
                <w:sz w:val="20"/>
                <w:szCs w:val="20"/>
              </w:rPr>
              <w:t xml:space="preserve">the listed drug represents suitable therapy for a particular patient population; and </w:t>
            </w:r>
          </w:p>
        </w:tc>
        <w:tc>
          <w:tcPr>
            <w:tcW w:w="4820" w:type="dxa"/>
          </w:tcPr>
          <w:p w14:paraId="641D59EE" w14:textId="4E328513" w:rsidR="001357B0" w:rsidRPr="009E09F1" w:rsidRDefault="001357B0" w:rsidP="00541D8B">
            <w:pPr>
              <w:pStyle w:val="TableText0"/>
            </w:pPr>
            <w:r w:rsidRPr="009E09F1">
              <w:t>At the March 2009 Meeting, the PBAC recommended the listing of oxybutynin transdermal patches on the PBS for treatment of detrusor overactivity in a patient who cannot tolerate oral oxybutynin or who cannot swallow oral oxybutynin on the basis of acceptable cost effectiveness over placebo.</w:t>
            </w:r>
          </w:p>
        </w:tc>
      </w:tr>
      <w:tr w:rsidR="001357B0" w:rsidRPr="009E09F1" w14:paraId="1427A1DB" w14:textId="77777777" w:rsidTr="00E905F3">
        <w:tc>
          <w:tcPr>
            <w:tcW w:w="4531" w:type="dxa"/>
          </w:tcPr>
          <w:p w14:paraId="5D9FBEAB" w14:textId="77777777" w:rsidR="001357B0" w:rsidRPr="009E09F1" w:rsidRDefault="001357B0" w:rsidP="00E905F3">
            <w:pPr>
              <w:pStyle w:val="ListParagraph"/>
              <w:numPr>
                <w:ilvl w:val="0"/>
                <w:numId w:val="29"/>
              </w:numPr>
              <w:spacing w:before="20" w:after="20"/>
              <w:ind w:right="113"/>
              <w:contextualSpacing/>
              <w:rPr>
                <w:rFonts w:ascii="Arial Narrow" w:hAnsi="Arial Narrow"/>
                <w:sz w:val="20"/>
                <w:szCs w:val="20"/>
                <w:lang w:eastAsia="en-GB"/>
              </w:rPr>
            </w:pPr>
            <w:r w:rsidRPr="009E09F1">
              <w:rPr>
                <w:rFonts w:ascii="Arial Narrow" w:eastAsiaTheme="minorHAnsi" w:hAnsi="Arial Narrow"/>
                <w:sz w:val="20"/>
                <w:szCs w:val="20"/>
              </w:rPr>
              <w:t>the relevant item is suitable for use by a particular subgroup of that population because of either or both of the form and manner of administration of the drug in the item; and</w:t>
            </w:r>
          </w:p>
        </w:tc>
        <w:tc>
          <w:tcPr>
            <w:tcW w:w="4820" w:type="dxa"/>
          </w:tcPr>
          <w:p w14:paraId="54628222" w14:textId="77777777" w:rsidR="001357B0" w:rsidRPr="009E09F1" w:rsidRDefault="001357B0" w:rsidP="00541D8B">
            <w:pPr>
              <w:pStyle w:val="TableText0"/>
            </w:pPr>
            <w:r w:rsidRPr="009E09F1">
              <w:t>Patients requiring treatment for detrusor overactivity who are unable to tolerate and/or swallow the oral formulation, and unable to afford alternate medicines that are not PBS listed.</w:t>
            </w:r>
          </w:p>
          <w:p w14:paraId="62272E49" w14:textId="77777777" w:rsidR="001357B0" w:rsidRPr="009E09F1" w:rsidRDefault="001357B0" w:rsidP="00541D8B">
            <w:pPr>
              <w:pStyle w:val="TableText0"/>
            </w:pPr>
            <w:r w:rsidRPr="009E09F1">
              <w:t>Detrusor overactivity disproportionately affects Australians over the age of 65 years, and First Nations people over the age of 50 years.</w:t>
            </w:r>
          </w:p>
        </w:tc>
      </w:tr>
      <w:tr w:rsidR="001357B0" w:rsidRPr="009E09F1" w14:paraId="754EA808" w14:textId="77777777" w:rsidTr="00E905F3">
        <w:tc>
          <w:tcPr>
            <w:tcW w:w="4531" w:type="dxa"/>
          </w:tcPr>
          <w:p w14:paraId="4F790149" w14:textId="77777777" w:rsidR="001357B0" w:rsidRPr="009E09F1" w:rsidRDefault="001357B0" w:rsidP="00E905F3">
            <w:pPr>
              <w:pStyle w:val="ListParagraph"/>
              <w:numPr>
                <w:ilvl w:val="0"/>
                <w:numId w:val="29"/>
              </w:numPr>
              <w:spacing w:before="20" w:after="20"/>
              <w:ind w:right="113"/>
              <w:contextualSpacing/>
              <w:rPr>
                <w:rFonts w:ascii="Arial Narrow" w:hAnsi="Arial Narrow"/>
                <w:sz w:val="20"/>
                <w:szCs w:val="20"/>
                <w:lang w:eastAsia="en-US"/>
              </w:rPr>
            </w:pPr>
            <w:r w:rsidRPr="009E09F1">
              <w:rPr>
                <w:rFonts w:ascii="Arial Narrow" w:hAnsi="Arial Narrow"/>
                <w:sz w:val="20"/>
                <w:szCs w:val="20"/>
              </w:rPr>
              <w:t>no other pharmaceutical item that has that drug is suitable for use by that subgroup because of either or both of the form and manner of administration of the drug in that other item.</w:t>
            </w:r>
          </w:p>
        </w:tc>
        <w:tc>
          <w:tcPr>
            <w:tcW w:w="4820" w:type="dxa"/>
          </w:tcPr>
          <w:p w14:paraId="7033263B" w14:textId="1151EE20" w:rsidR="001357B0" w:rsidRPr="009E09F1" w:rsidRDefault="001357B0" w:rsidP="00B11756">
            <w:pPr>
              <w:pStyle w:val="TableText0"/>
              <w:rPr>
                <w:i/>
                <w:iCs/>
              </w:rPr>
            </w:pPr>
            <w:r w:rsidRPr="009E09F1">
              <w:t>Oxybutynin, in oral and transdermal forms, is the only medicine available on the PBS for the treatment of overactive bladder (OAB).</w:t>
            </w:r>
            <w:r w:rsidR="00126FB0" w:rsidRPr="009E09F1">
              <w:t xml:space="preserve"> </w:t>
            </w:r>
            <w:r w:rsidR="00C319FB" w:rsidRPr="009E09F1">
              <w:t xml:space="preserve">While there are no other dose forms of oxybutynin available on the PBS for patients unable to tolerate or swallow </w:t>
            </w:r>
            <w:r w:rsidR="004579F2" w:rsidRPr="009E09F1">
              <w:t xml:space="preserve">an oral dose form except for the </w:t>
            </w:r>
            <w:r w:rsidR="00126FB0" w:rsidRPr="009E09F1">
              <w:t xml:space="preserve">Oxytrol </w:t>
            </w:r>
            <w:r w:rsidR="004579F2" w:rsidRPr="009E09F1">
              <w:t xml:space="preserve">transdermal patches, the statement that it is the only medicine available on the PBS for this indication is not correct. </w:t>
            </w:r>
            <w:r w:rsidR="004579F2" w:rsidRPr="009E09F1">
              <w:rPr>
                <w:iCs/>
              </w:rPr>
              <w:t>P</w:t>
            </w:r>
            <w:r w:rsidR="001964B3" w:rsidRPr="009E09F1">
              <w:rPr>
                <w:iCs/>
              </w:rPr>
              <w:t>ropantheline bromide tablets are listed for the treatment of detrusor overactivity, and amitr</w:t>
            </w:r>
            <w:r w:rsidR="00B0464C" w:rsidRPr="009E09F1">
              <w:rPr>
                <w:iCs/>
              </w:rPr>
              <w:t>i</w:t>
            </w:r>
            <w:r w:rsidR="001964B3" w:rsidRPr="009E09F1">
              <w:rPr>
                <w:iCs/>
              </w:rPr>
              <w:t>pt</w:t>
            </w:r>
            <w:r w:rsidR="00B0464C" w:rsidRPr="009E09F1">
              <w:rPr>
                <w:iCs/>
              </w:rPr>
              <w:t>y</w:t>
            </w:r>
            <w:r w:rsidR="001964B3" w:rsidRPr="009E09F1">
              <w:rPr>
                <w:iCs/>
              </w:rPr>
              <w:t>line can also be used for detrusor overactivity.</w:t>
            </w:r>
          </w:p>
        </w:tc>
      </w:tr>
    </w:tbl>
    <w:p w14:paraId="481E7DBB" w14:textId="151F084A" w:rsidR="0090630E" w:rsidRPr="009E09F1" w:rsidRDefault="0042161B" w:rsidP="002E3008">
      <w:pPr>
        <w:pStyle w:val="3-BodyText"/>
        <w:spacing w:before="120"/>
        <w:rPr>
          <w:iCs/>
        </w:rPr>
      </w:pPr>
      <w:r w:rsidRPr="009E09F1">
        <w:lastRenderedPageBreak/>
        <w:t xml:space="preserve">The submission </w:t>
      </w:r>
      <w:r w:rsidR="00C20EC4" w:rsidRPr="009E09F1">
        <w:t>substantiate</w:t>
      </w:r>
      <w:r w:rsidRPr="009E09F1">
        <w:t>d</w:t>
      </w:r>
      <w:r w:rsidR="00C20EC4" w:rsidRPr="009E09F1">
        <w:t xml:space="preserve"> </w:t>
      </w:r>
      <w:r w:rsidRPr="009E09F1">
        <w:t>its</w:t>
      </w:r>
      <w:r w:rsidR="00C20EC4" w:rsidRPr="009E09F1">
        <w:t xml:space="preserve"> request with </w:t>
      </w:r>
      <w:r w:rsidR="008A203A" w:rsidRPr="009E09F1">
        <w:t xml:space="preserve">clinical data </w:t>
      </w:r>
      <w:r w:rsidR="006A4C95" w:rsidRPr="009E09F1">
        <w:t xml:space="preserve">that </w:t>
      </w:r>
      <w:r w:rsidR="008A203A" w:rsidRPr="009E09F1">
        <w:t>highlight</w:t>
      </w:r>
      <w:r w:rsidR="006A4C95" w:rsidRPr="009E09F1">
        <w:t>ed</w:t>
      </w:r>
      <w:r w:rsidR="00C20EC4" w:rsidRPr="009E09F1">
        <w:t xml:space="preserve"> the prevalence of Urge Urinary Incontinence (UUI)</w:t>
      </w:r>
      <w:r w:rsidRPr="009E09F1">
        <w:t xml:space="preserve"> </w:t>
      </w:r>
      <w:r w:rsidR="008A203A" w:rsidRPr="009E09F1">
        <w:t>and</w:t>
      </w:r>
      <w:r w:rsidR="00C20EC4" w:rsidRPr="009E09F1">
        <w:t xml:space="preserve"> chronic conditions </w:t>
      </w:r>
      <w:r w:rsidR="006A4C95" w:rsidRPr="009E09F1">
        <w:t xml:space="preserve">in </w:t>
      </w:r>
      <w:r w:rsidR="008A203A" w:rsidRPr="009E09F1">
        <w:t>various populations</w:t>
      </w:r>
      <w:r w:rsidR="00C20EC4" w:rsidRPr="009E09F1">
        <w:t>.</w:t>
      </w:r>
      <w:r w:rsidR="00DF1CA5" w:rsidRPr="009E09F1">
        <w:t xml:space="preserve"> </w:t>
      </w:r>
      <w:r w:rsidR="008441CA" w:rsidRPr="009E09F1">
        <w:rPr>
          <w:iCs/>
        </w:rPr>
        <w:t>Th</w:t>
      </w:r>
      <w:r w:rsidR="006A4C95" w:rsidRPr="009E09F1">
        <w:rPr>
          <w:iCs/>
        </w:rPr>
        <w:t>e</w:t>
      </w:r>
      <w:r w:rsidR="008441CA" w:rsidRPr="009E09F1">
        <w:rPr>
          <w:iCs/>
        </w:rPr>
        <w:t xml:space="preserve"> data</w:t>
      </w:r>
      <w:r w:rsidR="008441CA" w:rsidRPr="009E09F1">
        <w:t xml:space="preserve"> </w:t>
      </w:r>
      <w:r w:rsidR="008441CA" w:rsidRPr="009E09F1">
        <w:rPr>
          <w:iCs/>
        </w:rPr>
        <w:t>did not demonstrate the clinical</w:t>
      </w:r>
      <w:r w:rsidR="00C20EC4" w:rsidRPr="009E09F1">
        <w:rPr>
          <w:iCs/>
        </w:rPr>
        <w:t xml:space="preserve"> benefit provided by </w:t>
      </w:r>
      <w:r w:rsidR="0068362C" w:rsidRPr="009E09F1">
        <w:rPr>
          <w:iCs/>
        </w:rPr>
        <w:t xml:space="preserve">the </w:t>
      </w:r>
      <w:r w:rsidR="00C20EC4" w:rsidRPr="009E09F1">
        <w:rPr>
          <w:iCs/>
        </w:rPr>
        <w:t xml:space="preserve">patches over </w:t>
      </w:r>
      <w:r w:rsidR="0068362C" w:rsidRPr="009E09F1">
        <w:rPr>
          <w:iCs/>
        </w:rPr>
        <w:t>other available dose form</w:t>
      </w:r>
      <w:r w:rsidR="00267B9A" w:rsidRPr="009E09F1">
        <w:rPr>
          <w:iCs/>
        </w:rPr>
        <w:t>s.</w:t>
      </w:r>
    </w:p>
    <w:p w14:paraId="440D8499" w14:textId="12D4BDFE" w:rsidR="00D15E09" w:rsidRPr="009E09F1" w:rsidRDefault="00D15E09" w:rsidP="00D15E09">
      <w:pPr>
        <w:pStyle w:val="2-SectionHeading"/>
      </w:pPr>
      <w:r w:rsidRPr="009E09F1">
        <w:t>PBAC Outcome</w:t>
      </w:r>
    </w:p>
    <w:p w14:paraId="5DA9E9A9" w14:textId="7C093221" w:rsidR="005C5567" w:rsidRPr="009E09F1" w:rsidRDefault="00D15E09" w:rsidP="005C5567">
      <w:pPr>
        <w:pStyle w:val="3-BodyText"/>
        <w:rPr>
          <w:b/>
          <w:i/>
        </w:rPr>
      </w:pPr>
      <w:r w:rsidRPr="009E09F1">
        <w:t xml:space="preserve">The </w:t>
      </w:r>
      <w:r w:rsidR="00267B9A" w:rsidRPr="009E09F1">
        <w:rPr>
          <w:iCs/>
        </w:rPr>
        <w:t xml:space="preserve">PBAC </w:t>
      </w:r>
      <w:r w:rsidR="005C5567" w:rsidRPr="009E09F1">
        <w:rPr>
          <w:iCs/>
        </w:rPr>
        <w:t>advised that</w:t>
      </w:r>
      <w:r w:rsidR="00267B9A" w:rsidRPr="009E09F1">
        <w:rPr>
          <w:iCs/>
        </w:rPr>
        <w:t xml:space="preserve"> Oxytrol® (oxybutynin 3.9 mg transdermal patch) can be considered as an exempt item under subsection 84AH of the Act.</w:t>
      </w:r>
    </w:p>
    <w:p w14:paraId="25A4163B" w14:textId="3F9AD7A0" w:rsidR="005907C8" w:rsidRPr="009E09F1" w:rsidRDefault="005C5567" w:rsidP="00D15E09">
      <w:pPr>
        <w:pStyle w:val="3-BodyText"/>
      </w:pPr>
      <w:r w:rsidRPr="009E09F1">
        <w:t>The PBAC noted th</w:t>
      </w:r>
      <w:r w:rsidR="005907C8" w:rsidRPr="009E09F1">
        <w:t xml:space="preserve">at </w:t>
      </w:r>
      <w:r w:rsidR="00A2698E" w:rsidRPr="009E09F1">
        <w:t>Oxytrol is the only listed</w:t>
      </w:r>
      <w:r w:rsidR="00D52E0E" w:rsidRPr="009E09F1">
        <w:t xml:space="preserve"> brand of oxybutynin</w:t>
      </w:r>
      <w:r w:rsidR="0043150C" w:rsidRPr="009E09F1">
        <w:t xml:space="preserve"> for patients for whom the oral formulation is unsuitable due to adverse events or inability to swallow</w:t>
      </w:r>
      <w:r w:rsidR="003A6538">
        <w:t>;</w:t>
      </w:r>
      <w:r w:rsidR="00D52E0E" w:rsidRPr="009E09F1">
        <w:t xml:space="preserve"> that there are no bioequivalent, biosimilar or ‘a’-flagged products listed for the same indication</w:t>
      </w:r>
      <w:r w:rsidR="003A6538">
        <w:t>;</w:t>
      </w:r>
      <w:r w:rsidR="00D52E0E" w:rsidRPr="009E09F1">
        <w:t xml:space="preserve"> and </w:t>
      </w:r>
      <w:r w:rsidR="00C57144" w:rsidRPr="009E09F1">
        <w:t>that there is at least one other listed brand of oxybutynin</w:t>
      </w:r>
      <w:r w:rsidR="002633D1" w:rsidRPr="009E09F1">
        <w:t xml:space="preserve"> (Ditropan).</w:t>
      </w:r>
    </w:p>
    <w:p w14:paraId="757323D4" w14:textId="6DF96B1B" w:rsidR="003F1A15" w:rsidRPr="009E09F1" w:rsidRDefault="003F1A15" w:rsidP="00BF1A76">
      <w:pPr>
        <w:pStyle w:val="3-BodyText"/>
        <w:spacing w:after="240"/>
      </w:pPr>
      <w:r w:rsidRPr="009E09F1">
        <w:t>The PBAC advised that oxybutynin remains a suitable therapy for the treatment of detrusor overactivity</w:t>
      </w:r>
      <w:r w:rsidR="000C6E07" w:rsidRPr="009E09F1">
        <w:t xml:space="preserve"> </w:t>
      </w:r>
      <w:r w:rsidR="00720803" w:rsidRPr="009E09F1">
        <w:t xml:space="preserve">and the transdermal form remains a suitable therapy </w:t>
      </w:r>
      <w:r w:rsidR="000C6E07" w:rsidRPr="009E09F1">
        <w:t>for patients for whom the oral formulation is unsuitable due to adverse events or inability to swallow</w:t>
      </w:r>
      <w:r w:rsidR="00720803" w:rsidRPr="009E09F1">
        <w:t xml:space="preserve">. The PBAC advised that </w:t>
      </w:r>
      <w:r w:rsidR="00F8425B" w:rsidRPr="009E09F1">
        <w:t>there were no other pharmaceutical items containing oxybutynin that were suitable for this patient population as all the alternative therapies are oral dose forms.</w:t>
      </w:r>
    </w:p>
    <w:p w14:paraId="19D9204C" w14:textId="6774991B" w:rsidR="00DF5506" w:rsidRDefault="00D15E09" w:rsidP="00A2698E">
      <w:pPr>
        <w:pStyle w:val="3-BodyText"/>
        <w:numPr>
          <w:ilvl w:val="0"/>
          <w:numId w:val="0"/>
        </w:numPr>
      </w:pPr>
      <w:r w:rsidRPr="009E09F1">
        <w:rPr>
          <w:b/>
          <w:bCs/>
        </w:rPr>
        <w:t>Outcome:</w:t>
      </w:r>
      <w:r w:rsidR="00C2386B" w:rsidRPr="009E09F1">
        <w:rPr>
          <w:b/>
          <w:bCs/>
        </w:rPr>
        <w:br/>
      </w:r>
      <w:r w:rsidR="005C5567" w:rsidRPr="009E09F1">
        <w:t>Advice provided</w:t>
      </w:r>
    </w:p>
    <w:p w14:paraId="6B3D87A7" w14:textId="05CB4815" w:rsidR="007C31C2" w:rsidRPr="007C31C2" w:rsidRDefault="007C31C2" w:rsidP="007C31C2">
      <w:pPr>
        <w:pStyle w:val="2-SectionHeading"/>
      </w:pPr>
      <w:r w:rsidRPr="00C07617">
        <w:t>Context for Decision</w:t>
      </w:r>
    </w:p>
    <w:p w14:paraId="3289FD57" w14:textId="77777777" w:rsidR="007C31C2" w:rsidRPr="00311EEF" w:rsidRDefault="007C31C2" w:rsidP="007C31C2">
      <w:pPr>
        <w:spacing w:after="120"/>
        <w:ind w:left="720"/>
        <w:rPr>
          <w:rFonts w:asciiTheme="minorHAnsi" w:hAnsiTheme="minorHAnsi" w:cs="Arial"/>
          <w:bCs/>
          <w:lang w:val="en-GB" w:eastAsia="en-AU"/>
        </w:rPr>
      </w:pPr>
      <w:r w:rsidRPr="00311EEF">
        <w:rPr>
          <w:rFonts w:asciiTheme="minorHAnsi" w:hAnsiTheme="minorHAnsi" w:cs="Arial"/>
          <w:bCs/>
          <w:lang w:val="en-GB" w:eastAsia="en-AU"/>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2C8CD31" w14:textId="11F5CA35" w:rsidR="007C31C2" w:rsidRPr="00311EEF" w:rsidRDefault="007C31C2" w:rsidP="007C31C2">
      <w:pPr>
        <w:pStyle w:val="2-SectionHeading"/>
      </w:pPr>
      <w:r w:rsidRPr="00311EEF">
        <w:t>Sponsor’s Comment</w:t>
      </w:r>
    </w:p>
    <w:p w14:paraId="463B5F4A" w14:textId="72D267C1" w:rsidR="007C31C2" w:rsidRPr="001179AC" w:rsidRDefault="0030324A" w:rsidP="007C31C2">
      <w:pPr>
        <w:spacing w:after="120"/>
        <w:ind w:left="720"/>
        <w:rPr>
          <w:rFonts w:asciiTheme="minorHAnsi" w:hAnsiTheme="minorHAnsi" w:cs="Arial"/>
          <w:bCs/>
        </w:rPr>
      </w:pPr>
      <w:r w:rsidRPr="0030324A">
        <w:rPr>
          <w:rFonts w:asciiTheme="minorHAnsi" w:hAnsiTheme="minorHAnsi" w:cs="Arial"/>
          <w:bCs/>
        </w:rPr>
        <w:t>Theramex wishes to thank the PBAC for their decision.</w:t>
      </w:r>
    </w:p>
    <w:p w14:paraId="7F228B0E" w14:textId="77777777" w:rsidR="007C31C2" w:rsidRPr="00053474" w:rsidRDefault="007C31C2" w:rsidP="00A2698E">
      <w:pPr>
        <w:pStyle w:val="3-BodyText"/>
        <w:numPr>
          <w:ilvl w:val="0"/>
          <w:numId w:val="0"/>
        </w:numPr>
      </w:pPr>
    </w:p>
    <w:sectPr w:rsidR="007C31C2" w:rsidRPr="00053474" w:rsidSect="001C181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0C41" w14:textId="77777777" w:rsidR="00E64F33" w:rsidRDefault="00E64F33" w:rsidP="00B26378">
      <w:r>
        <w:separator/>
      </w:r>
    </w:p>
  </w:endnote>
  <w:endnote w:type="continuationSeparator" w:id="0">
    <w:p w14:paraId="596070A7" w14:textId="77777777" w:rsidR="00E64F33" w:rsidRDefault="00E64F33" w:rsidP="00B2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61DF" w14:textId="77777777" w:rsidR="005B1137" w:rsidRDefault="005B1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819046"/>
      <w:docPartObj>
        <w:docPartGallery w:val="Page Numbers (Bottom of Page)"/>
        <w:docPartUnique/>
      </w:docPartObj>
    </w:sdtPr>
    <w:sdtEndPr>
      <w:rPr>
        <w:b/>
        <w:bCs/>
        <w:noProof/>
      </w:rPr>
    </w:sdtEndPr>
    <w:sdtContent>
      <w:p w14:paraId="7BD7D915" w14:textId="77777777" w:rsidR="001C181D" w:rsidRDefault="001C181D" w:rsidP="001C181D">
        <w:pPr>
          <w:pStyle w:val="Footer"/>
          <w:jc w:val="center"/>
        </w:pPr>
      </w:p>
      <w:p w14:paraId="75D4386C" w14:textId="2A5C3E43" w:rsidR="00003E50" w:rsidRPr="001C181D" w:rsidRDefault="00003E50" w:rsidP="001C181D">
        <w:pPr>
          <w:pStyle w:val="Footer"/>
          <w:jc w:val="center"/>
          <w:rPr>
            <w:b/>
            <w:bCs/>
          </w:rPr>
        </w:pPr>
        <w:r w:rsidRPr="00003E50">
          <w:rPr>
            <w:b/>
            <w:bCs/>
          </w:rPr>
          <w:fldChar w:fldCharType="begin"/>
        </w:r>
        <w:r w:rsidRPr="00003E50">
          <w:rPr>
            <w:b/>
            <w:bCs/>
          </w:rPr>
          <w:instrText xml:space="preserve"> PAGE   \* MERGEFORMAT </w:instrText>
        </w:r>
        <w:r w:rsidRPr="00003E50">
          <w:rPr>
            <w:b/>
            <w:bCs/>
          </w:rPr>
          <w:fldChar w:fldCharType="separate"/>
        </w:r>
        <w:r w:rsidRPr="00003E50">
          <w:rPr>
            <w:b/>
            <w:bCs/>
            <w:noProof/>
          </w:rPr>
          <w:t>2</w:t>
        </w:r>
        <w:r w:rsidRPr="00003E50">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6015" w14:textId="77777777" w:rsidR="005B1137" w:rsidRDefault="005B1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FA10A" w14:textId="77777777" w:rsidR="00E64F33" w:rsidRDefault="00E64F33" w:rsidP="00B26378">
      <w:r>
        <w:separator/>
      </w:r>
    </w:p>
  </w:footnote>
  <w:footnote w:type="continuationSeparator" w:id="0">
    <w:p w14:paraId="25E0768C" w14:textId="77777777" w:rsidR="00E64F33" w:rsidRDefault="00E64F33" w:rsidP="00B26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C492" w14:textId="77777777" w:rsidR="005B1137" w:rsidRDefault="005B1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4B2FB" w14:textId="50A65165" w:rsidR="00003E50" w:rsidRPr="00C56D78" w:rsidRDefault="007C31C2" w:rsidP="00003E50">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DE5981">
      <w:rPr>
        <w:rFonts w:asciiTheme="minorHAnsi" w:eastAsiaTheme="minorEastAsia" w:hAnsiTheme="minorHAnsi" w:cstheme="minorHAnsi"/>
        <w:i/>
        <w:color w:val="808080"/>
      </w:rPr>
      <w:t xml:space="preserve"> </w:t>
    </w:r>
    <w:r w:rsidR="00003E50">
      <w:rPr>
        <w:rFonts w:asciiTheme="minorHAnsi" w:eastAsiaTheme="minorEastAsia" w:hAnsiTheme="minorHAnsi" w:cstheme="minorHAnsi"/>
        <w:i/>
        <w:color w:val="808080"/>
      </w:rPr>
      <w:t>– November 2023</w:t>
    </w:r>
    <w:r w:rsidR="00003E50" w:rsidRPr="00C56D78">
      <w:rPr>
        <w:rFonts w:asciiTheme="minorHAnsi" w:eastAsiaTheme="minorEastAsia" w:hAnsiTheme="minorHAnsi" w:cstheme="minorHAnsi"/>
        <w:i/>
        <w:color w:val="808080"/>
      </w:rPr>
      <w:t xml:space="preserve"> PBAC Meeting</w:t>
    </w:r>
  </w:p>
  <w:p w14:paraId="537B1EC0" w14:textId="77777777" w:rsidR="00003E50" w:rsidRDefault="00003E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BA25" w14:textId="77777777" w:rsidR="005B1137" w:rsidRDefault="005B11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0969652"/>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07923C9"/>
    <w:multiLevelType w:val="hybridMultilevel"/>
    <w:tmpl w:val="5C0217F0"/>
    <w:lvl w:ilvl="0" w:tplc="08090017">
      <w:start w:val="1"/>
      <w:numFmt w:val="lowerLetter"/>
      <w:lvlText w:val="%1)"/>
      <w:lvlJc w:val="left"/>
      <w:pPr>
        <w:ind w:left="480" w:hanging="360"/>
      </w:pPr>
      <w:rPr>
        <w:rFonts w:hint="default"/>
      </w:rPr>
    </w:lvl>
    <w:lvl w:ilvl="1" w:tplc="0C090019" w:tentative="1">
      <w:start w:val="1"/>
      <w:numFmt w:val="lowerLetter"/>
      <w:lvlText w:val="%2."/>
      <w:lvlJc w:val="left"/>
      <w:pPr>
        <w:ind w:left="1200" w:hanging="360"/>
      </w:pPr>
    </w:lvl>
    <w:lvl w:ilvl="2" w:tplc="0C09001B" w:tentative="1">
      <w:start w:val="1"/>
      <w:numFmt w:val="lowerRoman"/>
      <w:lvlText w:val="%3."/>
      <w:lvlJc w:val="right"/>
      <w:pPr>
        <w:ind w:left="1920" w:hanging="180"/>
      </w:pPr>
    </w:lvl>
    <w:lvl w:ilvl="3" w:tplc="0C09000F" w:tentative="1">
      <w:start w:val="1"/>
      <w:numFmt w:val="decimal"/>
      <w:lvlText w:val="%4."/>
      <w:lvlJc w:val="left"/>
      <w:pPr>
        <w:ind w:left="2640" w:hanging="360"/>
      </w:pPr>
    </w:lvl>
    <w:lvl w:ilvl="4" w:tplc="0C090019" w:tentative="1">
      <w:start w:val="1"/>
      <w:numFmt w:val="lowerLetter"/>
      <w:lvlText w:val="%5."/>
      <w:lvlJc w:val="left"/>
      <w:pPr>
        <w:ind w:left="3360" w:hanging="360"/>
      </w:pPr>
    </w:lvl>
    <w:lvl w:ilvl="5" w:tplc="0C09001B" w:tentative="1">
      <w:start w:val="1"/>
      <w:numFmt w:val="lowerRoman"/>
      <w:lvlText w:val="%6."/>
      <w:lvlJc w:val="right"/>
      <w:pPr>
        <w:ind w:left="4080" w:hanging="180"/>
      </w:pPr>
    </w:lvl>
    <w:lvl w:ilvl="6" w:tplc="0C09000F" w:tentative="1">
      <w:start w:val="1"/>
      <w:numFmt w:val="decimal"/>
      <w:lvlText w:val="%7."/>
      <w:lvlJc w:val="left"/>
      <w:pPr>
        <w:ind w:left="4800" w:hanging="360"/>
      </w:pPr>
    </w:lvl>
    <w:lvl w:ilvl="7" w:tplc="0C090019" w:tentative="1">
      <w:start w:val="1"/>
      <w:numFmt w:val="lowerLetter"/>
      <w:lvlText w:val="%8."/>
      <w:lvlJc w:val="left"/>
      <w:pPr>
        <w:ind w:left="5520" w:hanging="360"/>
      </w:pPr>
    </w:lvl>
    <w:lvl w:ilvl="8" w:tplc="0C09001B" w:tentative="1">
      <w:start w:val="1"/>
      <w:numFmt w:val="lowerRoman"/>
      <w:lvlText w:val="%9."/>
      <w:lvlJc w:val="right"/>
      <w:pPr>
        <w:ind w:left="6240" w:hanging="180"/>
      </w:pPr>
    </w:lvl>
  </w:abstractNum>
  <w:abstractNum w:abstractNumId="6"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30371D"/>
    <w:multiLevelType w:val="hybridMultilevel"/>
    <w:tmpl w:val="4F50FE3A"/>
    <w:lvl w:ilvl="0" w:tplc="0C090017">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346AD7"/>
    <w:multiLevelType w:val="hybridMultilevel"/>
    <w:tmpl w:val="CC6279FE"/>
    <w:lvl w:ilvl="0" w:tplc="A22E5F30">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48A481C"/>
    <w:multiLevelType w:val="hybridMultilevel"/>
    <w:tmpl w:val="D16815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6244933"/>
    <w:multiLevelType w:val="hybridMultilevel"/>
    <w:tmpl w:val="C1A0A238"/>
    <w:lvl w:ilvl="0" w:tplc="AEA20F12">
      <w:start w:val="1"/>
      <w:numFmt w:val="upperLetter"/>
      <w:lvlText w:val="%1."/>
      <w:lvlJc w:val="left"/>
      <w:pPr>
        <w:ind w:left="720" w:hanging="360"/>
      </w:pPr>
      <w:rPr>
        <w:color w:val="auto"/>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5"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3FC117F9"/>
    <w:multiLevelType w:val="hybridMultilevel"/>
    <w:tmpl w:val="27B2260A"/>
    <w:lvl w:ilvl="0" w:tplc="DCEC03B8">
      <w:start w:val="3"/>
      <w:numFmt w:val="lowerLetter"/>
      <w:lvlText w:val="%1)"/>
      <w:lvlJc w:val="left"/>
      <w:pPr>
        <w:ind w:left="480"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9"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0"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5923AD"/>
    <w:multiLevelType w:val="hybridMultilevel"/>
    <w:tmpl w:val="D44AC30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5CF573CB"/>
    <w:multiLevelType w:val="hybridMultilevel"/>
    <w:tmpl w:val="688C2F4A"/>
    <w:lvl w:ilvl="0" w:tplc="A8DCA0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1" w15:restartNumberingAfterBreak="0">
    <w:nsid w:val="784D033C"/>
    <w:multiLevelType w:val="multilevel"/>
    <w:tmpl w:val="5D724870"/>
    <w:lvl w:ilvl="0">
      <w:start w:val="1"/>
      <w:numFmt w:val="decimal"/>
      <w:pStyle w:val="2-SectionHeading"/>
      <w:lvlText w:val="%1"/>
      <w:lvlJc w:val="left"/>
      <w:pPr>
        <w:ind w:left="720" w:hanging="720"/>
      </w:pPr>
      <w:rPr>
        <w:rFonts w:hint="default"/>
        <w:b/>
        <w:color w:val="auto"/>
      </w:rPr>
    </w:lvl>
    <w:lvl w:ilvl="1">
      <w:start w:val="1"/>
      <w:numFmt w:val="decimal"/>
      <w:pStyle w:val="3-BodyText"/>
      <w:lvlText w:val="%1.%2"/>
      <w:lvlJc w:val="left"/>
      <w:pPr>
        <w:ind w:left="720" w:hanging="720"/>
      </w:pPr>
      <w:rPr>
        <w:rFonts w:hint="default"/>
        <w:b w:val="0"/>
        <w:bCs/>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787583841">
    <w:abstractNumId w:val="14"/>
  </w:num>
  <w:num w:numId="2" w16cid:durableId="260838957">
    <w:abstractNumId w:val="31"/>
  </w:num>
  <w:num w:numId="3" w16cid:durableId="1811899325">
    <w:abstractNumId w:val="0"/>
  </w:num>
  <w:num w:numId="4" w16cid:durableId="438380385">
    <w:abstractNumId w:val="25"/>
  </w:num>
  <w:num w:numId="5" w16cid:durableId="1852720614">
    <w:abstractNumId w:val="33"/>
  </w:num>
  <w:num w:numId="6" w16cid:durableId="1349484360">
    <w:abstractNumId w:val="29"/>
  </w:num>
  <w:num w:numId="7" w16cid:durableId="1003361047">
    <w:abstractNumId w:val="20"/>
  </w:num>
  <w:num w:numId="8" w16cid:durableId="2141025104">
    <w:abstractNumId w:val="17"/>
  </w:num>
  <w:num w:numId="9" w16cid:durableId="109445297">
    <w:abstractNumId w:val="1"/>
  </w:num>
  <w:num w:numId="10" w16cid:durableId="864246809">
    <w:abstractNumId w:val="28"/>
  </w:num>
  <w:num w:numId="11" w16cid:durableId="2132362638">
    <w:abstractNumId w:val="30"/>
  </w:num>
  <w:num w:numId="12" w16cid:durableId="662706448">
    <w:abstractNumId w:val="11"/>
  </w:num>
  <w:num w:numId="13" w16cid:durableId="643705356">
    <w:abstractNumId w:val="9"/>
  </w:num>
  <w:num w:numId="14" w16cid:durableId="1083990562">
    <w:abstractNumId w:val="26"/>
  </w:num>
  <w:num w:numId="15" w16cid:durableId="2069839481">
    <w:abstractNumId w:val="2"/>
  </w:num>
  <w:num w:numId="16" w16cid:durableId="9394593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97129501">
    <w:abstractNumId w:val="32"/>
  </w:num>
  <w:num w:numId="18" w16cid:durableId="73549160">
    <w:abstractNumId w:val="24"/>
  </w:num>
  <w:num w:numId="19" w16cid:durableId="1897430716">
    <w:abstractNumId w:val="7"/>
  </w:num>
  <w:num w:numId="20" w16cid:durableId="1194147382">
    <w:abstractNumId w:val="6"/>
  </w:num>
  <w:num w:numId="21" w16cid:durableId="1476530849">
    <w:abstractNumId w:val="19"/>
  </w:num>
  <w:num w:numId="22" w16cid:durableId="1674724255">
    <w:abstractNumId w:val="8"/>
  </w:num>
  <w:num w:numId="23" w16cid:durableId="1811551081">
    <w:abstractNumId w:val="3"/>
  </w:num>
  <w:num w:numId="24" w16cid:durableId="1500148893">
    <w:abstractNumId w:val="15"/>
  </w:num>
  <w:num w:numId="25" w16cid:durableId="55011664">
    <w:abstractNumId w:val="22"/>
  </w:num>
  <w:num w:numId="26" w16cid:durableId="1682077961">
    <w:abstractNumId w:val="16"/>
  </w:num>
  <w:num w:numId="27" w16cid:durableId="418060508">
    <w:abstractNumId w:val="5"/>
  </w:num>
  <w:num w:numId="28" w16cid:durableId="1506365193">
    <w:abstractNumId w:val="18"/>
  </w:num>
  <w:num w:numId="29" w16cid:durableId="1551452063">
    <w:abstractNumId w:val="23"/>
  </w:num>
  <w:num w:numId="30" w16cid:durableId="1896813885">
    <w:abstractNumId w:val="13"/>
  </w:num>
  <w:num w:numId="31" w16cid:durableId="1866016876">
    <w:abstractNumId w:val="12"/>
  </w:num>
  <w:num w:numId="32" w16cid:durableId="1976523910">
    <w:abstractNumId w:val="31"/>
  </w:num>
  <w:num w:numId="33" w16cid:durableId="900286132">
    <w:abstractNumId w:val="31"/>
  </w:num>
  <w:num w:numId="34" w16cid:durableId="409928388">
    <w:abstractNumId w:val="21"/>
  </w:num>
  <w:num w:numId="35" w16cid:durableId="1775203304">
    <w:abstractNumId w:val="10"/>
  </w:num>
  <w:num w:numId="36" w16cid:durableId="1672371163">
    <w:abstractNumId w:val="4"/>
  </w:num>
  <w:num w:numId="37" w16cid:durableId="97527453">
    <w:abstractNumId w:val="31"/>
  </w:num>
  <w:num w:numId="38" w16cid:durableId="145425431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E2"/>
    <w:rsid w:val="00003E50"/>
    <w:rsid w:val="00015EB9"/>
    <w:rsid w:val="00024D5F"/>
    <w:rsid w:val="00025CA2"/>
    <w:rsid w:val="000459E7"/>
    <w:rsid w:val="00046C4B"/>
    <w:rsid w:val="00053474"/>
    <w:rsid w:val="0005698F"/>
    <w:rsid w:val="000573B3"/>
    <w:rsid w:val="00072091"/>
    <w:rsid w:val="00072E65"/>
    <w:rsid w:val="000919B2"/>
    <w:rsid w:val="000934DA"/>
    <w:rsid w:val="00095B20"/>
    <w:rsid w:val="000A2A00"/>
    <w:rsid w:val="000A2C1D"/>
    <w:rsid w:val="000B2D2B"/>
    <w:rsid w:val="000C37FA"/>
    <w:rsid w:val="000C6E07"/>
    <w:rsid w:val="000D193A"/>
    <w:rsid w:val="000D5244"/>
    <w:rsid w:val="000E312B"/>
    <w:rsid w:val="000E3AB2"/>
    <w:rsid w:val="000E798D"/>
    <w:rsid w:val="000F4201"/>
    <w:rsid w:val="001057AC"/>
    <w:rsid w:val="00111A69"/>
    <w:rsid w:val="0012159A"/>
    <w:rsid w:val="00121A7E"/>
    <w:rsid w:val="00122708"/>
    <w:rsid w:val="00122E36"/>
    <w:rsid w:val="00126FB0"/>
    <w:rsid w:val="001357B0"/>
    <w:rsid w:val="00157DBB"/>
    <w:rsid w:val="00172F4E"/>
    <w:rsid w:val="00173029"/>
    <w:rsid w:val="001964B3"/>
    <w:rsid w:val="001975AE"/>
    <w:rsid w:val="001B13CF"/>
    <w:rsid w:val="001B2E90"/>
    <w:rsid w:val="001B3EC5"/>
    <w:rsid w:val="001C181D"/>
    <w:rsid w:val="001C7E4D"/>
    <w:rsid w:val="001D05AC"/>
    <w:rsid w:val="001D408C"/>
    <w:rsid w:val="001D4237"/>
    <w:rsid w:val="001F6FF4"/>
    <w:rsid w:val="00205DDD"/>
    <w:rsid w:val="0020673E"/>
    <w:rsid w:val="00211C50"/>
    <w:rsid w:val="00217815"/>
    <w:rsid w:val="00223043"/>
    <w:rsid w:val="0022309D"/>
    <w:rsid w:val="00224A0E"/>
    <w:rsid w:val="00224D69"/>
    <w:rsid w:val="00234C26"/>
    <w:rsid w:val="002434CA"/>
    <w:rsid w:val="002500E0"/>
    <w:rsid w:val="00251E1D"/>
    <w:rsid w:val="0025373F"/>
    <w:rsid w:val="002633D1"/>
    <w:rsid w:val="0026386A"/>
    <w:rsid w:val="00267B9A"/>
    <w:rsid w:val="00287F91"/>
    <w:rsid w:val="002A127E"/>
    <w:rsid w:val="002A501A"/>
    <w:rsid w:val="002A6565"/>
    <w:rsid w:val="002B0BD7"/>
    <w:rsid w:val="002C2C77"/>
    <w:rsid w:val="002C63D3"/>
    <w:rsid w:val="002C7A73"/>
    <w:rsid w:val="002E3008"/>
    <w:rsid w:val="002E581A"/>
    <w:rsid w:val="002E5993"/>
    <w:rsid w:val="002F0FC3"/>
    <w:rsid w:val="002F3C60"/>
    <w:rsid w:val="0030324A"/>
    <w:rsid w:val="003141EE"/>
    <w:rsid w:val="00345ABC"/>
    <w:rsid w:val="00354693"/>
    <w:rsid w:val="0036195D"/>
    <w:rsid w:val="003758D4"/>
    <w:rsid w:val="00377948"/>
    <w:rsid w:val="003805EE"/>
    <w:rsid w:val="00396912"/>
    <w:rsid w:val="003A43EE"/>
    <w:rsid w:val="003A6538"/>
    <w:rsid w:val="003A6905"/>
    <w:rsid w:val="003B1827"/>
    <w:rsid w:val="003B5A71"/>
    <w:rsid w:val="003B7894"/>
    <w:rsid w:val="003C4AF9"/>
    <w:rsid w:val="003E2AA9"/>
    <w:rsid w:val="003F1A15"/>
    <w:rsid w:val="004061A3"/>
    <w:rsid w:val="00406862"/>
    <w:rsid w:val="004201A4"/>
    <w:rsid w:val="0042161B"/>
    <w:rsid w:val="00422197"/>
    <w:rsid w:val="0043150C"/>
    <w:rsid w:val="004579F2"/>
    <w:rsid w:val="00461B7D"/>
    <w:rsid w:val="004658E9"/>
    <w:rsid w:val="00492AD5"/>
    <w:rsid w:val="004960E3"/>
    <w:rsid w:val="004A43AD"/>
    <w:rsid w:val="004A5118"/>
    <w:rsid w:val="004B1280"/>
    <w:rsid w:val="004B5248"/>
    <w:rsid w:val="004B5F35"/>
    <w:rsid w:val="004B6210"/>
    <w:rsid w:val="004C0728"/>
    <w:rsid w:val="004C3A89"/>
    <w:rsid w:val="004E5D50"/>
    <w:rsid w:val="004E6B09"/>
    <w:rsid w:val="004F243D"/>
    <w:rsid w:val="00503A8E"/>
    <w:rsid w:val="0051655A"/>
    <w:rsid w:val="00524C1A"/>
    <w:rsid w:val="005257EC"/>
    <w:rsid w:val="005315D4"/>
    <w:rsid w:val="00537B39"/>
    <w:rsid w:val="00540BE4"/>
    <w:rsid w:val="00541D8B"/>
    <w:rsid w:val="00545B7A"/>
    <w:rsid w:val="00547D4A"/>
    <w:rsid w:val="00556C5D"/>
    <w:rsid w:val="00572331"/>
    <w:rsid w:val="0057422F"/>
    <w:rsid w:val="00584110"/>
    <w:rsid w:val="005907C8"/>
    <w:rsid w:val="0059080A"/>
    <w:rsid w:val="00593BB0"/>
    <w:rsid w:val="005A3DCA"/>
    <w:rsid w:val="005B1137"/>
    <w:rsid w:val="005B210D"/>
    <w:rsid w:val="005B683B"/>
    <w:rsid w:val="005C1BF7"/>
    <w:rsid w:val="005C5567"/>
    <w:rsid w:val="005D1EE8"/>
    <w:rsid w:val="005D53DB"/>
    <w:rsid w:val="005E2270"/>
    <w:rsid w:val="005E7B2B"/>
    <w:rsid w:val="005E7D52"/>
    <w:rsid w:val="005F69AF"/>
    <w:rsid w:val="00600894"/>
    <w:rsid w:val="0061389A"/>
    <w:rsid w:val="0061592A"/>
    <w:rsid w:val="00626B93"/>
    <w:rsid w:val="00627680"/>
    <w:rsid w:val="00632F91"/>
    <w:rsid w:val="00646376"/>
    <w:rsid w:val="00650A88"/>
    <w:rsid w:val="0066052F"/>
    <w:rsid w:val="006612FA"/>
    <w:rsid w:val="00662CDD"/>
    <w:rsid w:val="006729FA"/>
    <w:rsid w:val="0068362C"/>
    <w:rsid w:val="00690716"/>
    <w:rsid w:val="006A4C95"/>
    <w:rsid w:val="006A6502"/>
    <w:rsid w:val="006B13D8"/>
    <w:rsid w:val="00703B26"/>
    <w:rsid w:val="007151D0"/>
    <w:rsid w:val="00720803"/>
    <w:rsid w:val="00723671"/>
    <w:rsid w:val="00737074"/>
    <w:rsid w:val="007412AC"/>
    <w:rsid w:val="007447C2"/>
    <w:rsid w:val="00745717"/>
    <w:rsid w:val="007547CF"/>
    <w:rsid w:val="00754948"/>
    <w:rsid w:val="00763AA1"/>
    <w:rsid w:val="00767EED"/>
    <w:rsid w:val="00795FCF"/>
    <w:rsid w:val="007A4202"/>
    <w:rsid w:val="007B16C4"/>
    <w:rsid w:val="007C31C2"/>
    <w:rsid w:val="007D0916"/>
    <w:rsid w:val="007D354A"/>
    <w:rsid w:val="007E6242"/>
    <w:rsid w:val="007E7310"/>
    <w:rsid w:val="008422E2"/>
    <w:rsid w:val="008441CA"/>
    <w:rsid w:val="00844E20"/>
    <w:rsid w:val="008519A4"/>
    <w:rsid w:val="00854B1D"/>
    <w:rsid w:val="008551DC"/>
    <w:rsid w:val="008703C2"/>
    <w:rsid w:val="00872FAB"/>
    <w:rsid w:val="008A203A"/>
    <w:rsid w:val="008A49A5"/>
    <w:rsid w:val="008B4434"/>
    <w:rsid w:val="008C42D6"/>
    <w:rsid w:val="008D172F"/>
    <w:rsid w:val="008E04CC"/>
    <w:rsid w:val="008E4171"/>
    <w:rsid w:val="0090128C"/>
    <w:rsid w:val="009030DB"/>
    <w:rsid w:val="0090630E"/>
    <w:rsid w:val="00916465"/>
    <w:rsid w:val="009254AA"/>
    <w:rsid w:val="009312F8"/>
    <w:rsid w:val="00941BC7"/>
    <w:rsid w:val="00947AD7"/>
    <w:rsid w:val="0095414E"/>
    <w:rsid w:val="0096013D"/>
    <w:rsid w:val="00976796"/>
    <w:rsid w:val="009871F8"/>
    <w:rsid w:val="009904A9"/>
    <w:rsid w:val="009A247F"/>
    <w:rsid w:val="009D31F8"/>
    <w:rsid w:val="009E09F1"/>
    <w:rsid w:val="009E533F"/>
    <w:rsid w:val="009E63D0"/>
    <w:rsid w:val="00A0428F"/>
    <w:rsid w:val="00A17CE6"/>
    <w:rsid w:val="00A229E2"/>
    <w:rsid w:val="00A22B2A"/>
    <w:rsid w:val="00A2698E"/>
    <w:rsid w:val="00A350C4"/>
    <w:rsid w:val="00A355FF"/>
    <w:rsid w:val="00A37B13"/>
    <w:rsid w:val="00A46127"/>
    <w:rsid w:val="00A473BE"/>
    <w:rsid w:val="00A545D7"/>
    <w:rsid w:val="00A5543D"/>
    <w:rsid w:val="00A6574F"/>
    <w:rsid w:val="00A66662"/>
    <w:rsid w:val="00A74309"/>
    <w:rsid w:val="00A81115"/>
    <w:rsid w:val="00A9144E"/>
    <w:rsid w:val="00A91EFC"/>
    <w:rsid w:val="00AA2D51"/>
    <w:rsid w:val="00AA317B"/>
    <w:rsid w:val="00AA7142"/>
    <w:rsid w:val="00AA762E"/>
    <w:rsid w:val="00AB2A2D"/>
    <w:rsid w:val="00AB5C7B"/>
    <w:rsid w:val="00AB797B"/>
    <w:rsid w:val="00AD009D"/>
    <w:rsid w:val="00AD36FB"/>
    <w:rsid w:val="00AD78DE"/>
    <w:rsid w:val="00AE60D6"/>
    <w:rsid w:val="00B0464C"/>
    <w:rsid w:val="00B0699A"/>
    <w:rsid w:val="00B11756"/>
    <w:rsid w:val="00B26378"/>
    <w:rsid w:val="00B33E6F"/>
    <w:rsid w:val="00B37643"/>
    <w:rsid w:val="00B428F5"/>
    <w:rsid w:val="00B659FF"/>
    <w:rsid w:val="00B942FA"/>
    <w:rsid w:val="00BB0C06"/>
    <w:rsid w:val="00BC0199"/>
    <w:rsid w:val="00BD5960"/>
    <w:rsid w:val="00BE06B9"/>
    <w:rsid w:val="00BE2C7E"/>
    <w:rsid w:val="00BF1A76"/>
    <w:rsid w:val="00C121B8"/>
    <w:rsid w:val="00C1363E"/>
    <w:rsid w:val="00C16FFF"/>
    <w:rsid w:val="00C20EC4"/>
    <w:rsid w:val="00C2386B"/>
    <w:rsid w:val="00C27F7F"/>
    <w:rsid w:val="00C3008B"/>
    <w:rsid w:val="00C319FB"/>
    <w:rsid w:val="00C32D06"/>
    <w:rsid w:val="00C50946"/>
    <w:rsid w:val="00C55780"/>
    <w:rsid w:val="00C57144"/>
    <w:rsid w:val="00C707B8"/>
    <w:rsid w:val="00C75EA1"/>
    <w:rsid w:val="00C96591"/>
    <w:rsid w:val="00CA4D9D"/>
    <w:rsid w:val="00CA68FD"/>
    <w:rsid w:val="00CA74A2"/>
    <w:rsid w:val="00CB5492"/>
    <w:rsid w:val="00CB5ED6"/>
    <w:rsid w:val="00CC104B"/>
    <w:rsid w:val="00CC406C"/>
    <w:rsid w:val="00CD49E6"/>
    <w:rsid w:val="00D00254"/>
    <w:rsid w:val="00D04409"/>
    <w:rsid w:val="00D055E3"/>
    <w:rsid w:val="00D15BB3"/>
    <w:rsid w:val="00D15E09"/>
    <w:rsid w:val="00D27542"/>
    <w:rsid w:val="00D32551"/>
    <w:rsid w:val="00D40FC6"/>
    <w:rsid w:val="00D420C0"/>
    <w:rsid w:val="00D47613"/>
    <w:rsid w:val="00D52E0E"/>
    <w:rsid w:val="00D643D3"/>
    <w:rsid w:val="00D70F10"/>
    <w:rsid w:val="00D74047"/>
    <w:rsid w:val="00D8309D"/>
    <w:rsid w:val="00D8634F"/>
    <w:rsid w:val="00D90F07"/>
    <w:rsid w:val="00DA5BDA"/>
    <w:rsid w:val="00DB5073"/>
    <w:rsid w:val="00DB760B"/>
    <w:rsid w:val="00DD58B7"/>
    <w:rsid w:val="00DD6DCE"/>
    <w:rsid w:val="00DD79E6"/>
    <w:rsid w:val="00DE5981"/>
    <w:rsid w:val="00DE5B4D"/>
    <w:rsid w:val="00DF0150"/>
    <w:rsid w:val="00DF1CA5"/>
    <w:rsid w:val="00DF5506"/>
    <w:rsid w:val="00E021EE"/>
    <w:rsid w:val="00E051D8"/>
    <w:rsid w:val="00E111B1"/>
    <w:rsid w:val="00E15BD5"/>
    <w:rsid w:val="00E16308"/>
    <w:rsid w:val="00E16CF3"/>
    <w:rsid w:val="00E25490"/>
    <w:rsid w:val="00E40B57"/>
    <w:rsid w:val="00E5220A"/>
    <w:rsid w:val="00E57E60"/>
    <w:rsid w:val="00E64F33"/>
    <w:rsid w:val="00E66E74"/>
    <w:rsid w:val="00E67EEE"/>
    <w:rsid w:val="00E72492"/>
    <w:rsid w:val="00E76C89"/>
    <w:rsid w:val="00E82F11"/>
    <w:rsid w:val="00E83E43"/>
    <w:rsid w:val="00E932B0"/>
    <w:rsid w:val="00E95873"/>
    <w:rsid w:val="00EB1814"/>
    <w:rsid w:val="00EC223D"/>
    <w:rsid w:val="00ED131E"/>
    <w:rsid w:val="00ED1C24"/>
    <w:rsid w:val="00ED238B"/>
    <w:rsid w:val="00ED5795"/>
    <w:rsid w:val="00EE44EB"/>
    <w:rsid w:val="00EE5972"/>
    <w:rsid w:val="00EF407D"/>
    <w:rsid w:val="00EF576B"/>
    <w:rsid w:val="00EF7DD1"/>
    <w:rsid w:val="00F00792"/>
    <w:rsid w:val="00F00C89"/>
    <w:rsid w:val="00F066D6"/>
    <w:rsid w:val="00F070E5"/>
    <w:rsid w:val="00F21712"/>
    <w:rsid w:val="00F26C88"/>
    <w:rsid w:val="00F26ECF"/>
    <w:rsid w:val="00F33858"/>
    <w:rsid w:val="00F4070B"/>
    <w:rsid w:val="00F729BE"/>
    <w:rsid w:val="00F7410F"/>
    <w:rsid w:val="00F74646"/>
    <w:rsid w:val="00F77757"/>
    <w:rsid w:val="00F8425B"/>
    <w:rsid w:val="00F84823"/>
    <w:rsid w:val="00F90461"/>
    <w:rsid w:val="00F9230C"/>
    <w:rsid w:val="00FA033B"/>
    <w:rsid w:val="00FA6788"/>
    <w:rsid w:val="00FA7B5F"/>
    <w:rsid w:val="00FB3F9B"/>
    <w:rsid w:val="00FC40D5"/>
    <w:rsid w:val="00FD002A"/>
    <w:rsid w:val="00FF0CC7"/>
    <w:rsid w:val="00FF7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34D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lsdException w:name="heading 3" w:semiHidden="1" w:uiPriority="0" w:unhideWhenUsed="1" w:qFormat="1"/>
    <w:lsdException w:name="heading 4" w:semiHidden="1" w:uiPriority="9" w:unhideWhenUsed="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CF3"/>
    <w:pPr>
      <w:jc w:val="both"/>
    </w:pPr>
    <w:rPr>
      <w:rFonts w:ascii="Calibri" w:hAnsi="Calibri"/>
      <w:sz w:val="24"/>
      <w:szCs w:val="24"/>
    </w:rPr>
  </w:style>
  <w:style w:type="paragraph" w:styleId="Heading1">
    <w:name w:val="heading 1"/>
    <w:basedOn w:val="ListParagraph"/>
    <w:next w:val="Normal"/>
    <w:link w:val="Heading1Char"/>
    <w:uiPriority w:val="1"/>
    <w:rsid w:val="00A229E2"/>
    <w:pPr>
      <w:ind w:left="0"/>
      <w:outlineLvl w:val="0"/>
    </w:pPr>
    <w:rPr>
      <w:b/>
      <w:szCs w:val="22"/>
    </w:rPr>
  </w:style>
  <w:style w:type="paragraph" w:styleId="Heading2">
    <w:name w:val="heading 2"/>
    <w:aliases w:val="Subsection Headings"/>
    <w:basedOn w:val="Normal"/>
    <w:next w:val="Normal"/>
    <w:link w:val="Heading2Char"/>
    <w:uiPriority w:val="1"/>
    <w:rsid w:val="00A229E2"/>
    <w:pPr>
      <w:keepNext/>
      <w:outlineLvl w:val="1"/>
    </w:pPr>
    <w:rPr>
      <w:rFonts w:ascii="Arial" w:hAnsi="Arial"/>
      <w:b/>
      <w:i/>
      <w:sz w:val="22"/>
    </w:rPr>
  </w:style>
  <w:style w:type="paragraph" w:styleId="Heading3">
    <w:name w:val="heading 3"/>
    <w:basedOn w:val="Normal"/>
    <w:next w:val="Normal"/>
    <w:link w:val="Heading3Char"/>
    <w:unhideWhenUsed/>
    <w:rsid w:val="00A229E2"/>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rsid w:val="00A229E2"/>
    <w:pPr>
      <w:spacing w:before="240" w:after="60"/>
      <w:outlineLvl w:val="4"/>
    </w:pPr>
    <w:rPr>
      <w:b/>
      <w:bCs/>
      <w:i/>
      <w:iCs/>
      <w:sz w:val="26"/>
      <w:szCs w:val="26"/>
    </w:rPr>
  </w:style>
  <w:style w:type="paragraph" w:styleId="Heading6">
    <w:name w:val="heading 6"/>
    <w:basedOn w:val="Normal"/>
    <w:next w:val="Normal"/>
    <w:link w:val="Heading6Char"/>
    <w:rsid w:val="00A229E2"/>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29E2"/>
    <w:rPr>
      <w:rFonts w:eastAsia="Times New Roman" w:cs="Arial"/>
      <w:b/>
      <w:snapToGrid w:val="0"/>
      <w:sz w:val="24"/>
      <w:lang w:eastAsia="en-AU"/>
    </w:rPr>
  </w:style>
  <w:style w:type="character" w:customStyle="1" w:styleId="Heading2Char">
    <w:name w:val="Heading 2 Char"/>
    <w:aliases w:val="Subsection Headings Char"/>
    <w:basedOn w:val="DefaultParagraphFont"/>
    <w:link w:val="Heading2"/>
    <w:uiPriority w:val="1"/>
    <w:rsid w:val="00A229E2"/>
    <w:rPr>
      <w:rFonts w:ascii="Arial" w:eastAsia="Times New Roman" w:hAnsi="Arial" w:cs="Times New Roman"/>
      <w:b/>
      <w:i/>
      <w:szCs w:val="24"/>
      <w:lang w:eastAsia="en-AU"/>
    </w:rPr>
  </w:style>
  <w:style w:type="character" w:customStyle="1" w:styleId="Heading3Char">
    <w:name w:val="Heading 3 Char"/>
    <w:basedOn w:val="DefaultParagraphFont"/>
    <w:link w:val="Heading3"/>
    <w:rsid w:val="00A229E2"/>
    <w:rPr>
      <w:rFonts w:asciiTheme="majorHAnsi" w:eastAsiaTheme="majorEastAsia" w:hAnsiTheme="majorHAnsi" w:cstheme="majorBidi"/>
      <w:b/>
      <w:bCs/>
      <w:color w:val="4472C4" w:themeColor="accent1"/>
      <w:sz w:val="24"/>
      <w:szCs w:val="24"/>
      <w:lang w:eastAsia="en-AU"/>
    </w:rPr>
  </w:style>
  <w:style w:type="character" w:customStyle="1" w:styleId="Heading5Char">
    <w:name w:val="Heading 5 Char"/>
    <w:basedOn w:val="DefaultParagraphFont"/>
    <w:link w:val="Heading5"/>
    <w:rsid w:val="00A229E2"/>
    <w:rPr>
      <w:rFonts w:ascii="Calibri" w:eastAsia="Times New Roman" w:hAnsi="Calibri" w:cs="Times New Roman"/>
      <w:b/>
      <w:bCs/>
      <w:i/>
      <w:iCs/>
      <w:sz w:val="26"/>
      <w:szCs w:val="26"/>
      <w:lang w:eastAsia="en-AU"/>
    </w:rPr>
  </w:style>
  <w:style w:type="character" w:customStyle="1" w:styleId="Heading6Char">
    <w:name w:val="Heading 6 Char"/>
    <w:basedOn w:val="DefaultParagraphFont"/>
    <w:link w:val="Heading6"/>
    <w:rsid w:val="00A229E2"/>
    <w:rPr>
      <w:rFonts w:ascii="Calibri" w:eastAsia="Times New Roman" w:hAnsi="Calibri" w:cs="Times New Roman"/>
      <w:b/>
      <w:bCs/>
      <w:lang w:eastAsia="en-AU"/>
    </w:rPr>
  </w:style>
  <w:style w:type="paragraph" w:styleId="Header">
    <w:name w:val="header"/>
    <w:aliases w:val="Page Header,Header title,he=header,cntr/bld"/>
    <w:basedOn w:val="Normal"/>
    <w:link w:val="HeaderChar"/>
    <w:qFormat/>
    <w:rsid w:val="00E16CF3"/>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16CF3"/>
    <w:rPr>
      <w:rFonts w:ascii="Calibri" w:hAnsi="Calibri"/>
      <w:sz w:val="24"/>
      <w:szCs w:val="24"/>
    </w:rPr>
  </w:style>
  <w:style w:type="paragraph" w:styleId="Footer">
    <w:name w:val="footer"/>
    <w:basedOn w:val="Normal"/>
    <w:link w:val="FooterChar"/>
    <w:uiPriority w:val="99"/>
    <w:rsid w:val="00A229E2"/>
    <w:pPr>
      <w:tabs>
        <w:tab w:val="center" w:pos="4153"/>
        <w:tab w:val="right" w:pos="8306"/>
      </w:tabs>
    </w:pPr>
  </w:style>
  <w:style w:type="character" w:customStyle="1" w:styleId="FooterChar">
    <w:name w:val="Footer Char"/>
    <w:basedOn w:val="DefaultParagraphFont"/>
    <w:link w:val="Footer"/>
    <w:uiPriority w:val="99"/>
    <w:rsid w:val="00A229E2"/>
    <w:rPr>
      <w:rFonts w:ascii="Calibri" w:eastAsia="Times New Roman" w:hAnsi="Calibri" w:cs="Times New Roman"/>
      <w:sz w:val="24"/>
      <w:szCs w:val="24"/>
      <w:lang w:eastAsia="en-AU"/>
    </w:rPr>
  </w:style>
  <w:style w:type="character" w:styleId="PageNumber">
    <w:name w:val="page number"/>
    <w:basedOn w:val="DefaultParagraphFont"/>
    <w:rsid w:val="00A229E2"/>
  </w:style>
  <w:style w:type="paragraph" w:styleId="BalloonText">
    <w:name w:val="Balloon Text"/>
    <w:basedOn w:val="Normal"/>
    <w:link w:val="BalloonTextChar"/>
    <w:semiHidden/>
    <w:rsid w:val="00A229E2"/>
    <w:rPr>
      <w:rFonts w:ascii="Tahoma" w:hAnsi="Tahoma" w:cs="Tahoma"/>
      <w:sz w:val="16"/>
      <w:szCs w:val="16"/>
    </w:rPr>
  </w:style>
  <w:style w:type="character" w:customStyle="1" w:styleId="BalloonTextChar">
    <w:name w:val="Balloon Text Char"/>
    <w:basedOn w:val="DefaultParagraphFont"/>
    <w:link w:val="BalloonText"/>
    <w:semiHidden/>
    <w:rsid w:val="00A229E2"/>
    <w:rPr>
      <w:rFonts w:ascii="Tahoma" w:eastAsia="Times New Roman" w:hAnsi="Tahoma" w:cs="Tahoma"/>
      <w:sz w:val="16"/>
      <w:szCs w:val="16"/>
      <w:lang w:eastAsia="en-AU"/>
    </w:rPr>
  </w:style>
  <w:style w:type="table" w:styleId="TableGrid">
    <w:name w:val="Table Grid"/>
    <w:aliases w:val="PBAC table,HTAtableplain"/>
    <w:basedOn w:val="TableNormal"/>
    <w:uiPriority w:val="39"/>
    <w:rsid w:val="00A229E2"/>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229E2"/>
    <w:pPr>
      <w:spacing w:after="160" w:line="240" w:lineRule="exact"/>
    </w:pPr>
    <w:rPr>
      <w:rFonts w:ascii="Verdana" w:eastAsia="MS Mincho" w:hAnsi="Verdana" w:cs="Verdana"/>
      <w:sz w:val="20"/>
      <w:szCs w:val="20"/>
      <w:lang w:val="en-US"/>
    </w:rPr>
  </w:style>
  <w:style w:type="paragraph" w:customStyle="1" w:styleId="Tabletext">
    <w:name w:val="Table text"/>
    <w:basedOn w:val="Normal"/>
    <w:link w:val="TabletextChar"/>
    <w:rsid w:val="00A229E2"/>
    <w:pPr>
      <w:spacing w:after="120"/>
    </w:pPr>
    <w:rPr>
      <w:rFonts w:ascii="Arial" w:hAnsi="Arial"/>
      <w:sz w:val="20"/>
      <w:szCs w:val="20"/>
    </w:rPr>
  </w:style>
  <w:style w:type="paragraph" w:styleId="BodyText2">
    <w:name w:val="Body Text 2"/>
    <w:basedOn w:val="Normal"/>
    <w:link w:val="BodyText2Char"/>
    <w:rsid w:val="00A229E2"/>
    <w:pPr>
      <w:widowControl w:val="0"/>
    </w:pPr>
    <w:rPr>
      <w:rFonts w:ascii="Arial" w:hAnsi="Arial"/>
      <w:snapToGrid w:val="0"/>
      <w:sz w:val="20"/>
      <w:szCs w:val="20"/>
    </w:rPr>
  </w:style>
  <w:style w:type="character" w:customStyle="1" w:styleId="BodyText2Char">
    <w:name w:val="Body Text 2 Char"/>
    <w:basedOn w:val="DefaultParagraphFont"/>
    <w:link w:val="BodyText2"/>
    <w:rsid w:val="00A229E2"/>
    <w:rPr>
      <w:rFonts w:ascii="Arial" w:eastAsia="Times New Roman" w:hAnsi="Arial" w:cs="Times New Roman"/>
      <w:snapToGrid w:val="0"/>
      <w:sz w:val="20"/>
      <w:szCs w:val="20"/>
    </w:rPr>
  </w:style>
  <w:style w:type="paragraph" w:customStyle="1" w:styleId="TableHeading">
    <w:name w:val="TableHeading"/>
    <w:basedOn w:val="Normal"/>
    <w:rsid w:val="00A229E2"/>
    <w:pPr>
      <w:keepNext/>
      <w:spacing w:before="40" w:after="40"/>
    </w:pPr>
    <w:rPr>
      <w:rFonts w:ascii="Arial Narrow" w:hAnsi="Arial Narrow" w:cs="Arial Narrow"/>
      <w:b/>
      <w:bCs/>
      <w:sz w:val="20"/>
      <w:szCs w:val="20"/>
    </w:rPr>
  </w:style>
  <w:style w:type="paragraph" w:customStyle="1" w:styleId="Char1CharCharChar">
    <w:name w:val="Char1 Char Char Char"/>
    <w:basedOn w:val="Normal"/>
    <w:rsid w:val="00A229E2"/>
    <w:pPr>
      <w:spacing w:after="160" w:line="240" w:lineRule="exact"/>
    </w:pPr>
    <w:rPr>
      <w:rFonts w:ascii="Verdana" w:eastAsia="MS Mincho" w:hAnsi="Verdana" w:cs="Verdana"/>
      <w:sz w:val="20"/>
      <w:szCs w:val="20"/>
      <w:lang w:val="en-US"/>
    </w:rPr>
  </w:style>
  <w:style w:type="paragraph" w:styleId="BodyText3">
    <w:name w:val="Body Text 3"/>
    <w:basedOn w:val="Normal"/>
    <w:link w:val="BodyText3Char"/>
    <w:rsid w:val="00A229E2"/>
    <w:pPr>
      <w:spacing w:after="120"/>
    </w:pPr>
    <w:rPr>
      <w:sz w:val="16"/>
      <w:szCs w:val="16"/>
    </w:rPr>
  </w:style>
  <w:style w:type="character" w:customStyle="1" w:styleId="BodyText3Char">
    <w:name w:val="Body Text 3 Char"/>
    <w:basedOn w:val="DefaultParagraphFont"/>
    <w:link w:val="BodyText3"/>
    <w:rsid w:val="00A229E2"/>
    <w:rPr>
      <w:rFonts w:ascii="Calibri" w:eastAsia="Times New Roman" w:hAnsi="Calibri" w:cs="Times New Roman"/>
      <w:sz w:val="16"/>
      <w:szCs w:val="16"/>
      <w:lang w:eastAsia="en-AU"/>
    </w:rPr>
  </w:style>
  <w:style w:type="character" w:customStyle="1" w:styleId="SubtitleChar">
    <w:name w:val="Subtitle Char"/>
    <w:link w:val="Subtitle"/>
    <w:rsid w:val="00A229E2"/>
  </w:style>
  <w:style w:type="paragraph" w:styleId="Subtitle">
    <w:name w:val="Subtitle"/>
    <w:basedOn w:val="Normal"/>
    <w:link w:val="SubtitleChar"/>
    <w:rsid w:val="00A229E2"/>
    <w:rPr>
      <w:rFonts w:asciiTheme="minorHAnsi" w:eastAsiaTheme="minorHAnsi" w:hAnsiTheme="minorHAnsi" w:cstheme="minorBidi"/>
      <w:sz w:val="22"/>
      <w:szCs w:val="22"/>
    </w:rPr>
  </w:style>
  <w:style w:type="character" w:customStyle="1" w:styleId="SubtitleChar1">
    <w:name w:val="Subtitle Char1"/>
    <w:basedOn w:val="DefaultParagraphFont"/>
    <w:uiPriority w:val="11"/>
    <w:rsid w:val="00A229E2"/>
    <w:rPr>
      <w:rFonts w:eastAsiaTheme="minorEastAsia"/>
      <w:color w:val="5A5A5A" w:themeColor="text1" w:themeTint="A5"/>
      <w:spacing w:val="15"/>
      <w:lang w:eastAsia="en-AU"/>
    </w:rPr>
  </w:style>
  <w:style w:type="paragraph" w:customStyle="1" w:styleId="MediumGrid21">
    <w:name w:val="Medium Grid 21"/>
    <w:link w:val="MediumGrid2Char"/>
    <w:rsid w:val="00A229E2"/>
    <w:rPr>
      <w:rFonts w:ascii="PMingLiU" w:eastAsia="MS Mincho" w:hAnsi="PMingLiU"/>
      <w:lang w:val="en-US"/>
    </w:rPr>
  </w:style>
  <w:style w:type="character" w:customStyle="1" w:styleId="MediumGrid2Char">
    <w:name w:val="Medium Grid 2 Char"/>
    <w:link w:val="MediumGrid21"/>
    <w:rsid w:val="00A229E2"/>
    <w:rPr>
      <w:rFonts w:ascii="PMingLiU" w:eastAsia="MS Mincho" w:hAnsi="PMingLiU" w:cs="Times New Roman"/>
      <w:lang w:val="en-US"/>
    </w:rPr>
  </w:style>
  <w:style w:type="table" w:customStyle="1" w:styleId="IntenseQuote1">
    <w:name w:val="Intense Quote1"/>
    <w:basedOn w:val="TableNormal"/>
    <w:uiPriority w:val="60"/>
    <w:qFormat/>
    <w:rsid w:val="00A229E2"/>
    <w:rPr>
      <w:rFonts w:ascii="Cambria" w:eastAsia="MS Mincho" w:hAnsi="Cambria"/>
      <w:color w:val="365F91"/>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ListParagraph">
    <w:name w:val="List Paragraph"/>
    <w:aliases w:val="Body Text Bullet Points,BulletPoints,Numbered para,List Paragraph1,Bullet point,List Paragraph11,Recommendation,Section heading,Footnote,ES Paragraph,PBAC ES Paragraph,PBAC normal points,Bullet List,Figure_name,Numbered Indented Text"/>
    <w:next w:val="ListBullet"/>
    <w:link w:val="ListParagraphChar"/>
    <w:uiPriority w:val="34"/>
    <w:qFormat/>
    <w:rsid w:val="00E16CF3"/>
    <w:pPr>
      <w:numPr>
        <w:numId w:val="31"/>
      </w:numPr>
      <w:spacing w:after="120"/>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rsid w:val="00A229E2"/>
    <w:rPr>
      <w:sz w:val="16"/>
      <w:szCs w:val="16"/>
    </w:rPr>
  </w:style>
  <w:style w:type="paragraph" w:styleId="CommentText">
    <w:name w:val="annotation text"/>
    <w:basedOn w:val="Normal"/>
    <w:link w:val="CommentTextChar"/>
    <w:rsid w:val="00A229E2"/>
    <w:rPr>
      <w:sz w:val="20"/>
      <w:szCs w:val="20"/>
    </w:rPr>
  </w:style>
  <w:style w:type="character" w:customStyle="1" w:styleId="CommentTextChar">
    <w:name w:val="Comment Text Char"/>
    <w:basedOn w:val="DefaultParagraphFont"/>
    <w:link w:val="CommentText"/>
    <w:rsid w:val="00A229E2"/>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rsid w:val="00A229E2"/>
    <w:rPr>
      <w:b/>
      <w:bCs/>
    </w:rPr>
  </w:style>
  <w:style w:type="character" w:customStyle="1" w:styleId="CommentSubjectChar">
    <w:name w:val="Comment Subject Char"/>
    <w:basedOn w:val="CommentTextChar"/>
    <w:link w:val="CommentSubject"/>
    <w:rsid w:val="00A229E2"/>
    <w:rPr>
      <w:rFonts w:ascii="Calibri" w:eastAsia="Times New Roman" w:hAnsi="Calibri" w:cs="Times New Roman"/>
      <w:b/>
      <w:bCs/>
      <w:sz w:val="20"/>
      <w:szCs w:val="20"/>
      <w:lang w:eastAsia="en-AU"/>
    </w:rPr>
  </w:style>
  <w:style w:type="paragraph" w:customStyle="1" w:styleId="tablenotes">
    <w:name w:val="table notes"/>
    <w:basedOn w:val="BodyText2"/>
    <w:rsid w:val="00A229E2"/>
  </w:style>
  <w:style w:type="paragraph" w:styleId="NoSpacing">
    <w:name w:val="No Spacing"/>
    <w:basedOn w:val="Normal"/>
    <w:link w:val="NoSpacingChar"/>
    <w:uiPriority w:val="1"/>
    <w:qFormat/>
    <w:rsid w:val="00A229E2"/>
    <w:rPr>
      <w:rFonts w:ascii="Arial" w:hAnsi="Arial"/>
      <w:sz w:val="22"/>
      <w:szCs w:val="22"/>
    </w:rPr>
  </w:style>
  <w:style w:type="character" w:styleId="Hyperlink">
    <w:name w:val="Hyperlink"/>
    <w:uiPriority w:val="99"/>
    <w:rsid w:val="00A229E2"/>
    <w:rPr>
      <w:color w:val="0000FF"/>
      <w:u w:val="single"/>
    </w:rPr>
  </w:style>
  <w:style w:type="paragraph" w:styleId="Title">
    <w:name w:val="Title"/>
    <w:basedOn w:val="Normal"/>
    <w:next w:val="Normal"/>
    <w:link w:val="TitleChar"/>
    <w:rsid w:val="00A229E2"/>
    <w:pPr>
      <w:spacing w:after="300"/>
      <w:contextualSpacing/>
      <w:outlineLvl w:val="0"/>
    </w:pPr>
    <w:rPr>
      <w:rFonts w:ascii="Arial Bold" w:eastAsiaTheme="majorEastAsia" w:hAnsi="Arial Bold" w:cstheme="majorBidi"/>
      <w:b/>
      <w:spacing w:val="5"/>
      <w:kern w:val="28"/>
      <w:sz w:val="28"/>
      <w:szCs w:val="52"/>
    </w:rPr>
  </w:style>
  <w:style w:type="character" w:customStyle="1" w:styleId="TitleChar">
    <w:name w:val="Title Char"/>
    <w:basedOn w:val="DefaultParagraphFont"/>
    <w:link w:val="Title"/>
    <w:rsid w:val="00A229E2"/>
    <w:rPr>
      <w:rFonts w:ascii="Arial Bold" w:eastAsiaTheme="majorEastAsia" w:hAnsi="Arial Bold" w:cstheme="majorBidi"/>
      <w:b/>
      <w:spacing w:val="5"/>
      <w:kern w:val="28"/>
      <w:sz w:val="28"/>
      <w:szCs w:val="52"/>
      <w:lang w:eastAsia="en-AU"/>
    </w:rPr>
  </w:style>
  <w:style w:type="paragraph" w:styleId="ListNumber">
    <w:name w:val="List Number"/>
    <w:basedOn w:val="Normal"/>
    <w:rsid w:val="00A229E2"/>
    <w:pPr>
      <w:tabs>
        <w:tab w:val="num" w:pos="360"/>
      </w:tabs>
      <w:ind w:left="360" w:hanging="360"/>
      <w:contextualSpacing/>
    </w:pPr>
  </w:style>
  <w:style w:type="paragraph" w:styleId="ListContinue2">
    <w:name w:val="List Continue 2"/>
    <w:basedOn w:val="Normal"/>
    <w:rsid w:val="00A229E2"/>
    <w:pPr>
      <w:spacing w:after="120"/>
      <w:ind w:left="566"/>
      <w:contextualSpacing/>
    </w:pPr>
  </w:style>
  <w:style w:type="paragraph" w:styleId="ListNumber2">
    <w:name w:val="List Number 2"/>
    <w:basedOn w:val="Normal"/>
    <w:rsid w:val="00A229E2"/>
    <w:pPr>
      <w:tabs>
        <w:tab w:val="num" w:pos="643"/>
      </w:tabs>
      <w:ind w:left="643" w:hanging="360"/>
      <w:contextualSpacing/>
    </w:p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ES Paragraph Char,PBAC ES Paragraph Char"/>
    <w:basedOn w:val="DefaultParagraphFont"/>
    <w:link w:val="ListParagraph"/>
    <w:uiPriority w:val="34"/>
    <w:qFormat/>
    <w:rsid w:val="00E16CF3"/>
    <w:rPr>
      <w:rFonts w:asciiTheme="minorHAnsi" w:hAnsiTheme="minorHAnsi" w:cs="Arial"/>
      <w:snapToGrid w:val="0"/>
      <w:sz w:val="24"/>
      <w:szCs w:val="24"/>
    </w:rPr>
  </w:style>
  <w:style w:type="paragraph" w:customStyle="1" w:styleId="2Sections">
    <w:name w:val="2. Sections"/>
    <w:rsid w:val="00A229E2"/>
    <w:pPr>
      <w:spacing w:before="240" w:after="120"/>
      <w:outlineLvl w:val="0"/>
    </w:pPr>
    <w:rPr>
      <w:rFonts w:cs="Arial"/>
      <w:b/>
      <w:snapToGrid w:val="0"/>
      <w:sz w:val="32"/>
      <w:szCs w:val="32"/>
    </w:rPr>
  </w:style>
  <w:style w:type="paragraph" w:customStyle="1" w:styleId="1MainTitle">
    <w:name w:val="1. Main Title"/>
    <w:basedOn w:val="Title"/>
    <w:link w:val="1MainTitleChar"/>
    <w:rsid w:val="00A229E2"/>
    <w:pPr>
      <w:spacing w:before="120" w:after="160"/>
      <w:ind w:left="720" w:hanging="720"/>
    </w:pPr>
    <w:rPr>
      <w:sz w:val="36"/>
      <w:szCs w:val="36"/>
    </w:rPr>
  </w:style>
  <w:style w:type="paragraph" w:customStyle="1" w:styleId="MinorOVRHeader">
    <w:name w:val="Minor OVR Header"/>
    <w:basedOn w:val="Header"/>
    <w:link w:val="MinorOVRHeaderChar"/>
    <w:rsid w:val="00A229E2"/>
    <w:pPr>
      <w:jc w:val="right"/>
    </w:pPr>
    <w:rPr>
      <w:rFonts w:cs="Arial"/>
    </w:rPr>
  </w:style>
  <w:style w:type="character" w:customStyle="1" w:styleId="1MainTitleChar">
    <w:name w:val="1. Main Title Char"/>
    <w:basedOn w:val="TitleChar"/>
    <w:link w:val="1MainTitle"/>
    <w:rsid w:val="00A229E2"/>
    <w:rPr>
      <w:rFonts w:ascii="Arial Bold" w:eastAsiaTheme="majorEastAsia" w:hAnsi="Arial Bold" w:cstheme="majorBidi"/>
      <w:b/>
      <w:spacing w:val="5"/>
      <w:kern w:val="28"/>
      <w:sz w:val="36"/>
      <w:szCs w:val="36"/>
      <w:lang w:eastAsia="en-AU"/>
    </w:rPr>
  </w:style>
  <w:style w:type="paragraph" w:customStyle="1" w:styleId="Tabletitles">
    <w:name w:val="Table titles"/>
    <w:basedOn w:val="NoSpacing"/>
    <w:link w:val="TabletitlesChar"/>
    <w:rsid w:val="00A229E2"/>
    <w:pPr>
      <w:spacing w:after="60"/>
    </w:pPr>
    <w:rPr>
      <w:rFonts w:ascii="Arial Narrow" w:hAnsi="Arial Narrow"/>
      <w:b/>
      <w:sz w:val="20"/>
    </w:rPr>
  </w:style>
  <w:style w:type="character" w:customStyle="1" w:styleId="MinorOVRHeaderChar">
    <w:name w:val="Minor OVR Header Char"/>
    <w:basedOn w:val="HeaderChar"/>
    <w:link w:val="MinorOVRHeader"/>
    <w:rsid w:val="00A229E2"/>
    <w:rPr>
      <w:rFonts w:ascii="Calibri" w:eastAsia="Times New Roman" w:hAnsi="Calibri" w:cs="Arial"/>
      <w:sz w:val="24"/>
      <w:szCs w:val="24"/>
      <w:lang w:eastAsia="en-AU"/>
    </w:rPr>
  </w:style>
  <w:style w:type="character" w:customStyle="1" w:styleId="NoSpacingChar">
    <w:name w:val="No Spacing Char"/>
    <w:basedOn w:val="DefaultParagraphFont"/>
    <w:link w:val="NoSpacing"/>
    <w:uiPriority w:val="1"/>
    <w:rsid w:val="00A229E2"/>
    <w:rPr>
      <w:rFonts w:ascii="Arial" w:eastAsia="Times New Roman" w:hAnsi="Arial" w:cs="Times New Roman"/>
      <w:lang w:eastAsia="en-AU"/>
    </w:rPr>
  </w:style>
  <w:style w:type="character" w:customStyle="1" w:styleId="TabletitlesChar">
    <w:name w:val="Table titles Char"/>
    <w:basedOn w:val="NoSpacingChar"/>
    <w:link w:val="Tabletitles"/>
    <w:rsid w:val="00A229E2"/>
    <w:rPr>
      <w:rFonts w:ascii="Arial Narrow" w:eastAsia="Times New Roman" w:hAnsi="Arial Narrow" w:cs="Times New Roman"/>
      <w:b/>
      <w:sz w:val="20"/>
      <w:lang w:eastAsia="en-AU"/>
    </w:rPr>
  </w:style>
  <w:style w:type="paragraph" w:customStyle="1" w:styleId="3Bodytext">
    <w:name w:val="3. Body text"/>
    <w:basedOn w:val="ListParagraph"/>
    <w:link w:val="3BodytextChar"/>
    <w:rsid w:val="00A229E2"/>
    <w:pPr>
      <w:numPr>
        <w:numId w:val="0"/>
      </w:numPr>
    </w:pPr>
    <w:rPr>
      <w:snapToGrid/>
    </w:rPr>
  </w:style>
  <w:style w:type="paragraph" w:customStyle="1" w:styleId="PBACFooter">
    <w:name w:val="PBAC Footer"/>
    <w:basedOn w:val="Footer"/>
    <w:link w:val="PBACFooterChar"/>
    <w:rsid w:val="00A229E2"/>
    <w:pPr>
      <w:jc w:val="center"/>
    </w:pPr>
    <w:rPr>
      <w:rFonts w:ascii="Arial" w:hAnsi="Arial" w:cs="Arial"/>
      <w:b/>
      <w:sz w:val="20"/>
      <w:szCs w:val="20"/>
    </w:rPr>
  </w:style>
  <w:style w:type="character" w:customStyle="1" w:styleId="3BodytextChar">
    <w:name w:val="3. Body text Char"/>
    <w:basedOn w:val="ListParagraphChar"/>
    <w:link w:val="3Bodytext"/>
    <w:rsid w:val="00A229E2"/>
    <w:rPr>
      <w:rFonts w:asciiTheme="minorHAnsi" w:eastAsia="Times New Roman" w:hAnsiTheme="minorHAnsi" w:cs="Arial"/>
      <w:snapToGrid/>
      <w:sz w:val="24"/>
      <w:szCs w:val="24"/>
      <w:lang w:eastAsia="en-AU"/>
    </w:rPr>
  </w:style>
  <w:style w:type="character" w:customStyle="1" w:styleId="PBACFooterChar">
    <w:name w:val="PBAC Footer Char"/>
    <w:basedOn w:val="FooterChar"/>
    <w:link w:val="PBACFooter"/>
    <w:rsid w:val="00A229E2"/>
    <w:rPr>
      <w:rFonts w:ascii="Arial" w:eastAsia="Times New Roman" w:hAnsi="Arial" w:cs="Arial"/>
      <w:b/>
      <w:sz w:val="20"/>
      <w:szCs w:val="20"/>
      <w:lang w:eastAsia="en-AU"/>
    </w:rPr>
  </w:style>
  <w:style w:type="paragraph" w:customStyle="1" w:styleId="PBACHeading1">
    <w:name w:val="PBAC Heading 1"/>
    <w:rsid w:val="00A229E2"/>
    <w:pPr>
      <w:ind w:left="720" w:hanging="720"/>
      <w:outlineLvl w:val="0"/>
    </w:pPr>
    <w:rPr>
      <w:rFonts w:ascii="Arial" w:hAnsi="Arial" w:cs="Arial"/>
      <w:b/>
      <w:snapToGrid w:val="0"/>
    </w:rPr>
  </w:style>
  <w:style w:type="paragraph" w:customStyle="1" w:styleId="TableText0">
    <w:name w:val="Table Text"/>
    <w:link w:val="TableTextChar0"/>
    <w:qFormat/>
    <w:rsid w:val="00E16CF3"/>
    <w:pPr>
      <w:keepNext/>
    </w:pPr>
    <w:rPr>
      <w:rFonts w:ascii="Arial Narrow" w:eastAsiaTheme="majorEastAsia" w:hAnsi="Arial Narrow" w:cstheme="majorBidi"/>
      <w:bCs/>
      <w:szCs w:val="24"/>
    </w:rPr>
  </w:style>
  <w:style w:type="paragraph" w:customStyle="1" w:styleId="Lists">
    <w:name w:val="Lists"/>
    <w:basedOn w:val="3Bodytext"/>
    <w:link w:val="ListsChar"/>
    <w:rsid w:val="00A229E2"/>
    <w:pPr>
      <w:numPr>
        <w:numId w:val="4"/>
      </w:numPr>
    </w:pPr>
  </w:style>
  <w:style w:type="character" w:customStyle="1" w:styleId="TableTextChar0">
    <w:name w:val="Table Text Char"/>
    <w:basedOn w:val="DefaultParagraphFont"/>
    <w:link w:val="TableText0"/>
    <w:rsid w:val="00E16CF3"/>
    <w:rPr>
      <w:rFonts w:ascii="Arial Narrow" w:eastAsiaTheme="majorEastAsia" w:hAnsi="Arial Narrow" w:cstheme="majorBidi"/>
      <w:bCs/>
      <w:szCs w:val="24"/>
    </w:rPr>
  </w:style>
  <w:style w:type="character" w:styleId="FollowedHyperlink">
    <w:name w:val="FollowedHyperlink"/>
    <w:basedOn w:val="DefaultParagraphFont"/>
    <w:semiHidden/>
    <w:unhideWhenUsed/>
    <w:rsid w:val="00A229E2"/>
    <w:rPr>
      <w:color w:val="954F72" w:themeColor="followedHyperlink"/>
      <w:u w:val="single"/>
    </w:rPr>
  </w:style>
  <w:style w:type="character" w:customStyle="1" w:styleId="ListsChar">
    <w:name w:val="Lists Char"/>
    <w:basedOn w:val="3BodytextChar"/>
    <w:link w:val="Lists"/>
    <w:rsid w:val="00A229E2"/>
    <w:rPr>
      <w:rFonts w:asciiTheme="minorHAnsi" w:eastAsia="Times New Roman" w:hAnsiTheme="minorHAnsi" w:cs="Arial"/>
      <w:snapToGrid/>
      <w:sz w:val="24"/>
      <w:szCs w:val="24"/>
      <w:lang w:eastAsia="en-AU"/>
    </w:rPr>
  </w:style>
  <w:style w:type="paragraph" w:customStyle="1" w:styleId="Bulletpoints">
    <w:name w:val="Bullet points"/>
    <w:basedOn w:val="ListParagraph"/>
    <w:rsid w:val="00A229E2"/>
    <w:pPr>
      <w:ind w:left="720"/>
    </w:pPr>
    <w:rPr>
      <w:rFonts w:cstheme="minorHAnsi"/>
      <w:color w:val="000000" w:themeColor="text1"/>
    </w:rPr>
  </w:style>
  <w:style w:type="paragraph" w:customStyle="1" w:styleId="TableFooter">
    <w:name w:val="Table Footer"/>
    <w:basedOn w:val="Normal"/>
    <w:link w:val="TableFooterChar"/>
    <w:rsid w:val="00A229E2"/>
    <w:pPr>
      <w:widowControl w:val="0"/>
    </w:pPr>
    <w:rPr>
      <w:rFonts w:ascii="Arial Narrow" w:hAnsi="Arial Narrow" w:cs="Arial"/>
      <w:snapToGrid w:val="0"/>
      <w:sz w:val="18"/>
      <w:szCs w:val="22"/>
    </w:rPr>
  </w:style>
  <w:style w:type="character" w:customStyle="1" w:styleId="TableFooterChar">
    <w:name w:val="Table Footer Char"/>
    <w:link w:val="TableFooter"/>
    <w:rsid w:val="00A229E2"/>
    <w:rPr>
      <w:rFonts w:ascii="Arial Narrow" w:eastAsia="Times New Roman" w:hAnsi="Arial Narrow" w:cs="Arial"/>
      <w:snapToGrid w:val="0"/>
      <w:sz w:val="18"/>
    </w:rPr>
  </w:style>
  <w:style w:type="character" w:customStyle="1" w:styleId="TabletextChar">
    <w:name w:val="Table text Char"/>
    <w:link w:val="Tabletext"/>
    <w:rsid w:val="00A229E2"/>
    <w:rPr>
      <w:rFonts w:ascii="Arial" w:eastAsia="Times New Roman" w:hAnsi="Arial" w:cs="Times New Roman"/>
      <w:sz w:val="20"/>
      <w:szCs w:val="20"/>
    </w:rPr>
  </w:style>
  <w:style w:type="paragraph" w:customStyle="1" w:styleId="Bodytextitalics">
    <w:name w:val="Body text italics"/>
    <w:basedOn w:val="BodyText"/>
    <w:rsid w:val="00A229E2"/>
    <w:rPr>
      <w:rFonts w:asciiTheme="minorHAnsi" w:eastAsiaTheme="minorHAnsi" w:hAnsiTheme="minorHAnsi" w:cstheme="minorBidi"/>
      <w:i/>
      <w:szCs w:val="22"/>
    </w:rPr>
  </w:style>
  <w:style w:type="paragraph" w:styleId="BodyText">
    <w:name w:val="Body Text"/>
    <w:basedOn w:val="Normal"/>
    <w:link w:val="BodyTextChar"/>
    <w:semiHidden/>
    <w:unhideWhenUsed/>
    <w:rsid w:val="00A229E2"/>
    <w:pPr>
      <w:spacing w:after="120"/>
    </w:pPr>
  </w:style>
  <w:style w:type="character" w:customStyle="1" w:styleId="BodyTextChar">
    <w:name w:val="Body Text Char"/>
    <w:basedOn w:val="DefaultParagraphFont"/>
    <w:link w:val="BodyText"/>
    <w:semiHidden/>
    <w:rsid w:val="00A229E2"/>
    <w:rPr>
      <w:rFonts w:ascii="Calibri" w:eastAsia="Times New Roman" w:hAnsi="Calibri" w:cs="Times New Roman"/>
      <w:sz w:val="24"/>
      <w:szCs w:val="24"/>
      <w:lang w:eastAsia="en-AU"/>
    </w:rPr>
  </w:style>
  <w:style w:type="paragraph" w:styleId="Caption">
    <w:name w:val="caption"/>
    <w:aliases w:val="Bullet,- H17,Bayer Caption,IB Caption,Medical Caption,B Caption,Caption Char2 Char,Caption Char Char Char2,Caption Char1 Char Char Char1,Caption Char2 Char Char Char1 Char1,Caption Char Char1 Char Char Char1 Char1,Caption Char Char1,Caption2,! Q"/>
    <w:basedOn w:val="Normal"/>
    <w:next w:val="Normal"/>
    <w:link w:val="CaptionChar"/>
    <w:uiPriority w:val="35"/>
    <w:unhideWhenUsed/>
    <w:rsid w:val="00A229E2"/>
    <w:pPr>
      <w:spacing w:after="200"/>
    </w:pPr>
    <w:rPr>
      <w:i/>
      <w:iCs/>
      <w:color w:val="000000" w:themeColor="text1"/>
      <w:sz w:val="18"/>
      <w:szCs w:val="18"/>
    </w:rPr>
  </w:style>
  <w:style w:type="paragraph" w:customStyle="1" w:styleId="ProcedureStep">
    <w:name w:val="ProcedureStep"/>
    <w:basedOn w:val="Normal"/>
    <w:rsid w:val="00A229E2"/>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E16CF3"/>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16CF3"/>
    <w:pPr>
      <w:keepNext/>
    </w:pPr>
    <w:rPr>
      <w:rFonts w:ascii="Arial Narrow" w:eastAsiaTheme="majorEastAsia" w:hAnsi="Arial Narrow"/>
      <w:b/>
      <w:szCs w:val="24"/>
      <w:lang w:val="en-US"/>
    </w:rPr>
  </w:style>
  <w:style w:type="paragraph" w:customStyle="1" w:styleId="2-SectionHeading">
    <w:name w:val="2-Section Heading"/>
    <w:qFormat/>
    <w:rsid w:val="00E16CF3"/>
    <w:pPr>
      <w:keepNext/>
      <w:numPr>
        <w:numId w:val="3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16CF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16CF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E16CF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E16CF3"/>
    <w:rPr>
      <w:rFonts w:ascii="Arial Narrow" w:eastAsiaTheme="majorEastAsia" w:hAnsi="Arial Narrow" w:cstheme="majorBidi"/>
      <w:b/>
      <w:bCs/>
      <w:szCs w:val="24"/>
    </w:rPr>
  </w:style>
  <w:style w:type="paragraph" w:customStyle="1" w:styleId="3-BodyText">
    <w:name w:val="3-Body Text"/>
    <w:link w:val="3-BodyTextChar"/>
    <w:qFormat/>
    <w:rsid w:val="00E16CF3"/>
    <w:pPr>
      <w:numPr>
        <w:ilvl w:val="1"/>
        <w:numId w:val="3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E16CF3"/>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E16CF3"/>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E16CF3"/>
    <w:rPr>
      <w:rFonts w:ascii="Calibri" w:hAnsi="Calibri" w:cs="Arial"/>
      <w:b/>
      <w:sz w:val="24"/>
      <w:szCs w:val="24"/>
    </w:rPr>
  </w:style>
  <w:style w:type="paragraph" w:customStyle="1" w:styleId="TableFigureFooter">
    <w:name w:val="Table/Figure Footer"/>
    <w:basedOn w:val="Normal"/>
    <w:link w:val="TableFigureFooterChar"/>
    <w:qFormat/>
    <w:rsid w:val="00E16CF3"/>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E16CF3"/>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16CF3"/>
    <w:pPr>
      <w:spacing w:before="120" w:after="120"/>
    </w:pPr>
    <w:rPr>
      <w:rFonts w:asciiTheme="minorHAnsi" w:eastAsiaTheme="majorEastAsia" w:hAnsiTheme="minorHAnsi" w:cstheme="majorBidi"/>
      <w:spacing w:val="5"/>
      <w:kern w:val="28"/>
      <w:sz w:val="28"/>
      <w:szCs w:val="36"/>
      <w:lang w:eastAsia="en-AU"/>
    </w:rPr>
  </w:style>
  <w:style w:type="character" w:customStyle="1" w:styleId="4-SubsectionHeadingChar">
    <w:name w:val="4-Subsection Heading Char"/>
    <w:basedOn w:val="Heading2Char"/>
    <w:link w:val="4-SubsectionHeading"/>
    <w:rsid w:val="00E16CF3"/>
    <w:rPr>
      <w:rFonts w:asciiTheme="minorHAnsi" w:eastAsiaTheme="majorEastAsia" w:hAnsiTheme="minorHAnsi" w:cstheme="majorBidi"/>
      <w:b/>
      <w:i/>
      <w:spacing w:val="5"/>
      <w:kern w:val="28"/>
      <w:sz w:val="28"/>
      <w:szCs w:val="36"/>
      <w:lang w:eastAsia="en-AU"/>
    </w:rPr>
  </w:style>
  <w:style w:type="paragraph" w:customStyle="1" w:styleId="5-SubsectionSubheading">
    <w:name w:val="5-Subsection Subheading"/>
    <w:basedOn w:val="Heading3"/>
    <w:next w:val="3-BodyText"/>
    <w:link w:val="5-SubsectionSubheadingChar"/>
    <w:qFormat/>
    <w:rsid w:val="00E16CF3"/>
    <w:pPr>
      <w:spacing w:before="40"/>
    </w:pPr>
    <w:rPr>
      <w:rFonts w:asciiTheme="minorHAnsi" w:hAnsiTheme="minorHAnsi"/>
      <w:bCs w:val="0"/>
      <w:color w:val="000000" w:themeColor="text1"/>
      <w:lang w:eastAsia="en-AU"/>
    </w:rPr>
  </w:style>
  <w:style w:type="character" w:customStyle="1" w:styleId="5-SubsectionSubheadingChar">
    <w:name w:val="5-Subsection Subheading Char"/>
    <w:basedOn w:val="Heading3Char"/>
    <w:link w:val="5-SubsectionSubheading"/>
    <w:rsid w:val="00E16CF3"/>
    <w:rPr>
      <w:rFonts w:asciiTheme="minorHAnsi" w:eastAsiaTheme="majorEastAsia" w:hAnsiTheme="minorHAnsi" w:cstheme="majorBidi"/>
      <w:b/>
      <w:bCs w:val="0"/>
      <w:color w:val="000000" w:themeColor="text1"/>
      <w:sz w:val="24"/>
      <w:szCs w:val="24"/>
      <w:lang w:eastAsia="en-AU"/>
    </w:rPr>
  </w:style>
  <w:style w:type="paragraph" w:styleId="ListBullet">
    <w:name w:val="List Bullet"/>
    <w:basedOn w:val="Normal"/>
    <w:unhideWhenUsed/>
    <w:rsid w:val="00A229E2"/>
    <w:pPr>
      <w:numPr>
        <w:numId w:val="9"/>
      </w:numPr>
      <w:contextualSpacing/>
    </w:pPr>
  </w:style>
  <w:style w:type="paragraph" w:styleId="Revision">
    <w:name w:val="Revision"/>
    <w:hidden/>
    <w:uiPriority w:val="71"/>
    <w:semiHidden/>
    <w:rsid w:val="00A229E2"/>
    <w:rPr>
      <w:rFonts w:ascii="Calibri" w:hAnsi="Calibri"/>
      <w:sz w:val="24"/>
      <w:szCs w:val="24"/>
      <w:lang w:eastAsia="en-AU"/>
    </w:rPr>
  </w:style>
  <w:style w:type="paragraph" w:customStyle="1" w:styleId="Default">
    <w:name w:val="Default"/>
    <w:rsid w:val="00A229E2"/>
    <w:pPr>
      <w:autoSpaceDE w:val="0"/>
      <w:autoSpaceDN w:val="0"/>
      <w:adjustRightInd w:val="0"/>
    </w:pPr>
    <w:rPr>
      <w:rFonts w:ascii="Calibri" w:hAnsi="Calibri" w:cs="Calibri"/>
      <w:color w:val="000000"/>
      <w:sz w:val="24"/>
      <w:szCs w:val="24"/>
      <w:lang w:eastAsia="en-AU"/>
    </w:rPr>
  </w:style>
  <w:style w:type="character" w:styleId="UnresolvedMention">
    <w:name w:val="Unresolved Mention"/>
    <w:basedOn w:val="DefaultParagraphFont"/>
    <w:uiPriority w:val="99"/>
    <w:semiHidden/>
    <w:unhideWhenUsed/>
    <w:rsid w:val="00A229E2"/>
    <w:rPr>
      <w:color w:val="605E5C"/>
      <w:shd w:val="clear" w:color="auto" w:fill="E1DFDD"/>
    </w:rPr>
  </w:style>
  <w:style w:type="paragraph" w:styleId="TOC9">
    <w:name w:val="toc 9"/>
    <w:basedOn w:val="Normal"/>
    <w:next w:val="Normal"/>
    <w:autoRedefine/>
    <w:semiHidden/>
    <w:unhideWhenUsed/>
    <w:rsid w:val="00A229E2"/>
    <w:pPr>
      <w:spacing w:after="100"/>
      <w:ind w:left="1920"/>
    </w:pPr>
  </w:style>
  <w:style w:type="paragraph" w:customStyle="1" w:styleId="FooterTableFigure">
    <w:name w:val="Footer Table/Figure"/>
    <w:basedOn w:val="Normal"/>
    <w:link w:val="FooterTableFigureChar"/>
    <w:rsid w:val="00A229E2"/>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A229E2"/>
    <w:rPr>
      <w:rFonts w:ascii="Arial Narrow" w:eastAsia="Times New Roman" w:hAnsi="Arial Narrow" w:cs="Arial"/>
      <w:snapToGrid w:val="0"/>
      <w:sz w:val="18"/>
      <w:lang w:eastAsia="en-AU"/>
    </w:rPr>
  </w:style>
  <w:style w:type="table" w:customStyle="1" w:styleId="HTATableshaded">
    <w:name w:val="HTA Table shaded"/>
    <w:basedOn w:val="TableNormal"/>
    <w:rsid w:val="0012159A"/>
    <w:pPr>
      <w:spacing w:before="40" w:after="20"/>
    </w:pPr>
    <w:rPr>
      <w:rFonts w:ascii="Calibri" w:hAnsi="Calibri"/>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FigNotes18">
    <w:name w:val="TableFigNotes+18"/>
    <w:basedOn w:val="BodyText"/>
    <w:next w:val="BodyText"/>
    <w:link w:val="TableFigNotes18Char"/>
    <w:uiPriority w:val="4"/>
    <w:rsid w:val="0012159A"/>
    <w:pPr>
      <w:keepLines/>
      <w:spacing w:after="360" w:line="276" w:lineRule="auto"/>
      <w:jc w:val="left"/>
    </w:pPr>
    <w:rPr>
      <w:rFonts w:asciiTheme="minorHAnsi" w:eastAsiaTheme="minorHAnsi" w:hAnsiTheme="minorHAnsi" w:cs="Tahoma"/>
      <w:color w:val="000000"/>
      <w:sz w:val="16"/>
      <w:szCs w:val="18"/>
    </w:rPr>
  </w:style>
  <w:style w:type="character" w:customStyle="1" w:styleId="TableFigNotes18Char">
    <w:name w:val="TableFigNotes+18 Char"/>
    <w:basedOn w:val="DefaultParagraphFont"/>
    <w:link w:val="TableFigNotes18"/>
    <w:uiPriority w:val="4"/>
    <w:rsid w:val="0012159A"/>
    <w:rPr>
      <w:rFonts w:cs="Tahoma"/>
      <w:color w:val="000000"/>
      <w:sz w:val="16"/>
      <w:szCs w:val="18"/>
      <w:lang w:eastAsia="en-AU"/>
    </w:rPr>
  </w:style>
  <w:style w:type="paragraph" w:customStyle="1" w:styleId="Tabletextleft">
    <w:name w:val="Table text left"/>
    <w:basedOn w:val="Normal"/>
    <w:link w:val="TabletextleftChar"/>
    <w:rsid w:val="0012159A"/>
    <w:pPr>
      <w:spacing w:before="20" w:after="20"/>
      <w:jc w:val="left"/>
    </w:pPr>
    <w:rPr>
      <w:rFonts w:asciiTheme="minorHAnsi" w:hAnsiTheme="minorHAnsi" w:cstheme="minorHAnsi"/>
      <w:sz w:val="18"/>
      <w:szCs w:val="20"/>
    </w:rPr>
  </w:style>
  <w:style w:type="character" w:customStyle="1" w:styleId="TabletextleftChar">
    <w:name w:val="Table text left Char"/>
    <w:basedOn w:val="DefaultParagraphFont"/>
    <w:link w:val="Tabletextleft"/>
    <w:rsid w:val="0012159A"/>
    <w:rPr>
      <w:rFonts w:eastAsia="Times New Roman" w:cstheme="minorHAnsi"/>
      <w:sz w:val="18"/>
      <w:szCs w:val="20"/>
      <w:lang w:eastAsia="en-AU"/>
    </w:rPr>
  </w:style>
  <w:style w:type="paragraph" w:customStyle="1" w:styleId="TableHeadingleft">
    <w:name w:val="Table Heading left"/>
    <w:basedOn w:val="Normal"/>
    <w:next w:val="Tabletextleft"/>
    <w:rsid w:val="0012159A"/>
    <w:pPr>
      <w:spacing w:before="40" w:after="40"/>
      <w:jc w:val="left"/>
    </w:pPr>
    <w:rPr>
      <w:rFonts w:asciiTheme="minorHAnsi" w:hAnsiTheme="minorHAnsi" w:cs="Tahoma"/>
      <w:b/>
      <w:sz w:val="18"/>
      <w:szCs w:val="18"/>
      <w:lang w:val="de-DE" w:eastAsia="en-GB"/>
    </w:rPr>
  </w:style>
  <w:style w:type="paragraph" w:customStyle="1" w:styleId="Tabletextcent">
    <w:name w:val="Table text cent"/>
    <w:basedOn w:val="Tabletextleft"/>
    <w:rsid w:val="0012159A"/>
    <w:pPr>
      <w:jc w:val="center"/>
    </w:pPr>
    <w:rPr>
      <w:lang w:val="de-DE"/>
    </w:rPr>
  </w:style>
  <w:style w:type="paragraph" w:customStyle="1" w:styleId="Tableheadingcent">
    <w:name w:val="Table heading cent"/>
    <w:basedOn w:val="TableHeadingleft"/>
    <w:rsid w:val="0012159A"/>
    <w:pPr>
      <w:jc w:val="center"/>
    </w:pPr>
  </w:style>
  <w:style w:type="character" w:customStyle="1" w:styleId="CaptionChar">
    <w:name w:val="Caption Char"/>
    <w:aliases w:val="Bullet Char,- H17 Char,Bayer Caption Char,IB Caption Char,Medical Caption Char,B Caption Char,Caption Char2 Char Char,Caption Char Char Char2 Char,Caption Char1 Char Char Char1 Char,Caption Char2 Char Char Char1 Char1 Char,Caption2 Char"/>
    <w:link w:val="Caption"/>
    <w:uiPriority w:val="35"/>
    <w:locked/>
    <w:rsid w:val="0012159A"/>
    <w:rPr>
      <w:rFonts w:ascii="Calibri" w:eastAsia="Times New Roman" w:hAnsi="Calibri" w:cs="Times New Roman"/>
      <w:i/>
      <w:iCs/>
      <w:color w:val="000000" w:themeColor="text1"/>
      <w:sz w:val="18"/>
      <w:szCs w:val="18"/>
      <w:lang w:eastAsia="en-AU"/>
    </w:rPr>
  </w:style>
  <w:style w:type="character" w:customStyle="1" w:styleId="CaptionFootnoteChar">
    <w:name w:val="Caption Footnote Char"/>
    <w:basedOn w:val="DefaultParagraphFont"/>
    <w:link w:val="CaptionFootnote"/>
    <w:rsid w:val="0012159A"/>
    <w:rPr>
      <w:rFonts w:eastAsia="Times New Roman" w:cs="Times New Roman"/>
      <w:kern w:val="28"/>
      <w:sz w:val="16"/>
      <w:szCs w:val="24"/>
      <w:lang w:eastAsia="en-GB"/>
    </w:rPr>
  </w:style>
  <w:style w:type="paragraph" w:customStyle="1" w:styleId="CaptionFootnote">
    <w:name w:val="Caption Footnote"/>
    <w:basedOn w:val="Normal"/>
    <w:link w:val="CaptionFootnoteChar"/>
    <w:rsid w:val="0012159A"/>
    <w:pPr>
      <w:autoSpaceDE w:val="0"/>
      <w:autoSpaceDN w:val="0"/>
      <w:adjustRightInd w:val="0"/>
      <w:spacing w:line="276" w:lineRule="auto"/>
      <w:jc w:val="left"/>
    </w:pPr>
    <w:rPr>
      <w:rFonts w:asciiTheme="minorHAnsi" w:hAnsiTheme="minorHAnsi"/>
      <w:kern w:val="28"/>
      <w:sz w:val="16"/>
      <w:lang w:eastAsia="en-GB"/>
    </w:rPr>
  </w:style>
  <w:style w:type="paragraph" w:customStyle="1" w:styleId="3-SubsectionHeading">
    <w:name w:val="3-Subsection Heading"/>
    <w:basedOn w:val="Heading2"/>
    <w:next w:val="Normal"/>
    <w:link w:val="3-SubsectionHeadingChar"/>
    <w:qFormat/>
    <w:rsid w:val="00D15E09"/>
    <w:pPr>
      <w:spacing w:before="120" w:after="120"/>
      <w:outlineLvl w:val="9"/>
    </w:pPr>
    <w:rPr>
      <w:rFonts w:asciiTheme="minorHAnsi" w:eastAsiaTheme="majorEastAsia" w:hAnsiTheme="minorHAnsi" w:cstheme="majorBidi"/>
      <w:spacing w:val="5"/>
      <w:kern w:val="28"/>
      <w:sz w:val="28"/>
      <w:szCs w:val="36"/>
      <w:lang w:eastAsia="en-AU"/>
    </w:rPr>
  </w:style>
  <w:style w:type="character" w:customStyle="1" w:styleId="3-SubsectionHeadingChar">
    <w:name w:val="3-Subsection Heading Char"/>
    <w:basedOn w:val="Heading2Char"/>
    <w:link w:val="3-SubsectionHeading"/>
    <w:rsid w:val="00D15E09"/>
    <w:rPr>
      <w:rFonts w:asciiTheme="minorHAnsi" w:eastAsiaTheme="majorEastAsia" w:hAnsiTheme="minorHAnsi" w:cstheme="majorBidi"/>
      <w:b/>
      <w:i/>
      <w:spacing w:val="5"/>
      <w:kern w:val="28"/>
      <w:sz w:val="28"/>
      <w:szCs w:val="36"/>
      <w:lang w:eastAsia="en-AU"/>
    </w:rPr>
  </w:style>
  <w:style w:type="paragraph" w:customStyle="1" w:styleId="Numberbullet2">
    <w:name w:val="Number bullet 2"/>
    <w:basedOn w:val="ListBullet2"/>
    <w:qFormat/>
    <w:rsid w:val="007C31C2"/>
    <w:pPr>
      <w:numPr>
        <w:ilvl w:val="1"/>
      </w:numPr>
      <w:spacing w:before="120" w:after="180" w:line="240" w:lineRule="atLeast"/>
      <w:ind w:left="1080" w:hanging="360"/>
      <w:contextualSpacing w:val="0"/>
      <w:jc w:val="left"/>
    </w:pPr>
    <w:rPr>
      <w:rFonts w:ascii="Cambria" w:eastAsia="Cambria" w:hAnsi="Cambria"/>
      <w:sz w:val="22"/>
      <w:szCs w:val="22"/>
    </w:rPr>
  </w:style>
  <w:style w:type="paragraph" w:customStyle="1" w:styleId="Numberbullet3">
    <w:name w:val="Number bullet 3"/>
    <w:basedOn w:val="ListBullet3"/>
    <w:qFormat/>
    <w:rsid w:val="007C31C2"/>
    <w:pPr>
      <w:numPr>
        <w:ilvl w:val="2"/>
        <w:numId w:val="36"/>
      </w:numPr>
      <w:spacing w:before="120" w:after="180" w:line="240" w:lineRule="atLeast"/>
      <w:ind w:left="1800" w:hanging="180"/>
      <w:contextualSpacing w:val="0"/>
      <w:jc w:val="left"/>
    </w:pPr>
    <w:rPr>
      <w:rFonts w:ascii="Cambria" w:eastAsia="Cambria" w:hAnsi="Cambria"/>
      <w:sz w:val="22"/>
      <w:szCs w:val="22"/>
    </w:rPr>
  </w:style>
  <w:style w:type="numbering" w:customStyle="1" w:styleId="NumberBullet">
    <w:name w:val="NumberBullet"/>
    <w:uiPriority w:val="99"/>
    <w:locked/>
    <w:rsid w:val="007C31C2"/>
    <w:pPr>
      <w:numPr>
        <w:numId w:val="36"/>
      </w:numPr>
    </w:pPr>
  </w:style>
  <w:style w:type="paragraph" w:customStyle="1" w:styleId="COMH1numbered">
    <w:name w:val="COM H1 numbered"/>
    <w:next w:val="Normal"/>
    <w:link w:val="COMH1numberedChar"/>
    <w:qFormat/>
    <w:rsid w:val="007C31C2"/>
    <w:pPr>
      <w:keepNext/>
      <w:numPr>
        <w:numId w:val="36"/>
      </w:numPr>
      <w:spacing w:before="240" w:after="120"/>
      <w:outlineLvl w:val="0"/>
    </w:pPr>
    <w:rPr>
      <w:rFonts w:asciiTheme="minorHAnsi" w:hAnsiTheme="minorHAnsi" w:cs="Arial"/>
      <w:b/>
      <w:snapToGrid w:val="0"/>
      <w:sz w:val="32"/>
      <w:szCs w:val="32"/>
      <w:lang w:eastAsia="en-AU"/>
    </w:rPr>
  </w:style>
  <w:style w:type="character" w:customStyle="1" w:styleId="COMH1numberedChar">
    <w:name w:val="COM H1 numbered Char"/>
    <w:basedOn w:val="DefaultParagraphFont"/>
    <w:link w:val="COMH1numbered"/>
    <w:rsid w:val="007C31C2"/>
    <w:rPr>
      <w:rFonts w:asciiTheme="minorHAnsi" w:hAnsiTheme="minorHAnsi" w:cs="Arial"/>
      <w:b/>
      <w:snapToGrid w:val="0"/>
      <w:sz w:val="32"/>
      <w:szCs w:val="32"/>
      <w:lang w:eastAsia="en-AU"/>
    </w:rPr>
  </w:style>
  <w:style w:type="paragraph" w:styleId="ListBullet2">
    <w:name w:val="List Bullet 2"/>
    <w:basedOn w:val="Normal"/>
    <w:uiPriority w:val="99"/>
    <w:semiHidden/>
    <w:unhideWhenUsed/>
    <w:rsid w:val="007C31C2"/>
    <w:pPr>
      <w:ind w:left="425" w:hanging="425"/>
      <w:contextualSpacing/>
    </w:pPr>
  </w:style>
  <w:style w:type="paragraph" w:styleId="ListBullet3">
    <w:name w:val="List Bullet 3"/>
    <w:basedOn w:val="Normal"/>
    <w:uiPriority w:val="99"/>
    <w:semiHidden/>
    <w:unhideWhenUsed/>
    <w:rsid w:val="007C31C2"/>
    <w:pPr>
      <w:tabs>
        <w:tab w:val="num" w:pos="360"/>
      </w:tabs>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2024-02-26T23:37:00Z</dcterms:created>
  <dcterms:modified xsi:type="dcterms:W3CDTF">2024-02-26T23:37:00Z</dcterms:modified>
</cp:coreProperties>
</file>