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DB2D" w14:textId="6BA10729" w:rsidR="00B60939" w:rsidRPr="00743512" w:rsidRDefault="005B30CF" w:rsidP="003E116F">
      <w:pPr>
        <w:pStyle w:val="1-MainHeading"/>
        <w:ind w:left="851" w:hanging="851"/>
      </w:pPr>
      <w:bookmarkStart w:id="0" w:name="_Toc145501109"/>
      <w:r w:rsidRPr="00743512">
        <w:t>7</w:t>
      </w:r>
      <w:r w:rsidR="00433044" w:rsidRPr="00743512">
        <w:t>.</w:t>
      </w:r>
      <w:r w:rsidRPr="00743512">
        <w:t>05</w:t>
      </w:r>
      <w:r w:rsidR="00163F66" w:rsidRPr="00743512">
        <w:tab/>
      </w:r>
      <w:r w:rsidR="00C32377" w:rsidRPr="00743512">
        <w:t>OLAPARIB</w:t>
      </w:r>
      <w:r w:rsidR="00163F66" w:rsidRPr="00743512">
        <w:t>,</w:t>
      </w:r>
      <w:r w:rsidR="00163F66" w:rsidRPr="00743512">
        <w:br/>
      </w:r>
      <w:r w:rsidR="00C32377" w:rsidRPr="00743512">
        <w:t>Tablet 100 mg, Tablet 150 mg</w:t>
      </w:r>
      <w:r w:rsidR="00163F66" w:rsidRPr="00743512">
        <w:t>,</w:t>
      </w:r>
      <w:r w:rsidR="00163F66" w:rsidRPr="00743512">
        <w:br/>
      </w:r>
      <w:r w:rsidR="00C32377" w:rsidRPr="00743512">
        <w:t>Lynparza</w:t>
      </w:r>
      <w:r w:rsidR="00B60939" w:rsidRPr="00743512">
        <w:rPr>
          <w:vertAlign w:val="superscript"/>
        </w:rPr>
        <w:t>®</w:t>
      </w:r>
      <w:r w:rsidR="004A6040" w:rsidRPr="00743512">
        <w:t>,</w:t>
      </w:r>
      <w:r w:rsidR="004A6040" w:rsidRPr="00743512">
        <w:br/>
      </w:r>
      <w:r w:rsidR="00C32377" w:rsidRPr="00743512">
        <w:t xml:space="preserve">AstraZeneca </w:t>
      </w:r>
      <w:r w:rsidR="008F1165" w:rsidRPr="00743512">
        <w:t>Pty Ltd</w:t>
      </w:r>
      <w:bookmarkEnd w:id="0"/>
      <w:r w:rsidR="00157B92" w:rsidRPr="00743512">
        <w:t xml:space="preserve">. </w:t>
      </w:r>
    </w:p>
    <w:p w14:paraId="6C6A7B2A" w14:textId="77777777" w:rsidR="00C46CE2" w:rsidRPr="00743512" w:rsidRDefault="00C46CE2" w:rsidP="001074C6">
      <w:pPr>
        <w:pStyle w:val="2-SectionHeading"/>
        <w:numPr>
          <w:ilvl w:val="0"/>
          <w:numId w:val="9"/>
        </w:numPr>
        <w:snapToGrid w:val="0"/>
      </w:pPr>
      <w:bookmarkStart w:id="1" w:name="_Toc124883273"/>
      <w:bookmarkStart w:id="2" w:name="_Toc145501111"/>
      <w:bookmarkStart w:id="3" w:name="_Toc22897645"/>
      <w:r w:rsidRPr="00743512">
        <w:t>Purpose of submission</w:t>
      </w:r>
      <w:bookmarkEnd w:id="1"/>
      <w:bookmarkEnd w:id="2"/>
    </w:p>
    <w:p w14:paraId="4C03EB06" w14:textId="6768CF3A" w:rsidR="00C46CE2" w:rsidRPr="00743512" w:rsidRDefault="00C46CE2" w:rsidP="001074C6">
      <w:pPr>
        <w:pStyle w:val="3-BodyText"/>
        <w:numPr>
          <w:ilvl w:val="1"/>
          <w:numId w:val="9"/>
        </w:numPr>
        <w:snapToGrid w:val="0"/>
      </w:pPr>
      <w:r w:rsidRPr="00743512">
        <w:t>The standard re-entry resubmission requested a General Schedule Authority Required (Telephone/Online) listing for patients with human epidermal growth factor receptor 2 negative (HER2-) high risk early breast cancer</w:t>
      </w:r>
      <w:r w:rsidR="00C03F52" w:rsidRPr="00743512">
        <w:t xml:space="preserve"> (eBC)</w:t>
      </w:r>
      <w:r w:rsidRPr="00743512">
        <w:t xml:space="preserve"> with a confirmed germline Breast Cancer Gene 1 (g</w:t>
      </w:r>
      <w:r w:rsidR="00CD50D4" w:rsidRPr="00743512">
        <w:rPr>
          <w:i/>
        </w:rPr>
        <w:t>BRCA1</w:t>
      </w:r>
      <w:r w:rsidRPr="00743512">
        <w:t>) or g</w:t>
      </w:r>
      <w:r w:rsidR="00CD50D4" w:rsidRPr="00743512">
        <w:rPr>
          <w:i/>
        </w:rPr>
        <w:t>BRCA2</w:t>
      </w:r>
      <w:r w:rsidRPr="00743512">
        <w:t xml:space="preserve"> mutation</w:t>
      </w:r>
      <w:r w:rsidR="006100E8" w:rsidRPr="00743512">
        <w:t xml:space="preserve"> who have previously been treated with neoadjuvant or adjuvant chemotherapy</w:t>
      </w:r>
      <w:r w:rsidR="00157B92" w:rsidRPr="00743512">
        <w:t xml:space="preserve">. </w:t>
      </w:r>
      <w:r w:rsidR="006100E8" w:rsidRPr="00743512">
        <w:t xml:space="preserve">The requested </w:t>
      </w:r>
      <w:r w:rsidR="0068746B" w:rsidRPr="00743512">
        <w:t>population</w:t>
      </w:r>
      <w:r w:rsidR="006100E8" w:rsidRPr="00743512">
        <w:t xml:space="preserve"> </w:t>
      </w:r>
      <w:r w:rsidR="00BD3E0D" w:rsidRPr="00743512">
        <w:t>was</w:t>
      </w:r>
      <w:r w:rsidR="006100E8" w:rsidRPr="00743512">
        <w:t xml:space="preserve"> unchanged from the </w:t>
      </w:r>
      <w:r w:rsidR="0068746B" w:rsidRPr="00743512">
        <w:t>March 2023 submission.</w:t>
      </w:r>
    </w:p>
    <w:p w14:paraId="4D5C2D41" w14:textId="79DDA105" w:rsidR="00C46CE2" w:rsidRPr="00743512" w:rsidRDefault="0068746B" w:rsidP="001074C6">
      <w:pPr>
        <w:pStyle w:val="3-BodyText"/>
        <w:numPr>
          <w:ilvl w:val="1"/>
          <w:numId w:val="9"/>
        </w:numPr>
        <w:snapToGrid w:val="0"/>
      </w:pPr>
      <w:r w:rsidRPr="00743512">
        <w:t xml:space="preserve">As for the March 2023 submission, listing </w:t>
      </w:r>
      <w:r w:rsidR="00C46CE2" w:rsidRPr="00743512">
        <w:t xml:space="preserve">was requested on the basis of a cost-effectiveness analysis versus placebo (“watch and wait”). The key components of the clinical issue addressed by the resubmission are presented in </w:t>
      </w:r>
      <w:r w:rsidR="00C46CE2" w:rsidRPr="00743512">
        <w:fldChar w:fldCharType="begin"/>
      </w:r>
      <w:r w:rsidR="00C46CE2" w:rsidRPr="00743512">
        <w:instrText xml:space="preserve"> REF _Ref144454443 \h </w:instrText>
      </w:r>
      <w:r w:rsidR="00C46CE2" w:rsidRPr="00743512">
        <w:fldChar w:fldCharType="separate"/>
      </w:r>
      <w:r w:rsidR="00D2565D" w:rsidRPr="00743512">
        <w:t xml:space="preserve">Table </w:t>
      </w:r>
      <w:r w:rsidR="00D2565D">
        <w:rPr>
          <w:noProof/>
        </w:rPr>
        <w:t>1</w:t>
      </w:r>
      <w:r w:rsidR="00C46CE2" w:rsidRPr="00743512">
        <w:fldChar w:fldCharType="end"/>
      </w:r>
      <w:r w:rsidR="00C46CE2" w:rsidRPr="00743512">
        <w:t>.</w:t>
      </w:r>
    </w:p>
    <w:p w14:paraId="6440FBEA" w14:textId="5722C63C" w:rsidR="00C46CE2" w:rsidRPr="00743512" w:rsidRDefault="00C46CE2" w:rsidP="00C46CE2">
      <w:pPr>
        <w:pStyle w:val="TableFigureHeading"/>
        <w:rPr>
          <w:rStyle w:val="CommentReference"/>
          <w:b/>
          <w:bCs w:val="0"/>
        </w:rPr>
      </w:pPr>
      <w:bookmarkStart w:id="4" w:name="_Ref144454443"/>
      <w:r w:rsidRPr="00743512">
        <w:t xml:space="preserve">Table </w:t>
      </w:r>
      <w:r w:rsidR="00D2565D">
        <w:fldChar w:fldCharType="begin"/>
      </w:r>
      <w:r w:rsidR="00D2565D">
        <w:instrText xml:space="preserve"> SEQ Table \* ARABIC </w:instrText>
      </w:r>
      <w:r w:rsidR="00D2565D">
        <w:fldChar w:fldCharType="separate"/>
      </w:r>
      <w:r w:rsidR="00D2565D">
        <w:rPr>
          <w:noProof/>
        </w:rPr>
        <w:t>1</w:t>
      </w:r>
      <w:r w:rsidR="00D2565D">
        <w:rPr>
          <w:noProof/>
        </w:rPr>
        <w:fldChar w:fldCharType="end"/>
      </w:r>
      <w:bookmarkEnd w:id="4"/>
      <w:r w:rsidRPr="00743512">
        <w:rPr>
          <w:b w:val="0"/>
          <w:bCs w:val="0"/>
        </w:rPr>
        <w:t>:</w:t>
      </w:r>
      <w:r w:rsidRPr="00743512">
        <w:rPr>
          <w:rStyle w:val="CommentReference"/>
          <w:b/>
          <w:bCs w:val="0"/>
        </w:rPr>
        <w:t xml:space="preserve"> Key components of the clinical issue addressed by the resubmission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Caption w:val="Table 1: Key components of the clinical issue addressed by the resubmission (as stated in the resubmission)"/>
        <w:tblDescription w:val="Key components of the clinical issue addressed by the submission "/>
      </w:tblPr>
      <w:tblGrid>
        <w:gridCol w:w="1129"/>
        <w:gridCol w:w="7888"/>
      </w:tblGrid>
      <w:tr w:rsidR="00C46CE2" w:rsidRPr="00743512" w14:paraId="1F847CE4" w14:textId="77777777" w:rsidTr="004F5B47">
        <w:trPr>
          <w:cantSplit/>
          <w:tblHeader/>
        </w:trPr>
        <w:tc>
          <w:tcPr>
            <w:tcW w:w="6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C0D3007" w14:textId="77777777" w:rsidR="00C46CE2" w:rsidRPr="00743512" w:rsidRDefault="00C46CE2" w:rsidP="004F5B47">
            <w:pPr>
              <w:pStyle w:val="In-tableHeading"/>
              <w:rPr>
                <w:szCs w:val="20"/>
                <w:lang w:val="en-AU"/>
              </w:rPr>
            </w:pPr>
            <w:r w:rsidRPr="00743512">
              <w:rPr>
                <w:lang w:val="en-AU"/>
              </w:rPr>
              <w:t>Component</w:t>
            </w:r>
          </w:p>
        </w:tc>
        <w:tc>
          <w:tcPr>
            <w:tcW w:w="437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F8453A" w14:textId="77777777" w:rsidR="00C46CE2" w:rsidRPr="00743512" w:rsidRDefault="00C46CE2" w:rsidP="004F5B47">
            <w:pPr>
              <w:pStyle w:val="In-tableHeading"/>
              <w:rPr>
                <w:lang w:val="en-AU"/>
              </w:rPr>
            </w:pPr>
            <w:r w:rsidRPr="00743512">
              <w:rPr>
                <w:lang w:val="en-AU"/>
              </w:rPr>
              <w:t>Description</w:t>
            </w:r>
          </w:p>
        </w:tc>
      </w:tr>
      <w:tr w:rsidR="00C46CE2" w:rsidRPr="00743512" w14:paraId="25339B35" w14:textId="77777777" w:rsidTr="004F5B47">
        <w:trPr>
          <w:cantSplit/>
        </w:trPr>
        <w:tc>
          <w:tcPr>
            <w:tcW w:w="6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B800DC" w14:textId="77777777" w:rsidR="00C46CE2" w:rsidRPr="00743512" w:rsidRDefault="00C46CE2" w:rsidP="004F5B47">
            <w:pPr>
              <w:pStyle w:val="TableText0"/>
            </w:pPr>
            <w:r w:rsidRPr="00743512">
              <w:t>Population</w:t>
            </w:r>
          </w:p>
        </w:tc>
        <w:tc>
          <w:tcPr>
            <w:tcW w:w="437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05BD16" w14:textId="27769BF3" w:rsidR="00C46CE2" w:rsidRPr="00743512" w:rsidRDefault="00C46CE2" w:rsidP="004F5B47">
            <w:pPr>
              <w:pStyle w:val="TableText0"/>
              <w:rPr>
                <w:szCs w:val="20"/>
              </w:rPr>
            </w:pPr>
            <w:r w:rsidRPr="00743512">
              <w:t xml:space="preserve">Adult patients with </w:t>
            </w:r>
            <w:r w:rsidR="00CD50D4" w:rsidRPr="00743512">
              <w:rPr>
                <w:i/>
              </w:rPr>
              <w:t>BRCA</w:t>
            </w:r>
            <w:r w:rsidRPr="00743512">
              <w:t>-mutated HER2-negative high-risk</w:t>
            </w:r>
            <w:r w:rsidRPr="00743512">
              <w:rPr>
                <w:vertAlign w:val="superscript"/>
              </w:rPr>
              <w:t>a</w:t>
            </w:r>
            <w:r w:rsidRPr="00743512">
              <w:t xml:space="preserve"> early breast cancer who have previously been treated with neoadjuvant or adjuvant chemotherapy</w:t>
            </w:r>
          </w:p>
        </w:tc>
      </w:tr>
      <w:tr w:rsidR="00C46CE2" w:rsidRPr="00743512" w14:paraId="3E14386E" w14:textId="77777777" w:rsidTr="004F5B47">
        <w:trPr>
          <w:cantSplit/>
        </w:trPr>
        <w:tc>
          <w:tcPr>
            <w:tcW w:w="6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D60C28" w14:textId="77777777" w:rsidR="00C46CE2" w:rsidRPr="00743512" w:rsidRDefault="00C46CE2" w:rsidP="004F5B47">
            <w:pPr>
              <w:pStyle w:val="TableText0"/>
            </w:pPr>
            <w:r w:rsidRPr="00743512">
              <w:t>Intervention</w:t>
            </w:r>
          </w:p>
        </w:tc>
        <w:tc>
          <w:tcPr>
            <w:tcW w:w="437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9D3471" w14:textId="78F1ED5E" w:rsidR="00C46CE2" w:rsidRPr="00743512" w:rsidRDefault="00C46CE2" w:rsidP="004F5B47">
            <w:pPr>
              <w:pStyle w:val="TableText0"/>
            </w:pPr>
            <w:r w:rsidRPr="00743512">
              <w:t xml:space="preserve">Germline </w:t>
            </w:r>
            <w:r w:rsidR="00CD50D4" w:rsidRPr="00743512">
              <w:rPr>
                <w:i/>
              </w:rPr>
              <w:t>BRCA</w:t>
            </w:r>
            <w:r w:rsidRPr="00743512">
              <w:t xml:space="preserve"> mutation test</w:t>
            </w:r>
          </w:p>
          <w:p w14:paraId="1EF1D20E" w14:textId="77777777" w:rsidR="00C46CE2" w:rsidRPr="00743512" w:rsidRDefault="00C46CE2" w:rsidP="004F5B47">
            <w:pPr>
              <w:pStyle w:val="TableText0"/>
            </w:pPr>
            <w:r w:rsidRPr="00743512">
              <w:t>Olaparib (300 mg, twice daily, orally, until progression)</w:t>
            </w:r>
          </w:p>
        </w:tc>
      </w:tr>
      <w:tr w:rsidR="00C46CE2" w:rsidRPr="00743512" w14:paraId="699FC810" w14:textId="77777777" w:rsidTr="004F5B47">
        <w:trPr>
          <w:cantSplit/>
        </w:trPr>
        <w:tc>
          <w:tcPr>
            <w:tcW w:w="6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C5A988" w14:textId="77777777" w:rsidR="00C46CE2" w:rsidRPr="00743512" w:rsidRDefault="00C46CE2" w:rsidP="004F5B47">
            <w:pPr>
              <w:pStyle w:val="TableText0"/>
            </w:pPr>
            <w:r w:rsidRPr="00743512">
              <w:t>Comparator</w:t>
            </w:r>
          </w:p>
        </w:tc>
        <w:tc>
          <w:tcPr>
            <w:tcW w:w="437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058A84" w14:textId="77777777" w:rsidR="00C46CE2" w:rsidRPr="00743512" w:rsidRDefault="00C46CE2" w:rsidP="004F5B47">
            <w:pPr>
              <w:pStyle w:val="TableText0"/>
            </w:pPr>
            <w:r w:rsidRPr="00743512">
              <w:t>Placebo (watch and wait)</w:t>
            </w:r>
          </w:p>
        </w:tc>
      </w:tr>
      <w:tr w:rsidR="00C46CE2" w:rsidRPr="00743512" w14:paraId="5791821F" w14:textId="77777777" w:rsidTr="004F5B47">
        <w:trPr>
          <w:cantSplit/>
        </w:trPr>
        <w:tc>
          <w:tcPr>
            <w:tcW w:w="6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CAED0C" w14:textId="77777777" w:rsidR="00C46CE2" w:rsidRPr="00743512" w:rsidRDefault="00C46CE2" w:rsidP="004F5B47">
            <w:pPr>
              <w:pStyle w:val="TableText0"/>
            </w:pPr>
            <w:r w:rsidRPr="00743512">
              <w:t>Outcomes</w:t>
            </w:r>
          </w:p>
        </w:tc>
        <w:tc>
          <w:tcPr>
            <w:tcW w:w="437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0F4BA07" w14:textId="77777777" w:rsidR="00C46CE2" w:rsidRPr="00743512" w:rsidRDefault="00C46CE2" w:rsidP="004F5B47">
            <w:pPr>
              <w:pStyle w:val="TableText0"/>
              <w:rPr>
                <w:rFonts w:eastAsia="Times New Roman" w:cs="Arial"/>
                <w:bCs w:val="0"/>
                <w:snapToGrid w:val="0"/>
                <w:color w:val="0066FF"/>
                <w:szCs w:val="20"/>
              </w:rPr>
            </w:pPr>
            <w:r w:rsidRPr="00743512">
              <w:t>Invasive disease-free survival, distant recurrence-free survival, overall survival, health-related quality of life (HRQoL)</w:t>
            </w:r>
          </w:p>
        </w:tc>
      </w:tr>
      <w:tr w:rsidR="00C46CE2" w:rsidRPr="00743512" w14:paraId="2F97DFE0" w14:textId="77777777" w:rsidTr="004F5B47">
        <w:trPr>
          <w:cantSplit/>
        </w:trPr>
        <w:tc>
          <w:tcPr>
            <w:tcW w:w="6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439C877" w14:textId="77777777" w:rsidR="00C46CE2" w:rsidRPr="00743512" w:rsidRDefault="00C46CE2" w:rsidP="004F5B47">
            <w:pPr>
              <w:pStyle w:val="TableText0"/>
            </w:pPr>
            <w:r w:rsidRPr="00743512">
              <w:t>Clinical claim</w:t>
            </w:r>
          </w:p>
        </w:tc>
        <w:tc>
          <w:tcPr>
            <w:tcW w:w="437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7CC319B" w14:textId="3663749C" w:rsidR="00C46CE2" w:rsidRPr="00743512" w:rsidRDefault="00C46CE2" w:rsidP="004F5B47">
            <w:pPr>
              <w:pStyle w:val="TableText0"/>
              <w:rPr>
                <w:rFonts w:eastAsia="Times New Roman" w:cs="Arial"/>
                <w:bCs w:val="0"/>
                <w:snapToGrid w:val="0"/>
                <w:color w:val="0066FF"/>
                <w:szCs w:val="20"/>
              </w:rPr>
            </w:pPr>
            <w:r w:rsidRPr="00743512">
              <w:t xml:space="preserve">Olaparib demonstrates superior efficacy </w:t>
            </w:r>
            <w:r w:rsidRPr="00743512">
              <w:rPr>
                <w:u w:val="single"/>
                <w:shd w:val="clear" w:color="auto" w:fill="FFFFFF" w:themeFill="background1"/>
              </w:rPr>
              <w:t>and inferior yet manageable safety</w:t>
            </w:r>
            <w:r w:rsidRPr="00743512">
              <w:t xml:space="preserve"> when compared to placebo, in patients with HER2-negative high risk early breast cancer with a confirmed </w:t>
            </w:r>
            <w:r w:rsidR="00CD50D4" w:rsidRPr="00743512">
              <w:rPr>
                <w:i/>
              </w:rPr>
              <w:t>BRCA1</w:t>
            </w:r>
            <w:r w:rsidRPr="00743512">
              <w:t xml:space="preserve"> or </w:t>
            </w:r>
            <w:r w:rsidR="00CD50D4" w:rsidRPr="00743512">
              <w:rPr>
                <w:i/>
              </w:rPr>
              <w:t>BRCA2</w:t>
            </w:r>
            <w:r w:rsidRPr="00743512">
              <w:t xml:space="preserve"> pathogenic or likely pathogenic gene variant</w:t>
            </w:r>
          </w:p>
        </w:tc>
      </w:tr>
    </w:tbl>
    <w:p w14:paraId="707462AC" w14:textId="77777777" w:rsidR="00C46CE2" w:rsidRPr="00743512" w:rsidRDefault="00C46CE2" w:rsidP="00C46CE2">
      <w:pPr>
        <w:pStyle w:val="FooterTableFigure"/>
      </w:pPr>
      <w:r w:rsidRPr="00743512">
        <w:t>Source: Table 1.2, p10 of the resubmission.</w:t>
      </w:r>
    </w:p>
    <w:p w14:paraId="3BFA5992" w14:textId="3849F0E0" w:rsidR="00C46CE2" w:rsidRPr="00743512" w:rsidRDefault="00CD50D4" w:rsidP="00C46CE2">
      <w:pPr>
        <w:pStyle w:val="FooterTableFigure"/>
      </w:pPr>
      <w:r w:rsidRPr="00743512">
        <w:rPr>
          <w:i/>
        </w:rPr>
        <w:t>BRCA</w:t>
      </w:r>
      <w:r w:rsidR="00C46CE2" w:rsidRPr="00743512">
        <w:t xml:space="preserve"> = Breast Cancer gene; HER2 = human-epidermal growth factor receptor 2; HRQoL, health related quality of life; TNBC = triple negative breast cancer.</w:t>
      </w:r>
    </w:p>
    <w:p w14:paraId="0E4AFDE6" w14:textId="77777777" w:rsidR="00C46CE2" w:rsidRPr="00743512" w:rsidRDefault="00C46CE2" w:rsidP="00C46CE2">
      <w:pPr>
        <w:pStyle w:val="FooterTableFigure"/>
      </w:pPr>
      <w:r w:rsidRPr="00743512">
        <w:rPr>
          <w:vertAlign w:val="superscript"/>
        </w:rPr>
        <w:t>a</w:t>
      </w:r>
      <w:r w:rsidRPr="00743512">
        <w:t xml:space="preserve"> Where neoadjuvant chemotherapy has occurred – confirmed residual invasive cancer in the breast and/or resected lymph nodes. </w:t>
      </w:r>
    </w:p>
    <w:p w14:paraId="6DFB1B72" w14:textId="77777777" w:rsidR="00C46CE2" w:rsidRPr="00743512" w:rsidRDefault="00C46CE2" w:rsidP="00C46CE2">
      <w:pPr>
        <w:pStyle w:val="FooterTableFigure"/>
      </w:pPr>
      <w:r w:rsidRPr="00743512">
        <w:t xml:space="preserve">In a patient with triple negative breast cancer who has received adjuvant chemotherapy, confirmed node positive disease is present or that the primary tumour is greater than 20 mm, </w:t>
      </w:r>
    </w:p>
    <w:p w14:paraId="5558DBC6" w14:textId="77777777" w:rsidR="00C46CE2" w:rsidRPr="00743512" w:rsidRDefault="00C46CE2" w:rsidP="00C46CE2">
      <w:pPr>
        <w:pStyle w:val="FooterTableFigure"/>
      </w:pPr>
      <w:r w:rsidRPr="00743512">
        <w:t>In a patient with hormone receptor positive HER2- disease who has received adjuvant chemotherapy, confirmed that the patient has at least 4 positive lymph nodes.</w:t>
      </w:r>
    </w:p>
    <w:p w14:paraId="4CD8C3B3" w14:textId="13B5960B" w:rsidR="00C46CE2" w:rsidRPr="00743512" w:rsidRDefault="00C46CE2" w:rsidP="00C46CE2">
      <w:pPr>
        <w:pStyle w:val="FooterTableFigure"/>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information previously seen by the PBAC. </w:t>
      </w:r>
    </w:p>
    <w:p w14:paraId="32D894A7" w14:textId="77777777" w:rsidR="00C46CE2" w:rsidRPr="00743512" w:rsidRDefault="00C46CE2" w:rsidP="001074C6">
      <w:pPr>
        <w:pStyle w:val="2-SectionHeading"/>
        <w:numPr>
          <w:ilvl w:val="0"/>
          <w:numId w:val="9"/>
        </w:numPr>
        <w:snapToGrid w:val="0"/>
      </w:pPr>
      <w:bookmarkStart w:id="5" w:name="_Toc124883274"/>
      <w:bookmarkStart w:id="6" w:name="_Toc145501112"/>
      <w:r w:rsidRPr="00743512">
        <w:lastRenderedPageBreak/>
        <w:t>Background</w:t>
      </w:r>
      <w:bookmarkEnd w:id="5"/>
      <w:bookmarkEnd w:id="6"/>
    </w:p>
    <w:p w14:paraId="39CB905A" w14:textId="77777777" w:rsidR="00C46CE2" w:rsidRPr="00743512" w:rsidRDefault="00C46CE2" w:rsidP="00702D0A">
      <w:pPr>
        <w:pStyle w:val="4-SubsectionHeading"/>
      </w:pPr>
      <w:bookmarkStart w:id="7" w:name="_Toc22897638"/>
      <w:bookmarkStart w:id="8" w:name="_Toc124883275"/>
      <w:bookmarkStart w:id="9" w:name="_Toc145501113"/>
      <w:r w:rsidRPr="00743512">
        <w:t>Registration status</w:t>
      </w:r>
      <w:bookmarkEnd w:id="7"/>
      <w:bookmarkEnd w:id="8"/>
      <w:bookmarkEnd w:id="9"/>
    </w:p>
    <w:p w14:paraId="516DA3B0" w14:textId="3C049D07" w:rsidR="00C46CE2" w:rsidRPr="00743512" w:rsidRDefault="004B4ADE" w:rsidP="001074C6">
      <w:pPr>
        <w:pStyle w:val="3-BodyText"/>
        <w:numPr>
          <w:ilvl w:val="1"/>
          <w:numId w:val="9"/>
        </w:numPr>
        <w:snapToGrid w:val="0"/>
      </w:pPr>
      <w:r w:rsidRPr="00743512">
        <w:t xml:space="preserve">Olaparib was </w:t>
      </w:r>
      <w:r w:rsidR="00B5091C" w:rsidRPr="00743512">
        <w:t>TGA regist</w:t>
      </w:r>
      <w:r w:rsidRPr="00743512">
        <w:t>ered on 5 October 2023</w:t>
      </w:r>
      <w:r w:rsidR="00F32823" w:rsidRPr="00F32823">
        <w:t xml:space="preserve"> </w:t>
      </w:r>
      <w:r w:rsidRPr="00743512">
        <w:t>as monotherapy</w:t>
      </w:r>
      <w:r w:rsidR="00C46CE2" w:rsidRPr="00743512">
        <w:t xml:space="preserve"> for </w:t>
      </w:r>
      <w:r w:rsidRPr="00743512">
        <w:t xml:space="preserve">the </w:t>
      </w:r>
      <w:r w:rsidR="00C46CE2" w:rsidRPr="00743512">
        <w:t xml:space="preserve">adjuvant treatment of adult patients with </w:t>
      </w:r>
      <w:r w:rsidR="00CD50D4" w:rsidRPr="00743512">
        <w:rPr>
          <w:i/>
        </w:rPr>
        <w:t>BRCA</w:t>
      </w:r>
      <w:r w:rsidR="00C46CE2" w:rsidRPr="00743512">
        <w:t>-mutated (</w:t>
      </w:r>
      <w:r w:rsidR="00CD50D4" w:rsidRPr="00743512">
        <w:rPr>
          <w:i/>
        </w:rPr>
        <w:t>BRCA</w:t>
      </w:r>
      <w:r w:rsidR="00C46CE2" w:rsidRPr="00743512">
        <w:t>m) HER2- high-risk eBC who have previously been treated with neoadjuvant or adjuvant chemotherapy.</w:t>
      </w:r>
    </w:p>
    <w:p w14:paraId="2A9D4B65" w14:textId="3F80B539" w:rsidR="00C46CE2" w:rsidRPr="00743512" w:rsidRDefault="00C46CE2" w:rsidP="00F32823">
      <w:pPr>
        <w:pStyle w:val="3-BodyText"/>
        <w:numPr>
          <w:ilvl w:val="1"/>
          <w:numId w:val="9"/>
        </w:numPr>
        <w:snapToGrid w:val="0"/>
      </w:pPr>
      <w:r w:rsidRPr="00743512">
        <w:t>Olaparib is currently TGA</w:t>
      </w:r>
      <w:r w:rsidR="003077DD" w:rsidRPr="00743512">
        <w:t>-</w:t>
      </w:r>
      <w:r w:rsidRPr="00743512">
        <w:t xml:space="preserve">approved for indications in metastatic breast cancer, ovarian cancer, adenocarcinoma of the pancreas, and prostate cancer. </w:t>
      </w:r>
    </w:p>
    <w:p w14:paraId="70000F8C" w14:textId="313D91EA" w:rsidR="00C46CE2" w:rsidRPr="00743512" w:rsidRDefault="00C46CE2" w:rsidP="00C46CE2">
      <w:pPr>
        <w:pStyle w:val="4-SubsectionHeading"/>
      </w:pPr>
      <w:bookmarkStart w:id="10" w:name="_Toc22897639"/>
      <w:bookmarkStart w:id="11" w:name="_Toc145501114"/>
      <w:r w:rsidRPr="00743512">
        <w:t xml:space="preserve">Previous </w:t>
      </w:r>
      <w:r w:rsidR="00702D0A" w:rsidRPr="00743512">
        <w:t xml:space="preserve">PBAC </w:t>
      </w:r>
      <w:r w:rsidRPr="00743512">
        <w:t>consideration</w:t>
      </w:r>
      <w:bookmarkEnd w:id="10"/>
      <w:bookmarkEnd w:id="11"/>
    </w:p>
    <w:p w14:paraId="2138C637" w14:textId="4715FBCF" w:rsidR="00FE3F41" w:rsidRPr="00743512" w:rsidRDefault="00C46CE2" w:rsidP="003456A0">
      <w:pPr>
        <w:pStyle w:val="3-BodyText"/>
      </w:pPr>
      <w:r w:rsidRPr="00743512">
        <w:t>At the March 2023 PBAC meeting, olaparib was not recommended for the adjuvant treatment of HER2</w:t>
      </w:r>
      <w:r w:rsidR="00173049" w:rsidRPr="00743512">
        <w:t>-</w:t>
      </w:r>
      <w:r w:rsidRPr="00743512">
        <w:t xml:space="preserve"> high-risk eBC with a confirmed g</w:t>
      </w:r>
      <w:r w:rsidR="0018082C" w:rsidRPr="00743512">
        <w:rPr>
          <w:i/>
        </w:rPr>
        <w:t>BRCA1</w:t>
      </w:r>
      <w:r w:rsidRPr="00743512">
        <w:t xml:space="preserve"> or g</w:t>
      </w:r>
      <w:r w:rsidR="0018082C" w:rsidRPr="00743512">
        <w:rPr>
          <w:i/>
        </w:rPr>
        <w:t>BRCA2</w:t>
      </w:r>
      <w:r w:rsidRPr="00743512">
        <w:t xml:space="preserve"> mutation in patients who have previously been treated with neoadjuvant or adjuvant chemotherapy</w:t>
      </w:r>
      <w:r w:rsidR="00FD3131" w:rsidRPr="00743512">
        <w:t>. The PBAC noted that a statistically significant result for the pre-specified primary endpoint of invasive disease</w:t>
      </w:r>
      <w:r w:rsidR="00B862A6" w:rsidRPr="00743512">
        <w:t xml:space="preserve"> </w:t>
      </w:r>
      <w:r w:rsidR="00FD3131" w:rsidRPr="00743512">
        <w:t xml:space="preserve">free survival (IDFS) was reported from the pivotal registration study, but that the overall survival (OS) data remained immature. Olaparib was inferior to placebo in terms of safety. The PBAC considered that the incremental cost-effectiveness ratio </w:t>
      </w:r>
      <w:r w:rsidR="00BD3E0D" w:rsidRPr="00743512">
        <w:t xml:space="preserve">(ICER) </w:t>
      </w:r>
      <w:r w:rsidR="00FD3131" w:rsidRPr="00743512">
        <w:t xml:space="preserve">was highly uncertain and unacceptably high. The PBAC considered that revisions were also required to the financial estimates (para 7.1, olaparib </w:t>
      </w:r>
      <w:r w:rsidR="00C03F52" w:rsidRPr="00743512">
        <w:t>public summary document [</w:t>
      </w:r>
      <w:r w:rsidR="00FD3131" w:rsidRPr="00743512">
        <w:t>PSD</w:t>
      </w:r>
      <w:r w:rsidR="00C03F52" w:rsidRPr="00743512">
        <w:t>]</w:t>
      </w:r>
      <w:r w:rsidR="00FD3131" w:rsidRPr="00743512">
        <w:t>, March 2023 PBAC meeting)</w:t>
      </w:r>
      <w:r w:rsidRPr="00743512">
        <w:t xml:space="preserve">. </w:t>
      </w:r>
      <w:r w:rsidR="00BD3E0D" w:rsidRPr="00743512">
        <w:t xml:space="preserve">While the PBAC had advised in March 2023 that the early re-entry pathway could be </w:t>
      </w:r>
      <w:r w:rsidR="00735694" w:rsidRPr="00743512">
        <w:t>utilised</w:t>
      </w:r>
      <w:r w:rsidR="00BD3E0D" w:rsidRPr="00743512">
        <w:t>, t</w:t>
      </w:r>
      <w:r w:rsidR="00600484" w:rsidRPr="00743512">
        <w:t xml:space="preserve">he resubmission stated that due to the magnitude of the changes requested by the PBAC, the sponsor elected </w:t>
      </w:r>
      <w:r w:rsidR="009E656F" w:rsidRPr="00743512">
        <w:t xml:space="preserve">to submit </w:t>
      </w:r>
      <w:r w:rsidR="00600484" w:rsidRPr="00743512">
        <w:t xml:space="preserve">a standard re-entry </w:t>
      </w:r>
      <w:r w:rsidR="009E656F" w:rsidRPr="00743512">
        <w:t>re</w:t>
      </w:r>
      <w:r w:rsidR="00600484" w:rsidRPr="00743512">
        <w:t xml:space="preserve">submission to address the concerns raised by the PBAC in </w:t>
      </w:r>
      <w:r w:rsidR="009E656F" w:rsidRPr="00743512">
        <w:t>March 2023</w:t>
      </w:r>
      <w:r w:rsidR="00600484" w:rsidRPr="00743512">
        <w:t>.</w:t>
      </w:r>
    </w:p>
    <w:p w14:paraId="4D615F4D" w14:textId="333E4B5F" w:rsidR="00C46CE2" w:rsidRPr="00743512" w:rsidRDefault="00C46CE2" w:rsidP="00C46CE2">
      <w:pPr>
        <w:pStyle w:val="3-BodyText"/>
      </w:pPr>
      <w:r w:rsidRPr="00743512">
        <w:t xml:space="preserve">The main PBAC concerns and how they were addressed in the resubmission are summarised in </w:t>
      </w:r>
      <w:r w:rsidRPr="00743512">
        <w:fldChar w:fldCharType="begin"/>
      </w:r>
      <w:r w:rsidRPr="00743512">
        <w:instrText xml:space="preserve"> REF _Ref144455504 \h </w:instrText>
      </w:r>
      <w:r w:rsidRPr="00743512">
        <w:fldChar w:fldCharType="separate"/>
      </w:r>
      <w:r w:rsidR="00D2565D" w:rsidRPr="00743512">
        <w:t xml:space="preserve">Table </w:t>
      </w:r>
      <w:r w:rsidR="00D2565D">
        <w:rPr>
          <w:noProof/>
        </w:rPr>
        <w:t>2</w:t>
      </w:r>
      <w:r w:rsidRPr="00743512">
        <w:fldChar w:fldCharType="end"/>
      </w:r>
      <w:r w:rsidRPr="00743512">
        <w:t>.</w:t>
      </w:r>
      <w:r w:rsidR="00DB6238" w:rsidRPr="00743512">
        <w:t xml:space="preserve"> </w:t>
      </w:r>
    </w:p>
    <w:p w14:paraId="2B91E71D" w14:textId="511FB65B" w:rsidR="00C46CE2" w:rsidRPr="00743512" w:rsidRDefault="00C46CE2" w:rsidP="009C78A2">
      <w:pPr>
        <w:pStyle w:val="TableFigureHeading"/>
        <w:rPr>
          <w:rStyle w:val="CommentReference"/>
          <w:b/>
          <w:szCs w:val="24"/>
        </w:rPr>
      </w:pPr>
      <w:bookmarkStart w:id="12" w:name="_Ref144455504"/>
      <w:r w:rsidRPr="00743512">
        <w:t xml:space="preserve">Table </w:t>
      </w:r>
      <w:r w:rsidR="00D2565D">
        <w:fldChar w:fldCharType="begin"/>
      </w:r>
      <w:r w:rsidR="00D2565D">
        <w:instrText xml:space="preserve"> SEQ Table \* ARABIC </w:instrText>
      </w:r>
      <w:r w:rsidR="00D2565D">
        <w:fldChar w:fldCharType="separate"/>
      </w:r>
      <w:r w:rsidR="00D2565D">
        <w:rPr>
          <w:noProof/>
        </w:rPr>
        <w:t>2</w:t>
      </w:r>
      <w:r w:rsidR="00D2565D">
        <w:rPr>
          <w:noProof/>
        </w:rPr>
        <w:fldChar w:fldCharType="end"/>
      </w:r>
      <w:bookmarkEnd w:id="12"/>
      <w:r w:rsidRPr="00743512">
        <w:t>:</w:t>
      </w:r>
      <w:r w:rsidRPr="00743512">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127"/>
        <w:gridCol w:w="4280"/>
        <w:gridCol w:w="3610"/>
      </w:tblGrid>
      <w:tr w:rsidR="00C46CE2" w:rsidRPr="00743512" w14:paraId="2BE86F32" w14:textId="77777777" w:rsidTr="001074C6">
        <w:trPr>
          <w:cantSplit/>
          <w:tblHeader/>
        </w:trPr>
        <w:tc>
          <w:tcPr>
            <w:tcW w:w="596" w:type="pct"/>
            <w:vAlign w:val="center"/>
          </w:tcPr>
          <w:p w14:paraId="175C0AB8" w14:textId="77777777" w:rsidR="00C46CE2" w:rsidRPr="00743512" w:rsidRDefault="00C46CE2" w:rsidP="009C78A2">
            <w:pPr>
              <w:pStyle w:val="In-tableHeading"/>
              <w:rPr>
                <w:lang w:val="en-AU"/>
              </w:rPr>
            </w:pPr>
            <w:r w:rsidRPr="00743512">
              <w:rPr>
                <w:lang w:val="en-AU"/>
              </w:rPr>
              <w:t>Component</w:t>
            </w:r>
          </w:p>
        </w:tc>
        <w:tc>
          <w:tcPr>
            <w:tcW w:w="2388" w:type="pct"/>
            <w:vAlign w:val="center"/>
          </w:tcPr>
          <w:p w14:paraId="4113FDC0" w14:textId="77777777" w:rsidR="00C46CE2" w:rsidRPr="00743512" w:rsidRDefault="00C46CE2" w:rsidP="009C78A2">
            <w:pPr>
              <w:pStyle w:val="In-tableHeading"/>
              <w:rPr>
                <w:lang w:val="en-AU"/>
              </w:rPr>
            </w:pPr>
            <w:r w:rsidRPr="00743512">
              <w:rPr>
                <w:lang w:val="en-AU"/>
              </w:rPr>
              <w:t>Matter of concern</w:t>
            </w:r>
          </w:p>
          <w:p w14:paraId="36FA7E79" w14:textId="77777777" w:rsidR="00C46CE2" w:rsidRPr="00743512" w:rsidRDefault="00C46CE2" w:rsidP="009C78A2">
            <w:pPr>
              <w:pStyle w:val="In-tableHeading"/>
              <w:rPr>
                <w:lang w:val="en-AU"/>
              </w:rPr>
            </w:pPr>
            <w:r w:rsidRPr="00743512">
              <w:rPr>
                <w:lang w:val="en-AU"/>
              </w:rPr>
              <w:t>(Olaparib, PSD, March 2023 PBAC meeting).</w:t>
            </w:r>
          </w:p>
        </w:tc>
        <w:tc>
          <w:tcPr>
            <w:tcW w:w="2016" w:type="pct"/>
            <w:vAlign w:val="center"/>
          </w:tcPr>
          <w:p w14:paraId="42D2CBFD" w14:textId="4F225681" w:rsidR="00C46CE2" w:rsidRPr="00743512" w:rsidRDefault="00C46CE2" w:rsidP="009C78A2">
            <w:pPr>
              <w:pStyle w:val="In-tableHeading"/>
              <w:rPr>
                <w:lang w:val="en-AU"/>
              </w:rPr>
            </w:pPr>
            <w:r w:rsidRPr="00743512">
              <w:rPr>
                <w:lang w:val="en-AU"/>
              </w:rPr>
              <w:t>How the resubmission addresse</w:t>
            </w:r>
            <w:r w:rsidR="00735694" w:rsidRPr="00743512">
              <w:rPr>
                <w:lang w:val="en-AU"/>
              </w:rPr>
              <w:t>d</w:t>
            </w:r>
            <w:r w:rsidRPr="00743512">
              <w:rPr>
                <w:lang w:val="en-AU"/>
              </w:rPr>
              <w:t xml:space="preserve"> it</w:t>
            </w:r>
          </w:p>
        </w:tc>
      </w:tr>
      <w:tr w:rsidR="00384C6E" w:rsidRPr="00743512" w14:paraId="28948429" w14:textId="77777777" w:rsidTr="00927E75">
        <w:trPr>
          <w:cantSplit/>
        </w:trPr>
        <w:tc>
          <w:tcPr>
            <w:tcW w:w="5000" w:type="pct"/>
            <w:gridSpan w:val="3"/>
            <w:vAlign w:val="center"/>
          </w:tcPr>
          <w:p w14:paraId="4F45171D" w14:textId="2BE21AB8" w:rsidR="00384C6E" w:rsidRPr="00743512" w:rsidRDefault="00384C6E" w:rsidP="009C78A2">
            <w:pPr>
              <w:pStyle w:val="In-tableHeading"/>
              <w:rPr>
                <w:lang w:val="en-AU"/>
              </w:rPr>
            </w:pPr>
            <w:r w:rsidRPr="00743512">
              <w:rPr>
                <w:lang w:val="en-AU"/>
              </w:rPr>
              <w:t>Restriction</w:t>
            </w:r>
          </w:p>
        </w:tc>
      </w:tr>
      <w:tr w:rsidR="00384C6E" w:rsidRPr="00743512" w14:paraId="417F698B" w14:textId="77777777" w:rsidTr="001074C6">
        <w:trPr>
          <w:cantSplit/>
          <w:trHeight w:val="3566"/>
        </w:trPr>
        <w:tc>
          <w:tcPr>
            <w:tcW w:w="596" w:type="pct"/>
            <w:vAlign w:val="center"/>
          </w:tcPr>
          <w:p w14:paraId="00F162F5" w14:textId="1ACB7676" w:rsidR="00384C6E" w:rsidRPr="00743512" w:rsidRDefault="00384C6E" w:rsidP="00883096">
            <w:pPr>
              <w:pStyle w:val="In-tableHeading"/>
              <w:keepNext w:val="0"/>
              <w:rPr>
                <w:b w:val="0"/>
                <w:bCs/>
                <w:lang w:val="en-AU"/>
              </w:rPr>
            </w:pPr>
            <w:r w:rsidRPr="00743512">
              <w:rPr>
                <w:b w:val="0"/>
                <w:bCs/>
                <w:lang w:val="en-AU"/>
              </w:rPr>
              <w:t>Proposed restriction criteria</w:t>
            </w:r>
          </w:p>
        </w:tc>
        <w:tc>
          <w:tcPr>
            <w:tcW w:w="2388" w:type="pct"/>
            <w:vAlign w:val="center"/>
          </w:tcPr>
          <w:p w14:paraId="6EB750D6" w14:textId="12A2ADB4" w:rsidR="00B027AB" w:rsidRPr="00743512" w:rsidRDefault="00B027AB" w:rsidP="00883096">
            <w:pPr>
              <w:pStyle w:val="In-tableHeading"/>
              <w:keepNext w:val="0"/>
              <w:rPr>
                <w:b w:val="0"/>
                <w:bCs/>
                <w:lang w:val="en-AU"/>
              </w:rPr>
            </w:pPr>
            <w:r w:rsidRPr="00743512">
              <w:rPr>
                <w:b w:val="0"/>
                <w:bCs/>
                <w:lang w:val="en-AU"/>
              </w:rPr>
              <w:t>The PBAC had several recommendations for the proposed PBS criteria</w:t>
            </w:r>
            <w:r w:rsidR="009D2CF7" w:rsidRPr="00743512">
              <w:rPr>
                <w:b w:val="0"/>
                <w:bCs/>
                <w:lang w:val="en-AU"/>
              </w:rPr>
              <w:t xml:space="preserve"> (para 3.12)</w:t>
            </w:r>
            <w:r w:rsidRPr="00743512">
              <w:rPr>
                <w:b w:val="0"/>
                <w:bCs/>
                <w:lang w:val="en-AU"/>
              </w:rPr>
              <w:t>:</w:t>
            </w:r>
          </w:p>
          <w:p w14:paraId="2130B27D" w14:textId="77777777" w:rsidR="00B027AB" w:rsidRPr="00743512" w:rsidRDefault="00B027AB" w:rsidP="001074C6">
            <w:pPr>
              <w:pStyle w:val="In-tableHeading"/>
              <w:keepNext w:val="0"/>
              <w:numPr>
                <w:ilvl w:val="0"/>
                <w:numId w:val="19"/>
              </w:numPr>
              <w:ind w:left="360"/>
              <w:rPr>
                <w:b w:val="0"/>
                <w:bCs/>
                <w:lang w:val="en-AU"/>
              </w:rPr>
            </w:pPr>
            <w:r w:rsidRPr="00743512">
              <w:rPr>
                <w:b w:val="0"/>
                <w:bCs/>
                <w:lang w:val="en-AU"/>
              </w:rPr>
              <w:t xml:space="preserve">The criteria around HER2 expression should be simplified, </w:t>
            </w:r>
          </w:p>
          <w:p w14:paraId="6C3471A6" w14:textId="4094F4F2" w:rsidR="005709B0" w:rsidRPr="00743512" w:rsidRDefault="005709B0" w:rsidP="001074C6">
            <w:pPr>
              <w:pStyle w:val="In-tableHeading"/>
              <w:keepNext w:val="0"/>
              <w:numPr>
                <w:ilvl w:val="0"/>
                <w:numId w:val="19"/>
              </w:numPr>
              <w:ind w:left="360"/>
              <w:rPr>
                <w:b w:val="0"/>
                <w:bCs/>
                <w:lang w:val="en-AU"/>
              </w:rPr>
            </w:pPr>
            <w:r w:rsidRPr="00743512">
              <w:rPr>
                <w:b w:val="0"/>
                <w:bCs/>
                <w:lang w:val="en-AU"/>
              </w:rPr>
              <w:t>The patient should not be required to have completed six cycles of chemotherapy;</w:t>
            </w:r>
          </w:p>
          <w:p w14:paraId="4AF2FD29" w14:textId="721008F4" w:rsidR="00B027AB" w:rsidRPr="00743512" w:rsidRDefault="00B027AB" w:rsidP="001074C6">
            <w:pPr>
              <w:pStyle w:val="In-tableHeading"/>
              <w:keepNext w:val="0"/>
              <w:numPr>
                <w:ilvl w:val="0"/>
                <w:numId w:val="19"/>
              </w:numPr>
              <w:ind w:left="360"/>
              <w:rPr>
                <w:b w:val="0"/>
                <w:bCs/>
                <w:lang w:val="en-AU"/>
              </w:rPr>
            </w:pPr>
            <w:r w:rsidRPr="00743512">
              <w:rPr>
                <w:b w:val="0"/>
                <w:bCs/>
                <w:lang w:val="en-AU"/>
              </w:rPr>
              <w:t xml:space="preserve">The criteria with respect to patients at high risk of recurrence should be simplified, </w:t>
            </w:r>
          </w:p>
          <w:p w14:paraId="53583DCC" w14:textId="691C00D8" w:rsidR="00B027AB" w:rsidRPr="00743512" w:rsidRDefault="00B027AB" w:rsidP="001074C6">
            <w:pPr>
              <w:pStyle w:val="In-tableHeading"/>
              <w:keepNext w:val="0"/>
              <w:numPr>
                <w:ilvl w:val="0"/>
                <w:numId w:val="19"/>
              </w:numPr>
              <w:ind w:left="360"/>
              <w:rPr>
                <w:b w:val="0"/>
                <w:bCs/>
                <w:lang w:val="en-AU"/>
              </w:rPr>
            </w:pPr>
            <w:r w:rsidRPr="00743512">
              <w:rPr>
                <w:b w:val="0"/>
                <w:bCs/>
                <w:lang w:val="en-AU"/>
              </w:rPr>
              <w:t>A criterion should be added requiring initiation within 12 weeks of completing other therapy,</w:t>
            </w:r>
          </w:p>
          <w:p w14:paraId="0F8CC6A1" w14:textId="3213B738" w:rsidR="00B027AB" w:rsidRPr="00743512" w:rsidRDefault="00B027AB" w:rsidP="001074C6">
            <w:pPr>
              <w:pStyle w:val="In-tableHeading"/>
              <w:keepNext w:val="0"/>
              <w:numPr>
                <w:ilvl w:val="0"/>
                <w:numId w:val="19"/>
              </w:numPr>
              <w:ind w:left="360"/>
              <w:rPr>
                <w:b w:val="0"/>
                <w:bCs/>
                <w:lang w:val="en-AU"/>
              </w:rPr>
            </w:pPr>
            <w:r w:rsidRPr="00743512">
              <w:rPr>
                <w:b w:val="0"/>
                <w:bCs/>
                <w:lang w:val="en-AU"/>
              </w:rPr>
              <w:t>It is not necessary to specify that HR</w:t>
            </w:r>
            <w:r w:rsidR="00450576" w:rsidRPr="00743512">
              <w:rPr>
                <w:b w:val="0"/>
                <w:bCs/>
                <w:lang w:val="en-AU"/>
              </w:rPr>
              <w:t>+</w:t>
            </w:r>
            <w:r w:rsidRPr="00743512">
              <w:rPr>
                <w:b w:val="0"/>
                <w:bCs/>
                <w:lang w:val="en-AU"/>
              </w:rPr>
              <w:t xml:space="preserve"> patients should have ET</w:t>
            </w:r>
            <w:r w:rsidR="009D2CF7" w:rsidRPr="00743512">
              <w:rPr>
                <w:b w:val="0"/>
                <w:bCs/>
                <w:lang w:val="en-AU"/>
              </w:rPr>
              <w:t>.</w:t>
            </w:r>
          </w:p>
          <w:p w14:paraId="2660FDF3" w14:textId="77777777" w:rsidR="009D2CF7" w:rsidRPr="00743512" w:rsidRDefault="009D2CF7" w:rsidP="001074C6">
            <w:pPr>
              <w:pStyle w:val="In-tableHeading"/>
              <w:keepNext w:val="0"/>
              <w:numPr>
                <w:ilvl w:val="0"/>
                <w:numId w:val="19"/>
              </w:numPr>
              <w:ind w:left="360"/>
              <w:rPr>
                <w:b w:val="0"/>
                <w:bCs/>
                <w:lang w:val="en-AU"/>
              </w:rPr>
            </w:pPr>
            <w:r w:rsidRPr="00743512">
              <w:rPr>
                <w:b w:val="0"/>
                <w:bCs/>
                <w:lang w:val="en-AU"/>
              </w:rPr>
              <w:t>In the continuing restriction, the reference to “progression” has been replaced by “recurrence”.</w:t>
            </w:r>
          </w:p>
          <w:p w14:paraId="476E1111" w14:textId="1455B95D" w:rsidR="00B138D2" w:rsidRPr="00743512" w:rsidRDefault="00F43B69" w:rsidP="001074C6">
            <w:pPr>
              <w:pStyle w:val="In-tableHeading"/>
              <w:keepNext w:val="0"/>
              <w:numPr>
                <w:ilvl w:val="0"/>
                <w:numId w:val="19"/>
              </w:numPr>
              <w:ind w:left="360"/>
              <w:rPr>
                <w:b w:val="0"/>
                <w:bCs/>
                <w:lang w:val="en-AU"/>
              </w:rPr>
            </w:pPr>
            <w:r w:rsidRPr="00743512">
              <w:rPr>
                <w:b w:val="0"/>
                <w:bCs/>
                <w:lang w:val="en-AU"/>
              </w:rPr>
              <w:t>The restriction should prevent combination use of olaparib and pembrolizumab</w:t>
            </w:r>
            <w:r w:rsidR="001074C6" w:rsidRPr="00743512">
              <w:rPr>
                <w:b w:val="0"/>
                <w:bCs/>
                <w:lang w:val="en-AU"/>
              </w:rPr>
              <w:t>.</w:t>
            </w:r>
          </w:p>
        </w:tc>
        <w:tc>
          <w:tcPr>
            <w:tcW w:w="2016" w:type="pct"/>
          </w:tcPr>
          <w:p w14:paraId="64919EA1" w14:textId="65861F62" w:rsidR="00F43B69" w:rsidRPr="00743512" w:rsidRDefault="009D2CF7" w:rsidP="005709B0">
            <w:pPr>
              <w:pStyle w:val="In-tableHeading"/>
              <w:keepNext w:val="0"/>
              <w:rPr>
                <w:b w:val="0"/>
                <w:bCs/>
                <w:lang w:val="en-AU"/>
              </w:rPr>
            </w:pPr>
            <w:r w:rsidRPr="00743512">
              <w:rPr>
                <w:b w:val="0"/>
                <w:bCs/>
                <w:lang w:val="en-AU"/>
              </w:rPr>
              <w:t xml:space="preserve">The proposed listing </w:t>
            </w:r>
            <w:r w:rsidR="00AD0850" w:rsidRPr="00743512">
              <w:rPr>
                <w:b w:val="0"/>
                <w:bCs/>
                <w:lang w:val="en-AU"/>
              </w:rPr>
              <w:t>was</w:t>
            </w:r>
            <w:r w:rsidRPr="00743512">
              <w:rPr>
                <w:b w:val="0"/>
                <w:bCs/>
                <w:lang w:val="en-AU"/>
              </w:rPr>
              <w:t xml:space="preserve"> updated </w:t>
            </w:r>
            <w:r w:rsidR="00AD0850" w:rsidRPr="00743512">
              <w:rPr>
                <w:b w:val="0"/>
                <w:bCs/>
                <w:lang w:val="en-AU"/>
              </w:rPr>
              <w:t xml:space="preserve">(see paragraph </w:t>
            </w:r>
            <w:r w:rsidR="00AD0850" w:rsidRPr="00743512">
              <w:rPr>
                <w:b w:val="0"/>
                <w:bCs/>
                <w:lang w:val="en-AU"/>
              </w:rPr>
              <w:fldChar w:fldCharType="begin"/>
            </w:r>
            <w:r w:rsidR="00AD0850" w:rsidRPr="00743512">
              <w:rPr>
                <w:b w:val="0"/>
                <w:bCs/>
                <w:lang w:val="en-AU"/>
              </w:rPr>
              <w:instrText xml:space="preserve"> REF _Ref147939118 \r \h </w:instrText>
            </w:r>
            <w:r w:rsidR="00AD0850" w:rsidRPr="00743512">
              <w:rPr>
                <w:b w:val="0"/>
                <w:bCs/>
                <w:lang w:val="en-AU"/>
              </w:rPr>
            </w:r>
            <w:r w:rsidR="00AD0850" w:rsidRPr="00743512">
              <w:rPr>
                <w:b w:val="0"/>
                <w:bCs/>
                <w:lang w:val="en-AU"/>
              </w:rPr>
              <w:fldChar w:fldCharType="separate"/>
            </w:r>
            <w:r w:rsidR="00D2565D">
              <w:rPr>
                <w:b w:val="0"/>
                <w:bCs/>
                <w:lang w:val="en-AU"/>
              </w:rPr>
              <w:t>3.3</w:t>
            </w:r>
            <w:r w:rsidR="00AD0850" w:rsidRPr="00743512">
              <w:rPr>
                <w:b w:val="0"/>
                <w:bCs/>
                <w:lang w:val="en-AU"/>
              </w:rPr>
              <w:fldChar w:fldCharType="end"/>
            </w:r>
            <w:r w:rsidR="00AD0850" w:rsidRPr="00743512">
              <w:rPr>
                <w:b w:val="0"/>
                <w:bCs/>
                <w:lang w:val="en-AU"/>
              </w:rPr>
              <w:t>)</w:t>
            </w:r>
            <w:r w:rsidR="00F43B69" w:rsidRPr="00743512">
              <w:rPr>
                <w:b w:val="0"/>
                <w:bCs/>
                <w:lang w:val="en-AU"/>
              </w:rPr>
              <w:t>.</w:t>
            </w:r>
          </w:p>
        </w:tc>
      </w:tr>
      <w:tr w:rsidR="00883096" w:rsidRPr="00743512" w14:paraId="189D4E92" w14:textId="77777777" w:rsidTr="00927E75">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932B02C" w14:textId="41D32F54" w:rsidR="00883096" w:rsidRPr="00743512" w:rsidRDefault="00883096" w:rsidP="00883096">
            <w:pPr>
              <w:pStyle w:val="TableText0"/>
              <w:keepNext w:val="0"/>
              <w:rPr>
                <w:b/>
                <w:bCs w:val="0"/>
              </w:rPr>
            </w:pPr>
            <w:r w:rsidRPr="00743512">
              <w:rPr>
                <w:b/>
                <w:bCs w:val="0"/>
              </w:rPr>
              <w:t>Clinical</w:t>
            </w:r>
          </w:p>
        </w:tc>
      </w:tr>
      <w:tr w:rsidR="00C46CE2" w:rsidRPr="00743512" w14:paraId="67D84082"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317F2E15" w14:textId="77777777" w:rsidR="00C46CE2" w:rsidRPr="00743512" w:rsidRDefault="00C46CE2" w:rsidP="00883096">
            <w:pPr>
              <w:pStyle w:val="TableText0"/>
              <w:keepNext w:val="0"/>
            </w:pPr>
            <w:r w:rsidRPr="00743512">
              <w:t>Efficacy data</w:t>
            </w:r>
          </w:p>
        </w:tc>
        <w:tc>
          <w:tcPr>
            <w:tcW w:w="2388" w:type="pct"/>
            <w:tcBorders>
              <w:top w:val="single" w:sz="4" w:space="0" w:color="auto"/>
              <w:left w:val="single" w:sz="4" w:space="0" w:color="auto"/>
              <w:bottom w:val="single" w:sz="4" w:space="0" w:color="auto"/>
              <w:right w:val="single" w:sz="4" w:space="0" w:color="auto"/>
            </w:tcBorders>
          </w:tcPr>
          <w:p w14:paraId="77179878" w14:textId="1AFCBCB3" w:rsidR="00C46CE2" w:rsidRPr="00743512" w:rsidRDefault="00C46CE2" w:rsidP="00883096">
            <w:pPr>
              <w:pStyle w:val="TableText0"/>
              <w:keepNext w:val="0"/>
            </w:pPr>
            <w:r w:rsidRPr="00743512">
              <w:t xml:space="preserve">The data for IDFS and OS were immature and the median IDFS and OS had not been met. </w:t>
            </w:r>
          </w:p>
          <w:p w14:paraId="5F412050" w14:textId="77777777" w:rsidR="00C46CE2" w:rsidRPr="00743512" w:rsidRDefault="00C46CE2" w:rsidP="00883096">
            <w:pPr>
              <w:pStyle w:val="TableText0"/>
              <w:keepNext w:val="0"/>
            </w:pPr>
          </w:p>
          <w:p w14:paraId="60818C7B" w14:textId="21B7B704" w:rsidR="00C46CE2" w:rsidRPr="00743512" w:rsidRDefault="0063452D" w:rsidP="00883096">
            <w:pPr>
              <w:pStyle w:val="TableText0"/>
              <w:keepNext w:val="0"/>
            </w:pPr>
            <w:r w:rsidRPr="00743512">
              <w:t>The PBAC considered that a claim of superior efficacy was supported for olaparib compared with placebo, based on immature IDFS data, and noted that the OS data also remained immature. The PBAC noted that the OlympiA trial would require a significantly longer duration of follow-up for the OS data to reach maturity, especially in the HR</w:t>
            </w:r>
            <w:r w:rsidR="00472C26" w:rsidRPr="00743512">
              <w:t>+</w:t>
            </w:r>
            <w:r w:rsidRPr="00743512">
              <w:t xml:space="preserve"> group </w:t>
            </w:r>
            <w:r w:rsidR="00C46CE2" w:rsidRPr="00743512">
              <w:t>(para 7.6).</w:t>
            </w:r>
          </w:p>
        </w:tc>
        <w:tc>
          <w:tcPr>
            <w:tcW w:w="2016" w:type="pct"/>
            <w:tcBorders>
              <w:top w:val="single" w:sz="4" w:space="0" w:color="auto"/>
              <w:left w:val="single" w:sz="4" w:space="0" w:color="auto"/>
              <w:bottom w:val="single" w:sz="4" w:space="0" w:color="auto"/>
              <w:right w:val="single" w:sz="4" w:space="0" w:color="auto"/>
            </w:tcBorders>
          </w:tcPr>
          <w:p w14:paraId="64F72858" w14:textId="77777777" w:rsidR="00C46CE2" w:rsidRPr="00743512" w:rsidRDefault="00C46CE2" w:rsidP="00883096">
            <w:pPr>
              <w:pStyle w:val="TableText0"/>
              <w:keepNext w:val="0"/>
            </w:pPr>
            <w:r w:rsidRPr="00743512">
              <w:t>The data presented in the resubmission has not changed from the previous submission. IDFS and OS remain immature.</w:t>
            </w:r>
          </w:p>
          <w:p w14:paraId="78D393C1" w14:textId="77777777" w:rsidR="00C46CE2" w:rsidRPr="00743512" w:rsidRDefault="00C46CE2" w:rsidP="00883096">
            <w:pPr>
              <w:pStyle w:val="TableText0"/>
              <w:keepNext w:val="0"/>
            </w:pPr>
          </w:p>
        </w:tc>
      </w:tr>
      <w:tr w:rsidR="00C46CE2" w:rsidRPr="00743512" w14:paraId="7027CD41"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6E2F9C8E" w14:textId="77777777" w:rsidR="00C46CE2" w:rsidRPr="00743512" w:rsidRDefault="00C46CE2" w:rsidP="00883096">
            <w:pPr>
              <w:pStyle w:val="TableText0"/>
              <w:keepNext w:val="0"/>
            </w:pPr>
            <w:r w:rsidRPr="00743512">
              <w:t>Proportion of TNBC patients in the trial vs. the Australian setting</w:t>
            </w:r>
          </w:p>
        </w:tc>
        <w:tc>
          <w:tcPr>
            <w:tcW w:w="2388" w:type="pct"/>
            <w:tcBorders>
              <w:top w:val="single" w:sz="4" w:space="0" w:color="auto"/>
              <w:left w:val="single" w:sz="4" w:space="0" w:color="auto"/>
              <w:bottom w:val="single" w:sz="4" w:space="0" w:color="auto"/>
              <w:right w:val="single" w:sz="4" w:space="0" w:color="auto"/>
            </w:tcBorders>
          </w:tcPr>
          <w:p w14:paraId="3395F1EB" w14:textId="616B101C" w:rsidR="00C46CE2" w:rsidRPr="00743512" w:rsidRDefault="00C46CE2" w:rsidP="00883096">
            <w:pPr>
              <w:pStyle w:val="TableText0"/>
              <w:keepNext w:val="0"/>
            </w:pPr>
            <w:r w:rsidRPr="00743512">
              <w:t>The proportion of TNBC patients (82.3%) in the key OlympiA trial was higher than that estimated for the Australian setting (12%-24%). The ESC noted that the submission’s estimates were drawn from Australian studies in broader patient populations that were not limited to those with g</w:t>
            </w:r>
            <w:r w:rsidR="00CD50D4" w:rsidRPr="00743512">
              <w:rPr>
                <w:i/>
              </w:rPr>
              <w:t>BRCA</w:t>
            </w:r>
            <w:r w:rsidRPr="00743512">
              <w:t xml:space="preserve"> mutations, and therefore may not be applicable to the proposed PBS population (para 6.16). </w:t>
            </w:r>
          </w:p>
          <w:p w14:paraId="1A6E8171" w14:textId="77777777" w:rsidR="00C46CE2" w:rsidRPr="00743512" w:rsidRDefault="00C46CE2" w:rsidP="00883096">
            <w:pPr>
              <w:pStyle w:val="TableText0"/>
              <w:keepNext w:val="0"/>
            </w:pPr>
            <w:r w:rsidRPr="00743512">
              <w:t>In OlympiA, the treatment effect of olaparib versus placebo was slightly higher in the TNBC subgroup than in the HR+ subgroup, in terms of IDFS, DDFS and OS. Although the difference in treatment effect was not statistically significant across subgroups, the test for interaction was not statistically powered. As TNBC patients are potentially over-represented in OlympiA in comparison to the Australian setting, this may overestimate the effectiveness of olaparib (para 6.17 and para 6.19).</w:t>
            </w:r>
          </w:p>
        </w:tc>
        <w:tc>
          <w:tcPr>
            <w:tcW w:w="2016" w:type="pct"/>
            <w:tcBorders>
              <w:top w:val="single" w:sz="4" w:space="0" w:color="auto"/>
              <w:left w:val="single" w:sz="4" w:space="0" w:color="auto"/>
              <w:bottom w:val="single" w:sz="4" w:space="0" w:color="auto"/>
              <w:right w:val="single" w:sz="4" w:space="0" w:color="auto"/>
            </w:tcBorders>
          </w:tcPr>
          <w:p w14:paraId="1C6880F4" w14:textId="3A4ECFC2" w:rsidR="00C46CE2" w:rsidRPr="00743512" w:rsidRDefault="00AD0850" w:rsidP="00883096">
            <w:pPr>
              <w:pStyle w:val="TableText0"/>
              <w:keepNext w:val="0"/>
            </w:pPr>
            <w:r w:rsidRPr="00743512">
              <w:t>T</w:t>
            </w:r>
            <w:r w:rsidR="009D2CF7" w:rsidRPr="00743512">
              <w:t xml:space="preserve">here is no new </w:t>
            </w:r>
            <w:r w:rsidR="00F4781C" w:rsidRPr="00743512">
              <w:t>information,</w:t>
            </w:r>
            <w:r w:rsidR="009D2CF7" w:rsidRPr="00743512">
              <w:t xml:space="preserve"> </w:t>
            </w:r>
            <w:r w:rsidR="00C46CE2" w:rsidRPr="00743512">
              <w:t>and this applicability issue remain</w:t>
            </w:r>
            <w:r w:rsidR="00735694" w:rsidRPr="00743512">
              <w:t>ed</w:t>
            </w:r>
            <w:r w:rsidR="00C46CE2" w:rsidRPr="00743512">
              <w:t xml:space="preserve">. </w:t>
            </w:r>
          </w:p>
        </w:tc>
      </w:tr>
      <w:tr w:rsidR="00C46CE2" w:rsidRPr="00743512" w14:paraId="7530EE7C"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41FA34CB" w14:textId="77777777" w:rsidR="00C46CE2" w:rsidRPr="00743512" w:rsidRDefault="00C46CE2" w:rsidP="00883096">
            <w:pPr>
              <w:pStyle w:val="TableText0"/>
              <w:keepNext w:val="0"/>
            </w:pPr>
            <w:r w:rsidRPr="00743512">
              <w:t>Safety claim</w:t>
            </w:r>
          </w:p>
        </w:tc>
        <w:tc>
          <w:tcPr>
            <w:tcW w:w="2388" w:type="pct"/>
            <w:tcBorders>
              <w:top w:val="single" w:sz="4" w:space="0" w:color="auto"/>
              <w:left w:val="single" w:sz="4" w:space="0" w:color="auto"/>
              <w:bottom w:val="single" w:sz="4" w:space="0" w:color="auto"/>
              <w:right w:val="single" w:sz="4" w:space="0" w:color="auto"/>
            </w:tcBorders>
          </w:tcPr>
          <w:p w14:paraId="3C1A2035" w14:textId="18D6B7C1" w:rsidR="00C46CE2" w:rsidRPr="00743512" w:rsidRDefault="0063452D" w:rsidP="00883096">
            <w:pPr>
              <w:pStyle w:val="TableText0"/>
              <w:keepNext w:val="0"/>
            </w:pPr>
            <w:r w:rsidRPr="00743512">
              <w:t xml:space="preserve">The PBAC noted that the olaparib arm had a higher incidence of all </w:t>
            </w:r>
            <w:r w:rsidR="00AD0850" w:rsidRPr="00743512">
              <w:t>AEs</w:t>
            </w:r>
            <w:r w:rsidRPr="00743512">
              <w:t>, a higher incidence of grade 3 or higher A</w:t>
            </w:r>
            <w:r w:rsidR="00830B2E" w:rsidRPr="00743512">
              <w:t>E</w:t>
            </w:r>
            <w:r w:rsidRPr="00743512">
              <w:t xml:space="preserve">s, and a higher incidence of </w:t>
            </w:r>
            <w:r w:rsidR="00AD0850" w:rsidRPr="00743512">
              <w:t xml:space="preserve">AEs </w:t>
            </w:r>
            <w:r w:rsidRPr="00743512">
              <w:t>leading to dose reduction, interruption, or discontinuation, compared to the placebo arm. The PBAC also noted that MDS/AML was a concern with PARP</w:t>
            </w:r>
            <w:r w:rsidR="00AD0850" w:rsidRPr="00743512">
              <w:t xml:space="preserve"> inhibitor</w:t>
            </w:r>
            <w:r w:rsidRPr="00743512">
              <w:t>s. The PBAC considered that olaparib had inferior safety in comparison with placebo. (para 7.7)</w:t>
            </w:r>
          </w:p>
        </w:tc>
        <w:tc>
          <w:tcPr>
            <w:tcW w:w="2016" w:type="pct"/>
            <w:tcBorders>
              <w:top w:val="single" w:sz="4" w:space="0" w:color="auto"/>
              <w:left w:val="single" w:sz="4" w:space="0" w:color="auto"/>
              <w:bottom w:val="single" w:sz="4" w:space="0" w:color="auto"/>
              <w:right w:val="single" w:sz="4" w:space="0" w:color="auto"/>
            </w:tcBorders>
          </w:tcPr>
          <w:p w14:paraId="6CFA989F" w14:textId="1EEC1757" w:rsidR="00C46CE2" w:rsidRPr="00743512" w:rsidRDefault="00C46CE2" w:rsidP="00883096">
            <w:pPr>
              <w:pStyle w:val="TableText0"/>
              <w:keepNext w:val="0"/>
            </w:pPr>
            <w:r w:rsidRPr="00743512">
              <w:t xml:space="preserve">Addressed. The safety claim in the resubmission has been modified from non-inferior safety to inferior but manageable safety. </w:t>
            </w:r>
          </w:p>
          <w:p w14:paraId="0B6D68C6" w14:textId="77777777" w:rsidR="00143D73" w:rsidRPr="00743512" w:rsidRDefault="00143D73" w:rsidP="00883096">
            <w:pPr>
              <w:pStyle w:val="TableText0"/>
              <w:keepNext w:val="0"/>
            </w:pPr>
          </w:p>
          <w:p w14:paraId="62872204" w14:textId="264C99C5" w:rsidR="00143D73" w:rsidRPr="00743512" w:rsidRDefault="00F727A1" w:rsidP="00F727A1">
            <w:pPr>
              <w:pStyle w:val="TableText0"/>
              <w:keepNext w:val="0"/>
            </w:pPr>
            <w:r w:rsidRPr="00743512">
              <w:t>This did not have an effect on the economic evaluation because t</w:t>
            </w:r>
            <w:r w:rsidR="00143D73" w:rsidRPr="00743512">
              <w:t xml:space="preserve">he approach to costing </w:t>
            </w:r>
            <w:r w:rsidR="00AD0850" w:rsidRPr="00743512">
              <w:t xml:space="preserve">AEs </w:t>
            </w:r>
            <w:r w:rsidRPr="00743512">
              <w:t>was unchanged</w:t>
            </w:r>
            <w:r w:rsidR="00157B92" w:rsidRPr="00743512">
              <w:t xml:space="preserve">. </w:t>
            </w:r>
            <w:r w:rsidRPr="00743512">
              <w:t xml:space="preserve">The economic evaluation included costs associated with </w:t>
            </w:r>
            <w:r w:rsidR="00143D73" w:rsidRPr="00743512">
              <w:t xml:space="preserve">hospitalisations due to </w:t>
            </w:r>
            <w:r w:rsidR="00AD0850" w:rsidRPr="00743512">
              <w:t xml:space="preserve">AEs </w:t>
            </w:r>
            <w:r w:rsidR="00143D73" w:rsidRPr="00743512">
              <w:t xml:space="preserve">and Grade 3-4 </w:t>
            </w:r>
            <w:r w:rsidR="00AD0850" w:rsidRPr="00743512">
              <w:t xml:space="preserve">AEs </w:t>
            </w:r>
            <w:r w:rsidR="00143D73" w:rsidRPr="00743512">
              <w:t>from the trial.</w:t>
            </w:r>
          </w:p>
        </w:tc>
      </w:tr>
      <w:tr w:rsidR="00883096" w:rsidRPr="00743512" w14:paraId="7C10AB7C" w14:textId="77777777" w:rsidTr="00927E75">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6775BFD" w14:textId="77777777" w:rsidR="00883096" w:rsidRPr="00743512" w:rsidRDefault="00883096" w:rsidP="00883096">
            <w:pPr>
              <w:pStyle w:val="TableText0"/>
              <w:keepNext w:val="0"/>
              <w:rPr>
                <w:b/>
                <w:bCs w:val="0"/>
              </w:rPr>
            </w:pPr>
            <w:r w:rsidRPr="00743512">
              <w:rPr>
                <w:b/>
                <w:bCs w:val="0"/>
              </w:rPr>
              <w:t>Economic</w:t>
            </w:r>
          </w:p>
        </w:tc>
      </w:tr>
      <w:tr w:rsidR="00883096" w:rsidRPr="00743512" w14:paraId="322F9C07"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268FA531" w14:textId="77777777" w:rsidR="00883096" w:rsidRPr="00743512" w:rsidRDefault="00883096" w:rsidP="00883096">
            <w:pPr>
              <w:pStyle w:val="TableText0"/>
              <w:keepNext w:val="0"/>
            </w:pPr>
            <w:r w:rsidRPr="00743512">
              <w:t>Data truncation time point</w:t>
            </w:r>
          </w:p>
        </w:tc>
        <w:tc>
          <w:tcPr>
            <w:tcW w:w="2388" w:type="pct"/>
            <w:tcBorders>
              <w:top w:val="single" w:sz="4" w:space="0" w:color="auto"/>
              <w:left w:val="single" w:sz="4" w:space="0" w:color="auto"/>
              <w:bottom w:val="single" w:sz="4" w:space="0" w:color="auto"/>
              <w:right w:val="single" w:sz="4" w:space="0" w:color="auto"/>
            </w:tcBorders>
          </w:tcPr>
          <w:p w14:paraId="6FC10710" w14:textId="77777777" w:rsidR="00883096" w:rsidRPr="00743512" w:rsidRDefault="00883096" w:rsidP="00883096">
            <w:pPr>
              <w:pStyle w:val="TableText0"/>
              <w:keepNext w:val="0"/>
            </w:pPr>
            <w:r w:rsidRPr="00743512">
              <w:t>The PBAC considered that the truncation time point in the submission’s base case (42 months) resulted in the exclusion of a substantial amount of trial data and potentially resulted in the extrapolated benefits being overestimated (para 7.9).</w:t>
            </w:r>
          </w:p>
        </w:tc>
        <w:tc>
          <w:tcPr>
            <w:tcW w:w="2016" w:type="pct"/>
            <w:tcBorders>
              <w:top w:val="single" w:sz="4" w:space="0" w:color="auto"/>
              <w:left w:val="single" w:sz="4" w:space="0" w:color="auto"/>
              <w:bottom w:val="single" w:sz="4" w:space="0" w:color="auto"/>
              <w:right w:val="single" w:sz="4" w:space="0" w:color="auto"/>
            </w:tcBorders>
          </w:tcPr>
          <w:p w14:paraId="5B38EED7" w14:textId="1FE84110" w:rsidR="00883096" w:rsidRPr="00743512" w:rsidRDefault="00945D94" w:rsidP="00883096">
            <w:pPr>
              <w:pStyle w:val="TableText0"/>
              <w:keepNext w:val="0"/>
            </w:pPr>
            <w:r w:rsidRPr="00743512">
              <w:t xml:space="preserve">Partially </w:t>
            </w:r>
            <w:r w:rsidR="00883096" w:rsidRPr="00743512">
              <w:t xml:space="preserve">addressed. The truncation time point nominated in the resubmission, i.e. 48 months, </w:t>
            </w:r>
            <w:r w:rsidR="00F43527" w:rsidRPr="00743512">
              <w:t xml:space="preserve">included 6 months of additional data but </w:t>
            </w:r>
            <w:r w:rsidR="00883096" w:rsidRPr="00743512">
              <w:t xml:space="preserve">had the same concern as the 42-month data </w:t>
            </w:r>
            <w:r w:rsidR="00545F74" w:rsidRPr="00743512">
              <w:t>cut-off</w:t>
            </w:r>
            <w:r w:rsidR="00883096" w:rsidRPr="00743512">
              <w:t xml:space="preserve"> point used in the previous submission. </w:t>
            </w:r>
            <w:r w:rsidR="00735694" w:rsidRPr="00743512">
              <w:rPr>
                <w:szCs w:val="20"/>
              </w:rPr>
              <w:t>This was adjusted to 54 months in the pre-PBAC response.</w:t>
            </w:r>
          </w:p>
        </w:tc>
      </w:tr>
      <w:tr w:rsidR="00883096" w:rsidRPr="00743512" w14:paraId="50762029"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67817DED" w14:textId="77777777" w:rsidR="00883096" w:rsidRPr="00743512" w:rsidRDefault="00883096" w:rsidP="00883096">
            <w:pPr>
              <w:pStyle w:val="TableText0"/>
              <w:keepNext w:val="0"/>
            </w:pPr>
            <w:r w:rsidRPr="00743512">
              <w:t>Respecified base case</w:t>
            </w:r>
          </w:p>
        </w:tc>
        <w:tc>
          <w:tcPr>
            <w:tcW w:w="2388" w:type="pct"/>
            <w:tcBorders>
              <w:top w:val="single" w:sz="4" w:space="0" w:color="auto"/>
              <w:left w:val="single" w:sz="4" w:space="0" w:color="auto"/>
              <w:bottom w:val="single" w:sz="4" w:space="0" w:color="auto"/>
              <w:right w:val="single" w:sz="4" w:space="0" w:color="auto"/>
            </w:tcBorders>
          </w:tcPr>
          <w:p w14:paraId="6DC8CE94" w14:textId="10025B89" w:rsidR="00883096" w:rsidRPr="00743512" w:rsidRDefault="00883096" w:rsidP="00883096">
            <w:pPr>
              <w:pStyle w:val="TableText0"/>
              <w:keepNext w:val="0"/>
            </w:pPr>
            <w:r w:rsidRPr="00743512">
              <w:t>The PBAC considered that olaparib could be considered cost-effective if the changes to the economic model were made as described in the PBAC respecified base case and the ICER was approximately $35,000/QALY, to account for the uncertainty in modelled benefit beyond the time horizon of the trial. The PBAC noted that a significant price reduction would be necessary to meet this ICER (para 7.12).</w:t>
            </w:r>
          </w:p>
        </w:tc>
        <w:tc>
          <w:tcPr>
            <w:tcW w:w="2016" w:type="pct"/>
            <w:tcBorders>
              <w:top w:val="single" w:sz="4" w:space="0" w:color="auto"/>
              <w:left w:val="single" w:sz="4" w:space="0" w:color="auto"/>
              <w:bottom w:val="single" w:sz="4" w:space="0" w:color="auto"/>
              <w:right w:val="single" w:sz="4" w:space="0" w:color="auto"/>
            </w:tcBorders>
          </w:tcPr>
          <w:p w14:paraId="4BA9E9AB" w14:textId="3D78F570" w:rsidR="00883096" w:rsidRPr="00743512" w:rsidRDefault="00883096" w:rsidP="00883096">
            <w:pPr>
              <w:pStyle w:val="TableText0"/>
              <w:keepNext w:val="0"/>
            </w:pPr>
            <w:r w:rsidRPr="00743512">
              <w:t xml:space="preserve">Some of the revisions suggested by the PBAC in the respecified base case were not included in the resubmission’s base case. Based on previous PBAC advice and the economic issues identified during the evaluation, the </w:t>
            </w:r>
            <w:r w:rsidR="00874CF5" w:rsidRPr="00743512">
              <w:t xml:space="preserve">commentary </w:t>
            </w:r>
            <w:r w:rsidRPr="00743512">
              <w:t xml:space="preserve">proposed an alternative base case. </w:t>
            </w:r>
          </w:p>
        </w:tc>
      </w:tr>
      <w:tr w:rsidR="00883096" w:rsidRPr="00743512" w14:paraId="2B060570"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5EBC92F8" w14:textId="77777777" w:rsidR="00883096" w:rsidRPr="00743512" w:rsidRDefault="00883096" w:rsidP="00883096">
            <w:pPr>
              <w:pStyle w:val="TableText0"/>
              <w:keepNext w:val="0"/>
            </w:pPr>
            <w:r w:rsidRPr="00743512">
              <w:t>Assumption of reduced recurrence risk</w:t>
            </w:r>
          </w:p>
        </w:tc>
        <w:tc>
          <w:tcPr>
            <w:tcW w:w="2388" w:type="pct"/>
            <w:tcBorders>
              <w:top w:val="single" w:sz="4" w:space="0" w:color="auto"/>
              <w:left w:val="single" w:sz="4" w:space="0" w:color="auto"/>
              <w:bottom w:val="single" w:sz="4" w:space="0" w:color="auto"/>
              <w:right w:val="single" w:sz="4" w:space="0" w:color="auto"/>
            </w:tcBorders>
          </w:tcPr>
          <w:p w14:paraId="035F1847" w14:textId="77777777" w:rsidR="00883096" w:rsidRPr="00743512" w:rsidRDefault="00883096" w:rsidP="00883096">
            <w:pPr>
              <w:pStyle w:val="TableText0"/>
              <w:keepNext w:val="0"/>
            </w:pPr>
            <w:r w:rsidRPr="00743512">
              <w:t xml:space="preserve">The model assumed that the recurrence rate was reduced and was equivalent across the arms beyond 5 years and, by 10 years, no recurrences were modelled. The application of a reduced recurrence at 5 years in both arms may not be justified. It is possible that the use of olaparib could delay, rather than prevent, recurrence in some patients. The model was very sensitive to the change in the time point for reduced recurrence risk in the olaparib arm (para 6.69, 6.70, 6.71, 7.11). </w:t>
            </w:r>
          </w:p>
        </w:tc>
        <w:tc>
          <w:tcPr>
            <w:tcW w:w="2016" w:type="pct"/>
            <w:tcBorders>
              <w:top w:val="single" w:sz="4" w:space="0" w:color="auto"/>
              <w:left w:val="single" w:sz="4" w:space="0" w:color="auto"/>
              <w:bottom w:val="single" w:sz="4" w:space="0" w:color="auto"/>
              <w:right w:val="single" w:sz="4" w:space="0" w:color="auto"/>
            </w:tcBorders>
          </w:tcPr>
          <w:p w14:paraId="723309A5" w14:textId="77777777" w:rsidR="00883096" w:rsidRPr="00743512" w:rsidRDefault="00883096" w:rsidP="00883096">
            <w:pPr>
              <w:pStyle w:val="TableText0"/>
              <w:keepNext w:val="0"/>
            </w:pPr>
            <w:r w:rsidRPr="00743512">
              <w:t xml:space="preserve">Not addressed. The assumption of equal reduced recurrence risk across the two treatment arms after 5 years remained unchanged in the resubmission’s economic evaluation. </w:t>
            </w:r>
          </w:p>
        </w:tc>
      </w:tr>
      <w:tr w:rsidR="00883096" w:rsidRPr="00743512" w14:paraId="49147A1A"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210B7554" w14:textId="77777777" w:rsidR="00883096" w:rsidRPr="00743512" w:rsidRDefault="00883096" w:rsidP="00883096">
            <w:pPr>
              <w:pStyle w:val="TableText0"/>
              <w:keepNext w:val="0"/>
            </w:pPr>
            <w:r w:rsidRPr="00743512">
              <w:t>Results of economic evaluations by HR status</w:t>
            </w:r>
          </w:p>
        </w:tc>
        <w:tc>
          <w:tcPr>
            <w:tcW w:w="2388" w:type="pct"/>
            <w:tcBorders>
              <w:top w:val="single" w:sz="4" w:space="0" w:color="auto"/>
              <w:left w:val="single" w:sz="4" w:space="0" w:color="auto"/>
              <w:bottom w:val="single" w:sz="4" w:space="0" w:color="auto"/>
              <w:right w:val="single" w:sz="4" w:space="0" w:color="auto"/>
            </w:tcBorders>
          </w:tcPr>
          <w:p w14:paraId="4FA0D09C" w14:textId="77777777" w:rsidR="00883096" w:rsidRPr="00743512" w:rsidRDefault="00883096" w:rsidP="00883096">
            <w:pPr>
              <w:pStyle w:val="TableText0"/>
              <w:keepNext w:val="0"/>
            </w:pPr>
            <w:r w:rsidRPr="00743512">
              <w:t xml:space="preserve">The PBAC noted that subgroup analyses of OlympiA by HR status indicated more favourable results in the TNBC subgroup compared with the HR-positive subgroup. The PBAC considered it would be informative to see the results of the economic evaluation for the HR+ and TNBC subgroups, in addition to the ITT population (para 7.13). </w:t>
            </w:r>
          </w:p>
        </w:tc>
        <w:tc>
          <w:tcPr>
            <w:tcW w:w="2016" w:type="pct"/>
            <w:tcBorders>
              <w:top w:val="single" w:sz="4" w:space="0" w:color="auto"/>
              <w:left w:val="single" w:sz="4" w:space="0" w:color="auto"/>
              <w:bottom w:val="single" w:sz="4" w:space="0" w:color="auto"/>
              <w:right w:val="single" w:sz="4" w:space="0" w:color="auto"/>
            </w:tcBorders>
          </w:tcPr>
          <w:p w14:paraId="676FDA3E" w14:textId="77777777" w:rsidR="00883096" w:rsidRPr="00743512" w:rsidRDefault="00883096" w:rsidP="00883096">
            <w:pPr>
              <w:pStyle w:val="TableText0"/>
              <w:keepNext w:val="0"/>
            </w:pPr>
            <w:r w:rsidRPr="00743512">
              <w:t xml:space="preserve">Not addressed. No results by HR status were provided in the resubmission. </w:t>
            </w:r>
          </w:p>
        </w:tc>
      </w:tr>
      <w:tr w:rsidR="00883096" w:rsidRPr="00743512" w14:paraId="742552BD" w14:textId="77777777" w:rsidTr="00927E75">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19D21C5" w14:textId="77777777" w:rsidR="00883096" w:rsidRPr="00743512" w:rsidRDefault="00883096" w:rsidP="00735694">
            <w:pPr>
              <w:pStyle w:val="TableText0"/>
              <w:rPr>
                <w:b/>
                <w:bCs w:val="0"/>
              </w:rPr>
            </w:pPr>
            <w:r w:rsidRPr="00743512">
              <w:rPr>
                <w:b/>
                <w:bCs w:val="0"/>
              </w:rPr>
              <w:t>Financial</w:t>
            </w:r>
          </w:p>
        </w:tc>
      </w:tr>
      <w:tr w:rsidR="00883096" w:rsidRPr="00743512" w14:paraId="133C7AE6" w14:textId="77777777" w:rsidTr="001074C6">
        <w:trPr>
          <w:cantSplit/>
        </w:trPr>
        <w:tc>
          <w:tcPr>
            <w:tcW w:w="596" w:type="pct"/>
            <w:tcBorders>
              <w:top w:val="single" w:sz="4" w:space="0" w:color="auto"/>
              <w:left w:val="single" w:sz="4" w:space="0" w:color="auto"/>
              <w:bottom w:val="single" w:sz="4" w:space="0" w:color="auto"/>
              <w:right w:val="single" w:sz="4" w:space="0" w:color="auto"/>
            </w:tcBorders>
            <w:vAlign w:val="center"/>
          </w:tcPr>
          <w:p w14:paraId="56E40423" w14:textId="77777777" w:rsidR="00883096" w:rsidRPr="00743512" w:rsidRDefault="00883096" w:rsidP="00883096">
            <w:pPr>
              <w:pStyle w:val="TableText0"/>
              <w:keepNext w:val="0"/>
            </w:pPr>
            <w:r w:rsidRPr="00743512">
              <w:t>Utilisation estimates</w:t>
            </w:r>
          </w:p>
        </w:tc>
        <w:tc>
          <w:tcPr>
            <w:tcW w:w="2388" w:type="pct"/>
            <w:tcBorders>
              <w:top w:val="single" w:sz="4" w:space="0" w:color="auto"/>
              <w:left w:val="single" w:sz="4" w:space="0" w:color="auto"/>
              <w:bottom w:val="single" w:sz="4" w:space="0" w:color="auto"/>
              <w:right w:val="single" w:sz="4" w:space="0" w:color="auto"/>
            </w:tcBorders>
          </w:tcPr>
          <w:p w14:paraId="047F86B7" w14:textId="77777777" w:rsidR="00883096" w:rsidRPr="00743512" w:rsidRDefault="00883096" w:rsidP="00883096">
            <w:pPr>
              <w:pStyle w:val="TableText0"/>
              <w:keepNext w:val="0"/>
            </w:pPr>
            <w:r w:rsidRPr="00743512">
              <w:t xml:space="preserve">The PBAC considered that the patient numbers estimated by the submission were implausibly high and did not appropriately account for differences between the TNBC and HR+ subgroups, and that the submission had overestimated the proportion of patients that would be considered at high-risk based on the proposed eligibility criteria (para 7.14). Specific advice was provided for revised estimates to use. </w:t>
            </w:r>
          </w:p>
        </w:tc>
        <w:tc>
          <w:tcPr>
            <w:tcW w:w="2016" w:type="pct"/>
            <w:tcBorders>
              <w:top w:val="single" w:sz="4" w:space="0" w:color="auto"/>
              <w:left w:val="single" w:sz="4" w:space="0" w:color="auto"/>
              <w:bottom w:val="single" w:sz="4" w:space="0" w:color="auto"/>
              <w:right w:val="single" w:sz="4" w:space="0" w:color="auto"/>
            </w:tcBorders>
          </w:tcPr>
          <w:p w14:paraId="2B5FBF59" w14:textId="192BDFF2" w:rsidR="00883096" w:rsidRPr="00743512" w:rsidRDefault="00883096" w:rsidP="00883096">
            <w:pPr>
              <w:pStyle w:val="TableText0"/>
              <w:keepNext w:val="0"/>
            </w:pPr>
            <w:r w:rsidRPr="00743512">
              <w:t xml:space="preserve">The estimated patient numbers </w:t>
            </w:r>
            <w:r w:rsidR="00202D9A" w:rsidRPr="00743512">
              <w:t xml:space="preserve">were </w:t>
            </w:r>
            <w:r w:rsidRPr="00743512">
              <w:t>lower in the resubmission</w:t>
            </w:r>
            <w:r w:rsidR="004A6077" w:rsidRPr="00743512">
              <w:t xml:space="preserve"> compared with </w:t>
            </w:r>
            <w:r w:rsidR="005B52EF" w:rsidRPr="00743512">
              <w:t>the March 2023 submission</w:t>
            </w:r>
            <w:r w:rsidRPr="00743512">
              <w:t xml:space="preserve">. </w:t>
            </w:r>
            <w:bookmarkStart w:id="13" w:name="_Hlk147939522"/>
            <w:r w:rsidRPr="00743512">
              <w:t>However, estimates recommended by the PBAC were not used regarding testing uptake following olaparib listing and the proportion of HR+ patients who would be high-risk</w:t>
            </w:r>
            <w:r w:rsidR="00202D9A" w:rsidRPr="00743512">
              <w:t>.</w:t>
            </w:r>
            <w:bookmarkEnd w:id="13"/>
          </w:p>
        </w:tc>
      </w:tr>
    </w:tbl>
    <w:p w14:paraId="7139EEA0" w14:textId="77777777" w:rsidR="00C46CE2" w:rsidRPr="00743512" w:rsidRDefault="00C46CE2" w:rsidP="00C46CE2">
      <w:pPr>
        <w:pStyle w:val="FooterTableFigure"/>
      </w:pPr>
      <w:r w:rsidRPr="00743512">
        <w:t>Source: Constructed during the evaluation.</w:t>
      </w:r>
    </w:p>
    <w:p w14:paraId="1990D935" w14:textId="08A675A4" w:rsidR="00DB6238" w:rsidRPr="00743512" w:rsidRDefault="00C46CE2" w:rsidP="00C46CE2">
      <w:pPr>
        <w:pStyle w:val="FooterTableFigure"/>
      </w:pPr>
      <w:r w:rsidRPr="00743512">
        <w:t>A</w:t>
      </w:r>
      <w:r w:rsidR="00830B2E" w:rsidRPr="00743512">
        <w:t>E</w:t>
      </w:r>
      <w:r w:rsidRPr="00743512">
        <w:t>s = adverse events;</w:t>
      </w:r>
      <w:r w:rsidR="00472C26" w:rsidRPr="00743512">
        <w:t xml:space="preserve"> </w:t>
      </w:r>
      <w:r w:rsidR="00CD50D4" w:rsidRPr="00743512">
        <w:rPr>
          <w:i/>
        </w:rPr>
        <w:t>BRCA</w:t>
      </w:r>
      <w:r w:rsidR="00472C26" w:rsidRPr="00743512">
        <w:t xml:space="preserve"> = breast cancer gene;</w:t>
      </w:r>
      <w:r w:rsidRPr="00743512">
        <w:t xml:space="preserve"> </w:t>
      </w:r>
      <w:r w:rsidR="00472C26" w:rsidRPr="00743512">
        <w:t xml:space="preserve">DDFS = distant disease free survival; </w:t>
      </w:r>
      <w:r w:rsidR="009D2CF7" w:rsidRPr="00743512">
        <w:t xml:space="preserve">ET = endocrine therapy; </w:t>
      </w:r>
      <w:r w:rsidR="00472C26" w:rsidRPr="00743512">
        <w:t>g</w:t>
      </w:r>
      <w:r w:rsidR="00CD50D4" w:rsidRPr="00743512">
        <w:rPr>
          <w:i/>
        </w:rPr>
        <w:t>BRCA</w:t>
      </w:r>
      <w:r w:rsidR="00472C26" w:rsidRPr="00743512">
        <w:t xml:space="preserve"> = germline </w:t>
      </w:r>
      <w:r w:rsidR="00CD50D4" w:rsidRPr="00743512">
        <w:rPr>
          <w:i/>
        </w:rPr>
        <w:t>BRCA</w:t>
      </w:r>
      <w:r w:rsidR="00472C26" w:rsidRPr="00743512">
        <w:t xml:space="preserve">; </w:t>
      </w:r>
      <w:r w:rsidRPr="00743512">
        <w:t xml:space="preserve">HR+ = hormone receptor positive; </w:t>
      </w:r>
      <w:r w:rsidR="00883096" w:rsidRPr="00743512">
        <w:t xml:space="preserve">ICER = incremental cost-effectiveness ratio; </w:t>
      </w:r>
      <w:r w:rsidRPr="00743512">
        <w:t xml:space="preserve">IDFS = invasive disease-free survival; </w:t>
      </w:r>
      <w:r w:rsidR="00883096" w:rsidRPr="00743512">
        <w:t xml:space="preserve">ITT = intention to treat; </w:t>
      </w:r>
      <w:r w:rsidR="00472C26" w:rsidRPr="00743512">
        <w:t xml:space="preserve">MDS/AML = myelodysplastic syndrome/acute myeloid leukaemia; </w:t>
      </w:r>
      <w:r w:rsidRPr="00743512">
        <w:t xml:space="preserve">OS = overall survival; </w:t>
      </w:r>
      <w:r w:rsidR="00472C26" w:rsidRPr="00743512">
        <w:t xml:space="preserve">PARPi = poly (ADP-ribose) polymerase inhibitor; </w:t>
      </w:r>
      <w:r w:rsidRPr="00743512">
        <w:t xml:space="preserve">PSD = public summary document; </w:t>
      </w:r>
      <w:r w:rsidR="00883096" w:rsidRPr="00743512">
        <w:t xml:space="preserve">QALY = quality-adjusted life year; </w:t>
      </w:r>
      <w:r w:rsidRPr="00743512">
        <w:t>TNBC = triple negative breast cancer.</w:t>
      </w:r>
    </w:p>
    <w:p w14:paraId="44ECF168" w14:textId="5DB05ED2" w:rsidR="00C46CE2" w:rsidRPr="00743512" w:rsidRDefault="00745731" w:rsidP="00B138D2">
      <w:pPr>
        <w:pStyle w:val="3-BodyText"/>
      </w:pPr>
      <w:bookmarkStart w:id="14" w:name="_Toc124883276"/>
      <w:r w:rsidRPr="00743512">
        <w:t xml:space="preserve">As the previous submission was a streamlined codependent submission, it was also considered by MSAC at its March 2023 meeting. MSAC deferred its decision and foreshadowed that </w:t>
      </w:r>
      <w:r w:rsidR="006F7867" w:rsidRPr="00743512">
        <w:t xml:space="preserve">it </w:t>
      </w:r>
      <w:r w:rsidRPr="00743512">
        <w:t>would reconsider</w:t>
      </w:r>
      <w:r w:rsidR="00202D9A" w:rsidRPr="00743512">
        <w:t>,</w:t>
      </w:r>
      <w:r w:rsidRPr="00743512">
        <w:t xml:space="preserve"> if olaparib was recommended by the PBAC. MSAC considered that, in order to inform a recommendation, more information would be required on the projected patient numbers, cost of the test, and other testing requirements. </w:t>
      </w:r>
      <w:r w:rsidR="009F1424" w:rsidRPr="00743512">
        <w:t xml:space="preserve">The </w:t>
      </w:r>
      <w:r w:rsidR="00D064ED" w:rsidRPr="00743512">
        <w:t xml:space="preserve">details of the MSAC consideration are documented in the </w:t>
      </w:r>
      <w:r w:rsidR="009F1424" w:rsidRPr="00743512">
        <w:t xml:space="preserve">ratified PSD </w:t>
      </w:r>
      <w:r w:rsidR="000C567D" w:rsidRPr="00743512">
        <w:t>for Application Number 1716</w:t>
      </w:r>
      <w:r w:rsidR="00157B92" w:rsidRPr="00743512">
        <w:t xml:space="preserve">. </w:t>
      </w:r>
      <w:r w:rsidR="00B215FC" w:rsidRPr="00743512">
        <w:t xml:space="preserve">The </w:t>
      </w:r>
      <w:r w:rsidR="000A0CC7" w:rsidRPr="00743512">
        <w:t xml:space="preserve">sponsor submitted a </w:t>
      </w:r>
      <w:r w:rsidR="000D442B" w:rsidRPr="00743512">
        <w:t xml:space="preserve">streamlined </w:t>
      </w:r>
      <w:r w:rsidR="000A0CC7" w:rsidRPr="00743512">
        <w:t xml:space="preserve">MSAC </w:t>
      </w:r>
      <w:r w:rsidR="000D442B" w:rsidRPr="00743512">
        <w:t>r</w:t>
      </w:r>
      <w:r w:rsidR="000A0CC7" w:rsidRPr="00743512">
        <w:t>esub</w:t>
      </w:r>
      <w:r w:rsidR="000D442B" w:rsidRPr="00743512">
        <w:t xml:space="preserve">mission </w:t>
      </w:r>
      <w:r w:rsidR="00E521D7" w:rsidRPr="00743512">
        <w:t xml:space="preserve">alongside the PBAC resubmission, </w:t>
      </w:r>
      <w:r w:rsidR="00FF3EE6" w:rsidRPr="00743512">
        <w:t>to address the matters of concern raised by the MSAC</w:t>
      </w:r>
      <w:r w:rsidR="006F7867" w:rsidRPr="00743512">
        <w:t xml:space="preserve">. </w:t>
      </w:r>
      <w:r w:rsidR="00C46CE2" w:rsidRPr="00743512">
        <w:t xml:space="preserve">The MBS item descriptor proposed in the resubmission is presented in </w:t>
      </w:r>
      <w:r w:rsidR="00C46CE2" w:rsidRPr="00743512">
        <w:fldChar w:fldCharType="begin"/>
      </w:r>
      <w:r w:rsidR="00C46CE2" w:rsidRPr="00743512">
        <w:instrText xml:space="preserve"> REF _Ref121760087 \h </w:instrText>
      </w:r>
      <w:r w:rsidR="00C46CE2" w:rsidRPr="00743512">
        <w:fldChar w:fldCharType="separate"/>
      </w:r>
      <w:r w:rsidR="00D2565D" w:rsidRPr="00743512">
        <w:t xml:space="preserve">Table </w:t>
      </w:r>
      <w:r w:rsidR="00D2565D">
        <w:rPr>
          <w:noProof/>
        </w:rPr>
        <w:t>3</w:t>
      </w:r>
      <w:r w:rsidR="00C46CE2" w:rsidRPr="00743512">
        <w:fldChar w:fldCharType="end"/>
      </w:r>
      <w:r w:rsidR="00C46CE2" w:rsidRPr="00743512">
        <w:t>.</w:t>
      </w:r>
      <w:r w:rsidR="006F7867" w:rsidRPr="00743512">
        <w:t xml:space="preserve"> The ESC noted that the proposed population for germline</w:t>
      </w:r>
      <w:r w:rsidR="006F7867" w:rsidRPr="00743512">
        <w:rPr>
          <w:i/>
          <w:iCs/>
        </w:rPr>
        <w:t xml:space="preserve"> BRCA </w:t>
      </w:r>
      <w:r w:rsidR="006F7867" w:rsidRPr="00743512">
        <w:t>testing is broader than the proposed population for olaparib, for example some patients tested for germline variants at initial diagnosis may be subsequently ineligible for olaparib following surgery</w:t>
      </w:r>
      <w:r w:rsidR="00202D9A" w:rsidRPr="00743512">
        <w:t>, or following response to chemotherapy</w:t>
      </w:r>
      <w:r w:rsidR="006F7867" w:rsidRPr="00743512">
        <w:t xml:space="preserve">. </w:t>
      </w:r>
    </w:p>
    <w:p w14:paraId="50F60E01" w14:textId="15B0A7E9" w:rsidR="00C46CE2" w:rsidRPr="00743512" w:rsidRDefault="00C46CE2" w:rsidP="00C46CE2">
      <w:pPr>
        <w:pStyle w:val="Caption"/>
      </w:pPr>
      <w:bookmarkStart w:id="15" w:name="_Ref121760087"/>
      <w:r w:rsidRPr="00743512">
        <w:t xml:space="preserve">Table </w:t>
      </w:r>
      <w:r w:rsidR="00D2565D">
        <w:fldChar w:fldCharType="begin"/>
      </w:r>
      <w:r w:rsidR="00D2565D">
        <w:instrText xml:space="preserve"> SEQ Table \* ARABIC </w:instrText>
      </w:r>
      <w:r w:rsidR="00D2565D">
        <w:fldChar w:fldCharType="separate"/>
      </w:r>
      <w:r w:rsidR="00D2565D">
        <w:rPr>
          <w:noProof/>
        </w:rPr>
        <w:t>3</w:t>
      </w:r>
      <w:r w:rsidR="00D2565D">
        <w:rPr>
          <w:noProof/>
        </w:rPr>
        <w:fldChar w:fldCharType="end"/>
      </w:r>
      <w:bookmarkEnd w:id="15"/>
      <w:r w:rsidRPr="00743512">
        <w:t>: Requested MBS item descriptor</w:t>
      </w:r>
    </w:p>
    <w:tbl>
      <w:tblPr>
        <w:tblStyle w:val="TableGrid"/>
        <w:tblW w:w="5000" w:type="pct"/>
        <w:tblLook w:val="04A0" w:firstRow="1" w:lastRow="0" w:firstColumn="1" w:lastColumn="0" w:noHBand="0" w:noVBand="1"/>
        <w:tblCaption w:val="Table 3: Requested MBS item descriptor"/>
      </w:tblPr>
      <w:tblGrid>
        <w:gridCol w:w="4505"/>
        <w:gridCol w:w="4512"/>
      </w:tblGrid>
      <w:tr w:rsidR="00C46CE2" w:rsidRPr="00743512" w14:paraId="07EA3F5A" w14:textId="77777777" w:rsidTr="004F5B47">
        <w:trPr>
          <w:cantSplit/>
          <w:tblHeader/>
        </w:trPr>
        <w:tc>
          <w:tcPr>
            <w:tcW w:w="9017" w:type="dxa"/>
            <w:gridSpan w:val="2"/>
            <w:tcBorders>
              <w:top w:val="single" w:sz="4" w:space="0" w:color="auto"/>
              <w:left w:val="single" w:sz="4" w:space="0" w:color="auto"/>
              <w:bottom w:val="single" w:sz="4" w:space="0" w:color="auto"/>
              <w:right w:val="single" w:sz="4" w:space="0" w:color="auto"/>
            </w:tcBorders>
            <w:hideMark/>
          </w:tcPr>
          <w:p w14:paraId="0A84136F" w14:textId="77777777" w:rsidR="00C46CE2" w:rsidRPr="00743512" w:rsidRDefault="00C46CE2" w:rsidP="004F5B47">
            <w:pPr>
              <w:pStyle w:val="TableText1"/>
              <w:spacing w:before="0" w:after="0"/>
              <w:jc w:val="right"/>
              <w:rPr>
                <w:rFonts w:ascii="Arial Narrow" w:hAnsi="Arial Narrow"/>
              </w:rPr>
            </w:pPr>
            <w:r w:rsidRPr="00743512">
              <w:rPr>
                <w:rFonts w:ascii="Arial Narrow" w:hAnsi="Arial Narrow"/>
              </w:rPr>
              <w:t>Category 6 – Pathology Services</w:t>
            </w:r>
          </w:p>
        </w:tc>
      </w:tr>
      <w:tr w:rsidR="00C46CE2" w:rsidRPr="00743512" w14:paraId="265A3A80" w14:textId="77777777" w:rsidTr="004F5B47">
        <w:trPr>
          <w:cantSplit/>
          <w:tblHeader/>
        </w:trPr>
        <w:tc>
          <w:tcPr>
            <w:tcW w:w="4505" w:type="dxa"/>
            <w:tcBorders>
              <w:top w:val="single" w:sz="4" w:space="0" w:color="auto"/>
              <w:left w:val="single" w:sz="4" w:space="0" w:color="auto"/>
              <w:bottom w:val="single" w:sz="4" w:space="0" w:color="auto"/>
              <w:right w:val="nil"/>
            </w:tcBorders>
            <w:hideMark/>
          </w:tcPr>
          <w:p w14:paraId="408D11BF" w14:textId="77777777" w:rsidR="00C46CE2" w:rsidRPr="00743512" w:rsidRDefault="00C46CE2" w:rsidP="004F5B47">
            <w:pPr>
              <w:pStyle w:val="TableText1"/>
              <w:spacing w:before="0" w:after="0"/>
              <w:rPr>
                <w:rFonts w:ascii="Arial Narrow" w:hAnsi="Arial Narrow"/>
              </w:rPr>
            </w:pPr>
            <w:r w:rsidRPr="00743512">
              <w:rPr>
                <w:rFonts w:ascii="Arial Narrow" w:hAnsi="Arial Narrow"/>
              </w:rPr>
              <w:t>MBS item NEW</w:t>
            </w:r>
          </w:p>
        </w:tc>
        <w:tc>
          <w:tcPr>
            <w:tcW w:w="4512" w:type="dxa"/>
            <w:tcBorders>
              <w:top w:val="single" w:sz="4" w:space="0" w:color="auto"/>
              <w:left w:val="nil"/>
              <w:bottom w:val="single" w:sz="4" w:space="0" w:color="auto"/>
              <w:right w:val="single" w:sz="4" w:space="0" w:color="auto"/>
            </w:tcBorders>
            <w:hideMark/>
          </w:tcPr>
          <w:p w14:paraId="7EEEB31C" w14:textId="77777777" w:rsidR="00C46CE2" w:rsidRPr="00743512" w:rsidRDefault="00C46CE2" w:rsidP="004F5B47">
            <w:pPr>
              <w:pStyle w:val="TableText1"/>
              <w:spacing w:before="0" w:after="0"/>
              <w:jc w:val="right"/>
              <w:rPr>
                <w:rFonts w:ascii="Arial Narrow" w:hAnsi="Arial Narrow"/>
              </w:rPr>
            </w:pPr>
            <w:r w:rsidRPr="00743512">
              <w:rPr>
                <w:rFonts w:ascii="Arial Narrow" w:hAnsi="Arial Narrow"/>
              </w:rPr>
              <w:t>Group P7 – Genetics</w:t>
            </w:r>
          </w:p>
        </w:tc>
      </w:tr>
      <w:tr w:rsidR="00C46CE2" w:rsidRPr="005159AB" w14:paraId="55C2CAE6" w14:textId="77777777" w:rsidTr="004F5B47">
        <w:trPr>
          <w:cantSplit/>
          <w:tblHeader/>
        </w:trPr>
        <w:tc>
          <w:tcPr>
            <w:tcW w:w="9017" w:type="dxa"/>
            <w:gridSpan w:val="2"/>
            <w:tcBorders>
              <w:top w:val="single" w:sz="4" w:space="0" w:color="auto"/>
              <w:left w:val="single" w:sz="4" w:space="0" w:color="auto"/>
              <w:bottom w:val="single" w:sz="4" w:space="0" w:color="auto"/>
              <w:right w:val="single" w:sz="4" w:space="0" w:color="auto"/>
            </w:tcBorders>
          </w:tcPr>
          <w:p w14:paraId="6E8307C1" w14:textId="0477FDEF" w:rsidR="00C46CE2" w:rsidRPr="005159AB" w:rsidRDefault="00C46CE2" w:rsidP="004F5B47">
            <w:pPr>
              <w:pStyle w:val="TableText1"/>
              <w:spacing w:before="0" w:after="0"/>
              <w:rPr>
                <w:rFonts w:ascii="Arial Narrow" w:hAnsi="Arial Narrow"/>
                <w:color w:val="000000" w:themeColor="text1"/>
                <w:sz w:val="20"/>
                <w:szCs w:val="20"/>
              </w:rPr>
            </w:pPr>
            <w:r w:rsidRPr="005159AB">
              <w:rPr>
                <w:rFonts w:ascii="Arial Narrow" w:hAnsi="Arial Narrow"/>
                <w:color w:val="000000" w:themeColor="text1"/>
                <w:sz w:val="20"/>
                <w:szCs w:val="20"/>
              </w:rPr>
              <w:t xml:space="preserve">Detection of germline </w:t>
            </w:r>
            <w:r w:rsidR="00CD50D4" w:rsidRPr="005159AB">
              <w:rPr>
                <w:rFonts w:ascii="Arial Narrow" w:hAnsi="Arial Narrow"/>
                <w:i/>
                <w:color w:val="000000" w:themeColor="text1"/>
                <w:sz w:val="20"/>
                <w:szCs w:val="20"/>
              </w:rPr>
              <w:t>BRCA1</w:t>
            </w:r>
            <w:r w:rsidRPr="005159AB">
              <w:rPr>
                <w:rFonts w:ascii="Arial Narrow" w:hAnsi="Arial Narrow"/>
                <w:color w:val="000000" w:themeColor="text1"/>
                <w:sz w:val="20"/>
                <w:szCs w:val="20"/>
              </w:rPr>
              <w:t xml:space="preserve"> or </w:t>
            </w:r>
            <w:r w:rsidR="00CD50D4" w:rsidRPr="005159AB">
              <w:rPr>
                <w:rFonts w:ascii="Arial Narrow" w:hAnsi="Arial Narrow"/>
                <w:i/>
                <w:color w:val="000000" w:themeColor="text1"/>
                <w:sz w:val="20"/>
                <w:szCs w:val="20"/>
              </w:rPr>
              <w:t>BRCA2</w:t>
            </w:r>
            <w:r w:rsidRPr="005159AB">
              <w:rPr>
                <w:rFonts w:ascii="Arial Narrow" w:hAnsi="Arial Narrow"/>
                <w:color w:val="000000" w:themeColor="text1"/>
                <w:sz w:val="20"/>
                <w:szCs w:val="20"/>
              </w:rPr>
              <w:t xml:space="preserve"> pathogenic or likely pathogenic gene variants, in a patient with triple negative early breast cancer or hormone receptor positive, HER2-negative, early breast cancer with high risk characteristics (i) tumour histological grading of at least 3, (ii) tumour size of greater than 2 cm, (iii) cancer cells in any positive axillary lymph nodes, requested by a specialist or consultant physician, to determine eligibility for treatment with a poly (adenosine diphosphate [ADP]-ribose) polymerase (PARP) inhibitor under the Pharmaceutical Benefits Scheme (PBS)</w:t>
            </w:r>
          </w:p>
          <w:p w14:paraId="33CD6D5A" w14:textId="77777777" w:rsidR="00C46CE2" w:rsidRPr="005159AB" w:rsidRDefault="00C46CE2" w:rsidP="004F5B47">
            <w:pPr>
              <w:pStyle w:val="TableText1"/>
              <w:spacing w:before="0" w:after="0"/>
              <w:rPr>
                <w:rFonts w:ascii="Arial Narrow" w:hAnsi="Arial Narrow"/>
                <w:color w:val="000000" w:themeColor="text1"/>
                <w:sz w:val="20"/>
                <w:szCs w:val="20"/>
              </w:rPr>
            </w:pPr>
          </w:p>
          <w:p w14:paraId="6AE8E172" w14:textId="77777777" w:rsidR="00C46CE2" w:rsidRPr="005159AB" w:rsidRDefault="00C46CE2" w:rsidP="004F5B47">
            <w:pPr>
              <w:pStyle w:val="TableText1"/>
              <w:spacing w:before="0" w:after="0"/>
              <w:rPr>
                <w:rFonts w:ascii="Arial Narrow" w:hAnsi="Arial Narrow"/>
                <w:color w:val="000000" w:themeColor="text1"/>
                <w:sz w:val="20"/>
                <w:szCs w:val="20"/>
              </w:rPr>
            </w:pPr>
            <w:r w:rsidRPr="005159AB">
              <w:rPr>
                <w:rFonts w:ascii="Arial Narrow" w:hAnsi="Arial Narrow"/>
                <w:color w:val="000000" w:themeColor="text1"/>
                <w:sz w:val="20"/>
                <w:szCs w:val="20"/>
              </w:rPr>
              <w:t xml:space="preserve">Maximum one test per lifetime </w:t>
            </w:r>
          </w:p>
          <w:p w14:paraId="031DC4C2" w14:textId="77777777" w:rsidR="00C46CE2" w:rsidRPr="005159AB" w:rsidRDefault="00C46CE2" w:rsidP="004F5B47">
            <w:pPr>
              <w:pStyle w:val="TableText1"/>
              <w:spacing w:before="0" w:after="0"/>
              <w:rPr>
                <w:rFonts w:ascii="Arial Narrow" w:hAnsi="Arial Narrow"/>
                <w:color w:val="000000" w:themeColor="text1"/>
                <w:sz w:val="20"/>
                <w:szCs w:val="20"/>
              </w:rPr>
            </w:pPr>
          </w:p>
          <w:p w14:paraId="28120126" w14:textId="77777777" w:rsidR="00C46CE2" w:rsidRPr="005159AB" w:rsidRDefault="00C46CE2" w:rsidP="004F5B47">
            <w:pPr>
              <w:pStyle w:val="TableText1"/>
              <w:spacing w:before="0" w:after="0"/>
              <w:rPr>
                <w:rFonts w:ascii="Arial Narrow" w:hAnsi="Arial Narrow"/>
              </w:rPr>
            </w:pPr>
            <w:r w:rsidRPr="005159AB">
              <w:rPr>
                <w:rFonts w:ascii="Arial Narrow" w:hAnsi="Arial Narrow"/>
                <w:color w:val="000000" w:themeColor="text1"/>
                <w:sz w:val="20"/>
                <w:szCs w:val="20"/>
              </w:rPr>
              <w:t>Fee: $1,000.00</w:t>
            </w:r>
            <w:r w:rsidRPr="005159AB">
              <w:rPr>
                <w:rFonts w:ascii="Arial Narrow" w:hAnsi="Arial Narrow"/>
                <w:color w:val="000000" w:themeColor="text1"/>
                <w:sz w:val="20"/>
                <w:szCs w:val="20"/>
              </w:rPr>
              <w:tab/>
              <w:t>Benefit: 75% = $</w:t>
            </w:r>
            <w:r w:rsidRPr="005159AB">
              <w:rPr>
                <w:rFonts w:ascii="Arial Narrow" w:hAnsi="Arial Narrow"/>
                <w:color w:val="auto"/>
                <w:sz w:val="20"/>
                <w:szCs w:val="20"/>
              </w:rPr>
              <w:t>750.00</w:t>
            </w:r>
            <w:r w:rsidRPr="005159AB">
              <w:rPr>
                <w:rFonts w:ascii="Arial Narrow" w:hAnsi="Arial Narrow"/>
                <w:color w:val="000000" w:themeColor="text1"/>
                <w:sz w:val="20"/>
                <w:szCs w:val="20"/>
              </w:rPr>
              <w:tab/>
              <w:t>85% = $850.00*</w:t>
            </w:r>
          </w:p>
        </w:tc>
      </w:tr>
      <w:tr w:rsidR="00C46CE2" w:rsidRPr="005159AB" w14:paraId="65D44AC2" w14:textId="77777777" w:rsidTr="004F5B47">
        <w:trPr>
          <w:cantSplit/>
          <w:tblHeader/>
        </w:trPr>
        <w:tc>
          <w:tcPr>
            <w:tcW w:w="9017" w:type="dxa"/>
            <w:gridSpan w:val="2"/>
            <w:tcBorders>
              <w:top w:val="single" w:sz="4" w:space="0" w:color="auto"/>
              <w:left w:val="single" w:sz="4" w:space="0" w:color="auto"/>
              <w:bottom w:val="single" w:sz="4" w:space="0" w:color="auto"/>
              <w:right w:val="single" w:sz="4" w:space="0" w:color="auto"/>
            </w:tcBorders>
            <w:hideMark/>
          </w:tcPr>
          <w:p w14:paraId="2CEEBDF6" w14:textId="77777777" w:rsidR="00C46CE2" w:rsidRPr="005159AB" w:rsidRDefault="00C46CE2" w:rsidP="004F5B47">
            <w:pPr>
              <w:pStyle w:val="TableText1"/>
              <w:spacing w:after="0"/>
              <w:rPr>
                <w:rFonts w:ascii="Arial Narrow" w:hAnsi="Arial Narrow"/>
                <w:b/>
                <w:bCs/>
                <w:color w:val="000000" w:themeColor="text1"/>
                <w:sz w:val="20"/>
                <w:szCs w:val="20"/>
              </w:rPr>
            </w:pPr>
            <w:r w:rsidRPr="005159AB">
              <w:rPr>
                <w:rFonts w:ascii="Arial Narrow" w:hAnsi="Arial Narrow"/>
                <w:b/>
                <w:bCs/>
                <w:color w:val="000000" w:themeColor="text1"/>
                <w:sz w:val="20"/>
                <w:szCs w:val="20"/>
              </w:rPr>
              <w:t>Explanatory note PN.0.27</w:t>
            </w:r>
          </w:p>
          <w:p w14:paraId="5DFA4920" w14:textId="77777777" w:rsidR="00C46CE2" w:rsidRPr="005159AB" w:rsidRDefault="00C46CE2" w:rsidP="004F5B47">
            <w:pPr>
              <w:pStyle w:val="TableText1"/>
              <w:spacing w:before="0" w:after="0"/>
              <w:rPr>
                <w:rFonts w:ascii="Arial Narrow" w:hAnsi="Arial Narrow"/>
                <w:bCs/>
                <w:sz w:val="22"/>
                <w:szCs w:val="22"/>
              </w:rPr>
            </w:pPr>
            <w:r w:rsidRPr="005159AB">
              <w:rPr>
                <w:rFonts w:ascii="Arial Narrow" w:hAnsi="Arial Narrow"/>
                <w:color w:val="000000" w:themeColor="text1"/>
                <w:sz w:val="20"/>
                <w:szCs w:val="20"/>
              </w:rPr>
              <w:t>Patients who are found to have any form of affected allele should be referred for post-test genetic counselling as there may be implications for other family members. Appropriate genetic counselling should be provided to the patient either by the specialist treating practitioner, a genetic counselling service or a clinical geneticist.</w:t>
            </w:r>
          </w:p>
        </w:tc>
      </w:tr>
    </w:tbl>
    <w:p w14:paraId="1C44D12A" w14:textId="77777777" w:rsidR="00C46CE2" w:rsidRPr="005159AB" w:rsidRDefault="00C46CE2" w:rsidP="00C46CE2">
      <w:pPr>
        <w:pStyle w:val="FooterTableFigure"/>
      </w:pPr>
      <w:r w:rsidRPr="005159AB">
        <w:t>Source: Table 1.8, p29 of the resubmission</w:t>
      </w:r>
    </w:p>
    <w:p w14:paraId="17190630" w14:textId="4C3869E2" w:rsidR="00C46CE2" w:rsidRPr="005159AB" w:rsidRDefault="00CD50D4" w:rsidP="00C46CE2">
      <w:pPr>
        <w:pStyle w:val="FooterTableFigure"/>
      </w:pPr>
      <w:r w:rsidRPr="005159AB">
        <w:rPr>
          <w:i/>
        </w:rPr>
        <w:t>BRCA</w:t>
      </w:r>
      <w:r w:rsidR="00C46CE2" w:rsidRPr="005159AB">
        <w:t xml:space="preserve"> = Breast cancer gene, HER2 = human epidermal growth factor receptor 2.</w:t>
      </w:r>
    </w:p>
    <w:p w14:paraId="664F347A" w14:textId="1A6AD051" w:rsidR="00E15D60" w:rsidRPr="005159AB" w:rsidRDefault="00C46CE2" w:rsidP="004F5B47">
      <w:pPr>
        <w:pStyle w:val="3-BodyText"/>
        <w:numPr>
          <w:ilvl w:val="1"/>
          <w:numId w:val="9"/>
        </w:numPr>
      </w:pPr>
      <w:bookmarkStart w:id="16" w:name="_Ref144746256"/>
      <w:bookmarkStart w:id="17" w:name="_Ref147954665"/>
      <w:r w:rsidRPr="005159AB">
        <w:t>The proposed schedule fee was reduced to $1,000</w:t>
      </w:r>
      <w:r w:rsidR="00202D9A" w:rsidRPr="005159AB">
        <w:t xml:space="preserve"> in the resubmission, compared with $1,200 in the March 2023 submission</w:t>
      </w:r>
      <w:r w:rsidRPr="005159AB">
        <w:t xml:space="preserve">. </w:t>
      </w:r>
      <w:bookmarkStart w:id="18" w:name="_Hlk147939791"/>
      <w:bookmarkEnd w:id="16"/>
      <w:r w:rsidR="00157B92" w:rsidRPr="005159AB">
        <w:t>However,</w:t>
      </w:r>
      <w:r w:rsidR="00BF198A" w:rsidRPr="005159AB">
        <w:t xml:space="preserve"> a </w:t>
      </w:r>
      <w:r w:rsidR="00CE5C87" w:rsidRPr="005159AB">
        <w:t>s</w:t>
      </w:r>
      <w:r w:rsidR="00BF198A" w:rsidRPr="005159AB">
        <w:t>chedule fee of $1,200 was proposed for the MBS item for g</w:t>
      </w:r>
      <w:r w:rsidR="00BF198A" w:rsidRPr="005159AB">
        <w:rPr>
          <w:i/>
        </w:rPr>
        <w:t>BRCA</w:t>
      </w:r>
      <w:r w:rsidR="00BF198A" w:rsidRPr="005159AB">
        <w:t xml:space="preserve"> testing to determine the eligibility of olaparib for eBC, based on stakeholder consultation feedback</w:t>
      </w:r>
      <w:r w:rsidR="00157B92" w:rsidRPr="005159AB">
        <w:t xml:space="preserve">. </w:t>
      </w:r>
      <w:r w:rsidR="00E15D60" w:rsidRPr="005159AB">
        <w:t xml:space="preserve">The </w:t>
      </w:r>
      <w:r w:rsidR="00735694" w:rsidRPr="005159AB">
        <w:t xml:space="preserve">PBAC </w:t>
      </w:r>
      <w:r w:rsidR="00E15D60" w:rsidRPr="005159AB">
        <w:t>noted that the cost of the test remains for MSAC consideration.</w:t>
      </w:r>
      <w:bookmarkEnd w:id="17"/>
      <w:r w:rsidR="00C44C0C" w:rsidRPr="005159AB">
        <w:t xml:space="preserve"> </w:t>
      </w:r>
    </w:p>
    <w:p w14:paraId="53C71FFE" w14:textId="4F210996" w:rsidR="001074C6" w:rsidRPr="00743512" w:rsidRDefault="001074C6" w:rsidP="001074C6">
      <w:pPr>
        <w:pStyle w:val="3-BodyText"/>
        <w:numPr>
          <w:ilvl w:val="0"/>
          <w:numId w:val="0"/>
        </w:numPr>
        <w:ind w:left="720"/>
        <w:rPr>
          <w:i/>
          <w:iCs/>
        </w:rPr>
      </w:pPr>
      <w:r w:rsidRPr="00743512">
        <w:rPr>
          <w:i/>
          <w:iCs/>
        </w:rPr>
        <w:t>For more detail on PBAC’s view, see section 7 PBAC outcome.</w:t>
      </w:r>
    </w:p>
    <w:p w14:paraId="7ACB72E2" w14:textId="77777777" w:rsidR="00C46CE2" w:rsidRPr="00743512" w:rsidRDefault="00C46CE2" w:rsidP="001074C6">
      <w:pPr>
        <w:pStyle w:val="2-SectionHeading"/>
        <w:numPr>
          <w:ilvl w:val="0"/>
          <w:numId w:val="9"/>
        </w:numPr>
        <w:snapToGrid w:val="0"/>
      </w:pPr>
      <w:bookmarkStart w:id="19" w:name="_Toc145501115"/>
      <w:bookmarkEnd w:id="18"/>
      <w:r w:rsidRPr="00743512">
        <w:t>Requested listing</w:t>
      </w:r>
      <w:bookmarkEnd w:id="14"/>
      <w:bookmarkEnd w:id="19"/>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2160"/>
        <w:gridCol w:w="960"/>
        <w:gridCol w:w="960"/>
        <w:gridCol w:w="1438"/>
        <w:gridCol w:w="1203"/>
      </w:tblGrid>
      <w:tr w:rsidR="00C46CE2" w:rsidRPr="00743512" w14:paraId="386B9155" w14:textId="77777777" w:rsidTr="00F4781C">
        <w:trPr>
          <w:cantSplit/>
          <w:trHeight w:val="20"/>
        </w:trPr>
        <w:tc>
          <w:tcPr>
            <w:tcW w:w="2280" w:type="dxa"/>
            <w:vAlign w:val="center"/>
          </w:tcPr>
          <w:p w14:paraId="6A034DD9" w14:textId="77777777" w:rsidR="00C46CE2" w:rsidRPr="00743512" w:rsidRDefault="00C46CE2" w:rsidP="004F5B47">
            <w:pPr>
              <w:keepNext/>
              <w:keepLines/>
              <w:rPr>
                <w:rFonts w:ascii="Arial Narrow" w:hAnsi="Arial Narrow"/>
                <w:b/>
                <w:bCs/>
                <w:sz w:val="20"/>
                <w:szCs w:val="20"/>
              </w:rPr>
            </w:pPr>
            <w:r w:rsidRPr="00743512">
              <w:rPr>
                <w:rFonts w:ascii="Arial Narrow" w:hAnsi="Arial Narrow"/>
                <w:b/>
                <w:bCs/>
                <w:sz w:val="20"/>
                <w:szCs w:val="20"/>
              </w:rPr>
              <w:t>MEDICINAL PRODUCT</w:t>
            </w:r>
          </w:p>
          <w:p w14:paraId="1BCE6084" w14:textId="77777777" w:rsidR="00C46CE2" w:rsidRPr="00743512" w:rsidRDefault="00C46CE2" w:rsidP="004F5B47">
            <w:pPr>
              <w:keepNext/>
              <w:keepLines/>
              <w:rPr>
                <w:rFonts w:ascii="Arial Narrow" w:hAnsi="Arial Narrow"/>
                <w:b/>
                <w:sz w:val="20"/>
                <w:szCs w:val="20"/>
              </w:rPr>
            </w:pPr>
            <w:r w:rsidRPr="00743512">
              <w:rPr>
                <w:rFonts w:ascii="Arial Narrow" w:hAnsi="Arial Narrow"/>
                <w:b/>
                <w:bCs/>
                <w:sz w:val="20"/>
                <w:szCs w:val="20"/>
              </w:rPr>
              <w:t>medicinal product pack</w:t>
            </w:r>
          </w:p>
        </w:tc>
        <w:tc>
          <w:tcPr>
            <w:tcW w:w="2160" w:type="dxa"/>
            <w:vAlign w:val="center"/>
          </w:tcPr>
          <w:p w14:paraId="575963E5" w14:textId="1C7144AC" w:rsidR="00C46CE2" w:rsidRPr="00743512" w:rsidRDefault="00F32823" w:rsidP="004F5B47">
            <w:pPr>
              <w:pStyle w:val="TableText0"/>
              <w:keepLines/>
              <w:rPr>
                <w:b/>
                <w:bCs w:val="0"/>
                <w:szCs w:val="20"/>
              </w:rPr>
            </w:pPr>
            <w:r w:rsidRPr="00F32823">
              <w:rPr>
                <w:b/>
                <w:bCs w:val="0"/>
                <w:snapToGrid w:val="0"/>
              </w:rPr>
              <w:t xml:space="preserve">        </w:t>
            </w:r>
            <w:r w:rsidR="00F4781C" w:rsidRPr="00743512">
              <w:rPr>
                <w:b/>
                <w:bCs w:val="0"/>
                <w:snapToGrid w:val="0"/>
              </w:rPr>
              <w:t>DPMQ</w:t>
            </w:r>
            <w:r w:rsidR="00C46CE2" w:rsidRPr="00743512">
              <w:rPr>
                <w:b/>
                <w:bCs w:val="0"/>
                <w:snapToGrid w:val="0"/>
              </w:rPr>
              <w:t xml:space="preserve"> </w:t>
            </w:r>
          </w:p>
        </w:tc>
        <w:tc>
          <w:tcPr>
            <w:tcW w:w="960" w:type="dxa"/>
            <w:vAlign w:val="center"/>
          </w:tcPr>
          <w:p w14:paraId="1B5A2E06" w14:textId="77777777" w:rsidR="00C46CE2" w:rsidRPr="00743512" w:rsidRDefault="00C46CE2" w:rsidP="004F5B47">
            <w:pPr>
              <w:keepNext/>
              <w:keepLines/>
              <w:jc w:val="center"/>
              <w:rPr>
                <w:rFonts w:ascii="Arial Narrow" w:hAnsi="Arial Narrow"/>
                <w:b/>
                <w:sz w:val="20"/>
                <w:szCs w:val="20"/>
              </w:rPr>
            </w:pPr>
            <w:r w:rsidRPr="00743512">
              <w:rPr>
                <w:rFonts w:ascii="Arial Narrow" w:hAnsi="Arial Narrow"/>
                <w:b/>
                <w:sz w:val="20"/>
                <w:szCs w:val="20"/>
              </w:rPr>
              <w:t>Max. qty packs</w:t>
            </w:r>
          </w:p>
        </w:tc>
        <w:tc>
          <w:tcPr>
            <w:tcW w:w="960" w:type="dxa"/>
            <w:vAlign w:val="center"/>
          </w:tcPr>
          <w:p w14:paraId="6DA449E2" w14:textId="77777777" w:rsidR="00C46CE2" w:rsidRPr="00743512" w:rsidRDefault="00C46CE2" w:rsidP="004F5B47">
            <w:pPr>
              <w:keepNext/>
              <w:keepLines/>
              <w:jc w:val="center"/>
              <w:rPr>
                <w:rFonts w:ascii="Arial Narrow" w:hAnsi="Arial Narrow"/>
                <w:b/>
                <w:sz w:val="20"/>
                <w:szCs w:val="20"/>
              </w:rPr>
            </w:pPr>
            <w:r w:rsidRPr="00743512">
              <w:rPr>
                <w:rFonts w:ascii="Arial Narrow" w:hAnsi="Arial Narrow"/>
                <w:b/>
                <w:sz w:val="20"/>
                <w:szCs w:val="20"/>
              </w:rPr>
              <w:t>Max. qty units</w:t>
            </w:r>
          </w:p>
        </w:tc>
        <w:tc>
          <w:tcPr>
            <w:tcW w:w="1438" w:type="dxa"/>
            <w:vAlign w:val="center"/>
          </w:tcPr>
          <w:p w14:paraId="52B35BA9" w14:textId="27EE8A2E" w:rsidR="00C46CE2" w:rsidRPr="00743512" w:rsidRDefault="00C46CE2" w:rsidP="004F5B47">
            <w:pPr>
              <w:keepNext/>
              <w:keepLines/>
              <w:jc w:val="center"/>
              <w:rPr>
                <w:rFonts w:ascii="Arial Narrow" w:hAnsi="Arial Narrow"/>
                <w:b/>
                <w:sz w:val="20"/>
                <w:szCs w:val="20"/>
              </w:rPr>
            </w:pPr>
            <w:r w:rsidRPr="00743512">
              <w:rPr>
                <w:rFonts w:ascii="Arial Narrow" w:hAnsi="Arial Narrow"/>
                <w:b/>
                <w:sz w:val="20"/>
                <w:szCs w:val="20"/>
              </w:rPr>
              <w:t>№.</w:t>
            </w:r>
            <w:r w:rsidR="00F4781C" w:rsidRPr="00743512">
              <w:rPr>
                <w:rFonts w:ascii="Arial Narrow" w:hAnsi="Arial Narrow"/>
                <w:b/>
                <w:sz w:val="20"/>
                <w:szCs w:val="20"/>
              </w:rPr>
              <w:t xml:space="preserve"> </w:t>
            </w:r>
            <w:r w:rsidRPr="00743512">
              <w:rPr>
                <w:rFonts w:ascii="Arial Narrow" w:hAnsi="Arial Narrow"/>
                <w:b/>
                <w:sz w:val="20"/>
                <w:szCs w:val="20"/>
              </w:rPr>
              <w:t>of</w:t>
            </w:r>
          </w:p>
          <w:p w14:paraId="45D04646" w14:textId="77777777" w:rsidR="00C46CE2" w:rsidRPr="00743512" w:rsidRDefault="00C46CE2" w:rsidP="004F5B47">
            <w:pPr>
              <w:keepNext/>
              <w:keepLines/>
              <w:jc w:val="center"/>
              <w:rPr>
                <w:rFonts w:ascii="Arial Narrow" w:hAnsi="Arial Narrow"/>
                <w:b/>
                <w:sz w:val="20"/>
                <w:szCs w:val="20"/>
              </w:rPr>
            </w:pPr>
            <w:r w:rsidRPr="00743512">
              <w:rPr>
                <w:rFonts w:ascii="Arial Narrow" w:hAnsi="Arial Narrow"/>
                <w:b/>
                <w:sz w:val="20"/>
                <w:szCs w:val="20"/>
              </w:rPr>
              <w:t>Rpts</w:t>
            </w:r>
          </w:p>
        </w:tc>
        <w:tc>
          <w:tcPr>
            <w:tcW w:w="1203" w:type="dxa"/>
            <w:vAlign w:val="center"/>
          </w:tcPr>
          <w:p w14:paraId="6224CA23" w14:textId="77777777" w:rsidR="00C46CE2" w:rsidRPr="00743512" w:rsidRDefault="00C46CE2" w:rsidP="004F5B47">
            <w:pPr>
              <w:keepNext/>
              <w:keepLines/>
              <w:rPr>
                <w:rFonts w:ascii="Arial Narrow" w:hAnsi="Arial Narrow"/>
                <w:b/>
                <w:sz w:val="20"/>
                <w:szCs w:val="20"/>
              </w:rPr>
            </w:pPr>
            <w:r w:rsidRPr="00743512">
              <w:rPr>
                <w:rFonts w:ascii="Arial Narrow" w:hAnsi="Arial Narrow"/>
                <w:b/>
                <w:sz w:val="20"/>
                <w:szCs w:val="20"/>
              </w:rPr>
              <w:t>Available brands</w:t>
            </w:r>
          </w:p>
        </w:tc>
      </w:tr>
      <w:tr w:rsidR="00C46CE2" w:rsidRPr="00743512" w14:paraId="25425B21" w14:textId="77777777" w:rsidTr="00F4781C">
        <w:trPr>
          <w:cantSplit/>
          <w:trHeight w:val="20"/>
        </w:trPr>
        <w:tc>
          <w:tcPr>
            <w:tcW w:w="9001" w:type="dxa"/>
            <w:gridSpan w:val="6"/>
            <w:vAlign w:val="center"/>
          </w:tcPr>
          <w:p w14:paraId="11B343F2" w14:textId="77777777" w:rsidR="00C46CE2" w:rsidRPr="00743512" w:rsidRDefault="00C46CE2" w:rsidP="004F5B47">
            <w:pPr>
              <w:pStyle w:val="TableText0"/>
              <w:keepLines/>
              <w:rPr>
                <w:rFonts w:cs="Arial"/>
                <w:szCs w:val="20"/>
              </w:rPr>
            </w:pPr>
            <w:r w:rsidRPr="00743512">
              <w:t>olaparib</w:t>
            </w:r>
            <w:r w:rsidRPr="00743512">
              <w:rPr>
                <w:rFonts w:cs="Arial"/>
                <w:color w:val="0066FF"/>
                <w:szCs w:val="20"/>
              </w:rPr>
              <w:t xml:space="preserve"> </w:t>
            </w:r>
          </w:p>
        </w:tc>
      </w:tr>
      <w:tr w:rsidR="00C46CE2" w:rsidRPr="00743512" w14:paraId="766ADD0E" w14:textId="77777777" w:rsidTr="00F4781C">
        <w:trPr>
          <w:cantSplit/>
          <w:trHeight w:val="266"/>
        </w:trPr>
        <w:tc>
          <w:tcPr>
            <w:tcW w:w="2280" w:type="dxa"/>
            <w:vAlign w:val="center"/>
          </w:tcPr>
          <w:p w14:paraId="36223ECE" w14:textId="4C95BFDE" w:rsidR="00C46CE2" w:rsidRPr="00743512" w:rsidRDefault="00C46CE2" w:rsidP="00F4781C">
            <w:pPr>
              <w:pStyle w:val="TableText0"/>
              <w:keepLines/>
            </w:pPr>
            <w:r w:rsidRPr="00743512">
              <w:t>Olaparib tablets, 150mg and 100mg.</w:t>
            </w:r>
          </w:p>
        </w:tc>
        <w:tc>
          <w:tcPr>
            <w:tcW w:w="2160" w:type="dxa"/>
          </w:tcPr>
          <w:p w14:paraId="3B12740E" w14:textId="77777777" w:rsidR="008D2218" w:rsidRPr="00743512" w:rsidRDefault="00F4781C" w:rsidP="004F5B47">
            <w:pPr>
              <w:pStyle w:val="TableText0"/>
              <w:keepLines/>
              <w:jc w:val="center"/>
            </w:pPr>
            <w:r w:rsidRPr="00743512">
              <w:t xml:space="preserve">Published: </w:t>
            </w:r>
            <w:r w:rsidR="00C46CE2" w:rsidRPr="00743512">
              <w:t xml:space="preserve">$6,632.63 </w:t>
            </w:r>
            <w:r w:rsidRPr="00743512">
              <w:t xml:space="preserve">Effective: </w:t>
            </w:r>
          </w:p>
          <w:p w14:paraId="7E526EEF" w14:textId="4746117A" w:rsidR="008D2218" w:rsidRPr="00743512" w:rsidRDefault="00F32823" w:rsidP="008D2218">
            <w:pPr>
              <w:pStyle w:val="TableText0"/>
              <w:keepLines/>
              <w:jc w:val="center"/>
            </w:pPr>
            <w:r w:rsidRPr="00F32823">
              <w:t>$</w:t>
            </w:r>
            <w:r w:rsidR="00632DCB" w:rsidRPr="00F32823">
              <w:rPr>
                <w:color w:val="000000"/>
                <w:spacing w:val="110"/>
                <w:shd w:val="solid" w:color="000000" w:fill="000000"/>
                <w:fitText w:val="190" w:id="-1032088832"/>
                <w14:textFill>
                  <w14:solidFill>
                    <w14:srgbClr w14:val="000000">
                      <w14:alpha w14:val="100000"/>
                    </w14:srgbClr>
                  </w14:solidFill>
                </w14:textFill>
              </w:rPr>
              <w:t>|</w:t>
            </w:r>
            <w:r w:rsidR="00632DCB" w:rsidRPr="00F32823">
              <w:rPr>
                <w:color w:val="000000"/>
                <w:shd w:val="solid" w:color="000000" w:fill="000000"/>
                <w:fitText w:val="190" w:id="-1032088832"/>
                <w14:textFill>
                  <w14:solidFill>
                    <w14:srgbClr w14:val="000000">
                      <w14:alpha w14:val="100000"/>
                    </w14:srgbClr>
                  </w14:solidFill>
                </w14:textFill>
              </w:rPr>
              <w:t>|</w:t>
            </w:r>
            <w:r w:rsidR="008D2218" w:rsidRPr="00743512">
              <w:t xml:space="preserve">(submission); </w:t>
            </w:r>
            <w:r w:rsidRPr="00F32823">
              <w:rPr>
                <w:lang w:eastAsia="en-US"/>
              </w:rPr>
              <w:t>$</w:t>
            </w:r>
            <w:r w:rsidR="00632DCB" w:rsidRPr="00F32823">
              <w:rPr>
                <w:color w:val="000000"/>
                <w:spacing w:val="49"/>
                <w:shd w:val="solid" w:color="000000" w:fill="000000"/>
                <w:fitText w:val="320" w:id="-1032088831"/>
                <w:lang w:eastAsia="en-US"/>
                <w14:textFill>
                  <w14:solidFill>
                    <w14:srgbClr w14:val="000000">
                      <w14:alpha w14:val="100000"/>
                    </w14:srgbClr>
                  </w14:solidFill>
                </w14:textFill>
              </w:rPr>
              <w:t>|||</w:t>
            </w:r>
            <w:r w:rsidR="00632DCB" w:rsidRPr="00F32823">
              <w:rPr>
                <w:color w:val="000000"/>
                <w:spacing w:val="3"/>
                <w:shd w:val="solid" w:color="000000" w:fill="000000"/>
                <w:fitText w:val="320" w:id="-1032088831"/>
                <w:lang w:eastAsia="en-US"/>
                <w14:textFill>
                  <w14:solidFill>
                    <w14:srgbClr w14:val="000000">
                      <w14:alpha w14:val="100000"/>
                    </w14:srgbClr>
                  </w14:solidFill>
                </w14:textFill>
              </w:rPr>
              <w:t>|</w:t>
            </w:r>
            <w:r w:rsidR="008D2218" w:rsidRPr="000F7259">
              <w:rPr>
                <w:lang w:eastAsia="en-US"/>
              </w:rPr>
              <w:t xml:space="preserve"> </w:t>
            </w:r>
            <w:r w:rsidR="008D2218" w:rsidRPr="00743512">
              <w:rPr>
                <w:lang w:eastAsia="en-US"/>
              </w:rPr>
              <w:t>(pre-PBAC response)</w:t>
            </w:r>
          </w:p>
        </w:tc>
        <w:tc>
          <w:tcPr>
            <w:tcW w:w="960" w:type="dxa"/>
            <w:vAlign w:val="center"/>
          </w:tcPr>
          <w:p w14:paraId="3B76CF92" w14:textId="77777777" w:rsidR="00C46CE2" w:rsidRPr="00743512" w:rsidRDefault="00C46CE2" w:rsidP="004F5B47">
            <w:pPr>
              <w:keepNext/>
              <w:keepLines/>
              <w:jc w:val="center"/>
              <w:rPr>
                <w:rFonts w:ascii="Arial Narrow" w:hAnsi="Arial Narrow"/>
                <w:sz w:val="20"/>
                <w:szCs w:val="20"/>
              </w:rPr>
            </w:pPr>
            <w:r w:rsidRPr="00743512">
              <w:rPr>
                <w:rFonts w:ascii="Arial Narrow" w:hAnsi="Arial Narrow"/>
                <w:sz w:val="20"/>
              </w:rPr>
              <w:t>2</w:t>
            </w:r>
          </w:p>
        </w:tc>
        <w:tc>
          <w:tcPr>
            <w:tcW w:w="960" w:type="dxa"/>
            <w:vAlign w:val="center"/>
          </w:tcPr>
          <w:p w14:paraId="5805DA8C" w14:textId="77777777" w:rsidR="00C46CE2" w:rsidRPr="00743512" w:rsidRDefault="00C46CE2" w:rsidP="004F5B47">
            <w:pPr>
              <w:keepNext/>
              <w:keepLines/>
              <w:jc w:val="center"/>
              <w:rPr>
                <w:rFonts w:ascii="Arial Narrow" w:hAnsi="Arial Narrow"/>
                <w:sz w:val="20"/>
                <w:szCs w:val="20"/>
              </w:rPr>
            </w:pPr>
            <w:r w:rsidRPr="00743512">
              <w:rPr>
                <w:rFonts w:ascii="Arial Narrow" w:hAnsi="Arial Narrow"/>
                <w:sz w:val="20"/>
              </w:rPr>
              <w:t>56</w:t>
            </w:r>
          </w:p>
        </w:tc>
        <w:tc>
          <w:tcPr>
            <w:tcW w:w="1438" w:type="dxa"/>
            <w:vAlign w:val="center"/>
          </w:tcPr>
          <w:p w14:paraId="739E03C6" w14:textId="77777777" w:rsidR="00C46CE2" w:rsidRPr="00743512" w:rsidRDefault="00C46CE2" w:rsidP="004F5B47">
            <w:pPr>
              <w:keepNext/>
              <w:keepLines/>
              <w:jc w:val="center"/>
              <w:rPr>
                <w:rFonts w:ascii="Arial Narrow" w:hAnsi="Arial Narrow"/>
                <w:sz w:val="20"/>
              </w:rPr>
            </w:pPr>
            <w:r w:rsidRPr="00743512">
              <w:rPr>
                <w:rFonts w:ascii="Arial Narrow" w:hAnsi="Arial Narrow"/>
                <w:sz w:val="20"/>
              </w:rPr>
              <w:t>5 (initial)</w:t>
            </w:r>
          </w:p>
          <w:p w14:paraId="1003B7BF" w14:textId="61816548" w:rsidR="00C46CE2" w:rsidRPr="00743512" w:rsidRDefault="00C46CE2" w:rsidP="004F5B47">
            <w:pPr>
              <w:keepNext/>
              <w:keepLines/>
              <w:jc w:val="center"/>
              <w:rPr>
                <w:rFonts w:ascii="Arial Narrow" w:hAnsi="Arial Narrow"/>
                <w:sz w:val="20"/>
                <w:szCs w:val="20"/>
              </w:rPr>
            </w:pPr>
            <w:r w:rsidRPr="00743512">
              <w:rPr>
                <w:rFonts w:ascii="Arial Narrow" w:hAnsi="Arial Narrow"/>
                <w:strike/>
                <w:sz w:val="20"/>
              </w:rPr>
              <w:t>7</w:t>
            </w:r>
            <w:r w:rsidR="002B5FC5" w:rsidRPr="00743512">
              <w:rPr>
                <w:rFonts w:ascii="Arial Narrow" w:hAnsi="Arial Narrow"/>
                <w:sz w:val="20"/>
              </w:rPr>
              <w:t xml:space="preserve"> 6</w:t>
            </w:r>
            <w:r w:rsidRPr="00743512">
              <w:rPr>
                <w:rFonts w:ascii="Arial Narrow" w:hAnsi="Arial Narrow"/>
                <w:sz w:val="20"/>
              </w:rPr>
              <w:t xml:space="preserve"> (continuing)</w:t>
            </w:r>
          </w:p>
        </w:tc>
        <w:tc>
          <w:tcPr>
            <w:tcW w:w="1203" w:type="dxa"/>
            <w:vAlign w:val="center"/>
          </w:tcPr>
          <w:p w14:paraId="79ACD4C1" w14:textId="77777777" w:rsidR="00C46CE2" w:rsidRPr="00743512" w:rsidRDefault="00C46CE2" w:rsidP="004F5B47">
            <w:pPr>
              <w:keepNext/>
              <w:keepLines/>
              <w:rPr>
                <w:rFonts w:ascii="Arial Narrow" w:hAnsi="Arial Narrow"/>
                <w:color w:val="0066FF"/>
                <w:sz w:val="20"/>
                <w:szCs w:val="20"/>
              </w:rPr>
            </w:pPr>
            <w:r w:rsidRPr="00743512">
              <w:rPr>
                <w:rFonts w:ascii="Arial Narrow" w:hAnsi="Arial Narrow"/>
                <w:sz w:val="20"/>
                <w:szCs w:val="20"/>
              </w:rPr>
              <w:t>Lynparza</w:t>
            </w:r>
          </w:p>
        </w:tc>
      </w:tr>
    </w:tbl>
    <w:p w14:paraId="7CAF667B" w14:textId="77777777" w:rsidR="00C46CE2" w:rsidRPr="00743512" w:rsidRDefault="00C46CE2" w:rsidP="00C46C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C46CE2" w:rsidRPr="00743512" w14:paraId="6C5CCC3C" w14:textId="77777777" w:rsidTr="004F5B47">
        <w:trPr>
          <w:cantSplit/>
          <w:trHeight w:val="20"/>
        </w:trPr>
        <w:tc>
          <w:tcPr>
            <w:tcW w:w="5000" w:type="pct"/>
            <w:shd w:val="clear" w:color="auto" w:fill="B8CCE4" w:themeFill="accent1" w:themeFillTint="66"/>
          </w:tcPr>
          <w:p w14:paraId="1DB964CD" w14:textId="77777777" w:rsidR="00C46CE2" w:rsidRPr="00743512" w:rsidRDefault="00C46CE2" w:rsidP="00202D9A">
            <w:pPr>
              <w:pStyle w:val="TableText0"/>
              <w:keepNext w:val="0"/>
              <w:rPr>
                <w:szCs w:val="20"/>
              </w:rPr>
            </w:pPr>
            <w:r w:rsidRPr="00743512">
              <w:rPr>
                <w:b/>
                <w:szCs w:val="20"/>
              </w:rPr>
              <w:t xml:space="preserve">Category / Program: </w:t>
            </w:r>
            <w:r w:rsidRPr="00743512">
              <w:rPr>
                <w:szCs w:val="20"/>
              </w:rPr>
              <w:t>General Schedule</w:t>
            </w:r>
          </w:p>
        </w:tc>
      </w:tr>
      <w:tr w:rsidR="00C46CE2" w:rsidRPr="00743512" w14:paraId="7EC67FE2" w14:textId="77777777" w:rsidTr="004F5B47">
        <w:trPr>
          <w:cantSplit/>
          <w:trHeight w:val="20"/>
        </w:trPr>
        <w:tc>
          <w:tcPr>
            <w:tcW w:w="5000" w:type="pct"/>
            <w:shd w:val="clear" w:color="auto" w:fill="B8CCE4" w:themeFill="accent1" w:themeFillTint="66"/>
          </w:tcPr>
          <w:p w14:paraId="3F1409BD" w14:textId="77777777" w:rsidR="00C46CE2" w:rsidRPr="00743512" w:rsidRDefault="00C46CE2" w:rsidP="00202D9A">
            <w:pPr>
              <w:pStyle w:val="TableText0"/>
              <w:keepNext w:val="0"/>
              <w:rPr>
                <w:b/>
                <w:szCs w:val="20"/>
              </w:rPr>
            </w:pPr>
            <w:r w:rsidRPr="00743512">
              <w:rPr>
                <w:b/>
                <w:szCs w:val="20"/>
              </w:rPr>
              <w:t xml:space="preserve">Prescriber type: </w:t>
            </w:r>
            <w:r w:rsidRPr="00743512">
              <w:rPr>
                <w:szCs w:val="20"/>
              </w:rPr>
              <w:fldChar w:fldCharType="begin">
                <w:ffData>
                  <w:name w:val=""/>
                  <w:enabled/>
                  <w:calcOnExit w:val="0"/>
                  <w:checkBox>
                    <w:sizeAuto/>
                    <w:default w:val="1"/>
                  </w:checkBox>
                </w:ffData>
              </w:fldChar>
            </w:r>
            <w:r w:rsidRPr="00743512">
              <w:rPr>
                <w:szCs w:val="20"/>
              </w:rPr>
              <w:instrText xml:space="preserve"> FORMCHECKBOX </w:instrText>
            </w:r>
            <w:r w:rsidR="00D2565D">
              <w:rPr>
                <w:szCs w:val="20"/>
              </w:rPr>
            </w:r>
            <w:r w:rsidR="00D2565D">
              <w:rPr>
                <w:szCs w:val="20"/>
              </w:rPr>
              <w:fldChar w:fldCharType="separate"/>
            </w:r>
            <w:r w:rsidRPr="00743512">
              <w:rPr>
                <w:szCs w:val="20"/>
              </w:rPr>
              <w:fldChar w:fldCharType="end"/>
            </w:r>
            <w:r w:rsidRPr="00743512">
              <w:rPr>
                <w:szCs w:val="20"/>
              </w:rPr>
              <w:t>Medical Practitioners</w:t>
            </w:r>
          </w:p>
        </w:tc>
      </w:tr>
      <w:tr w:rsidR="00C46CE2" w:rsidRPr="00743512" w14:paraId="44BE9588" w14:textId="77777777" w:rsidTr="004F5B47">
        <w:trPr>
          <w:cantSplit/>
          <w:trHeight w:val="20"/>
        </w:trPr>
        <w:tc>
          <w:tcPr>
            <w:tcW w:w="5000" w:type="pct"/>
            <w:shd w:val="clear" w:color="auto" w:fill="B8CCE4" w:themeFill="accent1" w:themeFillTint="66"/>
          </w:tcPr>
          <w:p w14:paraId="2024F458" w14:textId="5F70089E" w:rsidR="00C46CE2" w:rsidRPr="00743512" w:rsidRDefault="00C46CE2" w:rsidP="00202D9A">
            <w:pPr>
              <w:pStyle w:val="TableText0"/>
              <w:keepNext w:val="0"/>
              <w:rPr>
                <w:rFonts w:eastAsia="Times New Roman"/>
                <w:szCs w:val="20"/>
              </w:rPr>
            </w:pPr>
            <w:r w:rsidRPr="00743512">
              <w:rPr>
                <w:b/>
                <w:szCs w:val="20"/>
              </w:rPr>
              <w:t>Restriction type:</w:t>
            </w:r>
            <w:r w:rsidRPr="00743512">
              <w:rPr>
                <w:rFonts w:eastAsia="Times New Roman"/>
                <w:szCs w:val="20"/>
              </w:rPr>
              <w:fldChar w:fldCharType="begin">
                <w:ffData>
                  <w:name w:val="Check3"/>
                  <w:enabled/>
                  <w:calcOnExit w:val="0"/>
                  <w:checkBox>
                    <w:sizeAuto/>
                    <w:default w:val="1"/>
                  </w:checkBox>
                </w:ffData>
              </w:fldChar>
            </w:r>
            <w:r w:rsidRPr="00743512">
              <w:rPr>
                <w:rFonts w:eastAsia="Times New Roman"/>
                <w:szCs w:val="20"/>
              </w:rPr>
              <w:instrText xml:space="preserve"> FORMCHECKBOX </w:instrText>
            </w:r>
            <w:r w:rsidR="00D2565D">
              <w:rPr>
                <w:rFonts w:eastAsia="Times New Roman"/>
                <w:szCs w:val="20"/>
              </w:rPr>
            </w:r>
            <w:r w:rsidR="00D2565D">
              <w:rPr>
                <w:rFonts w:eastAsia="Times New Roman"/>
                <w:szCs w:val="20"/>
              </w:rPr>
              <w:fldChar w:fldCharType="separate"/>
            </w:r>
            <w:r w:rsidRPr="00743512">
              <w:rPr>
                <w:rFonts w:eastAsia="Times New Roman"/>
                <w:szCs w:val="20"/>
              </w:rPr>
              <w:fldChar w:fldCharType="end"/>
            </w:r>
            <w:r w:rsidR="00760120" w:rsidRPr="00743512">
              <w:rPr>
                <w:rFonts w:eastAsia="Times New Roman"/>
                <w:szCs w:val="20"/>
              </w:rPr>
              <w:t xml:space="preserve"> </w:t>
            </w:r>
            <w:r w:rsidRPr="00743512">
              <w:rPr>
                <w:rFonts w:eastAsia="Times New Roman"/>
                <w:szCs w:val="20"/>
              </w:rPr>
              <w:t xml:space="preserve">Authority Required (telephone/online PBS Authorities system) </w:t>
            </w:r>
          </w:p>
        </w:tc>
      </w:tr>
      <w:tr w:rsidR="00C46CE2" w:rsidRPr="00743512" w14:paraId="3D2FD2D4" w14:textId="77777777" w:rsidTr="004F5B47">
        <w:trPr>
          <w:cantSplit/>
          <w:trHeight w:val="20"/>
        </w:trPr>
        <w:tc>
          <w:tcPr>
            <w:tcW w:w="5000" w:type="pct"/>
            <w:shd w:val="clear" w:color="auto" w:fill="B8CCE4" w:themeFill="accent1" w:themeFillTint="66"/>
            <w:vAlign w:val="center"/>
          </w:tcPr>
          <w:p w14:paraId="5E7B59C5" w14:textId="77777777" w:rsidR="00C46CE2" w:rsidRPr="00743512" w:rsidRDefault="00C46CE2" w:rsidP="00202D9A">
            <w:pPr>
              <w:pStyle w:val="TableText0"/>
              <w:keepNext w:val="0"/>
              <w:rPr>
                <w:szCs w:val="20"/>
              </w:rPr>
            </w:pPr>
            <w:r w:rsidRPr="00743512">
              <w:rPr>
                <w:rFonts w:cs="Arial"/>
                <w:b/>
                <w:szCs w:val="20"/>
              </w:rPr>
              <w:t xml:space="preserve">Episodicity: </w:t>
            </w:r>
            <w:r w:rsidRPr="00743512">
              <w:rPr>
                <w:rFonts w:cs="Arial"/>
                <w:szCs w:val="20"/>
              </w:rPr>
              <w:t>Adjuvant treatment of</w:t>
            </w:r>
          </w:p>
        </w:tc>
      </w:tr>
      <w:tr w:rsidR="00C46CE2" w:rsidRPr="00743512" w14:paraId="1DBDEA24" w14:textId="77777777" w:rsidTr="004F5B47">
        <w:trPr>
          <w:cantSplit/>
          <w:trHeight w:val="20"/>
        </w:trPr>
        <w:tc>
          <w:tcPr>
            <w:tcW w:w="5000" w:type="pct"/>
            <w:shd w:val="clear" w:color="auto" w:fill="B8CCE4" w:themeFill="accent1" w:themeFillTint="66"/>
            <w:vAlign w:val="center"/>
          </w:tcPr>
          <w:p w14:paraId="6EB7D6F2" w14:textId="77777777" w:rsidR="00C46CE2" w:rsidRPr="00743512" w:rsidRDefault="00C46CE2" w:rsidP="00202D9A">
            <w:pPr>
              <w:pStyle w:val="TableText0"/>
              <w:keepNext w:val="0"/>
              <w:rPr>
                <w:bCs w:val="0"/>
                <w:szCs w:val="20"/>
              </w:rPr>
            </w:pPr>
            <w:r w:rsidRPr="00743512">
              <w:rPr>
                <w:rFonts w:cs="Arial"/>
                <w:b/>
                <w:szCs w:val="20"/>
              </w:rPr>
              <w:t xml:space="preserve">Severity: </w:t>
            </w:r>
            <w:r w:rsidRPr="00743512">
              <w:rPr>
                <w:rFonts w:cs="Arial"/>
                <w:szCs w:val="20"/>
              </w:rPr>
              <w:t>early stage</w:t>
            </w:r>
          </w:p>
        </w:tc>
      </w:tr>
      <w:tr w:rsidR="00C46CE2" w:rsidRPr="00743512" w14:paraId="49F4DF49" w14:textId="77777777" w:rsidTr="004F5B47">
        <w:trPr>
          <w:cantSplit/>
          <w:trHeight w:val="20"/>
        </w:trPr>
        <w:tc>
          <w:tcPr>
            <w:tcW w:w="5000" w:type="pct"/>
            <w:shd w:val="clear" w:color="auto" w:fill="B8CCE4" w:themeFill="accent1" w:themeFillTint="66"/>
            <w:vAlign w:val="center"/>
          </w:tcPr>
          <w:p w14:paraId="19CC3408" w14:textId="77777777" w:rsidR="00C46CE2" w:rsidRPr="00743512" w:rsidRDefault="00C46CE2" w:rsidP="00202D9A">
            <w:pPr>
              <w:pStyle w:val="TableText0"/>
              <w:keepNext w:val="0"/>
              <w:rPr>
                <w:bCs w:val="0"/>
                <w:szCs w:val="20"/>
              </w:rPr>
            </w:pPr>
            <w:r w:rsidRPr="00743512">
              <w:rPr>
                <w:rFonts w:cs="Arial"/>
                <w:b/>
                <w:szCs w:val="20"/>
              </w:rPr>
              <w:t xml:space="preserve">Condition: </w:t>
            </w:r>
            <w:r w:rsidRPr="00743512">
              <w:rPr>
                <w:rFonts w:cs="Arial"/>
                <w:szCs w:val="20"/>
              </w:rPr>
              <w:t>breast cancer</w:t>
            </w:r>
          </w:p>
        </w:tc>
      </w:tr>
      <w:tr w:rsidR="00C46CE2" w:rsidRPr="00743512" w14:paraId="384D3551" w14:textId="77777777" w:rsidTr="004F5B47">
        <w:trPr>
          <w:cantSplit/>
          <w:trHeight w:val="20"/>
        </w:trPr>
        <w:tc>
          <w:tcPr>
            <w:tcW w:w="5000" w:type="pct"/>
            <w:shd w:val="clear" w:color="auto" w:fill="B8CCE4" w:themeFill="accent1" w:themeFillTint="66"/>
            <w:vAlign w:val="center"/>
            <w:hideMark/>
          </w:tcPr>
          <w:p w14:paraId="5226DF31" w14:textId="77777777" w:rsidR="00C46CE2" w:rsidRPr="00743512" w:rsidRDefault="00C46CE2" w:rsidP="00202D9A">
            <w:pPr>
              <w:pStyle w:val="TableText0"/>
              <w:keepNext w:val="0"/>
              <w:rPr>
                <w:bCs w:val="0"/>
                <w:szCs w:val="20"/>
              </w:rPr>
            </w:pPr>
            <w:r w:rsidRPr="00743512">
              <w:rPr>
                <w:rFonts w:cs="Arial"/>
                <w:b/>
                <w:szCs w:val="20"/>
              </w:rPr>
              <w:t>Indication:</w:t>
            </w:r>
            <w:r w:rsidRPr="00743512">
              <w:rPr>
                <w:rFonts w:cs="Arial"/>
                <w:szCs w:val="20"/>
              </w:rPr>
              <w:t xml:space="preserve"> Adjuvant treatment of early stage breast cancer</w:t>
            </w:r>
          </w:p>
        </w:tc>
      </w:tr>
      <w:tr w:rsidR="00C46CE2" w:rsidRPr="00743512" w14:paraId="6525AEA7" w14:textId="77777777" w:rsidTr="004F5B47">
        <w:trPr>
          <w:cantSplit/>
          <w:trHeight w:val="20"/>
        </w:trPr>
        <w:tc>
          <w:tcPr>
            <w:tcW w:w="5000" w:type="pct"/>
            <w:shd w:val="clear" w:color="auto" w:fill="B8CCE4" w:themeFill="accent1" w:themeFillTint="66"/>
            <w:vAlign w:val="center"/>
            <w:hideMark/>
          </w:tcPr>
          <w:p w14:paraId="05032817" w14:textId="77777777" w:rsidR="00C46CE2" w:rsidRPr="00743512" w:rsidRDefault="00C46CE2" w:rsidP="00202D9A">
            <w:pPr>
              <w:pStyle w:val="TableText0"/>
              <w:keepNext w:val="0"/>
              <w:rPr>
                <w:szCs w:val="20"/>
              </w:rPr>
            </w:pPr>
            <w:r w:rsidRPr="00743512">
              <w:rPr>
                <w:rFonts w:cs="Arial"/>
                <w:b/>
                <w:szCs w:val="20"/>
              </w:rPr>
              <w:t>Treatment Phase:</w:t>
            </w:r>
            <w:r w:rsidRPr="00743512">
              <w:rPr>
                <w:rFonts w:cs="Arial"/>
                <w:szCs w:val="20"/>
              </w:rPr>
              <w:t xml:space="preserve"> Initial treatment</w:t>
            </w:r>
          </w:p>
        </w:tc>
      </w:tr>
      <w:tr w:rsidR="00C46CE2" w:rsidRPr="00743512" w14:paraId="29B1D6E9" w14:textId="77777777" w:rsidTr="004F5B47">
        <w:trPr>
          <w:cantSplit/>
          <w:trHeight w:val="20"/>
        </w:trPr>
        <w:tc>
          <w:tcPr>
            <w:tcW w:w="5000" w:type="pct"/>
            <w:shd w:val="clear" w:color="auto" w:fill="B8CCE4" w:themeFill="accent1" w:themeFillTint="66"/>
            <w:vAlign w:val="center"/>
            <w:hideMark/>
          </w:tcPr>
          <w:p w14:paraId="71AA34A0" w14:textId="77777777" w:rsidR="00C46CE2" w:rsidRPr="00743512" w:rsidRDefault="00C46CE2" w:rsidP="00202D9A">
            <w:pPr>
              <w:pStyle w:val="TableText0"/>
              <w:keepNext w:val="0"/>
              <w:rPr>
                <w:szCs w:val="20"/>
              </w:rPr>
            </w:pPr>
            <w:r w:rsidRPr="00743512">
              <w:rPr>
                <w:rFonts w:cs="Arial"/>
                <w:b/>
                <w:szCs w:val="20"/>
              </w:rPr>
              <w:t>Clinical criteria:</w:t>
            </w:r>
          </w:p>
        </w:tc>
      </w:tr>
      <w:tr w:rsidR="00C46CE2" w:rsidRPr="00743512" w14:paraId="43112DA7" w14:textId="77777777" w:rsidTr="00DB6238">
        <w:trPr>
          <w:cantSplit/>
          <w:trHeight w:val="20"/>
        </w:trPr>
        <w:tc>
          <w:tcPr>
            <w:tcW w:w="5000" w:type="pct"/>
            <w:shd w:val="clear" w:color="auto" w:fill="auto"/>
            <w:vAlign w:val="center"/>
            <w:hideMark/>
          </w:tcPr>
          <w:p w14:paraId="268E7AFE" w14:textId="77777777" w:rsidR="00C46CE2" w:rsidRPr="00743512" w:rsidRDefault="00C46CE2" w:rsidP="00202D9A">
            <w:pPr>
              <w:pStyle w:val="TableText0"/>
              <w:keepNext w:val="0"/>
              <w:rPr>
                <w:szCs w:val="20"/>
              </w:rPr>
            </w:pPr>
            <w:r w:rsidRPr="00743512">
              <w:rPr>
                <w:rFonts w:cs="Arial"/>
                <w:szCs w:val="20"/>
              </w:rPr>
              <w:t xml:space="preserve">The condition must be negative for human epidermal growth factor receptor 2 (HER2) overexpression </w:t>
            </w:r>
          </w:p>
        </w:tc>
      </w:tr>
      <w:tr w:rsidR="00C46CE2" w:rsidRPr="00743512" w14:paraId="7F4B53BE" w14:textId="77777777" w:rsidTr="004F5B47">
        <w:trPr>
          <w:cantSplit/>
          <w:trHeight w:val="20"/>
        </w:trPr>
        <w:tc>
          <w:tcPr>
            <w:tcW w:w="5000" w:type="pct"/>
            <w:shd w:val="clear" w:color="auto" w:fill="B8CCE4" w:themeFill="accent1" w:themeFillTint="66"/>
            <w:vAlign w:val="center"/>
            <w:hideMark/>
          </w:tcPr>
          <w:p w14:paraId="05112F2C" w14:textId="77777777" w:rsidR="00C46CE2" w:rsidRPr="00743512" w:rsidRDefault="00C46CE2" w:rsidP="00202D9A">
            <w:pPr>
              <w:pStyle w:val="TableText0"/>
              <w:keepNext w:val="0"/>
              <w:rPr>
                <w:szCs w:val="20"/>
              </w:rPr>
            </w:pPr>
            <w:r w:rsidRPr="00743512">
              <w:rPr>
                <w:rFonts w:cs="Arial"/>
                <w:b/>
                <w:szCs w:val="20"/>
              </w:rPr>
              <w:t>AND</w:t>
            </w:r>
          </w:p>
        </w:tc>
      </w:tr>
      <w:tr w:rsidR="00C46CE2" w:rsidRPr="00743512" w14:paraId="1B73AF3C" w14:textId="77777777" w:rsidTr="004F5B47">
        <w:trPr>
          <w:cantSplit/>
          <w:trHeight w:val="20"/>
        </w:trPr>
        <w:tc>
          <w:tcPr>
            <w:tcW w:w="5000" w:type="pct"/>
            <w:shd w:val="clear" w:color="auto" w:fill="B8CCE4" w:themeFill="accent1" w:themeFillTint="66"/>
            <w:vAlign w:val="center"/>
            <w:hideMark/>
          </w:tcPr>
          <w:p w14:paraId="07D89909" w14:textId="77777777" w:rsidR="00C46CE2" w:rsidRPr="00743512" w:rsidRDefault="00C46CE2" w:rsidP="00202D9A">
            <w:pPr>
              <w:pStyle w:val="TableText0"/>
              <w:keepNext w:val="0"/>
              <w:rPr>
                <w:szCs w:val="20"/>
              </w:rPr>
            </w:pPr>
            <w:r w:rsidRPr="00743512">
              <w:rPr>
                <w:rFonts w:cs="Arial"/>
                <w:b/>
                <w:szCs w:val="20"/>
              </w:rPr>
              <w:t>Clinical criteria:</w:t>
            </w:r>
          </w:p>
        </w:tc>
      </w:tr>
      <w:tr w:rsidR="00C46CE2" w:rsidRPr="00743512" w14:paraId="340C0329" w14:textId="77777777" w:rsidTr="004F5B47">
        <w:trPr>
          <w:cantSplit/>
          <w:trHeight w:val="20"/>
        </w:trPr>
        <w:tc>
          <w:tcPr>
            <w:tcW w:w="5000" w:type="pct"/>
            <w:shd w:val="clear" w:color="auto" w:fill="B8CCE4" w:themeFill="accent1" w:themeFillTint="66"/>
            <w:vAlign w:val="center"/>
            <w:hideMark/>
          </w:tcPr>
          <w:p w14:paraId="401656C8" w14:textId="77777777" w:rsidR="00C46CE2" w:rsidRPr="00743512" w:rsidRDefault="00C46CE2" w:rsidP="00202D9A">
            <w:pPr>
              <w:pStyle w:val="TableText0"/>
              <w:keepNext w:val="0"/>
              <w:rPr>
                <w:szCs w:val="20"/>
              </w:rPr>
            </w:pPr>
            <w:r w:rsidRPr="00743512">
              <w:rPr>
                <w:rFonts w:cs="Arial"/>
                <w:szCs w:val="20"/>
              </w:rPr>
              <w:t>Patient has completed at least six cycles (or experience toxicity necessitating withdrawal) of neoadjuvant or adjuvant chemotherapy containing anthracyclines, taxanes, or both agents.</w:t>
            </w:r>
          </w:p>
        </w:tc>
      </w:tr>
      <w:tr w:rsidR="00C46CE2" w:rsidRPr="00743512" w14:paraId="3846A30D" w14:textId="77777777" w:rsidTr="004F5B47">
        <w:trPr>
          <w:cantSplit/>
          <w:trHeight w:val="20"/>
        </w:trPr>
        <w:tc>
          <w:tcPr>
            <w:tcW w:w="5000" w:type="pct"/>
            <w:shd w:val="clear" w:color="auto" w:fill="B8CCE4" w:themeFill="accent1" w:themeFillTint="66"/>
            <w:vAlign w:val="center"/>
          </w:tcPr>
          <w:p w14:paraId="4BE200D4" w14:textId="77777777" w:rsidR="00C46CE2" w:rsidRPr="00743512" w:rsidRDefault="00C46CE2" w:rsidP="00202D9A">
            <w:pPr>
              <w:pStyle w:val="TableText0"/>
              <w:keepNext w:val="0"/>
              <w:rPr>
                <w:szCs w:val="20"/>
              </w:rPr>
            </w:pPr>
            <w:r w:rsidRPr="00743512">
              <w:rPr>
                <w:rFonts w:cs="Arial"/>
                <w:b/>
                <w:szCs w:val="20"/>
              </w:rPr>
              <w:t>AND</w:t>
            </w:r>
          </w:p>
        </w:tc>
      </w:tr>
      <w:tr w:rsidR="00C46CE2" w:rsidRPr="00743512" w14:paraId="145B1FB4" w14:textId="77777777" w:rsidTr="004F5B47">
        <w:trPr>
          <w:cantSplit/>
          <w:trHeight w:val="20"/>
        </w:trPr>
        <w:tc>
          <w:tcPr>
            <w:tcW w:w="5000" w:type="pct"/>
            <w:shd w:val="clear" w:color="auto" w:fill="B8CCE4" w:themeFill="accent1" w:themeFillTint="66"/>
            <w:vAlign w:val="center"/>
          </w:tcPr>
          <w:p w14:paraId="08EA01FE" w14:textId="77777777" w:rsidR="00C46CE2" w:rsidRPr="00743512" w:rsidRDefault="00C46CE2" w:rsidP="00202D9A">
            <w:pPr>
              <w:pStyle w:val="TableText0"/>
              <w:keepNext w:val="0"/>
              <w:rPr>
                <w:rFonts w:cs="Arial"/>
                <w:b/>
                <w:szCs w:val="20"/>
              </w:rPr>
            </w:pPr>
            <w:r w:rsidRPr="00743512">
              <w:rPr>
                <w:rFonts w:cs="Arial"/>
                <w:b/>
                <w:szCs w:val="20"/>
              </w:rPr>
              <w:t>Clinical criteria:</w:t>
            </w:r>
          </w:p>
        </w:tc>
      </w:tr>
      <w:tr w:rsidR="00C46CE2" w:rsidRPr="00743512" w14:paraId="3FF53928" w14:textId="77777777" w:rsidTr="004F5B47">
        <w:trPr>
          <w:cantSplit/>
          <w:trHeight w:val="20"/>
        </w:trPr>
        <w:tc>
          <w:tcPr>
            <w:tcW w:w="5000" w:type="pct"/>
            <w:shd w:val="clear" w:color="auto" w:fill="B8CCE4" w:themeFill="accent1" w:themeFillTint="66"/>
            <w:vAlign w:val="center"/>
          </w:tcPr>
          <w:p w14:paraId="06DBF93C" w14:textId="77777777" w:rsidR="00C46CE2" w:rsidRPr="00743512" w:rsidRDefault="00C46CE2" w:rsidP="00202D9A">
            <w:pPr>
              <w:pStyle w:val="TableText0"/>
              <w:keepNext w:val="0"/>
              <w:rPr>
                <w:szCs w:val="20"/>
              </w:rPr>
            </w:pPr>
            <w:r w:rsidRPr="00743512">
              <w:rPr>
                <w:rFonts w:cs="Arial"/>
                <w:szCs w:val="20"/>
              </w:rPr>
              <w:t>The treatment must be adjuvant to surgical resection</w:t>
            </w:r>
          </w:p>
        </w:tc>
      </w:tr>
      <w:tr w:rsidR="00C46CE2" w:rsidRPr="00743512" w14:paraId="041B8449" w14:textId="77777777" w:rsidTr="004F5B47">
        <w:trPr>
          <w:cantSplit/>
          <w:trHeight w:val="20"/>
        </w:trPr>
        <w:tc>
          <w:tcPr>
            <w:tcW w:w="5000" w:type="pct"/>
            <w:shd w:val="clear" w:color="auto" w:fill="B8CCE4" w:themeFill="accent1" w:themeFillTint="66"/>
            <w:vAlign w:val="center"/>
          </w:tcPr>
          <w:p w14:paraId="3D9E7C83" w14:textId="77777777" w:rsidR="00C46CE2" w:rsidRPr="00743512" w:rsidRDefault="00C46CE2" w:rsidP="00202D9A">
            <w:pPr>
              <w:pStyle w:val="TableText0"/>
              <w:keepNext w:val="0"/>
              <w:rPr>
                <w:rFonts w:cs="Arial"/>
                <w:szCs w:val="20"/>
              </w:rPr>
            </w:pPr>
            <w:r w:rsidRPr="00743512">
              <w:rPr>
                <w:rFonts w:cs="Arial"/>
                <w:b/>
                <w:szCs w:val="20"/>
              </w:rPr>
              <w:t>AND</w:t>
            </w:r>
          </w:p>
        </w:tc>
      </w:tr>
      <w:tr w:rsidR="00C46CE2" w:rsidRPr="00743512" w14:paraId="7BF2B8D4" w14:textId="77777777" w:rsidTr="004F5B47">
        <w:trPr>
          <w:cantSplit/>
          <w:trHeight w:val="20"/>
        </w:trPr>
        <w:tc>
          <w:tcPr>
            <w:tcW w:w="5000" w:type="pct"/>
            <w:shd w:val="clear" w:color="auto" w:fill="B8CCE4" w:themeFill="accent1" w:themeFillTint="66"/>
            <w:vAlign w:val="center"/>
          </w:tcPr>
          <w:p w14:paraId="2EAE9E11" w14:textId="77777777" w:rsidR="00C46CE2" w:rsidRPr="00743512" w:rsidRDefault="00C46CE2" w:rsidP="00202D9A">
            <w:pPr>
              <w:pStyle w:val="TableText0"/>
              <w:keepNext w:val="0"/>
              <w:rPr>
                <w:szCs w:val="20"/>
              </w:rPr>
            </w:pPr>
            <w:r w:rsidRPr="00743512">
              <w:rPr>
                <w:rFonts w:cs="Arial"/>
                <w:b/>
                <w:szCs w:val="20"/>
              </w:rPr>
              <w:t>Clinical criteria:</w:t>
            </w:r>
          </w:p>
        </w:tc>
      </w:tr>
      <w:tr w:rsidR="00C46CE2" w:rsidRPr="00743512" w14:paraId="6CA7CC27" w14:textId="77777777" w:rsidTr="004F5B47">
        <w:trPr>
          <w:cantSplit/>
          <w:trHeight w:val="20"/>
        </w:trPr>
        <w:tc>
          <w:tcPr>
            <w:tcW w:w="5000" w:type="pct"/>
            <w:shd w:val="clear" w:color="auto" w:fill="B8CCE4" w:themeFill="accent1" w:themeFillTint="66"/>
            <w:vAlign w:val="center"/>
          </w:tcPr>
          <w:p w14:paraId="29A9A83C" w14:textId="0B3D89EA" w:rsidR="00C46CE2" w:rsidRPr="00743512" w:rsidRDefault="00C46CE2" w:rsidP="00202D9A">
            <w:pPr>
              <w:pStyle w:val="TableText0"/>
              <w:keepNext w:val="0"/>
              <w:rPr>
                <w:szCs w:val="20"/>
              </w:rPr>
            </w:pPr>
            <w:r w:rsidRPr="00743512">
              <w:rPr>
                <w:rFonts w:cs="Arial"/>
                <w:szCs w:val="20"/>
              </w:rPr>
              <w:t xml:space="preserve">The condition must be associated with a class 4 or 5 </w:t>
            </w:r>
            <w:r w:rsidR="00CD50D4" w:rsidRPr="00743512">
              <w:rPr>
                <w:rFonts w:cs="Arial"/>
                <w:i/>
                <w:szCs w:val="20"/>
              </w:rPr>
              <w:t>BRCA1</w:t>
            </w:r>
            <w:r w:rsidRPr="00743512">
              <w:rPr>
                <w:rFonts w:cs="Arial"/>
                <w:szCs w:val="20"/>
              </w:rPr>
              <w:t xml:space="preserve"> or </w:t>
            </w:r>
            <w:r w:rsidR="00CD50D4" w:rsidRPr="00743512">
              <w:rPr>
                <w:rFonts w:cs="Arial"/>
                <w:i/>
                <w:szCs w:val="20"/>
              </w:rPr>
              <w:t>BRCA2</w:t>
            </w:r>
            <w:r w:rsidRPr="00743512">
              <w:rPr>
                <w:rFonts w:cs="Arial"/>
                <w:szCs w:val="20"/>
              </w:rPr>
              <w:t xml:space="preserve"> gene mutation</w:t>
            </w:r>
          </w:p>
        </w:tc>
      </w:tr>
      <w:tr w:rsidR="00C46CE2" w:rsidRPr="00743512" w14:paraId="1FD7EF6F" w14:textId="77777777" w:rsidTr="004F5B47">
        <w:trPr>
          <w:cantSplit/>
          <w:trHeight w:val="20"/>
        </w:trPr>
        <w:tc>
          <w:tcPr>
            <w:tcW w:w="5000" w:type="pct"/>
            <w:shd w:val="clear" w:color="auto" w:fill="B8CCE4" w:themeFill="accent1" w:themeFillTint="66"/>
            <w:vAlign w:val="center"/>
          </w:tcPr>
          <w:p w14:paraId="7C4FE382" w14:textId="77777777" w:rsidR="00C46CE2" w:rsidRPr="00743512" w:rsidRDefault="00C46CE2" w:rsidP="00202D9A">
            <w:pPr>
              <w:pStyle w:val="TableText0"/>
              <w:keepNext w:val="0"/>
              <w:rPr>
                <w:szCs w:val="20"/>
              </w:rPr>
            </w:pPr>
            <w:r w:rsidRPr="00743512">
              <w:rPr>
                <w:rFonts w:cs="Arial"/>
                <w:b/>
                <w:szCs w:val="20"/>
              </w:rPr>
              <w:t>AND</w:t>
            </w:r>
          </w:p>
        </w:tc>
      </w:tr>
      <w:tr w:rsidR="00C46CE2" w:rsidRPr="00743512" w14:paraId="0F716F7D" w14:textId="77777777" w:rsidTr="004F5B47">
        <w:trPr>
          <w:cantSplit/>
          <w:trHeight w:val="20"/>
        </w:trPr>
        <w:tc>
          <w:tcPr>
            <w:tcW w:w="5000" w:type="pct"/>
            <w:shd w:val="clear" w:color="auto" w:fill="B8CCE4" w:themeFill="accent1" w:themeFillTint="66"/>
            <w:vAlign w:val="center"/>
          </w:tcPr>
          <w:p w14:paraId="3A093CE2" w14:textId="77777777" w:rsidR="00C46CE2" w:rsidRPr="00743512" w:rsidRDefault="00C46CE2" w:rsidP="00202D9A">
            <w:pPr>
              <w:pStyle w:val="TableText0"/>
              <w:keepNext w:val="0"/>
              <w:rPr>
                <w:szCs w:val="20"/>
              </w:rPr>
            </w:pPr>
            <w:r w:rsidRPr="00743512">
              <w:rPr>
                <w:rFonts w:cs="Arial"/>
                <w:b/>
                <w:szCs w:val="20"/>
              </w:rPr>
              <w:t>Clinical criteria:</w:t>
            </w:r>
          </w:p>
        </w:tc>
      </w:tr>
      <w:tr w:rsidR="00C46CE2" w:rsidRPr="00743512" w14:paraId="3018BDA9" w14:textId="77777777" w:rsidTr="004F5B47">
        <w:trPr>
          <w:cantSplit/>
          <w:trHeight w:val="20"/>
        </w:trPr>
        <w:tc>
          <w:tcPr>
            <w:tcW w:w="5000" w:type="pct"/>
            <w:shd w:val="clear" w:color="auto" w:fill="FFFFFF" w:themeFill="background1"/>
            <w:vAlign w:val="center"/>
          </w:tcPr>
          <w:p w14:paraId="0DCEC988" w14:textId="77777777" w:rsidR="00C46CE2" w:rsidRPr="00743512" w:rsidRDefault="00C46CE2" w:rsidP="00202D9A">
            <w:pPr>
              <w:rPr>
                <w:rFonts w:ascii="Arial Narrow" w:hAnsi="Arial Narrow"/>
                <w:sz w:val="20"/>
                <w:szCs w:val="20"/>
              </w:rPr>
            </w:pPr>
            <w:r w:rsidRPr="00743512">
              <w:rPr>
                <w:rFonts w:ascii="Arial Narrow" w:hAnsi="Arial Narrow"/>
                <w:sz w:val="20"/>
                <w:szCs w:val="20"/>
              </w:rPr>
              <w:t>For the first PBS authority application only, where applicable, confirm the following:</w:t>
            </w:r>
          </w:p>
          <w:p w14:paraId="511625F2" w14:textId="77777777" w:rsidR="00C46CE2" w:rsidRPr="00743512" w:rsidRDefault="00C46CE2" w:rsidP="001074C6">
            <w:pPr>
              <w:pStyle w:val="ListParagraph"/>
              <w:numPr>
                <w:ilvl w:val="0"/>
                <w:numId w:val="7"/>
              </w:numPr>
              <w:contextualSpacing/>
              <w:jc w:val="left"/>
              <w:rPr>
                <w:rFonts w:ascii="Arial Narrow" w:hAnsi="Arial Narrow"/>
                <w:sz w:val="20"/>
                <w:szCs w:val="20"/>
              </w:rPr>
            </w:pPr>
            <w:r w:rsidRPr="00743512">
              <w:rPr>
                <w:rFonts w:ascii="Arial Narrow" w:hAnsi="Arial Narrow"/>
                <w:sz w:val="20"/>
                <w:szCs w:val="20"/>
              </w:rPr>
              <w:t xml:space="preserve">Where neoadjuvant chemotherapy has occurred – confirm that residual invasive cancer is in the breast and/or resected lymph nodes. </w:t>
            </w:r>
          </w:p>
          <w:p w14:paraId="59BA8FF3" w14:textId="77777777" w:rsidR="00C46CE2" w:rsidRPr="00743512" w:rsidRDefault="00C46CE2" w:rsidP="001074C6">
            <w:pPr>
              <w:pStyle w:val="ListParagraph"/>
              <w:numPr>
                <w:ilvl w:val="0"/>
                <w:numId w:val="7"/>
              </w:numPr>
              <w:contextualSpacing/>
              <w:jc w:val="left"/>
              <w:rPr>
                <w:rFonts w:ascii="Arial Narrow" w:hAnsi="Arial Narrow"/>
                <w:sz w:val="20"/>
                <w:szCs w:val="20"/>
              </w:rPr>
            </w:pPr>
            <w:r w:rsidRPr="00743512">
              <w:rPr>
                <w:rFonts w:ascii="Arial Narrow" w:hAnsi="Arial Narrow"/>
                <w:sz w:val="20"/>
                <w:szCs w:val="20"/>
              </w:rPr>
              <w:t xml:space="preserve">In a patient with triple negative breast cancer who has received adjuvant chemotherapy, confirm that node positive disease is present or that the primary tumour is greater than 20 mm, </w:t>
            </w:r>
          </w:p>
          <w:p w14:paraId="653151B7" w14:textId="77777777" w:rsidR="00C46CE2" w:rsidRPr="00743512" w:rsidRDefault="00C46CE2" w:rsidP="001074C6">
            <w:pPr>
              <w:pStyle w:val="TableText0"/>
              <w:keepNext w:val="0"/>
              <w:numPr>
                <w:ilvl w:val="0"/>
                <w:numId w:val="7"/>
              </w:numPr>
              <w:rPr>
                <w:szCs w:val="20"/>
              </w:rPr>
            </w:pPr>
            <w:r w:rsidRPr="00743512">
              <w:rPr>
                <w:rFonts w:cs="Arial"/>
                <w:szCs w:val="20"/>
              </w:rPr>
              <w:t>In a patient with hormone receptor positive, HER2-negative disease who has received adjuvant chemotherapy, confirm that the patient has at least 4 positive lymph nodes.</w:t>
            </w:r>
          </w:p>
        </w:tc>
      </w:tr>
      <w:tr w:rsidR="00C46CE2" w:rsidRPr="00743512" w14:paraId="2BBFF72B" w14:textId="77777777" w:rsidTr="004F5B47">
        <w:trPr>
          <w:cantSplit/>
          <w:trHeight w:val="20"/>
        </w:trPr>
        <w:tc>
          <w:tcPr>
            <w:tcW w:w="5000" w:type="pct"/>
            <w:shd w:val="clear" w:color="auto" w:fill="B8CCE4" w:themeFill="accent1" w:themeFillTint="66"/>
            <w:vAlign w:val="center"/>
          </w:tcPr>
          <w:p w14:paraId="4030D09D" w14:textId="77777777" w:rsidR="00C46CE2" w:rsidRPr="00743512" w:rsidRDefault="00C46CE2" w:rsidP="00202D9A">
            <w:pPr>
              <w:pStyle w:val="TableText0"/>
              <w:keepNext w:val="0"/>
              <w:rPr>
                <w:szCs w:val="20"/>
              </w:rPr>
            </w:pPr>
            <w:r w:rsidRPr="00743512">
              <w:rPr>
                <w:rFonts w:cs="Arial"/>
                <w:b/>
                <w:szCs w:val="20"/>
              </w:rPr>
              <w:t>AND</w:t>
            </w:r>
          </w:p>
        </w:tc>
      </w:tr>
      <w:tr w:rsidR="00C46CE2" w:rsidRPr="00743512" w14:paraId="2A98CB91" w14:textId="77777777" w:rsidTr="004F5B47">
        <w:trPr>
          <w:cantSplit/>
          <w:trHeight w:val="20"/>
        </w:trPr>
        <w:tc>
          <w:tcPr>
            <w:tcW w:w="5000" w:type="pct"/>
            <w:shd w:val="clear" w:color="auto" w:fill="B8CCE4" w:themeFill="accent1" w:themeFillTint="66"/>
            <w:vAlign w:val="center"/>
          </w:tcPr>
          <w:p w14:paraId="7E7A082E" w14:textId="77777777" w:rsidR="00C46CE2" w:rsidRPr="00743512" w:rsidRDefault="00C46CE2" w:rsidP="00202D9A">
            <w:pPr>
              <w:pStyle w:val="TableText0"/>
              <w:keepNext w:val="0"/>
              <w:rPr>
                <w:szCs w:val="20"/>
              </w:rPr>
            </w:pPr>
            <w:r w:rsidRPr="00743512">
              <w:rPr>
                <w:rFonts w:cs="Arial"/>
                <w:b/>
                <w:szCs w:val="20"/>
              </w:rPr>
              <w:t>Clinical criteria:</w:t>
            </w:r>
          </w:p>
        </w:tc>
      </w:tr>
      <w:tr w:rsidR="00C46CE2" w:rsidRPr="00743512" w14:paraId="4ABBA070" w14:textId="77777777" w:rsidTr="004F5B47">
        <w:trPr>
          <w:cantSplit/>
          <w:trHeight w:val="20"/>
        </w:trPr>
        <w:tc>
          <w:tcPr>
            <w:tcW w:w="5000" w:type="pct"/>
            <w:shd w:val="clear" w:color="auto" w:fill="B8CCE4" w:themeFill="accent1" w:themeFillTint="66"/>
            <w:vAlign w:val="center"/>
          </w:tcPr>
          <w:p w14:paraId="42C64115" w14:textId="77777777" w:rsidR="00C46CE2" w:rsidRPr="00743512" w:rsidRDefault="00C46CE2" w:rsidP="00202D9A">
            <w:pPr>
              <w:pStyle w:val="TableText0"/>
              <w:keepNext w:val="0"/>
              <w:rPr>
                <w:szCs w:val="20"/>
              </w:rPr>
            </w:pPr>
            <w:r w:rsidRPr="00743512">
              <w:rPr>
                <w:rFonts w:cs="Arial"/>
                <w:szCs w:val="20"/>
              </w:rPr>
              <w:t>The treatment must not be a PBS-subsidised benefit beyond whichever comes first: (i) a total of 52 weeks of treatment (including any non-PBS supply), (ii) disease recurrence/progression</w:t>
            </w:r>
          </w:p>
        </w:tc>
      </w:tr>
      <w:tr w:rsidR="00C46CE2" w:rsidRPr="00743512" w14:paraId="6FC2EB4C" w14:textId="77777777" w:rsidTr="004F5B47">
        <w:trPr>
          <w:cantSplit/>
          <w:trHeight w:val="20"/>
        </w:trPr>
        <w:tc>
          <w:tcPr>
            <w:tcW w:w="5000" w:type="pct"/>
            <w:shd w:val="clear" w:color="auto" w:fill="B8CCE4" w:themeFill="accent1" w:themeFillTint="66"/>
            <w:vAlign w:val="center"/>
          </w:tcPr>
          <w:p w14:paraId="1B06D26A" w14:textId="77777777" w:rsidR="00C46CE2" w:rsidRPr="00743512" w:rsidRDefault="00C46CE2" w:rsidP="00202D9A">
            <w:pPr>
              <w:pStyle w:val="TableText0"/>
              <w:keepNext w:val="0"/>
              <w:rPr>
                <w:szCs w:val="20"/>
              </w:rPr>
            </w:pPr>
            <w:r w:rsidRPr="00743512">
              <w:rPr>
                <w:rFonts w:cs="Arial"/>
                <w:b/>
                <w:szCs w:val="20"/>
              </w:rPr>
              <w:t>AND</w:t>
            </w:r>
          </w:p>
        </w:tc>
      </w:tr>
      <w:tr w:rsidR="00C46CE2" w:rsidRPr="00743512" w14:paraId="09BFEB4D" w14:textId="77777777" w:rsidTr="004F5B47">
        <w:trPr>
          <w:cantSplit/>
          <w:trHeight w:val="20"/>
        </w:trPr>
        <w:tc>
          <w:tcPr>
            <w:tcW w:w="5000" w:type="pct"/>
            <w:shd w:val="clear" w:color="auto" w:fill="B8CCE4" w:themeFill="accent1" w:themeFillTint="66"/>
            <w:vAlign w:val="center"/>
          </w:tcPr>
          <w:p w14:paraId="23C9A4B1" w14:textId="77777777" w:rsidR="00C46CE2" w:rsidRPr="00743512" w:rsidRDefault="00C46CE2" w:rsidP="00202D9A">
            <w:pPr>
              <w:pStyle w:val="TableText0"/>
              <w:keepNext w:val="0"/>
              <w:rPr>
                <w:szCs w:val="20"/>
              </w:rPr>
            </w:pPr>
            <w:r w:rsidRPr="00743512">
              <w:rPr>
                <w:rFonts w:cs="Arial"/>
                <w:b/>
                <w:szCs w:val="20"/>
              </w:rPr>
              <w:t>Clinical criteria</w:t>
            </w:r>
          </w:p>
        </w:tc>
      </w:tr>
      <w:tr w:rsidR="00C46CE2" w:rsidRPr="00743512" w14:paraId="3B31020B" w14:textId="77777777" w:rsidTr="004F5B47">
        <w:trPr>
          <w:cantSplit/>
          <w:trHeight w:val="20"/>
        </w:trPr>
        <w:tc>
          <w:tcPr>
            <w:tcW w:w="5000" w:type="pct"/>
            <w:shd w:val="clear" w:color="auto" w:fill="FFFFFF" w:themeFill="background1"/>
            <w:vAlign w:val="center"/>
            <w:hideMark/>
          </w:tcPr>
          <w:p w14:paraId="22B2AA03" w14:textId="77777777" w:rsidR="00C46CE2" w:rsidRPr="00743512" w:rsidRDefault="00C46CE2" w:rsidP="00202D9A">
            <w:pPr>
              <w:pStyle w:val="TableText0"/>
              <w:keepNext w:val="0"/>
              <w:rPr>
                <w:szCs w:val="20"/>
              </w:rPr>
            </w:pPr>
            <w:r w:rsidRPr="00743512">
              <w:rPr>
                <w:rFonts w:cs="Arial"/>
                <w:szCs w:val="20"/>
              </w:rPr>
              <w:t>The treatment must be commenced within 12 weeks of completing other therapy, noting this could include surgery, radiotherapy or chemotherapy</w:t>
            </w:r>
          </w:p>
        </w:tc>
      </w:tr>
      <w:tr w:rsidR="00C46CE2" w:rsidRPr="00743512" w14:paraId="10B09360" w14:textId="77777777" w:rsidTr="004F5B47">
        <w:trPr>
          <w:cantSplit/>
          <w:trHeight w:val="20"/>
        </w:trPr>
        <w:tc>
          <w:tcPr>
            <w:tcW w:w="5000" w:type="pct"/>
            <w:shd w:val="clear" w:color="auto" w:fill="B8CCE4" w:themeFill="accent1" w:themeFillTint="66"/>
            <w:vAlign w:val="center"/>
            <w:hideMark/>
          </w:tcPr>
          <w:p w14:paraId="62282860" w14:textId="77777777" w:rsidR="00C46CE2" w:rsidRPr="00743512" w:rsidRDefault="00C46CE2" w:rsidP="00202D9A">
            <w:pPr>
              <w:rPr>
                <w:rFonts w:ascii="Arial Narrow" w:hAnsi="Arial Narrow"/>
                <w:sz w:val="20"/>
                <w:szCs w:val="20"/>
              </w:rPr>
            </w:pPr>
            <w:r w:rsidRPr="00743512">
              <w:rPr>
                <w:rFonts w:ascii="Arial Narrow" w:hAnsi="Arial Narrow"/>
                <w:b/>
                <w:bCs/>
                <w:sz w:val="20"/>
                <w:szCs w:val="20"/>
              </w:rPr>
              <w:t>Prescribing Instructions:</w:t>
            </w:r>
          </w:p>
          <w:p w14:paraId="39A1D68C" w14:textId="77777777" w:rsidR="00C46CE2" w:rsidRPr="00743512" w:rsidRDefault="00C46CE2" w:rsidP="00202D9A">
            <w:pPr>
              <w:pStyle w:val="TableText0"/>
              <w:keepNext w:val="0"/>
              <w:rPr>
                <w:szCs w:val="20"/>
              </w:rPr>
            </w:pPr>
            <w:r w:rsidRPr="00743512">
              <w:rPr>
                <w:rFonts w:cs="Arial"/>
                <w:szCs w:val="20"/>
              </w:rPr>
              <w:t>Retain all pathology imaging and investigative test results in the patient’s medical records. Do not submit copies of these as part of the authority application.</w:t>
            </w:r>
          </w:p>
        </w:tc>
      </w:tr>
      <w:tr w:rsidR="00C46CE2" w:rsidRPr="00743512" w14:paraId="1FCC9B6F" w14:textId="77777777" w:rsidTr="004F5B47">
        <w:trPr>
          <w:cantSplit/>
          <w:trHeight w:val="20"/>
        </w:trPr>
        <w:tc>
          <w:tcPr>
            <w:tcW w:w="5000" w:type="pct"/>
            <w:shd w:val="clear" w:color="auto" w:fill="B8CCE4" w:themeFill="accent1" w:themeFillTint="66"/>
            <w:hideMark/>
          </w:tcPr>
          <w:p w14:paraId="61128D89" w14:textId="22FCA958" w:rsidR="00C46CE2" w:rsidRPr="00743512" w:rsidRDefault="00C46CE2" w:rsidP="00202D9A">
            <w:pPr>
              <w:pStyle w:val="TableText0"/>
              <w:keepNext w:val="0"/>
              <w:rPr>
                <w:szCs w:val="20"/>
              </w:rPr>
            </w:pPr>
            <w:r w:rsidRPr="00743512">
              <w:rPr>
                <w:b/>
                <w:szCs w:val="20"/>
              </w:rPr>
              <w:t xml:space="preserve">Administrative advice: </w:t>
            </w:r>
            <w:r w:rsidRPr="00743512">
              <w:rPr>
                <w:szCs w:val="20"/>
              </w:rPr>
              <w:t xml:space="preserve">Applications for authorisation under this restriction may be made in real time using the Online PBS Authorities system (see </w:t>
            </w:r>
            <w:hyperlink r:id="rId8" w:history="1">
              <w:r w:rsidR="002745C2" w:rsidRPr="00743512">
                <w:rPr>
                  <w:rStyle w:val="Hyperlink"/>
                  <w:szCs w:val="20"/>
                </w:rPr>
                <w:t>www.servicesaustralia</w:t>
              </w:r>
            </w:hyperlink>
            <w:r w:rsidRPr="00743512">
              <w:rPr>
                <w:szCs w:val="20"/>
              </w:rPr>
              <w:t>.gov.au/HPOS) or by telephone by contacting Services Australia on 1800 888 333.</w:t>
            </w:r>
          </w:p>
        </w:tc>
      </w:tr>
      <w:tr w:rsidR="00C46CE2" w:rsidRPr="00743512" w14:paraId="7F09AA27" w14:textId="77777777" w:rsidTr="004F5B47">
        <w:trPr>
          <w:cantSplit/>
          <w:trHeight w:val="20"/>
        </w:trPr>
        <w:tc>
          <w:tcPr>
            <w:tcW w:w="5000" w:type="pct"/>
            <w:shd w:val="clear" w:color="auto" w:fill="B8CCE4" w:themeFill="accent1" w:themeFillTint="66"/>
            <w:vAlign w:val="center"/>
            <w:hideMark/>
          </w:tcPr>
          <w:p w14:paraId="0773C2ED" w14:textId="77777777" w:rsidR="00C46CE2" w:rsidRPr="00743512" w:rsidRDefault="00C46CE2" w:rsidP="00202D9A">
            <w:pPr>
              <w:pStyle w:val="TableText0"/>
              <w:keepNext w:val="0"/>
              <w:rPr>
                <w:szCs w:val="20"/>
              </w:rPr>
            </w:pPr>
            <w:r w:rsidRPr="00743512">
              <w:rPr>
                <w:b/>
                <w:szCs w:val="20"/>
              </w:rPr>
              <w:t xml:space="preserve">Administrative advice: </w:t>
            </w:r>
            <w:r w:rsidRPr="00743512">
              <w:rPr>
                <w:szCs w:val="20"/>
              </w:rPr>
              <w:t>No increase in the maximum quantity or number of units may be authorised.</w:t>
            </w:r>
          </w:p>
        </w:tc>
      </w:tr>
      <w:tr w:rsidR="00C46CE2" w:rsidRPr="00743512" w14:paraId="72FC8D30" w14:textId="77777777" w:rsidTr="004F5B47">
        <w:trPr>
          <w:cantSplit/>
          <w:trHeight w:val="20"/>
        </w:trPr>
        <w:tc>
          <w:tcPr>
            <w:tcW w:w="5000" w:type="pct"/>
            <w:shd w:val="clear" w:color="auto" w:fill="B8CCE4" w:themeFill="accent1" w:themeFillTint="66"/>
            <w:vAlign w:val="center"/>
            <w:hideMark/>
          </w:tcPr>
          <w:p w14:paraId="30D192E1" w14:textId="77777777" w:rsidR="00C46CE2" w:rsidRPr="00743512" w:rsidRDefault="00C46CE2" w:rsidP="00202D9A">
            <w:pPr>
              <w:pStyle w:val="TableText0"/>
              <w:keepNext w:val="0"/>
              <w:rPr>
                <w:szCs w:val="20"/>
              </w:rPr>
            </w:pPr>
            <w:r w:rsidRPr="00743512">
              <w:rPr>
                <w:b/>
                <w:szCs w:val="20"/>
              </w:rPr>
              <w:t xml:space="preserve">Administrative advice: </w:t>
            </w:r>
            <w:r w:rsidRPr="00743512">
              <w:rPr>
                <w:szCs w:val="20"/>
              </w:rPr>
              <w:t>No increase in the maximum number of repeats may be authorised.</w:t>
            </w:r>
          </w:p>
        </w:tc>
      </w:tr>
      <w:tr w:rsidR="00C46CE2" w:rsidRPr="00743512" w14:paraId="5FA38D38" w14:textId="77777777" w:rsidTr="004F5B47">
        <w:trPr>
          <w:cantSplit/>
          <w:trHeight w:val="20"/>
        </w:trPr>
        <w:tc>
          <w:tcPr>
            <w:tcW w:w="5000" w:type="pct"/>
            <w:shd w:val="clear" w:color="auto" w:fill="B8CCE4" w:themeFill="accent1" w:themeFillTint="66"/>
            <w:vAlign w:val="center"/>
          </w:tcPr>
          <w:p w14:paraId="5DC16744" w14:textId="77777777" w:rsidR="00C46CE2" w:rsidRPr="00743512" w:rsidRDefault="00C46CE2" w:rsidP="00202D9A">
            <w:pPr>
              <w:pStyle w:val="TableText0"/>
              <w:keepNext w:val="0"/>
              <w:rPr>
                <w:b/>
                <w:szCs w:val="20"/>
              </w:rPr>
            </w:pPr>
            <w:r w:rsidRPr="00743512">
              <w:rPr>
                <w:b/>
                <w:szCs w:val="20"/>
              </w:rPr>
              <w:t xml:space="preserve">Administrative advice: </w:t>
            </w:r>
            <w:r w:rsidRPr="00743512">
              <w:rPr>
                <w:szCs w:val="20"/>
              </w:rPr>
              <w:t>Patients may qualify for PBS-subsidised treatment under this restriction once only.</w:t>
            </w:r>
          </w:p>
        </w:tc>
      </w:tr>
    </w:tbl>
    <w:p w14:paraId="206D7E4E" w14:textId="77777777" w:rsidR="00C46CE2" w:rsidRPr="00743512" w:rsidRDefault="00C46CE2" w:rsidP="00C46CE2">
      <w:pPr>
        <w:pStyle w:val="FooterTableFigure"/>
        <w:rPr>
          <w:bCs/>
          <w:szCs w:val="18"/>
        </w:rPr>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information previously seen by the PBAC. </w:t>
      </w:r>
    </w:p>
    <w:p w14:paraId="23932B76" w14:textId="77777777" w:rsidR="00C46CE2" w:rsidRPr="00743512" w:rsidRDefault="00C46CE2" w:rsidP="00C46CE2">
      <w:pPr>
        <w:pStyle w:val="ExecSumBodyText"/>
        <w:ind w:left="0" w:firstLine="0"/>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2"/>
      </w:tblGrid>
      <w:tr w:rsidR="00C46CE2" w:rsidRPr="00743512" w14:paraId="267C0AC8" w14:textId="77777777" w:rsidTr="004F5B47">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F71F63" w14:textId="5E63A69D" w:rsidR="00C46CE2" w:rsidRPr="00743512" w:rsidRDefault="00C46CE2" w:rsidP="004F5B47">
            <w:pPr>
              <w:keepNext/>
              <w:keepLines/>
              <w:rPr>
                <w:rFonts w:ascii="Arial Narrow" w:hAnsi="Arial Narrow"/>
                <w:sz w:val="20"/>
                <w:szCs w:val="20"/>
              </w:rPr>
            </w:pPr>
            <w:r w:rsidRPr="00743512">
              <w:rPr>
                <w:rFonts w:ascii="Arial Narrow" w:hAnsi="Arial Narrow"/>
                <w:b/>
                <w:sz w:val="20"/>
                <w:szCs w:val="20"/>
              </w:rPr>
              <w:t>Category / Program:</w:t>
            </w:r>
            <w:r w:rsidR="00F32823" w:rsidRPr="00F32823">
              <w:rPr>
                <w:rFonts w:ascii="Arial Narrow" w:hAnsi="Arial Narrow"/>
                <w:b/>
                <w:sz w:val="20"/>
                <w:szCs w:val="20"/>
              </w:rPr>
              <w:t xml:space="preserve"> </w:t>
            </w:r>
            <w:r w:rsidRPr="00743512">
              <w:rPr>
                <w:rFonts w:ascii="Arial Narrow" w:hAnsi="Arial Narrow"/>
                <w:b/>
                <w:sz w:val="20"/>
                <w:szCs w:val="20"/>
              </w:rPr>
              <w:t xml:space="preserve"> </w:t>
            </w:r>
            <w:r w:rsidRPr="00743512">
              <w:rPr>
                <w:rFonts w:ascii="Arial Narrow" w:hAnsi="Arial Narrow"/>
                <w:sz w:val="20"/>
                <w:szCs w:val="20"/>
              </w:rPr>
              <w:t>GENERAL – General Schedule (Code GE)</w:t>
            </w:r>
          </w:p>
        </w:tc>
      </w:tr>
      <w:tr w:rsidR="00C46CE2" w:rsidRPr="00743512" w14:paraId="151EA3A2" w14:textId="77777777" w:rsidTr="004F5B47">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B6711F" w14:textId="6A13C3A2" w:rsidR="00C46CE2" w:rsidRPr="00743512" w:rsidRDefault="00C46CE2" w:rsidP="004F5B47">
            <w:pPr>
              <w:keepNext/>
              <w:keepLines/>
              <w:rPr>
                <w:rFonts w:ascii="Arial Narrow" w:hAnsi="Arial Narrow"/>
                <w:b/>
                <w:sz w:val="20"/>
                <w:szCs w:val="20"/>
              </w:rPr>
            </w:pPr>
            <w:r w:rsidRPr="00743512">
              <w:rPr>
                <w:rFonts w:ascii="Arial Narrow" w:hAnsi="Arial Narrow"/>
                <w:b/>
                <w:sz w:val="20"/>
                <w:szCs w:val="20"/>
              </w:rPr>
              <w:t>Prescriber type:</w:t>
            </w:r>
            <w:r w:rsidR="00F32823" w:rsidRPr="00F32823">
              <w:rPr>
                <w:rFonts w:ascii="Arial Narrow" w:hAnsi="Arial Narrow"/>
                <w:b/>
                <w:sz w:val="20"/>
                <w:szCs w:val="20"/>
              </w:rPr>
              <w:t xml:space="preserve"> </w:t>
            </w:r>
            <w:r w:rsidRPr="00743512">
              <w:rPr>
                <w:rFonts w:ascii="Arial Narrow" w:hAnsi="Arial Narrow"/>
                <w:b/>
                <w:sz w:val="20"/>
                <w:szCs w:val="20"/>
              </w:rPr>
              <w:t xml:space="preserve"> </w:t>
            </w:r>
            <w:r w:rsidRPr="00743512">
              <w:rPr>
                <w:rFonts w:ascii="Arial Narrow" w:hAnsi="Arial Narrow"/>
                <w:sz w:val="20"/>
                <w:szCs w:val="20"/>
              </w:rPr>
              <w:fldChar w:fldCharType="begin">
                <w:ffData>
                  <w:name w:val=""/>
                  <w:enabled/>
                  <w:calcOnExit w:val="0"/>
                  <w:checkBox>
                    <w:sizeAuto/>
                    <w:default w:val="1"/>
                  </w:checkBox>
                </w:ffData>
              </w:fldChar>
            </w:r>
            <w:r w:rsidRPr="00743512">
              <w:rPr>
                <w:rFonts w:ascii="Arial Narrow" w:hAnsi="Arial Narrow"/>
                <w:sz w:val="20"/>
                <w:szCs w:val="20"/>
              </w:rPr>
              <w:instrText xml:space="preserve"> FORMCHECKBOX </w:instrText>
            </w:r>
            <w:r w:rsidR="00D2565D">
              <w:rPr>
                <w:rFonts w:ascii="Arial Narrow" w:hAnsi="Arial Narrow"/>
                <w:sz w:val="20"/>
                <w:szCs w:val="20"/>
              </w:rPr>
            </w:r>
            <w:r w:rsidR="00D2565D">
              <w:rPr>
                <w:rFonts w:ascii="Arial Narrow" w:hAnsi="Arial Narrow"/>
                <w:sz w:val="20"/>
                <w:szCs w:val="20"/>
              </w:rPr>
              <w:fldChar w:fldCharType="separate"/>
            </w:r>
            <w:r w:rsidRPr="00743512">
              <w:rPr>
                <w:rFonts w:ascii="Arial Narrow" w:hAnsi="Arial Narrow"/>
                <w:sz w:val="20"/>
                <w:szCs w:val="20"/>
              </w:rPr>
              <w:fldChar w:fldCharType="end"/>
            </w:r>
            <w:r w:rsidRPr="00743512">
              <w:rPr>
                <w:rFonts w:ascii="Arial Narrow" w:hAnsi="Arial Narrow"/>
                <w:sz w:val="20"/>
                <w:szCs w:val="20"/>
              </w:rPr>
              <w:t>Medical Practitioners</w:t>
            </w:r>
          </w:p>
        </w:tc>
      </w:tr>
      <w:tr w:rsidR="00C46CE2" w:rsidRPr="00743512" w14:paraId="440680D4" w14:textId="77777777" w:rsidTr="004F5B47">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82A95" w14:textId="77777777" w:rsidR="00C46CE2" w:rsidRPr="00743512" w:rsidRDefault="00C46CE2" w:rsidP="004F5B47">
            <w:pPr>
              <w:keepNext/>
              <w:keepLines/>
              <w:rPr>
                <w:rFonts w:ascii="Arial Narrow" w:eastAsia="Calibri" w:hAnsi="Arial Narrow"/>
                <w:sz w:val="20"/>
                <w:szCs w:val="20"/>
              </w:rPr>
            </w:pPr>
            <w:r w:rsidRPr="00743512">
              <w:rPr>
                <w:rFonts w:ascii="Arial Narrow" w:hAnsi="Arial Narrow"/>
                <w:b/>
                <w:sz w:val="20"/>
                <w:szCs w:val="20"/>
              </w:rPr>
              <w:t xml:space="preserve">Restriction Type: </w:t>
            </w:r>
            <w:r w:rsidRPr="00743512">
              <w:rPr>
                <w:rFonts w:ascii="Arial Narrow" w:eastAsia="Calibri" w:hAnsi="Arial Narrow"/>
                <w:sz w:val="20"/>
                <w:szCs w:val="20"/>
              </w:rPr>
              <w:fldChar w:fldCharType="begin">
                <w:ffData>
                  <w:name w:val=""/>
                  <w:enabled/>
                  <w:calcOnExit w:val="0"/>
                  <w:checkBox>
                    <w:sizeAuto/>
                    <w:default w:val="1"/>
                  </w:checkBox>
                </w:ffData>
              </w:fldChar>
            </w:r>
            <w:r w:rsidRPr="00743512">
              <w:rPr>
                <w:rFonts w:ascii="Arial Narrow" w:eastAsia="Calibri" w:hAnsi="Arial Narrow"/>
                <w:sz w:val="20"/>
                <w:szCs w:val="20"/>
              </w:rPr>
              <w:instrText xml:space="preserve"> FORMCHECKBOX </w:instrText>
            </w:r>
            <w:r w:rsidR="00D2565D">
              <w:rPr>
                <w:rFonts w:ascii="Arial Narrow" w:eastAsia="Calibri" w:hAnsi="Arial Narrow"/>
                <w:sz w:val="20"/>
                <w:szCs w:val="20"/>
              </w:rPr>
            </w:r>
            <w:r w:rsidR="00D2565D">
              <w:rPr>
                <w:rFonts w:ascii="Arial Narrow" w:eastAsia="Calibri" w:hAnsi="Arial Narrow"/>
                <w:sz w:val="20"/>
                <w:szCs w:val="20"/>
              </w:rPr>
              <w:fldChar w:fldCharType="separate"/>
            </w:r>
            <w:r w:rsidRPr="00743512">
              <w:rPr>
                <w:rFonts w:ascii="Arial Narrow" w:eastAsia="Calibri" w:hAnsi="Arial Narrow"/>
                <w:sz w:val="20"/>
                <w:szCs w:val="20"/>
              </w:rPr>
              <w:fldChar w:fldCharType="end"/>
            </w:r>
            <w:r w:rsidRPr="00743512">
              <w:rPr>
                <w:rFonts w:ascii="Arial Narrow" w:eastAsia="Calibri" w:hAnsi="Arial Narrow"/>
                <w:sz w:val="20"/>
                <w:szCs w:val="20"/>
              </w:rPr>
              <w:t xml:space="preserve"> Authority Required (telephone/online PBS Authorities system)</w:t>
            </w:r>
          </w:p>
        </w:tc>
      </w:tr>
      <w:tr w:rsidR="00C46CE2" w:rsidRPr="00743512" w14:paraId="4D779FFE" w14:textId="77777777" w:rsidTr="004F5B47">
        <w:tc>
          <w:tcPr>
            <w:tcW w:w="5000" w:type="pct"/>
            <w:shd w:val="clear" w:color="auto" w:fill="B8CCE4" w:themeFill="accent1" w:themeFillTint="66"/>
            <w:vAlign w:val="center"/>
          </w:tcPr>
          <w:p w14:paraId="488911AB" w14:textId="77777777" w:rsidR="00C46CE2" w:rsidRPr="00743512" w:rsidRDefault="00C46CE2" w:rsidP="004F5B47">
            <w:pPr>
              <w:keepNext/>
              <w:keepLines/>
              <w:rPr>
                <w:rFonts w:ascii="Arial Narrow" w:hAnsi="Arial Narrow"/>
                <w:bCs/>
                <w:sz w:val="20"/>
                <w:szCs w:val="20"/>
              </w:rPr>
            </w:pPr>
            <w:r w:rsidRPr="00743512">
              <w:rPr>
                <w:rFonts w:ascii="Arial Narrow" w:hAnsi="Arial Narrow"/>
                <w:b/>
                <w:bCs/>
                <w:sz w:val="20"/>
                <w:szCs w:val="20"/>
              </w:rPr>
              <w:t xml:space="preserve">Episodicity: </w:t>
            </w:r>
            <w:r w:rsidRPr="00743512">
              <w:rPr>
                <w:rFonts w:ascii="Arial Narrow" w:hAnsi="Arial Narrow"/>
                <w:bCs/>
                <w:sz w:val="20"/>
                <w:szCs w:val="20"/>
              </w:rPr>
              <w:t>Adjuvant treatment of</w:t>
            </w:r>
          </w:p>
        </w:tc>
      </w:tr>
      <w:tr w:rsidR="00C46CE2" w:rsidRPr="00743512" w14:paraId="4EFFCA31" w14:textId="77777777" w:rsidTr="004F5B47">
        <w:tc>
          <w:tcPr>
            <w:tcW w:w="5000" w:type="pct"/>
            <w:shd w:val="clear" w:color="auto" w:fill="B8CCE4" w:themeFill="accent1" w:themeFillTint="66"/>
            <w:vAlign w:val="center"/>
          </w:tcPr>
          <w:p w14:paraId="0141A912" w14:textId="77777777" w:rsidR="00C46CE2" w:rsidRPr="00743512" w:rsidRDefault="00C46CE2" w:rsidP="004F5B47">
            <w:pPr>
              <w:keepNext/>
              <w:keepLines/>
              <w:rPr>
                <w:rFonts w:ascii="Arial Narrow" w:hAnsi="Arial Narrow"/>
                <w:b/>
                <w:bCs/>
                <w:sz w:val="20"/>
                <w:szCs w:val="20"/>
              </w:rPr>
            </w:pPr>
            <w:r w:rsidRPr="00743512">
              <w:rPr>
                <w:rFonts w:ascii="Arial Narrow" w:hAnsi="Arial Narrow"/>
                <w:b/>
                <w:bCs/>
                <w:sz w:val="20"/>
                <w:szCs w:val="20"/>
              </w:rPr>
              <w:t xml:space="preserve">Severity: </w:t>
            </w:r>
            <w:r w:rsidRPr="00743512">
              <w:rPr>
                <w:rFonts w:ascii="Arial Narrow" w:hAnsi="Arial Narrow"/>
                <w:bCs/>
                <w:sz w:val="20"/>
                <w:szCs w:val="20"/>
              </w:rPr>
              <w:t>early stage</w:t>
            </w:r>
          </w:p>
        </w:tc>
      </w:tr>
      <w:tr w:rsidR="00C46CE2" w:rsidRPr="00743512" w14:paraId="048265AF" w14:textId="77777777" w:rsidTr="004F5B47">
        <w:tc>
          <w:tcPr>
            <w:tcW w:w="5000" w:type="pct"/>
            <w:shd w:val="clear" w:color="auto" w:fill="B8CCE4" w:themeFill="accent1" w:themeFillTint="66"/>
            <w:vAlign w:val="center"/>
          </w:tcPr>
          <w:p w14:paraId="45FC8B8C" w14:textId="77777777" w:rsidR="00C46CE2" w:rsidRPr="00743512" w:rsidRDefault="00C46CE2" w:rsidP="004F5B47">
            <w:pPr>
              <w:keepNext/>
              <w:keepLines/>
              <w:rPr>
                <w:rFonts w:ascii="Arial Narrow" w:hAnsi="Arial Narrow"/>
                <w:b/>
                <w:bCs/>
                <w:sz w:val="20"/>
                <w:szCs w:val="20"/>
              </w:rPr>
            </w:pPr>
            <w:r w:rsidRPr="00743512">
              <w:rPr>
                <w:rFonts w:ascii="Arial Narrow" w:hAnsi="Arial Narrow"/>
                <w:b/>
                <w:bCs/>
                <w:sz w:val="20"/>
                <w:szCs w:val="20"/>
              </w:rPr>
              <w:t xml:space="preserve">Condition: </w:t>
            </w:r>
            <w:r w:rsidRPr="00743512">
              <w:rPr>
                <w:rFonts w:ascii="Arial Narrow" w:hAnsi="Arial Narrow"/>
                <w:bCs/>
                <w:sz w:val="20"/>
                <w:szCs w:val="20"/>
              </w:rPr>
              <w:t>breast cancer</w:t>
            </w:r>
          </w:p>
        </w:tc>
      </w:tr>
      <w:tr w:rsidR="00C46CE2" w:rsidRPr="00743512" w14:paraId="6B83B12C" w14:textId="77777777" w:rsidTr="004F5B47">
        <w:tc>
          <w:tcPr>
            <w:tcW w:w="5000" w:type="pct"/>
            <w:shd w:val="clear" w:color="auto" w:fill="B8CCE4" w:themeFill="accent1" w:themeFillTint="66"/>
            <w:vAlign w:val="center"/>
            <w:hideMark/>
          </w:tcPr>
          <w:p w14:paraId="1983ACAA"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Indication:</w:t>
            </w:r>
            <w:r w:rsidRPr="00743512">
              <w:rPr>
                <w:rFonts w:ascii="Arial Narrow" w:hAnsi="Arial Narrow"/>
                <w:sz w:val="20"/>
                <w:szCs w:val="20"/>
              </w:rPr>
              <w:t xml:space="preserve"> Adjuvant treatment of early stage breast cancer</w:t>
            </w:r>
          </w:p>
        </w:tc>
      </w:tr>
      <w:tr w:rsidR="00C46CE2" w:rsidRPr="00743512" w14:paraId="0D119166" w14:textId="77777777" w:rsidTr="004F5B47">
        <w:tc>
          <w:tcPr>
            <w:tcW w:w="5000" w:type="pct"/>
            <w:shd w:val="clear" w:color="auto" w:fill="B8CCE4" w:themeFill="accent1" w:themeFillTint="66"/>
            <w:vAlign w:val="center"/>
            <w:hideMark/>
          </w:tcPr>
          <w:p w14:paraId="3630E6C3"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Treatment Phase:</w:t>
            </w:r>
            <w:r w:rsidRPr="00743512">
              <w:rPr>
                <w:rFonts w:ascii="Arial Narrow" w:hAnsi="Arial Narrow"/>
                <w:sz w:val="20"/>
                <w:szCs w:val="20"/>
              </w:rPr>
              <w:t xml:space="preserve"> Continuing treatment</w:t>
            </w:r>
          </w:p>
        </w:tc>
      </w:tr>
      <w:tr w:rsidR="00C46CE2" w:rsidRPr="00743512" w14:paraId="0401C9CD" w14:textId="77777777" w:rsidTr="004F5B47">
        <w:tc>
          <w:tcPr>
            <w:tcW w:w="5000" w:type="pct"/>
            <w:shd w:val="clear" w:color="auto" w:fill="B8CCE4" w:themeFill="accent1" w:themeFillTint="66"/>
            <w:vAlign w:val="center"/>
            <w:hideMark/>
          </w:tcPr>
          <w:p w14:paraId="76039F43"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Clinical criteria:</w:t>
            </w:r>
          </w:p>
        </w:tc>
      </w:tr>
      <w:tr w:rsidR="00C46CE2" w:rsidRPr="00743512" w14:paraId="57F5BF59" w14:textId="77777777" w:rsidTr="004F5B47">
        <w:tc>
          <w:tcPr>
            <w:tcW w:w="5000" w:type="pct"/>
            <w:shd w:val="clear" w:color="auto" w:fill="B8CCE4" w:themeFill="accent1" w:themeFillTint="66"/>
            <w:vAlign w:val="center"/>
            <w:hideMark/>
          </w:tcPr>
          <w:p w14:paraId="53A765B5" w14:textId="77777777" w:rsidR="00C46CE2" w:rsidRPr="00743512" w:rsidRDefault="00C46CE2" w:rsidP="004F5B47">
            <w:pPr>
              <w:keepNext/>
              <w:keepLines/>
              <w:rPr>
                <w:rFonts w:ascii="Arial Narrow" w:hAnsi="Arial Narrow"/>
                <w:sz w:val="20"/>
                <w:szCs w:val="20"/>
              </w:rPr>
            </w:pPr>
            <w:r w:rsidRPr="00743512">
              <w:rPr>
                <w:rFonts w:ascii="Arial Narrow" w:hAnsi="Arial Narrow"/>
                <w:sz w:val="20"/>
                <w:szCs w:val="20"/>
              </w:rPr>
              <w:t>Patient must have received previous treatment with this drug as adjuvant therapy for this condition</w:t>
            </w:r>
          </w:p>
        </w:tc>
      </w:tr>
      <w:tr w:rsidR="00C46CE2" w:rsidRPr="00743512" w14:paraId="564249EE" w14:textId="77777777" w:rsidTr="004F5B47">
        <w:tc>
          <w:tcPr>
            <w:tcW w:w="5000" w:type="pct"/>
            <w:shd w:val="clear" w:color="auto" w:fill="B8CCE4" w:themeFill="accent1" w:themeFillTint="66"/>
            <w:vAlign w:val="center"/>
          </w:tcPr>
          <w:p w14:paraId="09BA9712" w14:textId="77777777" w:rsidR="00C46CE2" w:rsidRPr="00743512" w:rsidRDefault="00C46CE2" w:rsidP="004F5B47">
            <w:pPr>
              <w:keepNext/>
              <w:keepLines/>
              <w:rPr>
                <w:rFonts w:ascii="Arial Narrow" w:hAnsi="Arial Narrow"/>
                <w:b/>
                <w:bCs/>
                <w:sz w:val="20"/>
                <w:szCs w:val="20"/>
              </w:rPr>
            </w:pPr>
            <w:r w:rsidRPr="00743512">
              <w:rPr>
                <w:rFonts w:ascii="Arial Narrow" w:hAnsi="Arial Narrow"/>
                <w:b/>
                <w:bCs/>
                <w:sz w:val="20"/>
                <w:szCs w:val="20"/>
              </w:rPr>
              <w:t xml:space="preserve">AND </w:t>
            </w:r>
          </w:p>
        </w:tc>
      </w:tr>
      <w:tr w:rsidR="00C46CE2" w:rsidRPr="00743512" w14:paraId="5290C601" w14:textId="77777777" w:rsidTr="004F5B47">
        <w:tc>
          <w:tcPr>
            <w:tcW w:w="5000" w:type="pct"/>
            <w:shd w:val="clear" w:color="auto" w:fill="B8CCE4" w:themeFill="accent1" w:themeFillTint="66"/>
            <w:vAlign w:val="center"/>
          </w:tcPr>
          <w:p w14:paraId="481B18BC" w14:textId="77777777" w:rsidR="00C46CE2" w:rsidRPr="00743512" w:rsidRDefault="00C46CE2" w:rsidP="004F5B47">
            <w:pPr>
              <w:keepNext/>
              <w:keepLines/>
              <w:rPr>
                <w:rFonts w:ascii="Arial Narrow" w:hAnsi="Arial Narrow"/>
                <w:b/>
                <w:bCs/>
                <w:sz w:val="20"/>
                <w:szCs w:val="20"/>
              </w:rPr>
            </w:pPr>
            <w:r w:rsidRPr="00743512">
              <w:rPr>
                <w:rFonts w:ascii="Arial Narrow" w:hAnsi="Arial Narrow"/>
                <w:b/>
                <w:bCs/>
                <w:sz w:val="20"/>
                <w:szCs w:val="20"/>
              </w:rPr>
              <w:t>Clinical criteria:</w:t>
            </w:r>
          </w:p>
        </w:tc>
      </w:tr>
      <w:tr w:rsidR="00C46CE2" w:rsidRPr="00743512" w14:paraId="4BD81BE0" w14:textId="77777777" w:rsidTr="004F5B47">
        <w:tc>
          <w:tcPr>
            <w:tcW w:w="5000" w:type="pct"/>
            <w:shd w:val="clear" w:color="auto" w:fill="FFFFFF" w:themeFill="background1"/>
            <w:vAlign w:val="center"/>
          </w:tcPr>
          <w:p w14:paraId="1708E8CF" w14:textId="77777777" w:rsidR="00C46CE2" w:rsidRPr="00743512" w:rsidRDefault="00C46CE2" w:rsidP="004F5B47">
            <w:pPr>
              <w:keepNext/>
              <w:keepLines/>
              <w:rPr>
                <w:rFonts w:ascii="Arial Narrow" w:hAnsi="Arial Narrow"/>
                <w:sz w:val="20"/>
                <w:szCs w:val="20"/>
              </w:rPr>
            </w:pPr>
            <w:r w:rsidRPr="00743512">
              <w:rPr>
                <w:rFonts w:ascii="Arial Narrow" w:hAnsi="Arial Narrow"/>
                <w:sz w:val="20"/>
                <w:szCs w:val="20"/>
              </w:rPr>
              <w:t>Patient must not have developed disease recurrence while receiving treatment with this drug for this condition</w:t>
            </w:r>
          </w:p>
        </w:tc>
      </w:tr>
      <w:tr w:rsidR="00C46CE2" w:rsidRPr="00743512" w14:paraId="1AD7F405" w14:textId="77777777" w:rsidTr="004F5B47">
        <w:tc>
          <w:tcPr>
            <w:tcW w:w="5000" w:type="pct"/>
            <w:shd w:val="clear" w:color="auto" w:fill="B8CCE4" w:themeFill="accent1" w:themeFillTint="66"/>
            <w:vAlign w:val="center"/>
            <w:hideMark/>
          </w:tcPr>
          <w:p w14:paraId="3CB22F93"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AND</w:t>
            </w:r>
          </w:p>
        </w:tc>
      </w:tr>
      <w:tr w:rsidR="00C46CE2" w:rsidRPr="00743512" w14:paraId="7E23D9E1" w14:textId="77777777" w:rsidTr="004F5B47">
        <w:tc>
          <w:tcPr>
            <w:tcW w:w="5000" w:type="pct"/>
            <w:shd w:val="clear" w:color="auto" w:fill="B8CCE4" w:themeFill="accent1" w:themeFillTint="66"/>
            <w:vAlign w:val="center"/>
            <w:hideMark/>
          </w:tcPr>
          <w:p w14:paraId="69B92095"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Clinical criteria:</w:t>
            </w:r>
          </w:p>
        </w:tc>
      </w:tr>
      <w:tr w:rsidR="00C46CE2" w:rsidRPr="00743512" w14:paraId="50C52148" w14:textId="77777777" w:rsidTr="004F5B47">
        <w:tc>
          <w:tcPr>
            <w:tcW w:w="5000" w:type="pct"/>
            <w:shd w:val="clear" w:color="auto" w:fill="B8CCE4" w:themeFill="accent1" w:themeFillTint="66"/>
            <w:vAlign w:val="center"/>
            <w:hideMark/>
          </w:tcPr>
          <w:p w14:paraId="406A8034" w14:textId="77777777" w:rsidR="00C46CE2" w:rsidRPr="00743512" w:rsidRDefault="00C46CE2" w:rsidP="004F5B47">
            <w:pPr>
              <w:keepNext/>
              <w:keepLines/>
              <w:rPr>
                <w:rFonts w:ascii="Arial Narrow" w:hAnsi="Arial Narrow"/>
                <w:sz w:val="20"/>
                <w:szCs w:val="20"/>
              </w:rPr>
            </w:pPr>
            <w:r w:rsidRPr="00743512">
              <w:rPr>
                <w:rFonts w:ascii="Arial Narrow" w:hAnsi="Arial Narrow"/>
                <w:sz w:val="20"/>
                <w:szCs w:val="20"/>
              </w:rPr>
              <w:t>The treatment must not be a PBS-subsidised benefit beyond whichever comes first: (i) a total of 52 weeks of treatment (including any non-PBS supply), (ii) disease recurrence/progression</w:t>
            </w:r>
          </w:p>
        </w:tc>
      </w:tr>
      <w:tr w:rsidR="00C46CE2" w:rsidRPr="00743512" w14:paraId="0A9A6BBB" w14:textId="77777777" w:rsidTr="004F5B47">
        <w:tc>
          <w:tcPr>
            <w:tcW w:w="5000" w:type="pct"/>
            <w:shd w:val="clear" w:color="auto" w:fill="B8CCE4" w:themeFill="accent1" w:themeFillTint="66"/>
            <w:vAlign w:val="center"/>
            <w:hideMark/>
          </w:tcPr>
          <w:p w14:paraId="359AB18E" w14:textId="77777777" w:rsidR="00C46CE2" w:rsidRPr="00743512" w:rsidRDefault="00C46CE2" w:rsidP="004F5B47">
            <w:pPr>
              <w:keepNext/>
              <w:keepLines/>
              <w:rPr>
                <w:rFonts w:ascii="Arial Narrow" w:hAnsi="Arial Narrow"/>
                <w:sz w:val="20"/>
                <w:szCs w:val="20"/>
              </w:rPr>
            </w:pPr>
          </w:p>
        </w:tc>
      </w:tr>
      <w:tr w:rsidR="00C46CE2" w:rsidRPr="00743512" w14:paraId="5A92446E" w14:textId="77777777" w:rsidTr="004F5B47">
        <w:tc>
          <w:tcPr>
            <w:tcW w:w="5000" w:type="pct"/>
            <w:shd w:val="clear" w:color="auto" w:fill="B8CCE4" w:themeFill="accent1" w:themeFillTint="66"/>
            <w:vAlign w:val="center"/>
          </w:tcPr>
          <w:p w14:paraId="6123A1EC"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Prescribing Instructions:</w:t>
            </w:r>
          </w:p>
          <w:p w14:paraId="2F07D565" w14:textId="77777777" w:rsidR="00C46CE2" w:rsidRPr="00743512" w:rsidRDefault="00C46CE2" w:rsidP="004F5B47">
            <w:pPr>
              <w:keepNext/>
              <w:keepLines/>
              <w:rPr>
                <w:rFonts w:ascii="Arial Narrow" w:hAnsi="Arial Narrow"/>
                <w:sz w:val="20"/>
                <w:szCs w:val="20"/>
              </w:rPr>
            </w:pPr>
            <w:r w:rsidRPr="00743512">
              <w:rPr>
                <w:rFonts w:ascii="Arial Narrow" w:hAnsi="Arial Narrow"/>
                <w:sz w:val="20"/>
                <w:szCs w:val="20"/>
              </w:rPr>
              <w:t>Retain all pathology imaging and investigative test results in the patient’s medical records. Do not submit copies of these as part of the authority application.</w:t>
            </w:r>
          </w:p>
        </w:tc>
      </w:tr>
      <w:tr w:rsidR="00C46CE2" w:rsidRPr="00743512" w14:paraId="2420D349" w14:textId="77777777" w:rsidTr="004F5B47">
        <w:tc>
          <w:tcPr>
            <w:tcW w:w="5000" w:type="pct"/>
            <w:shd w:val="clear" w:color="auto" w:fill="B8CCE4" w:themeFill="accent1" w:themeFillTint="66"/>
            <w:vAlign w:val="center"/>
          </w:tcPr>
          <w:p w14:paraId="38580767" w14:textId="77777777" w:rsidR="00C46CE2" w:rsidRPr="00743512" w:rsidRDefault="00C46CE2" w:rsidP="004F5B47">
            <w:pPr>
              <w:keepNext/>
              <w:keepLines/>
              <w:rPr>
                <w:rFonts w:ascii="Arial Narrow" w:hAnsi="Arial Narrow"/>
                <w:sz w:val="20"/>
                <w:szCs w:val="20"/>
              </w:rPr>
            </w:pPr>
          </w:p>
        </w:tc>
      </w:tr>
      <w:tr w:rsidR="00C46CE2" w:rsidRPr="00743512" w14:paraId="7DFA8E1D" w14:textId="77777777" w:rsidTr="004F5B47">
        <w:tc>
          <w:tcPr>
            <w:tcW w:w="5000" w:type="pct"/>
            <w:shd w:val="clear" w:color="auto" w:fill="B8CCE4" w:themeFill="accent1" w:themeFillTint="66"/>
          </w:tcPr>
          <w:p w14:paraId="1A565B55" w14:textId="6759812C"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 xml:space="preserve">Applications for authorisation under this restriction may be made in real time using the Online PBS Authorities system (see </w:t>
            </w:r>
            <w:hyperlink r:id="rId9" w:history="1">
              <w:r w:rsidR="002745C2" w:rsidRPr="00743512">
                <w:rPr>
                  <w:rStyle w:val="Hyperlink"/>
                  <w:rFonts w:ascii="Arial Narrow" w:hAnsi="Arial Narrow"/>
                  <w:sz w:val="20"/>
                  <w:szCs w:val="20"/>
                </w:rPr>
                <w:t>www.servicesaustralia</w:t>
              </w:r>
            </w:hyperlink>
            <w:r w:rsidRPr="00743512">
              <w:rPr>
                <w:rFonts w:ascii="Arial Narrow" w:hAnsi="Arial Narrow"/>
                <w:sz w:val="20"/>
                <w:szCs w:val="20"/>
              </w:rPr>
              <w:t>.gov.au/HPOS) or by telephone by contacting Services Australia on 1800 888 333.</w:t>
            </w:r>
          </w:p>
        </w:tc>
      </w:tr>
      <w:tr w:rsidR="00C46CE2" w:rsidRPr="00743512" w14:paraId="579D36DC" w14:textId="77777777" w:rsidTr="004F5B47">
        <w:tc>
          <w:tcPr>
            <w:tcW w:w="5000" w:type="pct"/>
            <w:shd w:val="clear" w:color="auto" w:fill="B8CCE4" w:themeFill="accent1" w:themeFillTint="66"/>
            <w:vAlign w:val="center"/>
            <w:hideMark/>
          </w:tcPr>
          <w:p w14:paraId="102ADE42"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No increase in the maximum quantity or number of units may be authorised.</w:t>
            </w:r>
          </w:p>
        </w:tc>
      </w:tr>
      <w:tr w:rsidR="00C46CE2" w:rsidRPr="00743512" w14:paraId="6C000A92" w14:textId="77777777" w:rsidTr="004F5B47">
        <w:tc>
          <w:tcPr>
            <w:tcW w:w="5000" w:type="pct"/>
            <w:shd w:val="clear" w:color="auto" w:fill="B8CCE4" w:themeFill="accent1" w:themeFillTint="66"/>
            <w:vAlign w:val="center"/>
          </w:tcPr>
          <w:p w14:paraId="454E6831"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No increase in the maximum number of repeats may be authorised.</w:t>
            </w:r>
          </w:p>
        </w:tc>
      </w:tr>
      <w:tr w:rsidR="00C46CE2" w:rsidRPr="00743512" w14:paraId="6CA31DED" w14:textId="77777777" w:rsidTr="004F5B47">
        <w:tc>
          <w:tcPr>
            <w:tcW w:w="5000" w:type="pct"/>
            <w:shd w:val="clear" w:color="auto" w:fill="B8CCE4" w:themeFill="accent1" w:themeFillTint="66"/>
            <w:vAlign w:val="center"/>
          </w:tcPr>
          <w:p w14:paraId="58A27D05" w14:textId="77777777" w:rsidR="00C46CE2" w:rsidRPr="00743512" w:rsidRDefault="00C46CE2" w:rsidP="004F5B47">
            <w:pPr>
              <w:keepNext/>
              <w:keepLines/>
              <w:rPr>
                <w:rFonts w:ascii="Arial Narrow" w:hAnsi="Arial Narrow"/>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Patients may qualify for PBS-subsidised treatment under this restriction once only.</w:t>
            </w:r>
          </w:p>
        </w:tc>
      </w:tr>
    </w:tbl>
    <w:p w14:paraId="48C009A1" w14:textId="77777777" w:rsidR="00C46CE2" w:rsidRPr="00743512" w:rsidRDefault="00C46CE2" w:rsidP="00C46CE2">
      <w:pPr>
        <w:pStyle w:val="FooterTableFigure"/>
        <w:rPr>
          <w:bCs/>
          <w:szCs w:val="18"/>
        </w:rPr>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information previously seen by the PBAC. </w:t>
      </w:r>
    </w:p>
    <w:p w14:paraId="6CD4F459" w14:textId="77777777" w:rsidR="004E28C9" w:rsidRPr="00743512" w:rsidRDefault="00C46CE2" w:rsidP="001074C6">
      <w:pPr>
        <w:pStyle w:val="3-BodyText"/>
        <w:numPr>
          <w:ilvl w:val="1"/>
          <w:numId w:val="9"/>
        </w:numPr>
        <w:snapToGrid w:val="0"/>
      </w:pPr>
      <w:r w:rsidRPr="00743512">
        <w:t xml:space="preserve">The resubmission requested listing of two strengths of olaparib tablets, 150 mg, and 100 mg. The recommended dose of olaparib is 300 mg (two 150 mg tablets) taken orally, twice daily, equivalent to a total daily dose of 600 mg. The proposed maximum quantity (112 tablets) provides sufficient tablets for 28 days of treatment at the recommended daily dose. A 100 mg tablet is also available should dose reductions be required. </w:t>
      </w:r>
    </w:p>
    <w:p w14:paraId="14688CE4" w14:textId="777C80DE" w:rsidR="00C46CE2" w:rsidRPr="00743512" w:rsidRDefault="00C46CE2" w:rsidP="001074C6">
      <w:pPr>
        <w:pStyle w:val="3-BodyText"/>
        <w:numPr>
          <w:ilvl w:val="1"/>
          <w:numId w:val="9"/>
        </w:numPr>
        <w:snapToGrid w:val="0"/>
      </w:pPr>
      <w:r w:rsidRPr="00743512">
        <w:t xml:space="preserve">The sponsor requested a </w:t>
      </w:r>
      <w:r w:rsidR="00157B92" w:rsidRPr="00743512">
        <w:t xml:space="preserve">Special Pricing Arrangement </w:t>
      </w:r>
      <w:r w:rsidRPr="00743512">
        <w:t xml:space="preserve">(SPA) for olaparib for the treatment of </w:t>
      </w:r>
      <w:r w:rsidR="00CD50D4" w:rsidRPr="00743512">
        <w:rPr>
          <w:i/>
        </w:rPr>
        <w:t>BRCA</w:t>
      </w:r>
      <w:r w:rsidRPr="00743512">
        <w:t xml:space="preserve">m, HER2-, eBC. The </w:t>
      </w:r>
      <w:r w:rsidR="007F0FF6" w:rsidRPr="00743512">
        <w:t xml:space="preserve">proposed </w:t>
      </w:r>
      <w:r w:rsidRPr="00743512">
        <w:t xml:space="preserve">effective </w:t>
      </w:r>
      <w:r w:rsidR="00546FBF" w:rsidRPr="00743512">
        <w:t>dispensed price for maximum quantity (</w:t>
      </w:r>
      <w:r w:rsidRPr="00743512">
        <w:t>DPMQ</w:t>
      </w:r>
      <w:r w:rsidR="00546FBF" w:rsidRPr="00743512">
        <w:t>)</w:t>
      </w:r>
      <w:r w:rsidRPr="00743512">
        <w:t xml:space="preserve"> is </w:t>
      </w:r>
      <w:r w:rsidR="00F32823" w:rsidRPr="00F32823">
        <w:t>$</w:t>
      </w:r>
      <w:r w:rsidR="00632DCB" w:rsidRPr="00D2565D">
        <w:rPr>
          <w:color w:val="000000"/>
          <w:w w:val="15"/>
          <w:shd w:val="solid" w:color="000000" w:fill="000000"/>
          <w:fitText w:val="-20" w:id="-1032088830"/>
          <w14:textFill>
            <w14:solidFill>
              <w14:srgbClr w14:val="000000">
                <w14:alpha w14:val="100000"/>
              </w14:srgbClr>
            </w14:solidFill>
          </w14:textFill>
        </w:rPr>
        <w:t>|</w:t>
      </w:r>
      <w:r w:rsidR="00F32823" w:rsidRPr="00D2565D">
        <w:rPr>
          <w:color w:val="000000"/>
          <w:w w:val="15"/>
          <w:shd w:val="solid" w:color="000000" w:fill="000000"/>
          <w:fitText w:val="-20" w:id="-1032088830"/>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30"/>
          <w14:textFill>
            <w14:solidFill>
              <w14:srgbClr w14:val="000000">
                <w14:alpha w14:val="100000"/>
              </w14:srgbClr>
            </w14:solidFill>
          </w14:textFill>
        </w:rPr>
        <w:t>|</w:t>
      </w:r>
      <w:r w:rsidR="00BF363F" w:rsidRPr="00743512">
        <w:t>, based on the proposed effective ex</w:t>
      </w:r>
      <w:r w:rsidR="00D274AE" w:rsidRPr="00743512">
        <w:noBreakHyphen/>
      </w:r>
      <w:r w:rsidR="00BF363F" w:rsidRPr="00743512">
        <w:t xml:space="preserve">manufacturer price of </w:t>
      </w:r>
      <w:r w:rsidR="00F32823" w:rsidRPr="00F32823">
        <w:t>$</w:t>
      </w:r>
      <w:r w:rsidR="00632DCB" w:rsidRPr="00D2565D">
        <w:rPr>
          <w:color w:val="000000"/>
          <w:w w:val="15"/>
          <w:shd w:val="solid" w:color="000000" w:fill="000000"/>
          <w:fitText w:val="-20" w:id="-1032088829"/>
          <w14:textFill>
            <w14:solidFill>
              <w14:srgbClr w14:val="000000">
                <w14:alpha w14:val="100000"/>
              </w14:srgbClr>
            </w14:solidFill>
          </w14:textFill>
        </w:rPr>
        <w:t>|</w:t>
      </w:r>
      <w:r w:rsidR="00F32823" w:rsidRPr="00D2565D">
        <w:rPr>
          <w:color w:val="000000"/>
          <w:w w:val="15"/>
          <w:shd w:val="solid" w:color="000000" w:fill="000000"/>
          <w:fitText w:val="-20" w:id="-1032088829"/>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9"/>
          <w14:textFill>
            <w14:solidFill>
              <w14:srgbClr w14:val="000000">
                <w14:alpha w14:val="100000"/>
              </w14:srgbClr>
            </w14:solidFill>
          </w14:textFill>
        </w:rPr>
        <w:t>|</w:t>
      </w:r>
      <w:r w:rsidR="00BF363F" w:rsidRPr="00743512">
        <w:t>, with current fees applied</w:t>
      </w:r>
      <w:r w:rsidRPr="00743512">
        <w:t>. Th</w:t>
      </w:r>
      <w:r w:rsidR="00546FBF" w:rsidRPr="00743512">
        <w:t>is was</w:t>
      </w:r>
      <w:r w:rsidR="00F32823" w:rsidRPr="00F32823">
        <w:t xml:space="preserve"> </w:t>
      </w:r>
      <w:r w:rsidR="00632DCB" w:rsidRPr="00D2565D">
        <w:rPr>
          <w:color w:val="000000"/>
          <w:w w:val="15"/>
          <w:shd w:val="solid" w:color="000000" w:fill="000000"/>
          <w:fitText w:val="-20" w:id="-1032088828"/>
          <w14:textFill>
            <w14:solidFill>
              <w14:srgbClr w14:val="000000">
                <w14:alpha w14:val="100000"/>
              </w14:srgbClr>
            </w14:solidFill>
          </w14:textFill>
        </w:rPr>
        <w:t>|</w:t>
      </w:r>
      <w:r w:rsidR="00F32823" w:rsidRPr="00D2565D">
        <w:rPr>
          <w:color w:val="000000"/>
          <w:w w:val="15"/>
          <w:shd w:val="solid" w:color="000000" w:fill="000000"/>
          <w:fitText w:val="-20" w:id="-1032088828"/>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8"/>
          <w14:textFill>
            <w14:solidFill>
              <w14:srgbClr w14:val="000000">
                <w14:alpha w14:val="100000"/>
              </w14:srgbClr>
            </w14:solidFill>
          </w14:textFill>
        </w:rPr>
        <w:t>|</w:t>
      </w:r>
      <w:r w:rsidR="00113BBA" w:rsidRPr="00B761B5">
        <w:t>%</w:t>
      </w:r>
      <w:r w:rsidR="00546FBF" w:rsidRPr="00743512">
        <w:t xml:space="preserve"> lower than the </w:t>
      </w:r>
      <w:r w:rsidRPr="00743512">
        <w:t xml:space="preserve">effective DPMQ </w:t>
      </w:r>
      <w:r w:rsidR="00546FBF" w:rsidRPr="00743512">
        <w:t xml:space="preserve">proposed </w:t>
      </w:r>
      <w:r w:rsidRPr="00743512">
        <w:t xml:space="preserve">in the previous submission </w:t>
      </w:r>
      <w:r w:rsidR="00546FBF" w:rsidRPr="00743512">
        <w:t>(</w:t>
      </w:r>
      <w:r w:rsidR="00F32823" w:rsidRPr="00F32823">
        <w:t>$</w:t>
      </w:r>
      <w:r w:rsidR="00632DCB" w:rsidRPr="00D2565D">
        <w:rPr>
          <w:color w:val="000000"/>
          <w:w w:val="15"/>
          <w:shd w:val="solid" w:color="000000" w:fill="000000"/>
          <w:fitText w:val="-20" w:id="-1032088827"/>
          <w14:textFill>
            <w14:solidFill>
              <w14:srgbClr w14:val="000000">
                <w14:alpha w14:val="100000"/>
              </w14:srgbClr>
            </w14:solidFill>
          </w14:textFill>
        </w:rPr>
        <w:t>|</w:t>
      </w:r>
      <w:r w:rsidR="00F32823" w:rsidRPr="00D2565D">
        <w:rPr>
          <w:color w:val="000000"/>
          <w:w w:val="15"/>
          <w:shd w:val="solid" w:color="000000" w:fill="000000"/>
          <w:fitText w:val="-20" w:id="-1032088827"/>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7"/>
          <w14:textFill>
            <w14:solidFill>
              <w14:srgbClr w14:val="000000">
                <w14:alpha w14:val="100000"/>
              </w14:srgbClr>
            </w14:solidFill>
          </w14:textFill>
        </w:rPr>
        <w:t>|</w:t>
      </w:r>
      <w:r w:rsidR="00546FBF" w:rsidRPr="00743512">
        <w:t>)</w:t>
      </w:r>
      <w:r w:rsidR="00157B92" w:rsidRPr="00743512">
        <w:t xml:space="preserve">. </w:t>
      </w:r>
      <w:r w:rsidR="004C1C5A" w:rsidRPr="00743512">
        <w:t>The resubmission price (</w:t>
      </w:r>
      <w:r w:rsidR="008C05C1" w:rsidRPr="00743512">
        <w:t xml:space="preserve">effective </w:t>
      </w:r>
      <w:r w:rsidR="004C1C5A" w:rsidRPr="00743512">
        <w:t xml:space="preserve">DPMQ </w:t>
      </w:r>
      <w:r w:rsidR="008C05C1" w:rsidRPr="00743512">
        <w:t xml:space="preserve">of </w:t>
      </w:r>
      <w:r w:rsidR="00F32823" w:rsidRPr="00F32823">
        <w:t>$</w:t>
      </w:r>
      <w:r w:rsidR="00632DCB" w:rsidRPr="00D2565D">
        <w:rPr>
          <w:color w:val="000000"/>
          <w:w w:val="15"/>
          <w:shd w:val="solid" w:color="000000" w:fill="000000"/>
          <w:fitText w:val="-20" w:id="-1032088826"/>
          <w14:textFill>
            <w14:solidFill>
              <w14:srgbClr w14:val="000000">
                <w14:alpha w14:val="100000"/>
              </w14:srgbClr>
            </w14:solidFill>
          </w14:textFill>
        </w:rPr>
        <w:t>|</w:t>
      </w:r>
      <w:r w:rsidR="00F32823" w:rsidRPr="00D2565D">
        <w:rPr>
          <w:color w:val="000000"/>
          <w:w w:val="15"/>
          <w:shd w:val="solid" w:color="000000" w:fill="000000"/>
          <w:fitText w:val="-20" w:id="-1032088826"/>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6"/>
          <w14:textFill>
            <w14:solidFill>
              <w14:srgbClr w14:val="000000">
                <w14:alpha w14:val="100000"/>
              </w14:srgbClr>
            </w14:solidFill>
          </w14:textFill>
        </w:rPr>
        <w:t>|</w:t>
      </w:r>
      <w:r w:rsidR="000C0529" w:rsidRPr="00743512">
        <w:t>; 112 tablets</w:t>
      </w:r>
      <w:r w:rsidR="004C1C5A" w:rsidRPr="00743512">
        <w:t xml:space="preserve">) </w:t>
      </w:r>
      <w:r w:rsidR="00042D4F" w:rsidRPr="00743512">
        <w:t xml:space="preserve">approximately </w:t>
      </w:r>
      <w:r w:rsidR="00760D5F" w:rsidRPr="00743512">
        <w:t>equal</w:t>
      </w:r>
      <w:r w:rsidR="008C05C1" w:rsidRPr="00743512">
        <w:t>s</w:t>
      </w:r>
      <w:r w:rsidR="00760D5F" w:rsidRPr="00743512">
        <w:t xml:space="preserve"> the </w:t>
      </w:r>
      <w:r w:rsidR="006B01E6" w:rsidRPr="00743512">
        <w:t xml:space="preserve">price </w:t>
      </w:r>
      <w:r w:rsidR="002751EB" w:rsidRPr="00743512">
        <w:t xml:space="preserve">that PBAC </w:t>
      </w:r>
      <w:r w:rsidR="006B01E6" w:rsidRPr="00743512">
        <w:t>considered cost</w:t>
      </w:r>
      <w:r w:rsidR="004C1C5A" w:rsidRPr="00743512">
        <w:noBreakHyphen/>
      </w:r>
      <w:r w:rsidR="009704CC" w:rsidRPr="00743512">
        <w:t>effective for olaparib in castration resistant metastatic carcinoma of the prostate</w:t>
      </w:r>
      <w:r w:rsidR="001E65C8" w:rsidRPr="00743512">
        <w:t xml:space="preserve"> </w:t>
      </w:r>
      <w:r w:rsidR="00A24F49" w:rsidRPr="00743512">
        <w:t xml:space="preserve">in November 2021 </w:t>
      </w:r>
      <w:r w:rsidR="001E65C8" w:rsidRPr="00743512">
        <w:t xml:space="preserve">and newly diagnosed homologous recombination deficiency (HRD) positive </w:t>
      </w:r>
      <w:r w:rsidR="00CD50D4" w:rsidRPr="00743512">
        <w:rPr>
          <w:i/>
        </w:rPr>
        <w:t>BRCA</w:t>
      </w:r>
      <w:r w:rsidR="001E65C8" w:rsidRPr="00743512">
        <w:t xml:space="preserve"> wild type advanced epithelial ovarian, fallopian tube or primary peritoneal cancer</w:t>
      </w:r>
      <w:r w:rsidR="009704CC" w:rsidRPr="00743512">
        <w:t xml:space="preserve"> </w:t>
      </w:r>
      <w:r w:rsidR="009738F0" w:rsidRPr="00743512">
        <w:t xml:space="preserve">in July 2023 </w:t>
      </w:r>
      <w:r w:rsidR="009704CC" w:rsidRPr="00743512">
        <w:t>(</w:t>
      </w:r>
      <w:r w:rsidR="00C40C1B" w:rsidRPr="00743512">
        <w:t xml:space="preserve">effective DPMQ: </w:t>
      </w:r>
      <w:r w:rsidR="00F32823" w:rsidRPr="00F32823">
        <w:t>$</w:t>
      </w:r>
      <w:r w:rsidR="00632DCB" w:rsidRPr="00D2565D">
        <w:rPr>
          <w:color w:val="000000"/>
          <w:w w:val="15"/>
          <w:shd w:val="solid" w:color="000000" w:fill="000000"/>
          <w:fitText w:val="-20" w:id="-1032088825"/>
          <w14:textFill>
            <w14:solidFill>
              <w14:srgbClr w14:val="000000">
                <w14:alpha w14:val="100000"/>
              </w14:srgbClr>
            </w14:solidFill>
          </w14:textFill>
        </w:rPr>
        <w:t>|</w:t>
      </w:r>
      <w:r w:rsidR="00F32823" w:rsidRPr="00D2565D">
        <w:rPr>
          <w:color w:val="000000"/>
          <w:w w:val="15"/>
          <w:shd w:val="solid" w:color="000000" w:fill="000000"/>
          <w:fitText w:val="-20" w:id="-1032088825"/>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5"/>
          <w14:textFill>
            <w14:solidFill>
              <w14:srgbClr w14:val="000000">
                <w14:alpha w14:val="100000"/>
              </w14:srgbClr>
            </w14:solidFill>
          </w14:textFill>
        </w:rPr>
        <w:t>|</w:t>
      </w:r>
      <w:r w:rsidR="002140F2" w:rsidRPr="00743512">
        <w:t xml:space="preserve">; </w:t>
      </w:r>
      <w:r w:rsidR="00C40C1B" w:rsidRPr="00743512">
        <w:t>112 tablets)</w:t>
      </w:r>
      <w:r w:rsidRPr="00743512">
        <w:t>.</w:t>
      </w:r>
      <w:r w:rsidR="005A5F28" w:rsidRPr="00743512">
        <w:t xml:space="preserve"> The pre-PBAC response proposed a further price reduction to a DPMQ of </w:t>
      </w:r>
      <w:r w:rsidR="00F32823" w:rsidRPr="00F32823">
        <w:t>$</w:t>
      </w:r>
      <w:r w:rsidR="00632DCB" w:rsidRPr="00D2565D">
        <w:rPr>
          <w:color w:val="000000"/>
          <w:w w:val="15"/>
          <w:shd w:val="solid" w:color="000000" w:fill="000000"/>
          <w:fitText w:val="-20" w:id="-1032088824"/>
          <w14:textFill>
            <w14:solidFill>
              <w14:srgbClr w14:val="000000">
                <w14:alpha w14:val="100000"/>
              </w14:srgbClr>
            </w14:solidFill>
          </w14:textFill>
        </w:rPr>
        <w:t>|</w:t>
      </w:r>
      <w:r w:rsidR="00F32823" w:rsidRPr="00D2565D">
        <w:rPr>
          <w:color w:val="000000"/>
          <w:w w:val="15"/>
          <w:shd w:val="solid" w:color="000000" w:fill="000000"/>
          <w:fitText w:val="-20" w:id="-1032088824"/>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4"/>
          <w14:textFill>
            <w14:solidFill>
              <w14:srgbClr w14:val="000000">
                <w14:alpha w14:val="100000"/>
              </w14:srgbClr>
            </w14:solidFill>
          </w14:textFill>
        </w:rPr>
        <w:t>|</w:t>
      </w:r>
      <w:r w:rsidR="005A5F28" w:rsidRPr="00743512">
        <w:t xml:space="preserve"> (AEMP = </w:t>
      </w:r>
      <w:r w:rsidR="00F32823" w:rsidRPr="00F32823">
        <w:t>$</w:t>
      </w:r>
      <w:r w:rsidR="00632DCB" w:rsidRPr="00D2565D">
        <w:rPr>
          <w:color w:val="000000"/>
          <w:w w:val="15"/>
          <w:shd w:val="solid" w:color="000000" w:fill="000000"/>
          <w:fitText w:val="-20" w:id="-1032088823"/>
          <w14:textFill>
            <w14:solidFill>
              <w14:srgbClr w14:val="000000">
                <w14:alpha w14:val="100000"/>
              </w14:srgbClr>
            </w14:solidFill>
          </w14:textFill>
        </w:rPr>
        <w:t>|</w:t>
      </w:r>
      <w:r w:rsidR="00F32823" w:rsidRPr="00D2565D">
        <w:rPr>
          <w:color w:val="000000"/>
          <w:w w:val="15"/>
          <w:shd w:val="solid" w:color="000000" w:fill="000000"/>
          <w:fitText w:val="-20" w:id="-1032088823"/>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3"/>
          <w14:textFill>
            <w14:solidFill>
              <w14:srgbClr w14:val="000000">
                <w14:alpha w14:val="100000"/>
              </w14:srgbClr>
            </w14:solidFill>
          </w14:textFill>
        </w:rPr>
        <w:t>|</w:t>
      </w:r>
      <w:r w:rsidR="005A5F28" w:rsidRPr="00743512">
        <w:t>).</w:t>
      </w:r>
    </w:p>
    <w:p w14:paraId="09F1B19E" w14:textId="629BB350" w:rsidR="00C46CE2" w:rsidRPr="00743512" w:rsidRDefault="00C46CE2" w:rsidP="001074C6">
      <w:pPr>
        <w:pStyle w:val="3-BodyText"/>
        <w:numPr>
          <w:ilvl w:val="1"/>
          <w:numId w:val="9"/>
        </w:numPr>
        <w:snapToGrid w:val="0"/>
      </w:pPr>
      <w:bookmarkStart w:id="20" w:name="_Ref147939118"/>
      <w:r w:rsidRPr="00743512">
        <w:t>The proposed PBS restrictions have been revised in the resubmission based upon previous advice from the PBAC (para 3.12, olaparib PSD, March 2023 PBAC meeting):</w:t>
      </w:r>
      <w:bookmarkEnd w:id="20"/>
    </w:p>
    <w:p w14:paraId="1837A303" w14:textId="4A4C4F83" w:rsidR="00C46CE2" w:rsidRPr="00743512" w:rsidRDefault="00C46CE2" w:rsidP="001074C6">
      <w:pPr>
        <w:pStyle w:val="3-BodyText"/>
        <w:numPr>
          <w:ilvl w:val="0"/>
          <w:numId w:val="15"/>
        </w:numPr>
      </w:pPr>
      <w:r w:rsidRPr="00743512">
        <w:t xml:space="preserve">In the previous submission, patients who are HR+ were required to receive concurrent treatment with </w:t>
      </w:r>
      <w:r w:rsidR="00BC65D5" w:rsidRPr="00743512">
        <w:t>ET</w:t>
      </w:r>
      <w:r w:rsidRPr="00743512">
        <w:t>. This has been removed.</w:t>
      </w:r>
    </w:p>
    <w:p w14:paraId="29756ECD" w14:textId="77777777" w:rsidR="00C46CE2" w:rsidRPr="00743512" w:rsidRDefault="00C46CE2" w:rsidP="001074C6">
      <w:pPr>
        <w:pStyle w:val="3-BodyText"/>
        <w:numPr>
          <w:ilvl w:val="0"/>
          <w:numId w:val="15"/>
        </w:numPr>
      </w:pPr>
      <w:r w:rsidRPr="00743512">
        <w:t xml:space="preserve">The wording for the requirement for patients to be negative for HER2 overexpression has been simplified. </w:t>
      </w:r>
    </w:p>
    <w:p w14:paraId="1928779B" w14:textId="77777777" w:rsidR="00C46CE2" w:rsidRPr="00743512" w:rsidRDefault="00C46CE2" w:rsidP="001074C6">
      <w:pPr>
        <w:pStyle w:val="3-BodyText"/>
        <w:numPr>
          <w:ilvl w:val="0"/>
          <w:numId w:val="15"/>
        </w:numPr>
      </w:pPr>
      <w:r w:rsidRPr="00743512">
        <w:t>A requirement for patients to commence treatment with olaparib within 12 weeks of completing other therapy has been added. This is consistent with the OlympiA trial.</w:t>
      </w:r>
    </w:p>
    <w:p w14:paraId="40813393" w14:textId="77777777" w:rsidR="00C46CE2" w:rsidRPr="00743512" w:rsidRDefault="00C46CE2" w:rsidP="001074C6">
      <w:pPr>
        <w:pStyle w:val="3-BodyText"/>
        <w:numPr>
          <w:ilvl w:val="0"/>
          <w:numId w:val="15"/>
        </w:numPr>
      </w:pPr>
      <w:r w:rsidRPr="00743512">
        <w:t>The proposed PBS criteria with respect to the definition of patients at high risk of recurrence has been simplified.</w:t>
      </w:r>
    </w:p>
    <w:p w14:paraId="37A46612" w14:textId="77777777" w:rsidR="00C46CE2" w:rsidRPr="00743512" w:rsidRDefault="00C46CE2" w:rsidP="001074C6">
      <w:pPr>
        <w:pStyle w:val="3-BodyText"/>
        <w:numPr>
          <w:ilvl w:val="0"/>
          <w:numId w:val="15"/>
        </w:numPr>
      </w:pPr>
      <w:r w:rsidRPr="00743512">
        <w:t>In the continuing restriction, the reference to “progression” has been replaced by “recurrence”.</w:t>
      </w:r>
    </w:p>
    <w:p w14:paraId="38EC87F2" w14:textId="77777777" w:rsidR="00C46CE2" w:rsidRPr="00743512" w:rsidRDefault="00C46CE2" w:rsidP="001074C6">
      <w:pPr>
        <w:pStyle w:val="3-BodyText"/>
        <w:numPr>
          <w:ilvl w:val="0"/>
          <w:numId w:val="15"/>
        </w:numPr>
      </w:pPr>
      <w:r w:rsidRPr="00743512">
        <w:t>The PBAC recommended that the criterion “Patient has completed at least six cycles (or experience toxicity necessitating withdrawal) of neoadjuvant or adjuvant chemotherapy containing anthracyclines, taxanes, or both agents”, should be deleted. This criterion is still included in the revised proposed restriction.</w:t>
      </w:r>
    </w:p>
    <w:p w14:paraId="2689C782" w14:textId="07E7F78A" w:rsidR="00F43B69" w:rsidRPr="00743512" w:rsidRDefault="00F43B69" w:rsidP="001074C6">
      <w:pPr>
        <w:pStyle w:val="3-BodyText"/>
        <w:numPr>
          <w:ilvl w:val="0"/>
          <w:numId w:val="15"/>
        </w:numPr>
      </w:pPr>
      <w:r w:rsidRPr="00743512">
        <w:t xml:space="preserve">The PBAC recommended that the restriction should prevent combination use of olaparib and pembrolizumab as this combination is unlikely to be cost-effective and there is a lack of safety and efficacy data to support it. This change has not been included in the revised proposed restriction. </w:t>
      </w:r>
    </w:p>
    <w:p w14:paraId="66ED7EF1" w14:textId="7619E54D" w:rsidR="009A5607" w:rsidRPr="00743512" w:rsidRDefault="009A5607" w:rsidP="009A5607">
      <w:pPr>
        <w:pStyle w:val="3-BodyText"/>
        <w:numPr>
          <w:ilvl w:val="1"/>
          <w:numId w:val="9"/>
        </w:numPr>
        <w:snapToGrid w:val="0"/>
      </w:pPr>
      <w:bookmarkStart w:id="21" w:name="_Ref150343941"/>
      <w:r w:rsidRPr="00743512">
        <w:t>The PBAC previously advised that if olaparib is PBS listed in eBC, it may be appropriate to clarify in the current PBS listings for poly (ADP-ribose) polymerase inhibitors (PARPis) in ovarian cancer that prior use of PARPi is in the context of the stated PBS indication, such that the restriction is not inadvertently interpreted as an intent to prevent these patients from accessing PARPi in a different cancer (para 3.8, olaparib PSD, March 2023 PBAC meeting).</w:t>
      </w:r>
      <w:bookmarkEnd w:id="21"/>
      <w:r w:rsidRPr="00743512">
        <w:t xml:space="preserve"> </w:t>
      </w:r>
    </w:p>
    <w:p w14:paraId="65282CB9" w14:textId="7FCA8858" w:rsidR="00C46CE2" w:rsidRPr="00743512" w:rsidRDefault="001074C6" w:rsidP="001074C6">
      <w:pPr>
        <w:pStyle w:val="3-BodyText"/>
        <w:numPr>
          <w:ilvl w:val="0"/>
          <w:numId w:val="0"/>
        </w:numPr>
        <w:ind w:left="720"/>
        <w:rPr>
          <w:i/>
          <w:iCs/>
        </w:rPr>
      </w:pPr>
      <w:r w:rsidRPr="00743512">
        <w:rPr>
          <w:i/>
          <w:iCs/>
        </w:rPr>
        <w:t>For more detail on PBAC’s view, see section 7 PBAC outcome.</w:t>
      </w:r>
    </w:p>
    <w:p w14:paraId="51489EEE" w14:textId="77777777" w:rsidR="00C46CE2" w:rsidRPr="00743512" w:rsidRDefault="00C46CE2" w:rsidP="001074C6">
      <w:pPr>
        <w:pStyle w:val="2-SectionHeading"/>
        <w:numPr>
          <w:ilvl w:val="0"/>
          <w:numId w:val="9"/>
        </w:numPr>
        <w:snapToGrid w:val="0"/>
      </w:pPr>
      <w:bookmarkStart w:id="22" w:name="_Toc124883277"/>
      <w:bookmarkStart w:id="23" w:name="_Toc145501116"/>
      <w:r w:rsidRPr="00743512">
        <w:t>Population and disease</w:t>
      </w:r>
      <w:bookmarkEnd w:id="22"/>
      <w:bookmarkEnd w:id="23"/>
    </w:p>
    <w:p w14:paraId="6A05F59D" w14:textId="0B7186F0" w:rsidR="00C46CE2" w:rsidRPr="00743512" w:rsidRDefault="00C46CE2" w:rsidP="001074C6">
      <w:pPr>
        <w:pStyle w:val="3-BodyText"/>
        <w:numPr>
          <w:ilvl w:val="1"/>
          <w:numId w:val="9"/>
        </w:numPr>
        <w:snapToGrid w:val="0"/>
        <w:rPr>
          <w:color w:val="0066FF"/>
        </w:rPr>
      </w:pPr>
      <w:r w:rsidRPr="00743512">
        <w:t>Breast cancer is the most common cancer affecting Australian women. If caught in the early stages, patients can have a 5-year survival of 91%</w:t>
      </w:r>
      <w:r w:rsidRPr="00743512">
        <w:rPr>
          <w:rStyle w:val="FootnoteReference"/>
        </w:rPr>
        <w:footnoteReference w:id="2"/>
      </w:r>
      <w:r w:rsidRPr="00743512">
        <w:t>. However, there are several prognostic factors that can modify the chance of disease recurrence after initial treatment. Among these are the hormone receptors (HR) and human epidermal growth factor receptor 2 (HER2)</w:t>
      </w:r>
      <w:r w:rsidRPr="00743512">
        <w:rPr>
          <w:rStyle w:val="FootnoteReference"/>
        </w:rPr>
        <w:footnoteReference w:id="3"/>
      </w:r>
      <w:r w:rsidRPr="00743512">
        <w:t xml:space="preserve">. Cancers that do not express these disease modifiers are designated as </w:t>
      </w:r>
      <w:r w:rsidR="00C03F52" w:rsidRPr="00743512">
        <w:t>triple negative breast cancer (</w:t>
      </w:r>
      <w:r w:rsidRPr="00743512">
        <w:t>TNBC</w:t>
      </w:r>
      <w:r w:rsidR="00C03F52" w:rsidRPr="00743512">
        <w:t>)</w:t>
      </w:r>
      <w:r w:rsidRPr="00743512">
        <w:t>. TNBC does not respond to drugs that specifically target HR and HER2 and so patients are treated with chemotherapy. Additionally, TNBC is typically more aggressive and at a high risk of recurrence</w:t>
      </w:r>
      <w:r w:rsidRPr="00743512">
        <w:rPr>
          <w:rStyle w:val="FootnoteReference"/>
        </w:rPr>
        <w:footnoteReference w:id="4"/>
      </w:r>
      <w:r w:rsidRPr="00743512">
        <w:t xml:space="preserve">. A further prognostic factor is the presence of mutations in the </w:t>
      </w:r>
      <w:r w:rsidR="00CD50D4" w:rsidRPr="00743512">
        <w:rPr>
          <w:i/>
        </w:rPr>
        <w:t>BRCA1</w:t>
      </w:r>
      <w:r w:rsidRPr="00743512">
        <w:t xml:space="preserve"> and </w:t>
      </w:r>
      <w:r w:rsidR="00CD50D4" w:rsidRPr="00743512">
        <w:rPr>
          <w:i/>
        </w:rPr>
        <w:t>BRCA2</w:t>
      </w:r>
      <w:r w:rsidRPr="00743512">
        <w:t xml:space="preserve"> genes. Mutations in these genes confer an increased risk of developing several cancers including breast, ovarian, and pancreatic cancer. This increased risk also extends to disease recurrence</w:t>
      </w:r>
      <w:r w:rsidRPr="00743512">
        <w:rPr>
          <w:rStyle w:val="FootnoteReference"/>
        </w:rPr>
        <w:footnoteReference w:id="5"/>
      </w:r>
      <w:r w:rsidRPr="00743512">
        <w:t>.</w:t>
      </w:r>
    </w:p>
    <w:p w14:paraId="01AC6A1F" w14:textId="7C159F58" w:rsidR="00C46CE2" w:rsidRPr="00743512" w:rsidRDefault="00CD50D4" w:rsidP="001074C6">
      <w:pPr>
        <w:pStyle w:val="3-BodyText"/>
        <w:numPr>
          <w:ilvl w:val="1"/>
          <w:numId w:val="9"/>
        </w:numPr>
        <w:snapToGrid w:val="0"/>
      </w:pPr>
      <w:r w:rsidRPr="00743512">
        <w:rPr>
          <w:i/>
        </w:rPr>
        <w:t>BRCA</w:t>
      </w:r>
      <w:r w:rsidR="00C46CE2" w:rsidRPr="00743512">
        <w:t xml:space="preserve"> mutations, as well as the high-risk characteristics detailed in the proposed restriction</w:t>
      </w:r>
      <w:r w:rsidR="00C46CE2" w:rsidRPr="00743512">
        <w:rPr>
          <w:rStyle w:val="FootnoteReference"/>
        </w:rPr>
        <w:footnoteReference w:id="6"/>
      </w:r>
      <w:r w:rsidR="00C46CE2" w:rsidRPr="00743512">
        <w:t>, cause increased rates of disease recurrence in TNBC and HR+ e</w:t>
      </w:r>
      <w:r w:rsidR="00C03F52" w:rsidRPr="00743512">
        <w:t>BC</w:t>
      </w:r>
      <w:r w:rsidR="00C46CE2" w:rsidRPr="00743512">
        <w:t xml:space="preserve"> patients. There remains an unmet need for therapies that can prevent or delay disease recurrence in these populations. </w:t>
      </w:r>
    </w:p>
    <w:p w14:paraId="5384405B" w14:textId="77777777" w:rsidR="009A5607" w:rsidRPr="00743512" w:rsidRDefault="00C46CE2" w:rsidP="009A5607">
      <w:pPr>
        <w:pStyle w:val="3-BodyText"/>
        <w:numPr>
          <w:ilvl w:val="1"/>
          <w:numId w:val="9"/>
        </w:numPr>
        <w:snapToGrid w:val="0"/>
      </w:pPr>
      <w:r w:rsidRPr="00743512">
        <w:t xml:space="preserve">Current clinical management after initial treatment in HER2-, </w:t>
      </w:r>
      <w:r w:rsidR="00CD50D4" w:rsidRPr="00743512">
        <w:rPr>
          <w:i/>
        </w:rPr>
        <w:t>BRCA</w:t>
      </w:r>
      <w:r w:rsidRPr="00743512">
        <w:t>m tumours, in high</w:t>
      </w:r>
      <w:r w:rsidR="007C5ABD" w:rsidRPr="00743512">
        <w:noBreakHyphen/>
      </w:r>
      <w:r w:rsidRPr="00743512">
        <w:t>risk eBC patients, is monitoring for disease recurrence, or “watch and wait”. The patients in the key trial and in the proposed restriction can be divided into HR+ breast cancer or TNBC, that is, HR-negative (HER2-, HR-). Endocrine therapy (ET) is given in patients with HR+ cancers (i.e. not for TNBC patients), but no other specific guidelines or recommendations exist</w:t>
      </w:r>
      <w:r w:rsidRPr="00743512">
        <w:rPr>
          <w:rStyle w:val="FootnoteReference"/>
        </w:rPr>
        <w:footnoteReference w:id="7"/>
      </w:r>
      <w:r w:rsidRPr="00743512">
        <w:t>. The clinical management algorithm would change by introducing testing for g</w:t>
      </w:r>
      <w:r w:rsidR="00CD50D4" w:rsidRPr="00743512">
        <w:rPr>
          <w:i/>
        </w:rPr>
        <w:t>BRCA</w:t>
      </w:r>
      <w:r w:rsidRPr="00743512">
        <w:t xml:space="preserve"> mutations after patients are tested for hormone receptors. Patients who are positive for </w:t>
      </w:r>
      <w:r w:rsidR="00CD50D4" w:rsidRPr="00743512">
        <w:rPr>
          <w:i/>
        </w:rPr>
        <w:t>BRCA</w:t>
      </w:r>
      <w:r w:rsidRPr="00743512">
        <w:t xml:space="preserve"> mutations would receive adjuvant olaparib after initial treatment while being monitored for recurrence. The proposed listing would allow </w:t>
      </w:r>
      <w:r w:rsidR="00CD50D4" w:rsidRPr="00743512">
        <w:rPr>
          <w:i/>
        </w:rPr>
        <w:t>BRCA</w:t>
      </w:r>
      <w:r w:rsidR="00B37F40" w:rsidRPr="00743512">
        <w:t>m</w:t>
      </w:r>
      <w:r w:rsidRPr="00743512">
        <w:t xml:space="preserve"> patients to be eligible for adjuvant olaparib for 1 year or until disease progression. </w:t>
      </w:r>
    </w:p>
    <w:p w14:paraId="2B796671" w14:textId="25233A67" w:rsidR="001074C6" w:rsidRPr="00743512" w:rsidRDefault="00C46CE2" w:rsidP="009A5607">
      <w:pPr>
        <w:pStyle w:val="3-BodyText"/>
        <w:numPr>
          <w:ilvl w:val="1"/>
          <w:numId w:val="9"/>
        </w:numPr>
        <w:snapToGrid w:val="0"/>
      </w:pPr>
      <w:r w:rsidRPr="00743512">
        <w:t xml:space="preserve">Olaparib is an orally active inhibitor of human poly (ADP-ribose) polymerase enzymes. It acts to prevent repair of single strand DNA breaks, resulting in the accumulation of mutations and eventual genetic instability. This is especially effective in cancers that already have issues with DNA repair, such as </w:t>
      </w:r>
      <w:r w:rsidR="00CD50D4" w:rsidRPr="00743512">
        <w:rPr>
          <w:i/>
        </w:rPr>
        <w:t>BRCA</w:t>
      </w:r>
      <w:r w:rsidR="00B37F40" w:rsidRPr="00743512">
        <w:t>m</w:t>
      </w:r>
      <w:r w:rsidRPr="00743512">
        <w:t xml:space="preserve"> cancers which lack functional components of the homologous recombination repair pathway</w:t>
      </w:r>
      <w:r w:rsidRPr="00743512">
        <w:rPr>
          <w:rStyle w:val="FootnoteReference"/>
        </w:rPr>
        <w:footnoteReference w:id="8"/>
      </w:r>
      <w:r w:rsidRPr="00743512">
        <w:t>.</w:t>
      </w:r>
      <w:r w:rsidR="001074C6" w:rsidRPr="00743512">
        <w:t xml:space="preserve"> </w:t>
      </w:r>
    </w:p>
    <w:p w14:paraId="32D145BA" w14:textId="6B5BB71E" w:rsidR="00C46CE2" w:rsidRPr="00743512" w:rsidRDefault="001074C6" w:rsidP="001074C6">
      <w:pPr>
        <w:pStyle w:val="3-BodyText"/>
        <w:numPr>
          <w:ilvl w:val="0"/>
          <w:numId w:val="0"/>
        </w:numPr>
        <w:ind w:left="720"/>
        <w:rPr>
          <w:i/>
          <w:iCs/>
        </w:rPr>
      </w:pPr>
      <w:r w:rsidRPr="00743512">
        <w:rPr>
          <w:i/>
          <w:iCs/>
        </w:rPr>
        <w:t>For more detail on PBAC’s view, see section 7 PBAC outcome.</w:t>
      </w:r>
    </w:p>
    <w:p w14:paraId="216CB249" w14:textId="77777777" w:rsidR="00C46CE2" w:rsidRPr="00743512" w:rsidRDefault="00C46CE2" w:rsidP="001074C6">
      <w:pPr>
        <w:pStyle w:val="2-SectionHeading"/>
        <w:numPr>
          <w:ilvl w:val="0"/>
          <w:numId w:val="9"/>
        </w:numPr>
        <w:snapToGrid w:val="0"/>
      </w:pPr>
      <w:bookmarkStart w:id="26" w:name="_Toc124883278"/>
      <w:bookmarkStart w:id="27" w:name="_Toc145501117"/>
      <w:r w:rsidRPr="00743512">
        <w:t>Comparator</w:t>
      </w:r>
      <w:bookmarkEnd w:id="26"/>
      <w:bookmarkEnd w:id="27"/>
    </w:p>
    <w:p w14:paraId="15FD565D" w14:textId="33E935C5" w:rsidR="00C46CE2" w:rsidRPr="00743512" w:rsidRDefault="00C46CE2" w:rsidP="00F32823">
      <w:pPr>
        <w:pStyle w:val="3-BodyText"/>
        <w:numPr>
          <w:ilvl w:val="1"/>
          <w:numId w:val="9"/>
        </w:numPr>
        <w:snapToGrid w:val="0"/>
      </w:pPr>
      <w:r w:rsidRPr="00743512">
        <w:t xml:space="preserve">The resubmission nominated placebo (watch and wait) as the main comparator. At the March 2023 meeting, the PBAC considered placebo (watch and wait) to be an appropriate comparator (para 7.4, </w:t>
      </w:r>
      <w:r w:rsidR="008C02EC" w:rsidRPr="00743512">
        <w:t>o</w:t>
      </w:r>
      <w:r w:rsidRPr="00743512">
        <w:t xml:space="preserve">laparib PSD, </w:t>
      </w:r>
      <w:r w:rsidR="004C677D" w:rsidRPr="00743512">
        <w:t>March 2023 PBAC meeting</w:t>
      </w:r>
      <w:r w:rsidRPr="00743512">
        <w:t>). The PBAC also considered that most hormone receptor positive</w:t>
      </w:r>
      <w:r w:rsidR="00C03F52" w:rsidRPr="00743512">
        <w:t xml:space="preserve"> (HR+)</w:t>
      </w:r>
      <w:r w:rsidRPr="00743512">
        <w:t xml:space="preserve"> patients will receive ongoing ET combined with olaparib as occurred in OlympiA</w:t>
      </w:r>
      <w:r w:rsidR="009A5607" w:rsidRPr="00743512">
        <w:t>;</w:t>
      </w:r>
      <w:r w:rsidRPr="00743512">
        <w:t xml:space="preserve"> however</w:t>
      </w:r>
      <w:r w:rsidR="009A5607" w:rsidRPr="00743512">
        <w:t>,</w:t>
      </w:r>
      <w:r w:rsidRPr="00743512">
        <w:t xml:space="preserve"> it was not necessary to mandate the use of ET in these patients and this may unduly disadvantage some HR+ patients that may not be appropriate for ET or experience intolerance (para 7.4, olaparib PSD, </w:t>
      </w:r>
      <w:r w:rsidR="004C677D" w:rsidRPr="00743512">
        <w:t>March 2023 PBAC meeting</w:t>
      </w:r>
      <w:r w:rsidRPr="00743512">
        <w:t xml:space="preserve">). </w:t>
      </w:r>
    </w:p>
    <w:p w14:paraId="32E6E89B" w14:textId="4DBBB1C2" w:rsidR="00C46CE2" w:rsidRPr="00743512" w:rsidRDefault="001074C6" w:rsidP="001074C6">
      <w:pPr>
        <w:pStyle w:val="3-BodyText"/>
        <w:numPr>
          <w:ilvl w:val="0"/>
          <w:numId w:val="0"/>
        </w:numPr>
        <w:ind w:left="720"/>
        <w:rPr>
          <w:i/>
          <w:iCs/>
        </w:rPr>
      </w:pPr>
      <w:r w:rsidRPr="00743512">
        <w:rPr>
          <w:i/>
          <w:iCs/>
        </w:rPr>
        <w:t>For more detail on PBAC’s view, see section 7 PBAC outcome.</w:t>
      </w:r>
    </w:p>
    <w:p w14:paraId="5F764C56" w14:textId="77777777" w:rsidR="00C46CE2" w:rsidRPr="00743512" w:rsidRDefault="00C46CE2" w:rsidP="001074C6">
      <w:pPr>
        <w:pStyle w:val="2-SectionHeading"/>
        <w:numPr>
          <w:ilvl w:val="0"/>
          <w:numId w:val="9"/>
        </w:numPr>
        <w:snapToGrid w:val="0"/>
      </w:pPr>
      <w:bookmarkStart w:id="28" w:name="_Toc124883279"/>
      <w:bookmarkStart w:id="29" w:name="_Toc145501118"/>
      <w:bookmarkStart w:id="30" w:name="_Toc22897640"/>
      <w:r w:rsidRPr="00743512">
        <w:t>Consideration of the evidence</w:t>
      </w:r>
      <w:bookmarkEnd w:id="28"/>
      <w:bookmarkEnd w:id="29"/>
    </w:p>
    <w:p w14:paraId="3F7322D5" w14:textId="77777777" w:rsidR="001074C6" w:rsidRPr="00743512" w:rsidRDefault="001074C6" w:rsidP="001074C6">
      <w:pPr>
        <w:pStyle w:val="4-SubsectionHeading"/>
      </w:pPr>
      <w:bookmarkStart w:id="31" w:name="_Hlk76375935"/>
      <w:bookmarkStart w:id="32" w:name="_Toc124883280"/>
      <w:bookmarkStart w:id="33" w:name="_Toc145501119"/>
      <w:r w:rsidRPr="00743512">
        <w:t>Sponsor hearing</w:t>
      </w:r>
    </w:p>
    <w:p w14:paraId="6D20D9DF" w14:textId="0D7219BA" w:rsidR="001074C6" w:rsidRPr="00743512" w:rsidRDefault="001074C6" w:rsidP="004B4ADE">
      <w:pPr>
        <w:widowControl w:val="0"/>
        <w:numPr>
          <w:ilvl w:val="1"/>
          <w:numId w:val="1"/>
        </w:numPr>
        <w:spacing w:after="120"/>
        <w:rPr>
          <w:rFonts w:cs="Calibri"/>
          <w:bCs/>
          <w:snapToGrid w:val="0"/>
        </w:rPr>
      </w:pPr>
      <w:r w:rsidRPr="00743512">
        <w:rPr>
          <w:rFonts w:cs="Calibri"/>
          <w:bCs/>
          <w:snapToGrid w:val="0"/>
        </w:rPr>
        <w:t>There was no hearing for this item.</w:t>
      </w:r>
    </w:p>
    <w:p w14:paraId="20533B59" w14:textId="77777777" w:rsidR="001074C6" w:rsidRPr="00743512" w:rsidRDefault="001074C6" w:rsidP="001074C6">
      <w:pPr>
        <w:pStyle w:val="4-SubsectionHeading"/>
      </w:pPr>
      <w:r w:rsidRPr="00743512">
        <w:t>Consumer comments</w:t>
      </w:r>
    </w:p>
    <w:p w14:paraId="34187836" w14:textId="0F5940DE" w:rsidR="001074C6" w:rsidRPr="00743512" w:rsidRDefault="001074C6" w:rsidP="001074C6">
      <w:pPr>
        <w:widowControl w:val="0"/>
        <w:numPr>
          <w:ilvl w:val="1"/>
          <w:numId w:val="1"/>
        </w:numPr>
        <w:spacing w:after="120"/>
        <w:rPr>
          <w:rFonts w:asciiTheme="minorHAnsi" w:hAnsiTheme="minorHAnsi"/>
          <w:bCs/>
          <w:snapToGrid w:val="0"/>
        </w:rPr>
      </w:pPr>
      <w:bookmarkStart w:id="34" w:name="_Hlk76382618"/>
      <w:r w:rsidRPr="00743512">
        <w:rPr>
          <w:rFonts w:asciiTheme="minorHAnsi" w:hAnsiTheme="minorHAnsi"/>
          <w:bCs/>
          <w:snapToGrid w:val="0"/>
        </w:rPr>
        <w:t xml:space="preserve">The PBAC noted and welcomed the input from </w:t>
      </w:r>
      <w:r w:rsidR="004B4ADE" w:rsidRPr="00743512">
        <w:rPr>
          <w:rFonts w:asciiTheme="minorHAnsi" w:hAnsiTheme="minorHAnsi"/>
          <w:bCs/>
          <w:snapToGrid w:val="0"/>
        </w:rPr>
        <w:t xml:space="preserve">individuals (1) and </w:t>
      </w:r>
      <w:r w:rsidRPr="00743512">
        <w:rPr>
          <w:rFonts w:asciiTheme="minorHAnsi" w:hAnsiTheme="minorHAnsi"/>
          <w:bCs/>
          <w:snapToGrid w:val="0"/>
        </w:rPr>
        <w:t xml:space="preserve">organisations </w:t>
      </w:r>
      <w:r w:rsidR="004B4ADE" w:rsidRPr="00743512">
        <w:rPr>
          <w:rFonts w:asciiTheme="minorHAnsi" w:hAnsiTheme="minorHAnsi"/>
          <w:bCs/>
          <w:snapToGrid w:val="0"/>
        </w:rPr>
        <w:t>(</w:t>
      </w:r>
      <w:r w:rsidR="003B22E8" w:rsidRPr="00743512">
        <w:rPr>
          <w:rFonts w:asciiTheme="minorHAnsi" w:hAnsiTheme="minorHAnsi"/>
          <w:bCs/>
          <w:snapToGrid w:val="0"/>
        </w:rPr>
        <w:t>3</w:t>
      </w:r>
      <w:r w:rsidR="004B4ADE" w:rsidRPr="00743512">
        <w:rPr>
          <w:rFonts w:asciiTheme="minorHAnsi" w:hAnsiTheme="minorHAnsi"/>
          <w:bCs/>
          <w:snapToGrid w:val="0"/>
        </w:rPr>
        <w:t xml:space="preserve">) </w:t>
      </w:r>
      <w:r w:rsidRPr="00743512">
        <w:rPr>
          <w:rFonts w:asciiTheme="minorHAnsi" w:hAnsiTheme="minorHAnsi"/>
          <w:bCs/>
          <w:snapToGrid w:val="0"/>
        </w:rPr>
        <w:t>via the Consumer Comments facility on the PBS website</w:t>
      </w:r>
      <w:r w:rsidR="00157B92" w:rsidRPr="00743512">
        <w:rPr>
          <w:rFonts w:asciiTheme="minorHAnsi" w:hAnsiTheme="minorHAnsi"/>
          <w:bCs/>
          <w:snapToGrid w:val="0"/>
        </w:rPr>
        <w:t xml:space="preserve">. </w:t>
      </w:r>
      <w:r w:rsidR="004B4ADE" w:rsidRPr="00743512">
        <w:rPr>
          <w:rFonts w:asciiTheme="minorHAnsi" w:hAnsiTheme="minorHAnsi"/>
          <w:bCs/>
          <w:snapToGrid w:val="0"/>
        </w:rPr>
        <w:t xml:space="preserve">The PBAC also acknowledged the input received in relation to the March 2023 submission from individuals (13) and organisations (5). </w:t>
      </w:r>
      <w:r w:rsidR="004B4ADE" w:rsidRPr="00743512">
        <w:t xml:space="preserve">The comments described a desire for olaparib to be made available and noted benefits including improved survival and quality of life, and ability to return to work. The comments also noted the prohibitive cost of treatment if not subsidised and highlighted the needs of patients with triple negative breast cancer, noting that no targeted treatments are available for this patient group currently. </w:t>
      </w:r>
    </w:p>
    <w:p w14:paraId="3C13C198" w14:textId="7CE57DFC" w:rsidR="004B4ADE" w:rsidRPr="00743512" w:rsidRDefault="004B4ADE" w:rsidP="004B4ADE">
      <w:pPr>
        <w:widowControl w:val="0"/>
        <w:numPr>
          <w:ilvl w:val="1"/>
          <w:numId w:val="1"/>
        </w:numPr>
        <w:spacing w:after="120"/>
        <w:rPr>
          <w:rFonts w:asciiTheme="minorHAnsi" w:hAnsiTheme="minorHAnsi"/>
          <w:bCs/>
          <w:snapToGrid w:val="0"/>
        </w:rPr>
      </w:pPr>
      <w:bookmarkStart w:id="35" w:name="_Hlk97141415"/>
      <w:r w:rsidRPr="00743512">
        <w:rPr>
          <w:rFonts w:asciiTheme="minorHAnsi" w:hAnsiTheme="minorHAnsi"/>
          <w:bCs/>
          <w:snapToGrid w:val="0"/>
        </w:rPr>
        <w:t xml:space="preserve">As per March 2023, the PBAC noted and welcomed input from the Medical Oncology Group of Australia (MOGA), as well as Pink Hope and the </w:t>
      </w:r>
      <w:r w:rsidRPr="00743512">
        <w:t>Breast Cancer Network Australia (BCNA)</w:t>
      </w:r>
      <w:bookmarkEnd w:id="31"/>
      <w:bookmarkEnd w:id="34"/>
      <w:bookmarkEnd w:id="35"/>
      <w:r w:rsidR="00157B92" w:rsidRPr="00743512">
        <w:t xml:space="preserve">. </w:t>
      </w:r>
    </w:p>
    <w:p w14:paraId="585956D7" w14:textId="744E7452" w:rsidR="001074C6" w:rsidRPr="00743512" w:rsidRDefault="001074C6" w:rsidP="004B4ADE">
      <w:pPr>
        <w:widowControl w:val="0"/>
        <w:numPr>
          <w:ilvl w:val="1"/>
          <w:numId w:val="1"/>
        </w:numPr>
        <w:spacing w:after="120"/>
        <w:rPr>
          <w:rFonts w:asciiTheme="minorHAnsi" w:hAnsiTheme="minorHAnsi"/>
          <w:bCs/>
          <w:snapToGrid w:val="0"/>
        </w:rPr>
      </w:pPr>
      <w:r w:rsidRPr="00743512">
        <w:rPr>
          <w:rFonts w:asciiTheme="minorHAnsi" w:hAnsiTheme="minorHAnsi"/>
          <w:bCs/>
          <w:snapToGrid w:val="0"/>
        </w:rPr>
        <w:t xml:space="preserve">The MOGA </w:t>
      </w:r>
      <w:r w:rsidR="004B4ADE" w:rsidRPr="00743512">
        <w:rPr>
          <w:rFonts w:asciiTheme="minorHAnsi" w:hAnsiTheme="minorHAnsi"/>
          <w:bCs/>
          <w:snapToGrid w:val="0"/>
        </w:rPr>
        <w:t xml:space="preserve">again </w:t>
      </w:r>
      <w:r w:rsidRPr="00743512">
        <w:rPr>
          <w:rFonts w:asciiTheme="minorHAnsi" w:hAnsiTheme="minorHAnsi"/>
          <w:bCs/>
          <w:snapToGrid w:val="0"/>
        </w:rPr>
        <w:t xml:space="preserve">expressed its strong support for the </w:t>
      </w:r>
      <w:r w:rsidR="004B4ADE" w:rsidRPr="00743512">
        <w:rPr>
          <w:rFonts w:asciiTheme="minorHAnsi" w:hAnsiTheme="minorHAnsi"/>
          <w:bCs/>
          <w:snapToGrid w:val="0"/>
        </w:rPr>
        <w:t xml:space="preserve">olaparib </w:t>
      </w:r>
      <w:r w:rsidRPr="00743512">
        <w:rPr>
          <w:rFonts w:asciiTheme="minorHAnsi" w:hAnsiTheme="minorHAnsi"/>
          <w:bCs/>
          <w:snapToGrid w:val="0"/>
        </w:rPr>
        <w:t xml:space="preserve">submission, categorising it as one of the therapies of “highest priority for PBS listing” on the basis of the </w:t>
      </w:r>
      <w:r w:rsidR="004B4ADE" w:rsidRPr="00743512">
        <w:rPr>
          <w:rFonts w:asciiTheme="minorHAnsi" w:hAnsiTheme="minorHAnsi"/>
          <w:bCs/>
          <w:snapToGrid w:val="0"/>
        </w:rPr>
        <w:t xml:space="preserve">OlymipiA </w:t>
      </w:r>
      <w:r w:rsidRPr="00743512">
        <w:rPr>
          <w:rFonts w:asciiTheme="minorHAnsi" w:hAnsiTheme="minorHAnsi"/>
          <w:bCs/>
          <w:snapToGrid w:val="0"/>
        </w:rPr>
        <w:t xml:space="preserve">trial. The PBAC noted that the MOGA presented a European Society for Medical Oncology Magnitude of Clinical Benefit Scale (ESMO-MCBS) for </w:t>
      </w:r>
      <w:r w:rsidR="004B4ADE" w:rsidRPr="00743512">
        <w:rPr>
          <w:rFonts w:asciiTheme="minorHAnsi" w:hAnsiTheme="minorHAnsi"/>
          <w:bCs/>
          <w:snapToGrid w:val="0"/>
        </w:rPr>
        <w:t>olaparib of</w:t>
      </w:r>
      <w:r w:rsidRPr="00743512">
        <w:rPr>
          <w:rFonts w:asciiTheme="minorHAnsi" w:hAnsiTheme="minorHAnsi"/>
          <w:bCs/>
          <w:snapToGrid w:val="0"/>
        </w:rPr>
        <w:t xml:space="preserve"> </w:t>
      </w:r>
      <w:r w:rsidR="004B4ADE" w:rsidRPr="00743512">
        <w:rPr>
          <w:rFonts w:asciiTheme="minorHAnsi" w:hAnsiTheme="minorHAnsi"/>
          <w:bCs/>
          <w:snapToGrid w:val="0"/>
        </w:rPr>
        <w:t xml:space="preserve">A </w:t>
      </w:r>
      <w:r w:rsidRPr="00743512">
        <w:rPr>
          <w:rFonts w:asciiTheme="minorHAnsi" w:hAnsiTheme="minorHAnsi"/>
          <w:bCs/>
          <w:snapToGrid w:val="0"/>
        </w:rPr>
        <w:t>(</w:t>
      </w:r>
      <w:r w:rsidR="004B4ADE" w:rsidRPr="00743512">
        <w:rPr>
          <w:rFonts w:asciiTheme="minorHAnsi" w:hAnsiTheme="minorHAnsi"/>
          <w:bCs/>
          <w:snapToGrid w:val="0"/>
        </w:rPr>
        <w:t>the highest grade in the curative setting</w:t>
      </w:r>
      <w:r w:rsidRPr="00743512">
        <w:rPr>
          <w:rFonts w:asciiTheme="minorHAnsi" w:hAnsiTheme="minorHAnsi"/>
          <w:bCs/>
          <w:snapToGrid w:val="0"/>
        </w:rPr>
        <w:t xml:space="preserve">), based on a comparison with </w:t>
      </w:r>
      <w:r w:rsidR="004B4ADE" w:rsidRPr="00743512">
        <w:rPr>
          <w:rFonts w:asciiTheme="minorHAnsi" w:hAnsiTheme="minorHAnsi"/>
          <w:bCs/>
          <w:snapToGrid w:val="0"/>
        </w:rPr>
        <w:t>placebo</w:t>
      </w:r>
      <w:r w:rsidRPr="00743512">
        <w:rPr>
          <w:rFonts w:asciiTheme="minorHAnsi" w:hAnsiTheme="minorHAnsi"/>
          <w:bCs/>
          <w:snapToGrid w:val="0"/>
        </w:rPr>
        <w:t>.</w:t>
      </w:r>
      <w:r w:rsidR="004B4ADE" w:rsidRPr="00743512">
        <w:rPr>
          <w:rStyle w:val="FootnoteReference"/>
          <w:rFonts w:asciiTheme="minorHAnsi" w:hAnsiTheme="minorHAnsi"/>
          <w:bCs/>
          <w:snapToGrid w:val="0"/>
        </w:rPr>
        <w:footnoteReference w:id="9"/>
      </w:r>
      <w:r w:rsidR="00F32823" w:rsidRPr="00F32823">
        <w:rPr>
          <w:rFonts w:asciiTheme="minorHAnsi" w:hAnsiTheme="minorHAnsi"/>
          <w:bCs/>
          <w:snapToGrid w:val="0"/>
        </w:rPr>
        <w:t xml:space="preserve"> </w:t>
      </w:r>
    </w:p>
    <w:p w14:paraId="1DB53A98" w14:textId="53E82EC4" w:rsidR="004B4ADE" w:rsidRPr="00743512" w:rsidRDefault="004B4ADE" w:rsidP="004B4ADE">
      <w:pPr>
        <w:widowControl w:val="0"/>
        <w:numPr>
          <w:ilvl w:val="1"/>
          <w:numId w:val="1"/>
        </w:numPr>
        <w:spacing w:after="120"/>
        <w:rPr>
          <w:rFonts w:asciiTheme="minorHAnsi" w:hAnsiTheme="minorHAnsi"/>
          <w:bCs/>
          <w:snapToGrid w:val="0"/>
        </w:rPr>
      </w:pPr>
      <w:r w:rsidRPr="00743512">
        <w:t xml:space="preserve">Pink Hope again supported the olaparib listing, noting the high clinical need for patients with </w:t>
      </w:r>
      <w:r w:rsidRPr="00743512">
        <w:rPr>
          <w:i/>
        </w:rPr>
        <w:t xml:space="preserve">BRCA </w:t>
      </w:r>
      <w:r w:rsidRPr="00743512">
        <w:t xml:space="preserve">mutations and the impact of the disease on patients including fear of recurrence and reduced survival. </w:t>
      </w:r>
    </w:p>
    <w:p w14:paraId="583D6D45" w14:textId="6A9B57B1" w:rsidR="004B4ADE" w:rsidRPr="00743512" w:rsidRDefault="004B4ADE" w:rsidP="004B4ADE">
      <w:pPr>
        <w:widowControl w:val="0"/>
        <w:numPr>
          <w:ilvl w:val="1"/>
          <w:numId w:val="1"/>
        </w:numPr>
        <w:spacing w:after="120"/>
        <w:rPr>
          <w:rFonts w:asciiTheme="minorHAnsi" w:hAnsiTheme="minorHAnsi"/>
          <w:bCs/>
          <w:snapToGrid w:val="0"/>
        </w:rPr>
      </w:pPr>
      <w:r w:rsidRPr="00743512">
        <w:t xml:space="preserve">The BCNA supported the proposed listing on the basis of the OlympiA trial. As well as improved survival, the BCNA highlighted the psycho-social benefits from the addition of targeted treatment rather than watch and wait for this high-risk group. Along with Pink Hope, BCNA noted that without public subsidy for both the </w:t>
      </w:r>
      <w:r w:rsidRPr="00743512">
        <w:rPr>
          <w:i/>
          <w:iCs/>
        </w:rPr>
        <w:t>BRCA</w:t>
      </w:r>
      <w:r w:rsidRPr="00743512">
        <w:t xml:space="preserve"> testing and olaparib, there would be inequitable access to treatment with the benefits only being available to those who could self-fund.</w:t>
      </w:r>
    </w:p>
    <w:p w14:paraId="585B6AC3" w14:textId="475B55B4" w:rsidR="00C46CE2" w:rsidRPr="00743512" w:rsidRDefault="00C46CE2" w:rsidP="00C46CE2">
      <w:pPr>
        <w:pStyle w:val="4-SubsectionHeading"/>
        <w:rPr>
          <w:iCs/>
        </w:rPr>
      </w:pPr>
      <w:r w:rsidRPr="00743512">
        <w:rPr>
          <w:iCs/>
        </w:rPr>
        <w:t>Clinical trials</w:t>
      </w:r>
      <w:bookmarkEnd w:id="30"/>
      <w:bookmarkEnd w:id="32"/>
      <w:bookmarkEnd w:id="33"/>
    </w:p>
    <w:p w14:paraId="461BADC8" w14:textId="6F12B0A5" w:rsidR="00C46CE2" w:rsidRPr="00743512" w:rsidRDefault="00C46CE2" w:rsidP="001074C6">
      <w:pPr>
        <w:pStyle w:val="3-BodyText"/>
        <w:numPr>
          <w:ilvl w:val="1"/>
          <w:numId w:val="9"/>
        </w:numPr>
        <w:snapToGrid w:val="0"/>
        <w:rPr>
          <w:color w:val="0066FF"/>
        </w:rPr>
      </w:pPr>
      <w:r w:rsidRPr="00743512">
        <w:t>The resubmission was based on one head-to-head trial comparing olaparib to placebo (n=1</w:t>
      </w:r>
      <w:r w:rsidR="00F93882" w:rsidRPr="00743512">
        <w:t>,</w:t>
      </w:r>
      <w:r w:rsidRPr="00743512">
        <w:t>836), the OlympiA trial.</w:t>
      </w:r>
      <w:r w:rsidRPr="00743512">
        <w:rPr>
          <w:color w:val="0066FF"/>
        </w:rPr>
        <w:t xml:space="preserve"> </w:t>
      </w:r>
    </w:p>
    <w:p w14:paraId="2EE69D8F" w14:textId="158DA853" w:rsidR="00C46CE2" w:rsidRPr="00743512" w:rsidRDefault="00C46CE2" w:rsidP="001074C6">
      <w:pPr>
        <w:pStyle w:val="3-BodyText"/>
        <w:numPr>
          <w:ilvl w:val="1"/>
          <w:numId w:val="9"/>
        </w:numPr>
        <w:snapToGrid w:val="0"/>
        <w:rPr>
          <w:rStyle w:val="CommentReference"/>
          <w:rFonts w:eastAsiaTheme="majorEastAsia"/>
          <w:b w:val="0"/>
        </w:rPr>
      </w:pPr>
      <w:r w:rsidRPr="00743512">
        <w:t xml:space="preserve">Details of this trial and the associated reports are provided in </w:t>
      </w:r>
      <w:r w:rsidRPr="00743512">
        <w:fldChar w:fldCharType="begin"/>
      </w:r>
      <w:r w:rsidRPr="00743512">
        <w:instrText xml:space="preserve"> REF _Ref144280630 \h </w:instrText>
      </w:r>
      <w:r w:rsidRPr="00743512">
        <w:fldChar w:fldCharType="separate"/>
      </w:r>
      <w:r w:rsidR="00D2565D" w:rsidRPr="00743512">
        <w:t xml:space="preserve">Table </w:t>
      </w:r>
      <w:r w:rsidR="00D2565D">
        <w:rPr>
          <w:noProof/>
        </w:rPr>
        <w:t>4</w:t>
      </w:r>
      <w:r w:rsidRPr="00743512">
        <w:fldChar w:fldCharType="end"/>
      </w:r>
      <w:r w:rsidRPr="00743512">
        <w:t>. The key trial has not changed from the previous submission. Two additional citations were identified during the updated literature search carried out for the resubmission</w:t>
      </w:r>
      <w:r w:rsidR="003E03DB" w:rsidRPr="00743512">
        <w:t>. However, the data presented in these publications –</w:t>
      </w:r>
      <w:r w:rsidR="009A5607" w:rsidRPr="00743512">
        <w:t xml:space="preserve"> </w:t>
      </w:r>
      <w:r w:rsidR="003E03DB" w:rsidRPr="00743512">
        <w:t xml:space="preserve">the OS results from the pre-specified second interim analysis (Geyer et al 2022) and the results for the patients from Japan in the OlympiA (Yamauchi et al 2023) – </w:t>
      </w:r>
      <w:r w:rsidR="009A5607" w:rsidRPr="00743512">
        <w:t>were</w:t>
      </w:r>
      <w:r w:rsidR="003E03DB" w:rsidRPr="00743512">
        <w:t xml:space="preserve"> seen by the PBAC at the March 2023 meeting</w:t>
      </w:r>
      <w:bookmarkStart w:id="36" w:name="_Hlk145326626"/>
      <w:r w:rsidR="00BB7B90" w:rsidRPr="00743512">
        <w:t>.</w:t>
      </w:r>
      <w:bookmarkEnd w:id="36"/>
      <w:r w:rsidR="00BB7B90" w:rsidRPr="00743512">
        <w:t xml:space="preserve"> </w:t>
      </w:r>
    </w:p>
    <w:p w14:paraId="603750DD" w14:textId="5344B19F" w:rsidR="00C46CE2" w:rsidRPr="00743512" w:rsidRDefault="00C46CE2" w:rsidP="00C46CE2">
      <w:pPr>
        <w:pStyle w:val="Caption"/>
      </w:pPr>
      <w:bookmarkStart w:id="37" w:name="_Ref144280630"/>
      <w:r w:rsidRPr="00743512">
        <w:t xml:space="preserve">Table </w:t>
      </w:r>
      <w:r w:rsidR="00D2565D">
        <w:fldChar w:fldCharType="begin"/>
      </w:r>
      <w:r w:rsidR="00D2565D">
        <w:instrText xml:space="preserve"> SEQ Table \* ARABIC </w:instrText>
      </w:r>
      <w:r w:rsidR="00D2565D">
        <w:fldChar w:fldCharType="separate"/>
      </w:r>
      <w:r w:rsidR="00D2565D">
        <w:rPr>
          <w:noProof/>
        </w:rPr>
        <w:t>4</w:t>
      </w:r>
      <w:r w:rsidR="00D2565D">
        <w:rPr>
          <w:noProof/>
        </w:rPr>
        <w:fldChar w:fldCharType="end"/>
      </w:r>
      <w:bookmarkEnd w:id="37"/>
      <w:r w:rsidRPr="00743512">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resubmission."/>
      </w:tblPr>
      <w:tblGrid>
        <w:gridCol w:w="1123"/>
        <w:gridCol w:w="4391"/>
        <w:gridCol w:w="3503"/>
      </w:tblGrid>
      <w:tr w:rsidR="00C46CE2" w:rsidRPr="00743512" w14:paraId="63DF60FB" w14:textId="77777777" w:rsidTr="00EE69DF">
        <w:trPr>
          <w:cantSplit/>
          <w:tblHeader/>
        </w:trPr>
        <w:tc>
          <w:tcPr>
            <w:tcW w:w="623" w:type="pct"/>
            <w:vAlign w:val="center"/>
          </w:tcPr>
          <w:p w14:paraId="452606ED" w14:textId="77777777" w:rsidR="00C46CE2" w:rsidRPr="00743512" w:rsidRDefault="00C46CE2" w:rsidP="004F5B47">
            <w:pPr>
              <w:pStyle w:val="In-tableHeading"/>
              <w:keepNext w:val="0"/>
              <w:widowControl w:val="0"/>
              <w:jc w:val="center"/>
              <w:rPr>
                <w:lang w:val="en-AU"/>
              </w:rPr>
            </w:pPr>
            <w:r w:rsidRPr="00743512">
              <w:rPr>
                <w:lang w:val="en-AU"/>
              </w:rPr>
              <w:t>Trial ID</w:t>
            </w:r>
          </w:p>
        </w:tc>
        <w:tc>
          <w:tcPr>
            <w:tcW w:w="2435" w:type="pct"/>
            <w:vAlign w:val="center"/>
          </w:tcPr>
          <w:p w14:paraId="5EE4875D" w14:textId="77777777" w:rsidR="00C46CE2" w:rsidRPr="00743512" w:rsidRDefault="00C46CE2" w:rsidP="004F5B47">
            <w:pPr>
              <w:pStyle w:val="In-tableHeading"/>
              <w:keepNext w:val="0"/>
              <w:widowControl w:val="0"/>
              <w:rPr>
                <w:lang w:val="en-AU"/>
              </w:rPr>
            </w:pPr>
            <w:r w:rsidRPr="00743512">
              <w:rPr>
                <w:lang w:val="en-AU"/>
              </w:rPr>
              <w:t>Protocol title/ Publication title</w:t>
            </w:r>
          </w:p>
        </w:tc>
        <w:tc>
          <w:tcPr>
            <w:tcW w:w="1942" w:type="pct"/>
            <w:vAlign w:val="center"/>
          </w:tcPr>
          <w:p w14:paraId="0029EFC1" w14:textId="77777777" w:rsidR="00C46CE2" w:rsidRPr="00743512" w:rsidRDefault="00C46CE2" w:rsidP="004F5B47">
            <w:pPr>
              <w:pStyle w:val="In-tableHeading"/>
              <w:keepNext w:val="0"/>
              <w:widowControl w:val="0"/>
              <w:rPr>
                <w:lang w:val="en-AU"/>
              </w:rPr>
            </w:pPr>
            <w:r w:rsidRPr="00743512">
              <w:rPr>
                <w:lang w:val="en-AU"/>
              </w:rPr>
              <w:t>Publication citation</w:t>
            </w:r>
          </w:p>
        </w:tc>
      </w:tr>
      <w:tr w:rsidR="00C46CE2" w:rsidRPr="00743512" w14:paraId="410E756F" w14:textId="77777777" w:rsidTr="00EE69DF">
        <w:trPr>
          <w:cantSplit/>
        </w:trPr>
        <w:tc>
          <w:tcPr>
            <w:tcW w:w="623" w:type="pct"/>
            <w:vMerge w:val="restart"/>
            <w:vAlign w:val="center"/>
          </w:tcPr>
          <w:p w14:paraId="0B985AED" w14:textId="77777777" w:rsidR="00C46CE2" w:rsidRPr="00743512" w:rsidRDefault="00C46CE2" w:rsidP="004F5B47">
            <w:pPr>
              <w:widowControl w:val="0"/>
              <w:jc w:val="center"/>
              <w:rPr>
                <w:rFonts w:ascii="Arial Narrow" w:hAnsi="Arial Narrow"/>
                <w:sz w:val="20"/>
                <w:szCs w:val="20"/>
              </w:rPr>
            </w:pPr>
            <w:r w:rsidRPr="00743512">
              <w:rPr>
                <w:rFonts w:ascii="Arial Narrow" w:hAnsi="Arial Narrow"/>
                <w:sz w:val="20"/>
                <w:szCs w:val="20"/>
              </w:rPr>
              <w:t>OlympiA</w:t>
            </w:r>
          </w:p>
          <w:p w14:paraId="6EE4DA83" w14:textId="77777777" w:rsidR="00C46CE2" w:rsidRPr="00743512" w:rsidRDefault="00C46CE2" w:rsidP="004F5B47">
            <w:pPr>
              <w:pStyle w:val="TableText0"/>
              <w:keepNext w:val="0"/>
              <w:widowControl w:val="0"/>
              <w:jc w:val="center"/>
            </w:pPr>
            <w:r w:rsidRPr="00743512">
              <w:rPr>
                <w:szCs w:val="20"/>
              </w:rPr>
              <w:t>NCT02032823</w:t>
            </w:r>
          </w:p>
        </w:tc>
        <w:tc>
          <w:tcPr>
            <w:tcW w:w="2435" w:type="pct"/>
            <w:shd w:val="clear" w:color="auto" w:fill="B8CCE4" w:themeFill="accent1" w:themeFillTint="66"/>
            <w:vAlign w:val="center"/>
          </w:tcPr>
          <w:p w14:paraId="76655457" w14:textId="028224BF" w:rsidR="00C46CE2" w:rsidRPr="00743512" w:rsidRDefault="00C46CE2" w:rsidP="001074C6">
            <w:pPr>
              <w:widowControl w:val="0"/>
              <w:rPr>
                <w:rFonts w:ascii="Arial Narrow" w:hAnsi="Arial Narrow"/>
                <w:sz w:val="20"/>
                <w:szCs w:val="20"/>
              </w:rPr>
            </w:pPr>
            <w:r w:rsidRPr="00743512">
              <w:rPr>
                <w:rFonts w:ascii="Arial Narrow" w:hAnsi="Arial Narrow"/>
                <w:sz w:val="20"/>
                <w:szCs w:val="20"/>
              </w:rPr>
              <w:t xml:space="preserve">A randomised, double-blind, parallel group, placebo-controlled multicentre Phase III study to assess the efficacy and safety of olaparib versus placebo as adjuvant treatment in patients with germline </w:t>
            </w:r>
            <w:r w:rsidR="00CD50D4" w:rsidRPr="00743512">
              <w:rPr>
                <w:rFonts w:ascii="Arial Narrow" w:hAnsi="Arial Narrow"/>
                <w:i/>
                <w:sz w:val="20"/>
                <w:szCs w:val="20"/>
              </w:rPr>
              <w:t>BRCA1</w:t>
            </w:r>
            <w:r w:rsidRPr="00743512">
              <w:rPr>
                <w:rFonts w:ascii="Arial Narrow" w:hAnsi="Arial Narrow"/>
                <w:i/>
                <w:iCs/>
                <w:sz w:val="20"/>
                <w:szCs w:val="20"/>
              </w:rPr>
              <w:t>/2</w:t>
            </w:r>
            <w:r w:rsidRPr="00743512">
              <w:rPr>
                <w:rFonts w:ascii="Arial Narrow" w:hAnsi="Arial Narrow"/>
                <w:sz w:val="20"/>
                <w:szCs w:val="20"/>
              </w:rPr>
              <w:t xml:space="preserve"> mutations and high-risk HER2 negative primary breast cancer who have completed definitive local treatment and neoadjuvant or adjuvant chemotherapy.</w:t>
            </w:r>
          </w:p>
        </w:tc>
        <w:tc>
          <w:tcPr>
            <w:tcW w:w="1942" w:type="pct"/>
            <w:shd w:val="clear" w:color="auto" w:fill="B8CCE4" w:themeFill="accent1" w:themeFillTint="66"/>
            <w:vAlign w:val="center"/>
          </w:tcPr>
          <w:p w14:paraId="28618A96" w14:textId="77777777" w:rsidR="00C46CE2" w:rsidRPr="00743512" w:rsidRDefault="00C46CE2" w:rsidP="004F5B47">
            <w:pPr>
              <w:pStyle w:val="TableText0"/>
              <w:keepNext w:val="0"/>
              <w:widowControl w:val="0"/>
              <w:rPr>
                <w:rFonts w:ascii="Times" w:hAnsi="Times"/>
              </w:rPr>
            </w:pPr>
            <w:r w:rsidRPr="00743512">
              <w:rPr>
                <w:szCs w:val="20"/>
              </w:rPr>
              <w:t>Interim Clinical Study Report; 12 July 2021</w:t>
            </w:r>
          </w:p>
        </w:tc>
      </w:tr>
      <w:tr w:rsidR="00C46CE2" w:rsidRPr="00743512" w14:paraId="54A0CAD1" w14:textId="77777777" w:rsidTr="00EE69DF">
        <w:trPr>
          <w:cantSplit/>
        </w:trPr>
        <w:tc>
          <w:tcPr>
            <w:tcW w:w="623" w:type="pct"/>
            <w:vMerge/>
            <w:vAlign w:val="center"/>
          </w:tcPr>
          <w:p w14:paraId="62BBEE1A" w14:textId="77777777" w:rsidR="00C46CE2" w:rsidRPr="00743512" w:rsidRDefault="00C46CE2" w:rsidP="004F5B47">
            <w:pPr>
              <w:pStyle w:val="TableText0"/>
              <w:keepNext w:val="0"/>
              <w:widowControl w:val="0"/>
              <w:jc w:val="center"/>
            </w:pPr>
          </w:p>
        </w:tc>
        <w:tc>
          <w:tcPr>
            <w:tcW w:w="2435" w:type="pct"/>
            <w:shd w:val="clear" w:color="auto" w:fill="B8CCE4" w:themeFill="accent1" w:themeFillTint="66"/>
            <w:vAlign w:val="center"/>
          </w:tcPr>
          <w:p w14:paraId="5EAA3FEC" w14:textId="5912E2FA" w:rsidR="00C46CE2" w:rsidRPr="00743512" w:rsidRDefault="00C46CE2" w:rsidP="004F5B47">
            <w:pPr>
              <w:pStyle w:val="TableText0"/>
              <w:keepNext w:val="0"/>
              <w:widowControl w:val="0"/>
            </w:pPr>
            <w:r w:rsidRPr="00743512">
              <w:rPr>
                <w:szCs w:val="20"/>
              </w:rPr>
              <w:t xml:space="preserve">Olaparib as Adjuvant Treatment in Patients With Germline </w:t>
            </w:r>
            <w:r w:rsidR="00CD50D4" w:rsidRPr="00743512">
              <w:rPr>
                <w:i/>
                <w:szCs w:val="20"/>
              </w:rPr>
              <w:t>BRCA</w:t>
            </w:r>
            <w:r w:rsidRPr="00743512">
              <w:rPr>
                <w:szCs w:val="20"/>
              </w:rPr>
              <w:t xml:space="preserve"> Mutated High-Risk HER2 Negative Primary Breast Cancer. 2014</w:t>
            </w:r>
          </w:p>
        </w:tc>
        <w:tc>
          <w:tcPr>
            <w:tcW w:w="1942" w:type="pct"/>
            <w:shd w:val="clear" w:color="auto" w:fill="B8CCE4" w:themeFill="accent1" w:themeFillTint="66"/>
            <w:vAlign w:val="center"/>
          </w:tcPr>
          <w:p w14:paraId="446330D4" w14:textId="17CCBE43" w:rsidR="00C46CE2" w:rsidRPr="00743512" w:rsidRDefault="00D2565D" w:rsidP="004F5B47">
            <w:pPr>
              <w:widowControl w:val="0"/>
              <w:rPr>
                <w:rFonts w:ascii="Arial Narrow" w:hAnsi="Arial Narrow"/>
                <w:sz w:val="20"/>
                <w:szCs w:val="20"/>
              </w:rPr>
            </w:pPr>
            <w:hyperlink r:id="rId10" w:history="1">
              <w:r w:rsidR="002745C2" w:rsidRPr="00743512">
                <w:rPr>
                  <w:rStyle w:val="Hyperlink"/>
                  <w:rFonts w:ascii="Arial Narrow" w:hAnsi="Arial Narrow"/>
                  <w:sz w:val="20"/>
                  <w:szCs w:val="20"/>
                </w:rPr>
                <w:t>https://clinicaltrials</w:t>
              </w:r>
            </w:hyperlink>
            <w:r w:rsidR="00C46CE2" w:rsidRPr="00743512">
              <w:rPr>
                <w:rFonts w:ascii="Arial Narrow" w:hAnsi="Arial Narrow"/>
                <w:sz w:val="20"/>
                <w:szCs w:val="20"/>
              </w:rPr>
              <w:t>.gov/ct2/show/NCT02032823</w:t>
            </w:r>
          </w:p>
          <w:p w14:paraId="2C5504AA" w14:textId="77777777" w:rsidR="00C46CE2" w:rsidRPr="00743512" w:rsidRDefault="00C46CE2" w:rsidP="004F5B47">
            <w:pPr>
              <w:pStyle w:val="TableText0"/>
              <w:keepNext w:val="0"/>
              <w:widowControl w:val="0"/>
            </w:pPr>
          </w:p>
        </w:tc>
      </w:tr>
      <w:tr w:rsidR="00C46CE2" w:rsidRPr="00743512" w14:paraId="74F456A0" w14:textId="77777777" w:rsidTr="00EE69DF">
        <w:trPr>
          <w:cantSplit/>
        </w:trPr>
        <w:tc>
          <w:tcPr>
            <w:tcW w:w="623" w:type="pct"/>
            <w:vMerge/>
            <w:vAlign w:val="center"/>
          </w:tcPr>
          <w:p w14:paraId="3791A4B2" w14:textId="77777777" w:rsidR="00C46CE2" w:rsidRPr="00743512" w:rsidRDefault="00C46CE2" w:rsidP="004F5B47">
            <w:pPr>
              <w:pStyle w:val="TableText0"/>
              <w:keepNext w:val="0"/>
              <w:widowControl w:val="0"/>
              <w:jc w:val="center"/>
            </w:pPr>
          </w:p>
        </w:tc>
        <w:tc>
          <w:tcPr>
            <w:tcW w:w="2435" w:type="pct"/>
            <w:shd w:val="clear" w:color="auto" w:fill="B8CCE4" w:themeFill="accent1" w:themeFillTint="66"/>
            <w:vAlign w:val="center"/>
          </w:tcPr>
          <w:p w14:paraId="562D224E" w14:textId="640081D8" w:rsidR="00C46CE2" w:rsidRPr="00743512" w:rsidRDefault="00C46CE2" w:rsidP="004F5B47">
            <w:pPr>
              <w:pStyle w:val="TableText0"/>
              <w:keepNext w:val="0"/>
              <w:widowControl w:val="0"/>
            </w:pPr>
            <w:r w:rsidRPr="00743512">
              <w:t xml:space="preserve">No author listed. Adjuvant Olaparib Improves Disease-Free Survival in Early, High-Risk, </w:t>
            </w:r>
            <w:r w:rsidR="00CD50D4" w:rsidRPr="00743512">
              <w:rPr>
                <w:i/>
              </w:rPr>
              <w:t>BRCA</w:t>
            </w:r>
            <w:r w:rsidRPr="00743512">
              <w:t xml:space="preserve"> Mutated, HER2- Breast Cancer</w:t>
            </w:r>
          </w:p>
        </w:tc>
        <w:tc>
          <w:tcPr>
            <w:tcW w:w="1942" w:type="pct"/>
            <w:shd w:val="clear" w:color="auto" w:fill="B8CCE4" w:themeFill="accent1" w:themeFillTint="66"/>
            <w:vAlign w:val="center"/>
          </w:tcPr>
          <w:p w14:paraId="1C89FE7A" w14:textId="77777777" w:rsidR="00C46CE2" w:rsidRPr="00743512" w:rsidRDefault="00C46CE2" w:rsidP="004F5B47">
            <w:pPr>
              <w:pStyle w:val="TableText0"/>
              <w:keepNext w:val="0"/>
              <w:widowControl w:val="0"/>
            </w:pPr>
            <w:r w:rsidRPr="00743512">
              <w:t>Oncologist 2012; 26 (suppl 3): S3-S4</w:t>
            </w:r>
          </w:p>
        </w:tc>
      </w:tr>
      <w:tr w:rsidR="00C46CE2" w:rsidRPr="00743512" w14:paraId="74A7E01B" w14:textId="77777777" w:rsidTr="00EE69DF">
        <w:trPr>
          <w:cantSplit/>
        </w:trPr>
        <w:tc>
          <w:tcPr>
            <w:tcW w:w="623" w:type="pct"/>
            <w:vMerge/>
            <w:vAlign w:val="center"/>
          </w:tcPr>
          <w:p w14:paraId="5CAC1CD4" w14:textId="77777777" w:rsidR="00C46CE2" w:rsidRPr="00743512" w:rsidRDefault="00C46CE2" w:rsidP="004F5B47">
            <w:pPr>
              <w:pStyle w:val="TableText0"/>
              <w:keepNext w:val="0"/>
              <w:widowControl w:val="0"/>
              <w:jc w:val="center"/>
              <w:rPr>
                <w:rFonts w:ascii="Times" w:hAnsi="Times"/>
              </w:rPr>
            </w:pPr>
          </w:p>
        </w:tc>
        <w:tc>
          <w:tcPr>
            <w:tcW w:w="2435" w:type="pct"/>
            <w:shd w:val="clear" w:color="auto" w:fill="B8CCE4" w:themeFill="accent1" w:themeFillTint="66"/>
            <w:vAlign w:val="center"/>
          </w:tcPr>
          <w:p w14:paraId="525CFCF4" w14:textId="737A5D29" w:rsidR="00C46CE2" w:rsidRPr="00743512" w:rsidRDefault="00C46CE2" w:rsidP="004F5B47">
            <w:pPr>
              <w:pStyle w:val="TableText0"/>
              <w:keepNext w:val="0"/>
              <w:widowControl w:val="0"/>
            </w:pPr>
            <w:r w:rsidRPr="00743512">
              <w:t xml:space="preserve">A. N. James Tutt, B. Kaufman, R. D. Gelber, </w:t>
            </w:r>
            <w:r w:rsidR="009A5607" w:rsidRPr="00743512">
              <w:t>et al</w:t>
            </w:r>
            <w:r w:rsidRPr="00743512">
              <w:t xml:space="preserve">. OlympiA: A randomised phase III trial of olaparib as adjuvant therapy in patients with high-risk HER2-negative breast cancer (BC) and a germline </w:t>
            </w:r>
            <w:r w:rsidRPr="00743512">
              <w:rPr>
                <w:i/>
                <w:iCs/>
              </w:rPr>
              <w:t>BRCA1/2</w:t>
            </w:r>
            <w:r w:rsidRPr="00743512">
              <w:t xml:space="preserve"> mutation (g</w:t>
            </w:r>
            <w:r w:rsidR="00CD50D4" w:rsidRPr="00743512">
              <w:rPr>
                <w:i/>
              </w:rPr>
              <w:t>BRCA</w:t>
            </w:r>
            <w:r w:rsidRPr="00743512">
              <w:t>m).</w:t>
            </w:r>
          </w:p>
        </w:tc>
        <w:tc>
          <w:tcPr>
            <w:tcW w:w="1942" w:type="pct"/>
            <w:shd w:val="clear" w:color="auto" w:fill="B8CCE4" w:themeFill="accent1" w:themeFillTint="66"/>
            <w:vAlign w:val="center"/>
          </w:tcPr>
          <w:p w14:paraId="5460FAD3" w14:textId="77777777" w:rsidR="00C46CE2" w:rsidRPr="00743512" w:rsidRDefault="00C46CE2" w:rsidP="004F5B47">
            <w:pPr>
              <w:pStyle w:val="TableBullet"/>
              <w:widowControl w:val="0"/>
              <w:numPr>
                <w:ilvl w:val="0"/>
                <w:numId w:val="0"/>
              </w:numPr>
              <w:spacing w:before="0" w:after="0" w:line="240" w:lineRule="auto"/>
            </w:pPr>
            <w:r w:rsidRPr="00743512">
              <w:t>Journal of Clinical Oncology. Conference 2015;33(15 SUPPL. 1)</w:t>
            </w:r>
          </w:p>
          <w:p w14:paraId="278356DB" w14:textId="77777777" w:rsidR="00C46CE2" w:rsidRPr="00743512" w:rsidRDefault="00C46CE2" w:rsidP="004F5B47">
            <w:pPr>
              <w:pStyle w:val="TableText0"/>
              <w:keepNext w:val="0"/>
              <w:widowControl w:val="0"/>
            </w:pPr>
          </w:p>
        </w:tc>
      </w:tr>
      <w:tr w:rsidR="00C46CE2" w:rsidRPr="00743512" w14:paraId="2A9A2871" w14:textId="77777777" w:rsidTr="00EE69DF">
        <w:trPr>
          <w:cantSplit/>
        </w:trPr>
        <w:tc>
          <w:tcPr>
            <w:tcW w:w="623" w:type="pct"/>
            <w:vMerge/>
            <w:vAlign w:val="center"/>
          </w:tcPr>
          <w:p w14:paraId="674D4FC3" w14:textId="77777777" w:rsidR="00C46CE2" w:rsidRPr="00743512" w:rsidRDefault="00C46CE2" w:rsidP="004F5B47">
            <w:pPr>
              <w:pStyle w:val="TableText0"/>
              <w:keepNext w:val="0"/>
              <w:widowControl w:val="0"/>
              <w:jc w:val="center"/>
            </w:pPr>
          </w:p>
        </w:tc>
        <w:tc>
          <w:tcPr>
            <w:tcW w:w="2435" w:type="pct"/>
            <w:shd w:val="clear" w:color="auto" w:fill="B8CCE4" w:themeFill="accent1" w:themeFillTint="66"/>
            <w:vAlign w:val="center"/>
          </w:tcPr>
          <w:p w14:paraId="59ED6130" w14:textId="5FE3CCE8" w:rsidR="00C46CE2" w:rsidRPr="00743512" w:rsidRDefault="00C46CE2" w:rsidP="004F5B47">
            <w:pPr>
              <w:pStyle w:val="TableText0"/>
              <w:keepNext w:val="0"/>
              <w:widowControl w:val="0"/>
            </w:pPr>
            <w:r w:rsidRPr="00743512">
              <w:t xml:space="preserve">A. Tutt, J. E. Garber, B. Kaufman, </w:t>
            </w:r>
            <w:r w:rsidR="009A5607" w:rsidRPr="00743512">
              <w:t xml:space="preserve">et al. </w:t>
            </w:r>
            <w:r w:rsidRPr="00743512">
              <w:t xml:space="preserve">OlympiA: A phase III, multicentre, randomised, placebo-controlled trial of adjuvant olaparib after (Neo)adjuvant chemotherapy in patients with germline </w:t>
            </w:r>
            <w:r w:rsidR="00CD50D4" w:rsidRPr="00743512">
              <w:rPr>
                <w:i/>
              </w:rPr>
              <w:t>BRCA1/2</w:t>
            </w:r>
            <w:r w:rsidRPr="00743512">
              <w:t xml:space="preserve"> mutations and high-risk HER2-negative early breast cancer.</w:t>
            </w:r>
          </w:p>
        </w:tc>
        <w:tc>
          <w:tcPr>
            <w:tcW w:w="1942" w:type="pct"/>
            <w:shd w:val="clear" w:color="auto" w:fill="B8CCE4" w:themeFill="accent1" w:themeFillTint="66"/>
            <w:vAlign w:val="center"/>
          </w:tcPr>
          <w:p w14:paraId="02B66700" w14:textId="77777777" w:rsidR="00C46CE2" w:rsidRPr="00743512" w:rsidRDefault="00C46CE2" w:rsidP="004F5B47">
            <w:pPr>
              <w:pStyle w:val="TableText0"/>
              <w:keepNext w:val="0"/>
              <w:widowControl w:val="0"/>
            </w:pPr>
            <w:r w:rsidRPr="00743512">
              <w:t>Journal of Clinical Oncology. Conference: American Society of Clinical Oncology Annual Meeting, ASCO 2021;39(18 SUPPL)</w:t>
            </w:r>
          </w:p>
        </w:tc>
      </w:tr>
      <w:tr w:rsidR="00C46CE2" w:rsidRPr="00743512" w14:paraId="2D45FE85" w14:textId="77777777" w:rsidTr="00EE69DF">
        <w:trPr>
          <w:cantSplit/>
        </w:trPr>
        <w:tc>
          <w:tcPr>
            <w:tcW w:w="623" w:type="pct"/>
            <w:vMerge/>
            <w:vAlign w:val="center"/>
          </w:tcPr>
          <w:p w14:paraId="770E4ECB" w14:textId="77777777" w:rsidR="00C46CE2" w:rsidRPr="00743512" w:rsidRDefault="00C46CE2" w:rsidP="004F5B47">
            <w:pPr>
              <w:pStyle w:val="TableText0"/>
              <w:keepNext w:val="0"/>
              <w:widowControl w:val="0"/>
              <w:jc w:val="center"/>
            </w:pPr>
          </w:p>
        </w:tc>
        <w:tc>
          <w:tcPr>
            <w:tcW w:w="2435" w:type="pct"/>
            <w:shd w:val="clear" w:color="auto" w:fill="B8CCE4" w:themeFill="accent1" w:themeFillTint="66"/>
            <w:vAlign w:val="center"/>
          </w:tcPr>
          <w:p w14:paraId="23A54753" w14:textId="49817221" w:rsidR="00C46CE2" w:rsidRPr="00743512" w:rsidRDefault="00C46CE2" w:rsidP="004F5B47">
            <w:pPr>
              <w:pStyle w:val="TableText0"/>
              <w:keepNext w:val="0"/>
              <w:widowControl w:val="0"/>
            </w:pPr>
            <w:r w:rsidRPr="00743512">
              <w:t xml:space="preserve">A. N. J. Tutt, J. E. Garber, B. Kaufman, </w:t>
            </w:r>
            <w:r w:rsidR="009A5607" w:rsidRPr="00743512">
              <w:t>et al</w:t>
            </w:r>
            <w:r w:rsidRPr="00743512">
              <w:t xml:space="preserve">, </w:t>
            </w:r>
            <w:r w:rsidR="00202B17" w:rsidRPr="00743512">
              <w:t>for the OlympiA Clinical Trial Steering Committee and Investigators</w:t>
            </w:r>
            <w:r w:rsidRPr="00743512">
              <w:t xml:space="preserve">. Adjuvant Olaparib for Patients with </w:t>
            </w:r>
            <w:r w:rsidR="00CD50D4" w:rsidRPr="00743512">
              <w:rPr>
                <w:i/>
              </w:rPr>
              <w:t>BRCA1</w:t>
            </w:r>
            <w:r w:rsidRPr="00743512">
              <w:t xml:space="preserve">- or </w:t>
            </w:r>
            <w:r w:rsidR="00CD50D4" w:rsidRPr="00743512">
              <w:rPr>
                <w:i/>
              </w:rPr>
              <w:t>BRCA2</w:t>
            </w:r>
            <w:r w:rsidRPr="00743512">
              <w:t>-Mutated Breast Cancer</w:t>
            </w:r>
          </w:p>
        </w:tc>
        <w:tc>
          <w:tcPr>
            <w:tcW w:w="1942" w:type="pct"/>
            <w:shd w:val="clear" w:color="auto" w:fill="B8CCE4" w:themeFill="accent1" w:themeFillTint="66"/>
            <w:vAlign w:val="center"/>
          </w:tcPr>
          <w:p w14:paraId="16AE06C2" w14:textId="77777777" w:rsidR="00C46CE2" w:rsidRPr="00743512" w:rsidRDefault="00C46CE2" w:rsidP="004F5B47">
            <w:pPr>
              <w:pStyle w:val="TableText0"/>
              <w:keepNext w:val="0"/>
              <w:widowControl w:val="0"/>
              <w:rPr>
                <w:rFonts w:ascii="Times" w:hAnsi="Times"/>
              </w:rPr>
            </w:pPr>
            <w:r w:rsidRPr="00743512">
              <w:t>New England journal of medicine 2021; 384(25):2394-2405</w:t>
            </w:r>
          </w:p>
        </w:tc>
      </w:tr>
      <w:tr w:rsidR="00C46CE2" w:rsidRPr="00743512" w14:paraId="26FDAB7D" w14:textId="77777777" w:rsidTr="00EE69DF">
        <w:trPr>
          <w:cantSplit/>
        </w:trPr>
        <w:tc>
          <w:tcPr>
            <w:tcW w:w="623" w:type="pct"/>
            <w:vMerge/>
            <w:vAlign w:val="center"/>
          </w:tcPr>
          <w:p w14:paraId="7141F713" w14:textId="77777777" w:rsidR="00C46CE2" w:rsidRPr="00743512" w:rsidRDefault="00C46CE2" w:rsidP="004F5B47">
            <w:pPr>
              <w:pStyle w:val="TableText0"/>
              <w:keepNext w:val="0"/>
              <w:widowControl w:val="0"/>
              <w:jc w:val="center"/>
            </w:pPr>
          </w:p>
        </w:tc>
        <w:tc>
          <w:tcPr>
            <w:tcW w:w="2435" w:type="pct"/>
            <w:shd w:val="clear" w:color="auto" w:fill="B8CCE4" w:themeFill="accent1" w:themeFillTint="66"/>
            <w:vAlign w:val="center"/>
          </w:tcPr>
          <w:p w14:paraId="3245CC1B" w14:textId="6493D113" w:rsidR="00C46CE2" w:rsidRPr="00743512" w:rsidRDefault="00C46CE2" w:rsidP="004F5B47">
            <w:pPr>
              <w:pStyle w:val="TableText0"/>
              <w:keepNext w:val="0"/>
              <w:widowControl w:val="0"/>
            </w:pPr>
            <w:r w:rsidRPr="00743512">
              <w:t xml:space="preserve">A. N. J. Tutt, J. Garber, R. D. Gelber, </w:t>
            </w:r>
            <w:r w:rsidR="009A5607" w:rsidRPr="00743512">
              <w:t xml:space="preserve">et al. </w:t>
            </w:r>
            <w:r w:rsidRPr="00743512">
              <w:t xml:space="preserve">VP1-2022: prespecified event driven analysis of Overall Survival (OS) in the OlympiA phase III trial of adjuvant olaparib (OL) in germline </w:t>
            </w:r>
            <w:r w:rsidR="00CD50D4" w:rsidRPr="00743512">
              <w:rPr>
                <w:i/>
              </w:rPr>
              <w:t>BRCA1/2</w:t>
            </w:r>
            <w:r w:rsidRPr="00743512">
              <w:t xml:space="preserve"> mutation (g</w:t>
            </w:r>
            <w:r w:rsidR="00CD50D4" w:rsidRPr="00743512">
              <w:rPr>
                <w:i/>
              </w:rPr>
              <w:t>BRCA</w:t>
            </w:r>
            <w:r w:rsidRPr="00743512">
              <w:t>m) associated breast cancer.</w:t>
            </w:r>
          </w:p>
        </w:tc>
        <w:tc>
          <w:tcPr>
            <w:tcW w:w="1942" w:type="pct"/>
            <w:shd w:val="clear" w:color="auto" w:fill="B8CCE4" w:themeFill="accent1" w:themeFillTint="66"/>
            <w:vAlign w:val="center"/>
          </w:tcPr>
          <w:p w14:paraId="3AB403AC" w14:textId="77777777" w:rsidR="00C46CE2" w:rsidRPr="00743512" w:rsidRDefault="00C46CE2" w:rsidP="004F5B47">
            <w:pPr>
              <w:pStyle w:val="TableText0"/>
              <w:keepNext w:val="0"/>
              <w:widowControl w:val="0"/>
              <w:rPr>
                <w:rFonts w:ascii="Times" w:hAnsi="Times"/>
              </w:rPr>
            </w:pPr>
            <w:r w:rsidRPr="00743512">
              <w:t>Annals of oncology 2022;33(5):566-568</w:t>
            </w:r>
          </w:p>
        </w:tc>
      </w:tr>
      <w:tr w:rsidR="00C46CE2" w:rsidRPr="00743512" w14:paraId="3572BF85" w14:textId="77777777" w:rsidTr="00EE69DF">
        <w:trPr>
          <w:cantSplit/>
        </w:trPr>
        <w:tc>
          <w:tcPr>
            <w:tcW w:w="623" w:type="pct"/>
            <w:vMerge/>
            <w:vAlign w:val="center"/>
          </w:tcPr>
          <w:p w14:paraId="6CA89141" w14:textId="77777777" w:rsidR="00C46CE2" w:rsidRPr="00743512" w:rsidRDefault="00C46CE2" w:rsidP="004F5B47">
            <w:pPr>
              <w:pStyle w:val="Tabletext"/>
              <w:widowControl w:val="0"/>
            </w:pPr>
          </w:p>
        </w:tc>
        <w:tc>
          <w:tcPr>
            <w:tcW w:w="2435" w:type="pct"/>
            <w:vAlign w:val="center"/>
          </w:tcPr>
          <w:p w14:paraId="44AA2842" w14:textId="559B3393" w:rsidR="00C46CE2" w:rsidRPr="00743512" w:rsidRDefault="00C46CE2" w:rsidP="004F5B47">
            <w:pPr>
              <w:pStyle w:val="TableText0"/>
              <w:keepNext w:val="0"/>
              <w:widowControl w:val="0"/>
              <w:rPr>
                <w:color w:val="0070C0"/>
              </w:rPr>
            </w:pPr>
            <w:r w:rsidRPr="00743512">
              <w:t xml:space="preserve">Geyer, C., Garber, J., Gelber, R., </w:t>
            </w:r>
            <w:r w:rsidR="009A5607" w:rsidRPr="00743512">
              <w:t xml:space="preserve">et al. </w:t>
            </w:r>
            <w:r w:rsidRPr="00743512">
              <w:t xml:space="preserve">Overall survival in the OlympiA phase III trial of adjuvant olaparib in patients with germline pathogenic variants in </w:t>
            </w:r>
            <w:r w:rsidR="00CD50D4" w:rsidRPr="00743512">
              <w:rPr>
                <w:i/>
              </w:rPr>
              <w:t>BRCA1/2</w:t>
            </w:r>
            <w:r w:rsidRPr="00743512">
              <w:t xml:space="preserve"> and high-risk, early breast cancer</w:t>
            </w:r>
            <w:r w:rsidRPr="00743512">
              <w:rPr>
                <w:color w:val="0070C0"/>
              </w:rPr>
              <w:t>.</w:t>
            </w:r>
          </w:p>
        </w:tc>
        <w:tc>
          <w:tcPr>
            <w:tcW w:w="1942" w:type="pct"/>
            <w:vAlign w:val="center"/>
          </w:tcPr>
          <w:p w14:paraId="4ED75207" w14:textId="77777777" w:rsidR="00C46CE2" w:rsidRPr="00743512" w:rsidRDefault="00C46CE2" w:rsidP="004F5B47">
            <w:pPr>
              <w:pStyle w:val="TableText0"/>
              <w:keepNext w:val="0"/>
              <w:widowControl w:val="0"/>
            </w:pPr>
            <w:r w:rsidRPr="00743512">
              <w:t>Annals of Oncology</w:t>
            </w:r>
            <w:r w:rsidRPr="00743512">
              <w:rPr>
                <w:iCs/>
              </w:rPr>
              <w:t xml:space="preserve"> 2022;</w:t>
            </w:r>
            <w:r w:rsidRPr="00743512">
              <w:t xml:space="preserve"> </w:t>
            </w:r>
            <w:r w:rsidRPr="00743512">
              <w:rPr>
                <w:iCs/>
              </w:rPr>
              <w:t xml:space="preserve">33(12):1250-1268 </w:t>
            </w:r>
          </w:p>
        </w:tc>
      </w:tr>
      <w:tr w:rsidR="00C46CE2" w:rsidRPr="00743512" w14:paraId="1017AD65" w14:textId="77777777" w:rsidTr="00EE69DF">
        <w:trPr>
          <w:cantSplit/>
        </w:trPr>
        <w:tc>
          <w:tcPr>
            <w:tcW w:w="623" w:type="pct"/>
            <w:vAlign w:val="center"/>
          </w:tcPr>
          <w:p w14:paraId="0E2A1727" w14:textId="77777777" w:rsidR="00C46CE2" w:rsidRPr="00743512" w:rsidRDefault="00C46CE2" w:rsidP="004F5B47">
            <w:pPr>
              <w:pStyle w:val="Tabletext"/>
              <w:widowControl w:val="0"/>
            </w:pPr>
          </w:p>
        </w:tc>
        <w:tc>
          <w:tcPr>
            <w:tcW w:w="2435" w:type="pct"/>
            <w:vAlign w:val="center"/>
          </w:tcPr>
          <w:p w14:paraId="7FC6F1BB" w14:textId="1B0DE00D" w:rsidR="00C46CE2" w:rsidRPr="00743512" w:rsidRDefault="00C46CE2" w:rsidP="004F5B47">
            <w:pPr>
              <w:pStyle w:val="TableText0"/>
              <w:keepNext w:val="0"/>
              <w:widowControl w:val="0"/>
            </w:pPr>
            <w:r w:rsidRPr="00743512">
              <w:rPr>
                <w:lang w:eastAsia="en-US"/>
              </w:rPr>
              <w:t xml:space="preserve">Yamauchi, H., Toi, M., Takayama, S., </w:t>
            </w:r>
            <w:r w:rsidR="009A5607" w:rsidRPr="00743512">
              <w:rPr>
                <w:lang w:eastAsia="en-US"/>
              </w:rPr>
              <w:t xml:space="preserve">et al. </w:t>
            </w:r>
            <w:r w:rsidRPr="00743512">
              <w:rPr>
                <w:lang w:eastAsia="en-US"/>
              </w:rPr>
              <w:t xml:space="preserve">Adjuvant olaparib in the subset of patients from Japan with </w:t>
            </w:r>
            <w:r w:rsidR="00CD50D4" w:rsidRPr="00743512">
              <w:rPr>
                <w:i/>
                <w:lang w:eastAsia="en-US"/>
              </w:rPr>
              <w:t>BRCA1</w:t>
            </w:r>
            <w:r w:rsidRPr="00743512">
              <w:rPr>
                <w:lang w:eastAsia="en-US"/>
              </w:rPr>
              <w:t xml:space="preserve">- or </w:t>
            </w:r>
            <w:r w:rsidR="00CD50D4" w:rsidRPr="00743512">
              <w:rPr>
                <w:i/>
                <w:lang w:eastAsia="en-US"/>
              </w:rPr>
              <w:t>BRCA2</w:t>
            </w:r>
            <w:r w:rsidRPr="00743512">
              <w:rPr>
                <w:lang w:eastAsia="en-US"/>
              </w:rPr>
              <w:t>-mutated high-risk early breast cancer from the phase 3 OlympiA trial.</w:t>
            </w:r>
          </w:p>
        </w:tc>
        <w:tc>
          <w:tcPr>
            <w:tcW w:w="1942" w:type="pct"/>
            <w:vAlign w:val="center"/>
          </w:tcPr>
          <w:p w14:paraId="0E34867A" w14:textId="77777777" w:rsidR="00C46CE2" w:rsidRPr="00743512" w:rsidRDefault="00C46CE2" w:rsidP="004F5B47">
            <w:pPr>
              <w:pStyle w:val="TableText0"/>
              <w:keepNext w:val="0"/>
              <w:widowControl w:val="0"/>
              <w:rPr>
                <w:iCs/>
              </w:rPr>
            </w:pPr>
            <w:r w:rsidRPr="00743512">
              <w:t>Breast Cancer</w:t>
            </w:r>
            <w:r w:rsidRPr="00743512">
              <w:rPr>
                <w:iCs/>
              </w:rPr>
              <w:t xml:space="preserve"> 2023; 30(4):596-605</w:t>
            </w:r>
          </w:p>
        </w:tc>
      </w:tr>
    </w:tbl>
    <w:p w14:paraId="7763C292" w14:textId="77777777" w:rsidR="00C46CE2" w:rsidRPr="00743512" w:rsidRDefault="00C46CE2" w:rsidP="00C46CE2">
      <w:pPr>
        <w:pStyle w:val="3-BodyText"/>
        <w:numPr>
          <w:ilvl w:val="0"/>
          <w:numId w:val="0"/>
        </w:numPr>
        <w:snapToGrid w:val="0"/>
        <w:spacing w:after="0"/>
        <w:ind w:left="720" w:hanging="720"/>
        <w:rPr>
          <w:rFonts w:ascii="Arial Narrow" w:eastAsiaTheme="majorEastAsia" w:hAnsi="Arial Narrow" w:cstheme="majorBidi"/>
          <w:bCs/>
          <w:sz w:val="18"/>
          <w:szCs w:val="18"/>
        </w:rPr>
      </w:pPr>
      <w:r w:rsidRPr="00743512">
        <w:rPr>
          <w:rFonts w:ascii="Arial Narrow" w:eastAsiaTheme="majorEastAsia" w:hAnsi="Arial Narrow" w:cstheme="majorBidi"/>
          <w:bCs/>
          <w:sz w:val="18"/>
          <w:szCs w:val="18"/>
        </w:rPr>
        <w:t>Source: Table 2.5, pp42-43 of the resubmission.</w:t>
      </w:r>
    </w:p>
    <w:p w14:paraId="44BDF664" w14:textId="39782E40" w:rsidR="00C46CE2" w:rsidRPr="00F32823" w:rsidRDefault="00C46CE2" w:rsidP="00F32823">
      <w:pPr>
        <w:pStyle w:val="3-BodyText"/>
        <w:numPr>
          <w:ilvl w:val="0"/>
          <w:numId w:val="0"/>
        </w:numPr>
        <w:snapToGrid w:val="0"/>
        <w:ind w:left="720" w:hanging="720"/>
        <w:rPr>
          <w:rFonts w:ascii="Arial Narrow" w:eastAsiaTheme="majorEastAsia" w:hAnsi="Arial Narrow" w:cstheme="majorBidi"/>
          <w:bCs/>
          <w:sz w:val="20"/>
          <w:szCs w:val="20"/>
        </w:rPr>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w:t>
      </w:r>
      <w:r w:rsidR="00E9565E" w:rsidRPr="00743512">
        <w:rPr>
          <w:rStyle w:val="CommentReference"/>
          <w:b w:val="0"/>
          <w:bCs/>
          <w:sz w:val="18"/>
          <w:szCs w:val="18"/>
        </w:rPr>
        <w:t>information</w:t>
      </w:r>
      <w:r w:rsidRPr="00743512">
        <w:rPr>
          <w:rStyle w:val="CommentReference"/>
          <w:b w:val="0"/>
          <w:bCs/>
          <w:sz w:val="18"/>
          <w:szCs w:val="18"/>
        </w:rPr>
        <w:t xml:space="preserve"> previously seen by the PBAC. </w:t>
      </w:r>
    </w:p>
    <w:p w14:paraId="46A243D4" w14:textId="29AC46E4" w:rsidR="00C46CE2" w:rsidRPr="00743512" w:rsidRDefault="00C46CE2" w:rsidP="001074C6">
      <w:pPr>
        <w:pStyle w:val="3-BodyText"/>
        <w:numPr>
          <w:ilvl w:val="1"/>
          <w:numId w:val="9"/>
        </w:numPr>
        <w:snapToGrid w:val="0"/>
        <w:rPr>
          <w:rStyle w:val="CommentReference"/>
          <w:rFonts w:eastAsiaTheme="majorEastAsia" w:cstheme="majorBidi"/>
        </w:rPr>
      </w:pPr>
      <w:r w:rsidRPr="00743512">
        <w:t xml:space="preserve">The key features of the direct randomised trial are summarised in </w:t>
      </w:r>
      <w:r w:rsidRPr="00743512">
        <w:fldChar w:fldCharType="begin"/>
      </w:r>
      <w:r w:rsidRPr="00743512">
        <w:instrText xml:space="preserve"> REF _Ref121011716 \h </w:instrText>
      </w:r>
      <w:r w:rsidRPr="00743512">
        <w:fldChar w:fldCharType="separate"/>
      </w:r>
      <w:r w:rsidR="00D2565D" w:rsidRPr="00743512">
        <w:t xml:space="preserve">Table </w:t>
      </w:r>
      <w:r w:rsidR="00D2565D">
        <w:rPr>
          <w:noProof/>
        </w:rPr>
        <w:t>5</w:t>
      </w:r>
      <w:r w:rsidRPr="00743512">
        <w:fldChar w:fldCharType="end"/>
      </w:r>
      <w:r w:rsidRPr="00743512">
        <w:t xml:space="preserve">. </w:t>
      </w:r>
    </w:p>
    <w:p w14:paraId="5A10EC43" w14:textId="29633C26" w:rsidR="00C46CE2" w:rsidRPr="00743512" w:rsidRDefault="00C46CE2" w:rsidP="00C46CE2">
      <w:pPr>
        <w:pStyle w:val="Caption"/>
      </w:pPr>
      <w:bookmarkStart w:id="38" w:name="_Ref121011716"/>
      <w:r w:rsidRPr="00743512">
        <w:t xml:space="preserve">Table </w:t>
      </w:r>
      <w:r w:rsidR="00D2565D">
        <w:fldChar w:fldCharType="begin"/>
      </w:r>
      <w:r w:rsidR="00D2565D">
        <w:instrText xml:space="preserve"> SEQ Table \* ARABIC </w:instrText>
      </w:r>
      <w:r w:rsidR="00D2565D">
        <w:fldChar w:fldCharType="separate"/>
      </w:r>
      <w:r w:rsidR="00D2565D">
        <w:rPr>
          <w:noProof/>
        </w:rPr>
        <w:t>5</w:t>
      </w:r>
      <w:r w:rsidR="00D2565D">
        <w:rPr>
          <w:noProof/>
        </w:rPr>
        <w:fldChar w:fldCharType="end"/>
      </w:r>
      <w:bookmarkEnd w:id="38"/>
      <w:r w:rsidRPr="00743512">
        <w:t>: Key features of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CellMar>
          <w:left w:w="28" w:type="dxa"/>
          <w:right w:w="28" w:type="dxa"/>
        </w:tblCellMar>
        <w:tblLook w:val="04A0" w:firstRow="1" w:lastRow="0" w:firstColumn="1" w:lastColumn="0" w:noHBand="0" w:noVBand="1"/>
        <w:tblCaption w:val="Table 5: Key features of included evidence."/>
      </w:tblPr>
      <w:tblGrid>
        <w:gridCol w:w="960"/>
        <w:gridCol w:w="1170"/>
        <w:gridCol w:w="1228"/>
        <w:gridCol w:w="840"/>
        <w:gridCol w:w="1558"/>
        <w:gridCol w:w="1919"/>
        <w:gridCol w:w="1342"/>
      </w:tblGrid>
      <w:tr w:rsidR="00C46CE2" w:rsidRPr="00743512" w14:paraId="31D64509" w14:textId="77777777" w:rsidTr="001074C6">
        <w:trPr>
          <w:cantSplit/>
          <w:tblHeader/>
        </w:trPr>
        <w:tc>
          <w:tcPr>
            <w:tcW w:w="53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44B4C8" w14:textId="77777777" w:rsidR="00C46CE2" w:rsidRPr="00743512" w:rsidRDefault="00C46CE2" w:rsidP="004F5B47">
            <w:pPr>
              <w:pStyle w:val="In-tableHeading"/>
              <w:rPr>
                <w:lang w:val="en-AU"/>
              </w:rPr>
            </w:pPr>
            <w:r w:rsidRPr="00743512">
              <w:rPr>
                <w:lang w:val="en-AU"/>
              </w:rPr>
              <w:t>Trial</w:t>
            </w:r>
          </w:p>
        </w:tc>
        <w:tc>
          <w:tcPr>
            <w:tcW w:w="6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D852D2" w14:textId="77777777" w:rsidR="00C46CE2" w:rsidRPr="00743512" w:rsidRDefault="00C46CE2" w:rsidP="004F5B47">
            <w:pPr>
              <w:pStyle w:val="In-tableHeading"/>
              <w:jc w:val="center"/>
              <w:rPr>
                <w:lang w:val="en-AU"/>
              </w:rPr>
            </w:pPr>
            <w:r w:rsidRPr="00743512">
              <w:rPr>
                <w:lang w:val="en-AU"/>
              </w:rPr>
              <w:t>N</w:t>
            </w:r>
          </w:p>
        </w:tc>
        <w:tc>
          <w:tcPr>
            <w:tcW w:w="6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EE06ED" w14:textId="77777777" w:rsidR="00C46CE2" w:rsidRPr="00743512" w:rsidRDefault="00C46CE2" w:rsidP="004F5B47">
            <w:pPr>
              <w:pStyle w:val="In-tableHeading"/>
              <w:jc w:val="center"/>
              <w:rPr>
                <w:lang w:val="en-AU"/>
              </w:rPr>
            </w:pPr>
            <w:r w:rsidRPr="00743512">
              <w:rPr>
                <w:lang w:val="en-AU"/>
              </w:rPr>
              <w:t>Design/ duration</w:t>
            </w:r>
          </w:p>
        </w:tc>
        <w:tc>
          <w:tcPr>
            <w:tcW w:w="46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8C7442" w14:textId="77777777" w:rsidR="00C46CE2" w:rsidRPr="00743512" w:rsidRDefault="00C46CE2" w:rsidP="004F5B47">
            <w:pPr>
              <w:pStyle w:val="In-tableHeading"/>
              <w:jc w:val="center"/>
              <w:rPr>
                <w:lang w:val="en-AU"/>
              </w:rPr>
            </w:pPr>
            <w:r w:rsidRPr="00743512">
              <w:rPr>
                <w:lang w:val="en-AU"/>
              </w:rPr>
              <w:t>Risk of bias</w:t>
            </w:r>
          </w:p>
        </w:tc>
        <w:tc>
          <w:tcPr>
            <w:tcW w:w="86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54F0BA" w14:textId="77777777" w:rsidR="00C46CE2" w:rsidRPr="00743512" w:rsidRDefault="00C46CE2" w:rsidP="004F5B47">
            <w:pPr>
              <w:pStyle w:val="In-tableHeading"/>
              <w:jc w:val="center"/>
              <w:rPr>
                <w:lang w:val="en-AU"/>
              </w:rPr>
            </w:pPr>
            <w:r w:rsidRPr="00743512">
              <w:rPr>
                <w:lang w:val="en-AU"/>
              </w:rPr>
              <w:t>Patient population</w:t>
            </w:r>
          </w:p>
        </w:tc>
        <w:tc>
          <w:tcPr>
            <w:tcW w:w="106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A3E6DC" w14:textId="77777777" w:rsidR="00C46CE2" w:rsidRPr="00743512" w:rsidRDefault="00C46CE2" w:rsidP="004F5B47">
            <w:pPr>
              <w:pStyle w:val="In-tableHeading"/>
              <w:jc w:val="center"/>
              <w:rPr>
                <w:lang w:val="en-AU"/>
              </w:rPr>
            </w:pPr>
            <w:r w:rsidRPr="00743512">
              <w:rPr>
                <w:lang w:val="en-AU"/>
              </w:rPr>
              <w:t>Outcome(s)</w:t>
            </w:r>
          </w:p>
        </w:tc>
        <w:tc>
          <w:tcPr>
            <w:tcW w:w="74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DC7736" w14:textId="77777777" w:rsidR="00C46CE2" w:rsidRPr="00743512" w:rsidRDefault="00C46CE2" w:rsidP="004F5B47">
            <w:pPr>
              <w:pStyle w:val="In-tableHeading"/>
              <w:jc w:val="center"/>
              <w:rPr>
                <w:lang w:val="en-AU"/>
              </w:rPr>
            </w:pPr>
            <w:r w:rsidRPr="00743512">
              <w:rPr>
                <w:lang w:val="en-AU"/>
              </w:rPr>
              <w:t>Use in modelled evaluation</w:t>
            </w:r>
          </w:p>
        </w:tc>
      </w:tr>
      <w:tr w:rsidR="00C46CE2" w:rsidRPr="00743512" w14:paraId="545561BF" w14:textId="77777777" w:rsidTr="004F5B47">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232BD6" w14:textId="77777777" w:rsidR="00C46CE2" w:rsidRPr="00743512" w:rsidRDefault="00C46CE2" w:rsidP="004F5B47">
            <w:pPr>
              <w:pStyle w:val="In-tableHeading"/>
              <w:rPr>
                <w:lang w:val="en-AU"/>
              </w:rPr>
            </w:pPr>
            <w:r w:rsidRPr="00743512">
              <w:rPr>
                <w:lang w:val="en-AU"/>
              </w:rPr>
              <w:t>olaparib vs. placebo</w:t>
            </w:r>
          </w:p>
        </w:tc>
      </w:tr>
      <w:tr w:rsidR="00C46CE2" w:rsidRPr="00743512" w14:paraId="2C88BC6F" w14:textId="77777777" w:rsidTr="001074C6">
        <w:trPr>
          <w:cantSplit/>
        </w:trPr>
        <w:tc>
          <w:tcPr>
            <w:tcW w:w="53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93AE48" w14:textId="77777777" w:rsidR="00C46CE2" w:rsidRPr="00743512" w:rsidRDefault="00C46CE2" w:rsidP="004F5B47">
            <w:pPr>
              <w:pStyle w:val="TableText0"/>
            </w:pPr>
            <w:r w:rsidRPr="00743512">
              <w:t>OlympiA</w:t>
            </w:r>
          </w:p>
        </w:tc>
        <w:tc>
          <w:tcPr>
            <w:tcW w:w="6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91EE73" w14:textId="77777777" w:rsidR="00C46CE2" w:rsidRPr="00743512" w:rsidRDefault="00C46CE2" w:rsidP="004F5B47">
            <w:pPr>
              <w:pStyle w:val="TableText0"/>
              <w:jc w:val="center"/>
            </w:pPr>
            <w:r w:rsidRPr="00743512">
              <w:t>1836</w:t>
            </w:r>
          </w:p>
          <w:p w14:paraId="7F759A00" w14:textId="77777777" w:rsidR="00C46CE2" w:rsidRPr="00743512" w:rsidRDefault="00C46CE2" w:rsidP="004F5B47">
            <w:pPr>
              <w:pStyle w:val="TableText0"/>
              <w:jc w:val="center"/>
            </w:pPr>
            <w:r w:rsidRPr="00743512">
              <w:t>(1830 women and 6 men)</w:t>
            </w:r>
          </w:p>
        </w:tc>
        <w:tc>
          <w:tcPr>
            <w:tcW w:w="6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A1E53D" w14:textId="77777777" w:rsidR="00C46CE2" w:rsidRPr="00743512" w:rsidRDefault="00C46CE2" w:rsidP="004F5B47">
            <w:pPr>
              <w:pStyle w:val="TableText0"/>
              <w:jc w:val="center"/>
            </w:pPr>
            <w:r w:rsidRPr="00743512">
              <w:t>R, DB, PC, MC</w:t>
            </w:r>
          </w:p>
          <w:p w14:paraId="26E43D16" w14:textId="77777777" w:rsidR="00C46CE2" w:rsidRPr="00743512" w:rsidRDefault="00C46CE2" w:rsidP="004F5B47">
            <w:pPr>
              <w:pStyle w:val="TableText0"/>
              <w:jc w:val="center"/>
            </w:pPr>
            <w:r w:rsidRPr="00743512">
              <w:t>3.5 years</w:t>
            </w:r>
          </w:p>
        </w:tc>
        <w:tc>
          <w:tcPr>
            <w:tcW w:w="46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084C5C" w14:textId="77777777" w:rsidR="00C46CE2" w:rsidRPr="00743512" w:rsidRDefault="00C46CE2" w:rsidP="004F5B47">
            <w:pPr>
              <w:pStyle w:val="TableText0"/>
              <w:jc w:val="center"/>
            </w:pPr>
            <w:r w:rsidRPr="00743512">
              <w:t>Low</w:t>
            </w:r>
          </w:p>
        </w:tc>
        <w:tc>
          <w:tcPr>
            <w:tcW w:w="86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663751" w14:textId="640CB6BB" w:rsidR="00C46CE2" w:rsidRPr="00743512" w:rsidRDefault="00C46CE2" w:rsidP="004F5B47">
            <w:pPr>
              <w:pStyle w:val="TableText0"/>
              <w:jc w:val="center"/>
            </w:pPr>
            <w:r w:rsidRPr="00743512">
              <w:t xml:space="preserve">HER2 negative, </w:t>
            </w:r>
            <w:r w:rsidR="00CD50D4" w:rsidRPr="00743512">
              <w:rPr>
                <w:i/>
              </w:rPr>
              <w:t>BRCA</w:t>
            </w:r>
            <w:r w:rsidRPr="00743512">
              <w:t xml:space="preserve"> mutated, eBC</w:t>
            </w:r>
            <w:r w:rsidRPr="00743512">
              <w:rPr>
                <w:rStyle w:val="FootnoteReference"/>
              </w:rPr>
              <w:footnoteReference w:id="10"/>
            </w:r>
            <w:r w:rsidRPr="00743512">
              <w:t xml:space="preserve"> previously treated with chemotherapy.</w:t>
            </w:r>
          </w:p>
        </w:tc>
        <w:tc>
          <w:tcPr>
            <w:tcW w:w="106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650CB9" w14:textId="36988C88" w:rsidR="00C46CE2" w:rsidRPr="00743512" w:rsidRDefault="00C46CE2" w:rsidP="004F5B47">
            <w:pPr>
              <w:pStyle w:val="TableText0"/>
              <w:jc w:val="center"/>
            </w:pPr>
            <w:r w:rsidRPr="00743512">
              <w:t xml:space="preserve">Primary outcome: IDFS. </w:t>
            </w:r>
            <w:r w:rsidR="001074C6" w:rsidRPr="00743512">
              <w:br/>
            </w:r>
            <w:r w:rsidRPr="00743512">
              <w:t>Secondary outcomes: OS, DDFS, FACIT-Fatigue, EORTC QLQ-C30, safety.</w:t>
            </w:r>
          </w:p>
        </w:tc>
        <w:tc>
          <w:tcPr>
            <w:tcW w:w="74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A5D711" w14:textId="77777777" w:rsidR="00C46CE2" w:rsidRPr="00743512" w:rsidRDefault="00C46CE2" w:rsidP="004F5B47">
            <w:pPr>
              <w:pStyle w:val="TableText0"/>
              <w:jc w:val="center"/>
            </w:pPr>
            <w:r w:rsidRPr="00743512">
              <w:t>IDFS</w:t>
            </w:r>
          </w:p>
          <w:p w14:paraId="0E389A6B" w14:textId="77777777" w:rsidR="00C46CE2" w:rsidRPr="00743512" w:rsidRDefault="00C46CE2" w:rsidP="004F5B47">
            <w:pPr>
              <w:pStyle w:val="TableText0"/>
              <w:jc w:val="center"/>
            </w:pPr>
            <w:r w:rsidRPr="00743512">
              <w:t>EORTC QLQ-C30</w:t>
            </w:r>
          </w:p>
        </w:tc>
      </w:tr>
    </w:tbl>
    <w:p w14:paraId="14B1C5B2" w14:textId="77777777" w:rsidR="00C46CE2" w:rsidRPr="00743512" w:rsidRDefault="00C46CE2" w:rsidP="00C46CE2">
      <w:pPr>
        <w:pStyle w:val="FooterTableFigure"/>
      </w:pPr>
      <w:r w:rsidRPr="00743512">
        <w:t>Source: Figure 2.3, p45, table 2.6, pp47-48, table 2.8 pp50-54, table 2.15, pp66-67, table 2.11, p59 of the resubmission.</w:t>
      </w:r>
    </w:p>
    <w:p w14:paraId="02F9E934" w14:textId="477BA3D0" w:rsidR="00C46CE2" w:rsidRPr="00743512" w:rsidRDefault="00CD50D4" w:rsidP="00C46CE2">
      <w:pPr>
        <w:pStyle w:val="FooterTableFigure"/>
      </w:pPr>
      <w:r w:rsidRPr="00743512">
        <w:rPr>
          <w:i/>
        </w:rPr>
        <w:t>BRCA</w:t>
      </w:r>
      <w:r w:rsidR="00C46CE2" w:rsidRPr="00743512">
        <w:t xml:space="preserve"> = breast cancer gene, DB = double blind, DDFS = distant disease-free survival, eBC = early breast cancer, EORTC = European Organisation for the Research and Treatment of Cancer, FACIT = functional assessment of chronic illness therapy,</w:t>
      </w:r>
      <w:r w:rsidR="00545F74" w:rsidRPr="00743512">
        <w:t xml:space="preserve"> </w:t>
      </w:r>
      <w:r w:rsidR="00210904" w:rsidRPr="00743512">
        <w:t>HER2 = human epidermal growth factor receptor 2;</w:t>
      </w:r>
      <w:r w:rsidR="00C46CE2" w:rsidRPr="00743512">
        <w:t xml:space="preserve"> IDFS = invasive disease-free survival, MC = multi-centre, OS = overall survival, PC = placebo controlled, QLQ-C30 = quality of life questionnaire core 30, R = randomised.</w:t>
      </w:r>
    </w:p>
    <w:p w14:paraId="27CE9DBC" w14:textId="14C089EE" w:rsidR="00C46CE2" w:rsidRPr="00F32823" w:rsidRDefault="00C46CE2" w:rsidP="00C46CE2">
      <w:pPr>
        <w:pStyle w:val="FooterTableFigure"/>
        <w:rPr>
          <w:bCs/>
          <w:szCs w:val="18"/>
        </w:rPr>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w:t>
      </w:r>
      <w:r w:rsidR="0086785E" w:rsidRPr="00743512">
        <w:rPr>
          <w:rStyle w:val="CommentReference"/>
          <w:b w:val="0"/>
          <w:bCs/>
          <w:sz w:val="18"/>
          <w:szCs w:val="18"/>
        </w:rPr>
        <w:t>information</w:t>
      </w:r>
      <w:r w:rsidRPr="00743512">
        <w:rPr>
          <w:rStyle w:val="CommentReference"/>
          <w:b w:val="0"/>
          <w:bCs/>
          <w:sz w:val="18"/>
          <w:szCs w:val="18"/>
        </w:rPr>
        <w:t xml:space="preserve"> previously seen by the PBAC. </w:t>
      </w:r>
    </w:p>
    <w:p w14:paraId="3C85F2D0" w14:textId="2117C81B" w:rsidR="00C46CE2" w:rsidRPr="00743512" w:rsidRDefault="00C46CE2" w:rsidP="001074C6">
      <w:pPr>
        <w:pStyle w:val="3-BodyText"/>
        <w:numPr>
          <w:ilvl w:val="1"/>
          <w:numId w:val="9"/>
        </w:numPr>
        <w:snapToGrid w:val="0"/>
        <w:rPr>
          <w:iCs/>
        </w:rPr>
      </w:pPr>
      <w:r w:rsidRPr="00743512">
        <w:rPr>
          <w:iCs/>
        </w:rPr>
        <w:t>Initially the OlympiA trial only included TNBC patients. After the trial had begun, an amendment to the protocol was made to include HR+, HER2- eBC patients. This change after study initiation explains why TNBC patients make up most of the trial population (82.3% TNBC and 17.7% HR+. HER2-) when TNBC in the Australian eBC population is estimated to be between 12-24%</w:t>
      </w:r>
      <w:r w:rsidR="00DB41C7" w:rsidRPr="00743512">
        <w:rPr>
          <w:iCs/>
        </w:rPr>
        <w:t xml:space="preserve">, although as noted by the ESC previously, this estimate may not be applicable to the proposed PBS population </w:t>
      </w:r>
      <w:r w:rsidR="00AA232B" w:rsidRPr="00743512">
        <w:t>(para 6.10, olaparib PSD, March 2023 PBAC meeting)</w:t>
      </w:r>
      <w:r w:rsidRPr="00743512">
        <w:rPr>
          <w:iCs/>
        </w:rPr>
        <w:t>.</w:t>
      </w:r>
    </w:p>
    <w:p w14:paraId="79C0F445" w14:textId="1B5FD7B5" w:rsidR="00C46CE2" w:rsidRPr="00743512" w:rsidRDefault="00C46CE2" w:rsidP="001074C6">
      <w:pPr>
        <w:pStyle w:val="3-BodyText"/>
        <w:numPr>
          <w:ilvl w:val="1"/>
          <w:numId w:val="9"/>
        </w:numPr>
        <w:snapToGrid w:val="0"/>
      </w:pPr>
      <w:r w:rsidRPr="00743512">
        <w:rPr>
          <w:iCs/>
        </w:rPr>
        <w:t xml:space="preserve">The trial protocol allowed concurrent </w:t>
      </w:r>
      <w:r w:rsidR="00195A35" w:rsidRPr="00743512">
        <w:rPr>
          <w:iCs/>
        </w:rPr>
        <w:t>e</w:t>
      </w:r>
      <w:r w:rsidR="00195A35" w:rsidRPr="00743512">
        <w:t>ndocrine therapy (</w:t>
      </w:r>
      <w:r w:rsidRPr="00743512">
        <w:rPr>
          <w:iCs/>
        </w:rPr>
        <w:t>ET</w:t>
      </w:r>
      <w:r w:rsidR="00195A35" w:rsidRPr="00743512">
        <w:rPr>
          <w:iCs/>
        </w:rPr>
        <w:t>)</w:t>
      </w:r>
      <w:r w:rsidRPr="00743512">
        <w:rPr>
          <w:iCs/>
        </w:rPr>
        <w:t xml:space="preserve"> for patients who were </w:t>
      </w:r>
      <w:r w:rsidR="00195A35" w:rsidRPr="00743512">
        <w:rPr>
          <w:iCs/>
        </w:rPr>
        <w:t>H</w:t>
      </w:r>
      <w:r w:rsidRPr="00743512">
        <w:rPr>
          <w:iCs/>
        </w:rPr>
        <w:t>R+. In the OlympiA trial, the olaparib arm had 168 HR+ patients with 146 (86.9%) on ET while the placebo arm had 157 HR+ patients with 145 (92.4%) on ET. In total, 325 patients were HR+ and 291 (89.5%) received concurrent ET</w:t>
      </w:r>
      <w:r w:rsidRPr="00743512">
        <w:t xml:space="preserve">. </w:t>
      </w:r>
    </w:p>
    <w:p w14:paraId="7A67EBAE" w14:textId="77777777" w:rsidR="00C46CE2" w:rsidRPr="00743512" w:rsidRDefault="00C46CE2" w:rsidP="00C46CE2">
      <w:pPr>
        <w:pStyle w:val="4-SubsectionHeading"/>
        <w:rPr>
          <w:iCs/>
        </w:rPr>
      </w:pPr>
      <w:bookmarkStart w:id="39" w:name="_Toc22897641"/>
      <w:bookmarkStart w:id="40" w:name="_Toc124883281"/>
      <w:bookmarkStart w:id="41" w:name="_Toc145501120"/>
      <w:r w:rsidRPr="00743512">
        <w:rPr>
          <w:iCs/>
        </w:rPr>
        <w:t>Comparative effectiveness</w:t>
      </w:r>
      <w:bookmarkEnd w:id="39"/>
      <w:bookmarkEnd w:id="40"/>
      <w:bookmarkEnd w:id="41"/>
    </w:p>
    <w:p w14:paraId="7FC972B6" w14:textId="65467F1C" w:rsidR="00C46CE2" w:rsidRPr="00743512" w:rsidRDefault="00C46CE2" w:rsidP="001074C6">
      <w:pPr>
        <w:pStyle w:val="3-BodyText"/>
        <w:numPr>
          <w:ilvl w:val="1"/>
          <w:numId w:val="9"/>
        </w:numPr>
        <w:snapToGrid w:val="0"/>
      </w:pPr>
      <w:r w:rsidRPr="00743512">
        <w:t xml:space="preserve">The data presented in the resubmission to support the claim of superior effectiveness </w:t>
      </w:r>
      <w:r w:rsidR="00DD6132" w:rsidRPr="00743512">
        <w:t>was</w:t>
      </w:r>
      <w:r w:rsidRPr="00743512">
        <w:t xml:space="preserve"> </w:t>
      </w:r>
      <w:r w:rsidR="00DD6132" w:rsidRPr="00743512">
        <w:t>un</w:t>
      </w:r>
      <w:r w:rsidRPr="00743512">
        <w:t>changed from the previous submission. The primary outcome for the OlympiA trial</w:t>
      </w:r>
      <w:r w:rsidR="00D1174C" w:rsidRPr="00743512">
        <w:t xml:space="preserve"> </w:t>
      </w:r>
      <w:r w:rsidR="007416FF" w:rsidRPr="00743512">
        <w:t xml:space="preserve">was </w:t>
      </w:r>
      <w:r w:rsidRPr="00743512">
        <w:t>IDFS. This involved investigator assessed recurrence of invasive disease or death. No minimally clinically relevant change was stated for this measure.</w:t>
      </w:r>
    </w:p>
    <w:p w14:paraId="17088BF7" w14:textId="055362FD" w:rsidR="00557703" w:rsidRPr="00743512" w:rsidRDefault="00C46CE2" w:rsidP="001074C6">
      <w:pPr>
        <w:pStyle w:val="3-BodyText"/>
        <w:numPr>
          <w:ilvl w:val="1"/>
          <w:numId w:val="9"/>
        </w:numPr>
        <w:snapToGrid w:val="0"/>
      </w:pPr>
      <w:r w:rsidRPr="00743512">
        <w:t xml:space="preserve">The PBAC considered that a claim of superior efficacy was supported for olaparib compared with placebo, based on immature IDFS data. The PBAC also noted that while the OS data </w:t>
      </w:r>
      <w:r w:rsidR="002F4744" w:rsidRPr="00743512">
        <w:t>were</w:t>
      </w:r>
      <w:r w:rsidRPr="00743512">
        <w:t xml:space="preserve"> immature, the OlympiA trial would require a significantly longer duration of follow-up for the OS data to reach maturity (para 7.6, olaparib PSD, March 2023 PBAC meeting)</w:t>
      </w:r>
      <w:r w:rsidR="00157B92" w:rsidRPr="00743512">
        <w:t xml:space="preserve">. </w:t>
      </w:r>
      <w:r w:rsidR="00557703" w:rsidRPr="00743512">
        <w:t xml:space="preserve">The </w:t>
      </w:r>
      <w:r w:rsidR="004C0E34" w:rsidRPr="004C0E34">
        <w:t xml:space="preserve">Pre-Sub-Committee Response </w:t>
      </w:r>
      <w:r w:rsidR="004C0E34">
        <w:t>(</w:t>
      </w:r>
      <w:r w:rsidR="00557703" w:rsidRPr="00743512">
        <w:t>PSCR</w:t>
      </w:r>
      <w:r w:rsidR="004C0E34">
        <w:t>)</w:t>
      </w:r>
      <w:r w:rsidR="00557703" w:rsidRPr="00743512">
        <w:t xml:space="preserve"> stated that the duration of follow-up reported for OlympiA </w:t>
      </w:r>
      <w:r w:rsidR="009A5607" w:rsidRPr="00743512">
        <w:t xml:space="preserve">of 80 months </w:t>
      </w:r>
      <w:r w:rsidR="00E6079B" w:rsidRPr="00743512">
        <w:t>wa</w:t>
      </w:r>
      <w:r w:rsidR="00557703" w:rsidRPr="00743512">
        <w:t>s longer than clinical trials for trastuzumab emtansine (KATHERINE; maximum follow</w:t>
      </w:r>
      <w:r w:rsidR="00557703" w:rsidRPr="00743512">
        <w:noBreakHyphen/>
        <w:t>up for OS was approximately 62 months) and abemaciclib (monarchE; maximum follow</w:t>
      </w:r>
      <w:r w:rsidR="00557703" w:rsidRPr="00743512">
        <w:noBreakHyphen/>
        <w:t>up for OS &lt;60 months)</w:t>
      </w:r>
      <w:r w:rsidR="00157B92" w:rsidRPr="00743512">
        <w:t xml:space="preserve">. </w:t>
      </w:r>
      <w:r w:rsidR="00E6079B" w:rsidRPr="00743512">
        <w:t>The ESC noted that the median follow-up for OlympiA was approximately 42 months (3.5 years), compared with 41 months in KATHERINE</w:t>
      </w:r>
      <w:r w:rsidR="007B0A22" w:rsidRPr="00743512">
        <w:rPr>
          <w:rStyle w:val="FootnoteReference"/>
        </w:rPr>
        <w:footnoteReference w:id="11"/>
      </w:r>
      <w:r w:rsidR="00E6079B" w:rsidRPr="00743512">
        <w:t xml:space="preserve"> </w:t>
      </w:r>
      <w:r w:rsidR="007B0A22" w:rsidRPr="00743512">
        <w:t xml:space="preserve">when trastuzumab emtansine was recommended by the PBAC in November 2019 </w:t>
      </w:r>
      <w:r w:rsidR="00E6079B" w:rsidRPr="00743512">
        <w:t>(paragraph 6.22 PSD November 2019)</w:t>
      </w:r>
      <w:r w:rsidR="007B0A22" w:rsidRPr="00743512">
        <w:t>, and 42 months in monarchE</w:t>
      </w:r>
      <w:r w:rsidR="007B0A22" w:rsidRPr="00743512">
        <w:rPr>
          <w:rStyle w:val="FootnoteReference"/>
        </w:rPr>
        <w:footnoteReference w:id="12"/>
      </w:r>
      <w:r w:rsidR="007B0A22" w:rsidRPr="00743512">
        <w:t xml:space="preserve"> when abemaciclib was recommended by the PBAC in March 2023 (paragraph 7.7 PSD March 2023).</w:t>
      </w:r>
    </w:p>
    <w:p w14:paraId="0CAA2B9D" w14:textId="5B17CEAB" w:rsidR="00C46CE2" w:rsidRPr="00743512" w:rsidRDefault="00C46CE2" w:rsidP="001074C6">
      <w:pPr>
        <w:pStyle w:val="3-BodyText"/>
        <w:numPr>
          <w:ilvl w:val="1"/>
          <w:numId w:val="9"/>
        </w:numPr>
        <w:snapToGrid w:val="0"/>
      </w:pPr>
      <w:r w:rsidRPr="00743512">
        <w:t xml:space="preserve">A summary of the key efficacy outcomes from the OlympiA trial is presented in </w:t>
      </w:r>
      <w:r w:rsidRPr="00743512">
        <w:fldChar w:fldCharType="begin"/>
      </w:r>
      <w:r w:rsidRPr="00743512">
        <w:instrText xml:space="preserve"> REF _Ref121011753 \h  \* MERGEFORMAT </w:instrText>
      </w:r>
      <w:r w:rsidRPr="00743512">
        <w:fldChar w:fldCharType="separate"/>
      </w:r>
      <w:r w:rsidR="00D2565D" w:rsidRPr="00743512">
        <w:t xml:space="preserve">Table </w:t>
      </w:r>
      <w:r w:rsidR="00D2565D">
        <w:t>6</w:t>
      </w:r>
      <w:r w:rsidRPr="00743512">
        <w:fldChar w:fldCharType="end"/>
      </w:r>
      <w:r w:rsidRPr="00743512">
        <w:t>.</w:t>
      </w:r>
    </w:p>
    <w:p w14:paraId="7757D251" w14:textId="3BDA41E3" w:rsidR="00C46CE2" w:rsidRPr="00743512" w:rsidRDefault="00C46CE2" w:rsidP="001074C6">
      <w:pPr>
        <w:pStyle w:val="3-BodyText"/>
        <w:numPr>
          <w:ilvl w:val="1"/>
          <w:numId w:val="9"/>
        </w:numPr>
        <w:snapToGrid w:val="0"/>
      </w:pPr>
      <w:r w:rsidRPr="00743512">
        <w:t>There was a statistically significant reduction (37%) in the hazard of IDFS events associated with the olaparib arm compared to the placebo arm at a median follow-up of 3.5 years (14.5% in olaparib, 22.6% in placebo, hazard ratio (HR)</w:t>
      </w:r>
      <w:r w:rsidR="00F4781C" w:rsidRPr="00743512">
        <w:t xml:space="preserve"> =</w:t>
      </w:r>
      <w:r w:rsidRPr="00743512">
        <w:t xml:space="preserve"> 0.63</w:t>
      </w:r>
      <w:r w:rsidR="00F4781C" w:rsidRPr="00743512">
        <w:t>;</w:t>
      </w:r>
      <w:r w:rsidRPr="00743512">
        <w:t xml:space="preserve"> 95% CI</w:t>
      </w:r>
      <w:r w:rsidR="00F4781C" w:rsidRPr="00743512">
        <w:t>:</w:t>
      </w:r>
      <w:r w:rsidRPr="00743512">
        <w:t xml:space="preserve"> 0.50, 0.78 at data cut-off 2 </w:t>
      </w:r>
      <w:r w:rsidR="00F820D5" w:rsidRPr="00743512">
        <w:t>[</w:t>
      </w:r>
      <w:r w:rsidRPr="00743512">
        <w:t>DCO2</w:t>
      </w:r>
      <w:r w:rsidR="00F820D5" w:rsidRPr="00743512">
        <w:t>]</w:t>
      </w:r>
      <w:r w:rsidRPr="00743512">
        <w:t xml:space="preserve"> </w:t>
      </w:r>
      <w:r w:rsidR="00F820D5" w:rsidRPr="00743512">
        <w:t>[</w:t>
      </w:r>
      <w:r w:rsidRPr="00743512">
        <w:t>12 July 2021</w:t>
      </w:r>
      <w:r w:rsidR="00F820D5" w:rsidRPr="00743512">
        <w:t>]</w:t>
      </w:r>
      <w:r w:rsidRPr="00743512">
        <w:t xml:space="preserve">). The Kaplan-Meier (KM) curves for IDFS in the OlympiA trial are presented in </w:t>
      </w:r>
      <w:r w:rsidRPr="00743512">
        <w:fldChar w:fldCharType="begin"/>
      </w:r>
      <w:r w:rsidRPr="00743512">
        <w:instrText xml:space="preserve"> REF _Ref121058397 \h </w:instrText>
      </w:r>
      <w:r w:rsidRPr="00743512">
        <w:fldChar w:fldCharType="separate"/>
      </w:r>
      <w:r w:rsidR="00D2565D" w:rsidRPr="00743512">
        <w:t xml:space="preserve">Figure </w:t>
      </w:r>
      <w:r w:rsidR="00D2565D">
        <w:rPr>
          <w:noProof/>
        </w:rPr>
        <w:t>1</w:t>
      </w:r>
      <w:r w:rsidRPr="00743512">
        <w:fldChar w:fldCharType="end"/>
      </w:r>
      <w:r w:rsidRPr="00743512">
        <w:t>. The median IDFS was not reached in either treatment group at DCO2.</w:t>
      </w:r>
      <w:r w:rsidR="00F3756B" w:rsidRPr="00743512">
        <w:t xml:space="preserve"> The OlympiA trial is ongoing with an estimated completion date of May 2029.</w:t>
      </w:r>
    </w:p>
    <w:p w14:paraId="7F2C54AC" w14:textId="5C5FE923" w:rsidR="00C46CE2" w:rsidRPr="00743512" w:rsidRDefault="00C46CE2" w:rsidP="001074C6">
      <w:pPr>
        <w:pStyle w:val="3-BodyText"/>
        <w:numPr>
          <w:ilvl w:val="1"/>
          <w:numId w:val="9"/>
        </w:numPr>
        <w:snapToGrid w:val="0"/>
      </w:pPr>
      <w:r w:rsidRPr="00743512">
        <w:t xml:space="preserve">Secondary outcomes included OS and distant disease-free </w:t>
      </w:r>
      <w:r w:rsidR="0091433F" w:rsidRPr="00743512">
        <w:t xml:space="preserve">survival </w:t>
      </w:r>
      <w:r w:rsidRPr="00743512">
        <w:t xml:space="preserve">(DDFS). The OS data were immature at DCO2 (75 [8.1%] deaths in olaparib and 109 [11.9%] deaths in placebo) owing to the long survival seen in eBC patients. The OS results from the OlympiA trial are displayed in </w:t>
      </w:r>
      <w:r w:rsidRPr="00743512">
        <w:fldChar w:fldCharType="begin"/>
      </w:r>
      <w:r w:rsidRPr="00743512">
        <w:instrText xml:space="preserve"> REF _Ref121011753 \h  \* MERGEFORMAT </w:instrText>
      </w:r>
      <w:r w:rsidRPr="00743512">
        <w:fldChar w:fldCharType="separate"/>
      </w:r>
      <w:r w:rsidR="00D2565D" w:rsidRPr="00743512">
        <w:t xml:space="preserve">Table </w:t>
      </w:r>
      <w:r w:rsidR="00D2565D">
        <w:t>6</w:t>
      </w:r>
      <w:r w:rsidRPr="00743512">
        <w:fldChar w:fldCharType="end"/>
      </w:r>
      <w:r w:rsidRPr="00743512">
        <w:t>. At DCO2 (median follow-up 3.5 years), there was a statistically significant reduction (32%) in the hazard of death associated with the olaparib arm compared to the placebo arm of the trial (</w:t>
      </w:r>
      <w:r w:rsidR="00F4781C" w:rsidRPr="00743512">
        <w:t>HR =</w:t>
      </w:r>
      <w:r w:rsidRPr="00743512">
        <w:t xml:space="preserve"> 0.68</w:t>
      </w:r>
      <w:r w:rsidR="00F4781C" w:rsidRPr="00743512">
        <w:t>;</w:t>
      </w:r>
      <w:r w:rsidRPr="00743512">
        <w:t xml:space="preserve"> 95% CI: 0.50, 0.91). The median OS had not been reached. The KM curves for OS in the OlympiA trial are presented in </w:t>
      </w:r>
      <w:r w:rsidRPr="00743512">
        <w:fldChar w:fldCharType="begin"/>
      </w:r>
      <w:r w:rsidRPr="00743512">
        <w:instrText xml:space="preserve"> REF _Ref121058384 \h  \* MERGEFORMAT </w:instrText>
      </w:r>
      <w:r w:rsidRPr="00743512">
        <w:fldChar w:fldCharType="separate"/>
      </w:r>
      <w:r w:rsidR="00D2565D" w:rsidRPr="00743512">
        <w:t xml:space="preserve">Figure </w:t>
      </w:r>
      <w:r w:rsidR="00D2565D">
        <w:t>2</w:t>
      </w:r>
      <w:r w:rsidRPr="00743512">
        <w:fldChar w:fldCharType="end"/>
      </w:r>
      <w:r w:rsidRPr="00743512">
        <w:t>.</w:t>
      </w:r>
    </w:p>
    <w:p w14:paraId="62B95660" w14:textId="5DE6DF5C" w:rsidR="00C46CE2" w:rsidRPr="00743512" w:rsidRDefault="00C46CE2" w:rsidP="001074C6">
      <w:pPr>
        <w:pStyle w:val="3-BodyText"/>
        <w:numPr>
          <w:ilvl w:val="1"/>
          <w:numId w:val="9"/>
        </w:numPr>
        <w:snapToGrid w:val="0"/>
      </w:pPr>
      <w:r w:rsidRPr="00743512">
        <w:t>DDFS results were consistent with those for IDFS. The olaparib arm had a distant recurrence rate of 11.6% while the placebo arm had a distant recurrence rate of 18.8% at DCO2. There was a statistically significant reduction in the hazard of DDFS events associated with th</w:t>
      </w:r>
      <w:r w:rsidR="00B862A6" w:rsidRPr="00743512">
        <w:t>e</w:t>
      </w:r>
      <w:r w:rsidRPr="00743512">
        <w:t xml:space="preserve"> olaparib arm compared with the placebo arm (11.6% in olaparib vs. 18.8% in placebo, </w:t>
      </w:r>
      <w:r w:rsidR="00F4781C" w:rsidRPr="00743512">
        <w:t>HR =</w:t>
      </w:r>
      <w:r w:rsidRPr="00743512">
        <w:t xml:space="preserve"> 0.61</w:t>
      </w:r>
      <w:r w:rsidR="00F4781C" w:rsidRPr="00743512">
        <w:t>;</w:t>
      </w:r>
      <w:r w:rsidRPr="00743512">
        <w:t xml:space="preserve"> 95% CI: 0.48, 0.77). </w:t>
      </w:r>
    </w:p>
    <w:p w14:paraId="7B337F82" w14:textId="4707B603" w:rsidR="00C46CE2" w:rsidRPr="00743512" w:rsidRDefault="00C46CE2" w:rsidP="00EE69DF">
      <w:pPr>
        <w:pStyle w:val="TableFigureHeading"/>
        <w:rPr>
          <w:rStyle w:val="CommentReference"/>
          <w:b/>
          <w:bCs w:val="0"/>
        </w:rPr>
      </w:pPr>
      <w:bookmarkStart w:id="42" w:name="_Ref121011753"/>
      <w:r w:rsidRPr="00743512">
        <w:t xml:space="preserve">Table </w:t>
      </w:r>
      <w:r w:rsidR="00D2565D">
        <w:fldChar w:fldCharType="begin"/>
      </w:r>
      <w:r w:rsidR="00D2565D">
        <w:instrText xml:space="preserve"> SEQ Table \* ARABIC </w:instrText>
      </w:r>
      <w:r w:rsidR="00D2565D">
        <w:fldChar w:fldCharType="separate"/>
      </w:r>
      <w:r w:rsidR="00D2565D">
        <w:rPr>
          <w:noProof/>
        </w:rPr>
        <w:t>6</w:t>
      </w:r>
      <w:r w:rsidR="00D2565D">
        <w:rPr>
          <w:noProof/>
        </w:rPr>
        <w:fldChar w:fldCharType="end"/>
      </w:r>
      <w:bookmarkEnd w:id="42"/>
      <w:r w:rsidRPr="00743512">
        <w:rPr>
          <w:b w:val="0"/>
          <w:bCs w:val="0"/>
        </w:rPr>
        <w:t>:</w:t>
      </w:r>
      <w:r w:rsidRPr="00743512">
        <w:rPr>
          <w:rStyle w:val="CommentReference"/>
          <w:b/>
          <w:bCs w:val="0"/>
        </w:rPr>
        <w:t xml:space="preserve"> Results of key outcomes in the OlympiA trial DCO2 (median follow up of 3.5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Caption w:val="Table 6: Results of key outcomes in the OlympiA trial DCO2 (median follow up of 3.5 years)"/>
      </w:tblPr>
      <w:tblGrid>
        <w:gridCol w:w="1250"/>
        <w:gridCol w:w="1904"/>
        <w:gridCol w:w="2005"/>
        <w:gridCol w:w="1930"/>
        <w:gridCol w:w="1928"/>
      </w:tblGrid>
      <w:tr w:rsidR="00C46CE2" w:rsidRPr="00743512" w14:paraId="6A4A8F99" w14:textId="77777777" w:rsidTr="004F5B47">
        <w:trPr>
          <w:cantSplit/>
          <w:tblHeader/>
        </w:trPr>
        <w:tc>
          <w:tcPr>
            <w:tcW w:w="6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AF87E1" w14:textId="77777777" w:rsidR="00C46CE2" w:rsidRPr="00743512" w:rsidRDefault="00C46CE2" w:rsidP="00EE69DF">
            <w:pPr>
              <w:pStyle w:val="In-tableHeading"/>
              <w:rPr>
                <w:lang w:val="en-AU"/>
              </w:rPr>
            </w:pPr>
            <w:bookmarkStart w:id="43" w:name="_Hlk124166129"/>
            <w:r w:rsidRPr="00743512">
              <w:rPr>
                <w:lang w:val="en-AU"/>
              </w:rPr>
              <w:t>Outcome</w:t>
            </w:r>
          </w:p>
        </w:tc>
        <w:tc>
          <w:tcPr>
            <w:tcW w:w="105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FC7AB6" w14:textId="77777777" w:rsidR="00C46CE2" w:rsidRPr="00743512" w:rsidRDefault="00C46CE2" w:rsidP="00EE69DF">
            <w:pPr>
              <w:pStyle w:val="In-tableHeading"/>
              <w:jc w:val="center"/>
              <w:rPr>
                <w:lang w:val="en-AU"/>
              </w:rPr>
            </w:pPr>
            <w:r w:rsidRPr="00743512">
              <w:rPr>
                <w:lang w:val="en-AU"/>
              </w:rPr>
              <w:t>Olaparib</w:t>
            </w:r>
          </w:p>
          <w:p w14:paraId="01FC65E6" w14:textId="77777777" w:rsidR="00C46CE2" w:rsidRPr="00743512" w:rsidRDefault="00C46CE2" w:rsidP="00EE69DF">
            <w:pPr>
              <w:pStyle w:val="In-tableHeading"/>
              <w:jc w:val="center"/>
              <w:rPr>
                <w:lang w:val="en-AU"/>
              </w:rPr>
            </w:pPr>
            <w:r w:rsidRPr="00743512">
              <w:rPr>
                <w:lang w:val="en-AU"/>
              </w:rPr>
              <w:t>n/N (%)</w:t>
            </w:r>
          </w:p>
        </w:tc>
        <w:tc>
          <w:tcPr>
            <w:tcW w:w="11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DDE180" w14:textId="77777777" w:rsidR="00C46CE2" w:rsidRPr="00743512" w:rsidRDefault="00C46CE2" w:rsidP="00EE69DF">
            <w:pPr>
              <w:pStyle w:val="In-tableHeading"/>
              <w:jc w:val="center"/>
              <w:rPr>
                <w:lang w:val="en-AU"/>
              </w:rPr>
            </w:pPr>
            <w:r w:rsidRPr="00743512">
              <w:rPr>
                <w:lang w:val="en-AU"/>
              </w:rPr>
              <w:t>Placebo</w:t>
            </w:r>
          </w:p>
          <w:p w14:paraId="3D20C724" w14:textId="77777777" w:rsidR="00C46CE2" w:rsidRPr="00743512" w:rsidRDefault="00C46CE2" w:rsidP="00EE69DF">
            <w:pPr>
              <w:pStyle w:val="In-tableHeading"/>
              <w:jc w:val="center"/>
              <w:rPr>
                <w:lang w:val="en-AU"/>
              </w:rPr>
            </w:pPr>
            <w:r w:rsidRPr="00743512">
              <w:rPr>
                <w:lang w:val="en-AU"/>
              </w:rPr>
              <w:t>n/N (%)</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84802E" w14:textId="77777777" w:rsidR="00C46CE2" w:rsidRPr="00743512" w:rsidRDefault="00C46CE2" w:rsidP="00EE69DF">
            <w:pPr>
              <w:pStyle w:val="In-tableHeading"/>
              <w:jc w:val="center"/>
              <w:rPr>
                <w:lang w:val="en-AU"/>
              </w:rPr>
            </w:pPr>
            <w:r w:rsidRPr="00743512">
              <w:rPr>
                <w:lang w:val="en-AU"/>
              </w:rPr>
              <w:t>Hazard ratio</w:t>
            </w:r>
            <w:r w:rsidRPr="00743512">
              <w:rPr>
                <w:vertAlign w:val="superscript"/>
                <w:lang w:val="en-AU"/>
              </w:rPr>
              <w:t>b</w:t>
            </w:r>
            <w:r w:rsidRPr="00743512">
              <w:rPr>
                <w:lang w:val="en-AU"/>
              </w:rPr>
              <w:t xml:space="preserve"> (95% CI)</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361EDB" w14:textId="77777777" w:rsidR="00C46CE2" w:rsidRPr="00743512" w:rsidRDefault="00C46CE2" w:rsidP="00EE69DF">
            <w:pPr>
              <w:pStyle w:val="In-tableHeading"/>
              <w:jc w:val="center"/>
              <w:rPr>
                <w:lang w:val="en-AU"/>
              </w:rPr>
            </w:pPr>
            <w:r w:rsidRPr="00743512">
              <w:rPr>
                <w:lang w:val="en-AU"/>
              </w:rPr>
              <w:t>Median time to event</w:t>
            </w:r>
          </w:p>
        </w:tc>
      </w:tr>
      <w:tr w:rsidR="00C46CE2" w:rsidRPr="00743512" w14:paraId="6B4CF75E" w14:textId="77777777" w:rsidTr="004F5B47">
        <w:trPr>
          <w:cantSplit/>
        </w:trPr>
        <w:tc>
          <w:tcPr>
            <w:tcW w:w="6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73CAD5" w14:textId="77777777" w:rsidR="00C46CE2" w:rsidRPr="00743512" w:rsidRDefault="00C46CE2" w:rsidP="00EE69DF">
            <w:pPr>
              <w:pStyle w:val="TableText0"/>
            </w:pPr>
            <w:r w:rsidRPr="00743512">
              <w:t>IDFS</w:t>
            </w:r>
          </w:p>
        </w:tc>
        <w:tc>
          <w:tcPr>
            <w:tcW w:w="105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391695" w14:textId="77777777" w:rsidR="00C46CE2" w:rsidRPr="00743512" w:rsidRDefault="00C46CE2" w:rsidP="00EE69DF">
            <w:pPr>
              <w:pStyle w:val="TableText0"/>
              <w:jc w:val="center"/>
            </w:pPr>
            <w:r w:rsidRPr="00743512">
              <w:t>134 /921 (14.5%)</w:t>
            </w:r>
          </w:p>
        </w:tc>
        <w:tc>
          <w:tcPr>
            <w:tcW w:w="11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243DB9" w14:textId="77777777" w:rsidR="00C46CE2" w:rsidRPr="00743512" w:rsidRDefault="00C46CE2" w:rsidP="00EE69DF">
            <w:pPr>
              <w:pStyle w:val="TableText0"/>
              <w:jc w:val="center"/>
            </w:pPr>
            <w:r w:rsidRPr="00743512">
              <w:t>207/ 915 (22.6%)</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60DC1E" w14:textId="77777777" w:rsidR="00C46CE2" w:rsidRPr="00743512" w:rsidRDefault="00C46CE2" w:rsidP="00EE69DF">
            <w:pPr>
              <w:pStyle w:val="TableText0"/>
              <w:jc w:val="center"/>
              <w:rPr>
                <w:b/>
                <w:bCs w:val="0"/>
              </w:rPr>
            </w:pPr>
            <w:r w:rsidRPr="00743512">
              <w:rPr>
                <w:b/>
                <w:bCs w:val="0"/>
              </w:rPr>
              <w:t>0.63 (0.50, 0.78)</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E932C0" w14:textId="77777777" w:rsidR="00C46CE2" w:rsidRPr="00743512" w:rsidRDefault="00C46CE2" w:rsidP="00EE69DF">
            <w:pPr>
              <w:pStyle w:val="TableText0"/>
              <w:jc w:val="center"/>
            </w:pPr>
            <w:r w:rsidRPr="00743512">
              <w:t>NR</w:t>
            </w:r>
          </w:p>
        </w:tc>
      </w:tr>
      <w:tr w:rsidR="00C46CE2" w:rsidRPr="00743512" w14:paraId="31F55FFB" w14:textId="77777777" w:rsidTr="004F5B47">
        <w:trPr>
          <w:cantSplit/>
        </w:trPr>
        <w:tc>
          <w:tcPr>
            <w:tcW w:w="6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BAC8AA" w14:textId="77777777" w:rsidR="00C46CE2" w:rsidRPr="00743512" w:rsidRDefault="00C46CE2" w:rsidP="00EE69DF">
            <w:pPr>
              <w:pStyle w:val="TableText0"/>
            </w:pPr>
            <w:r w:rsidRPr="00743512">
              <w:t>OS</w:t>
            </w:r>
          </w:p>
        </w:tc>
        <w:tc>
          <w:tcPr>
            <w:tcW w:w="105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B0CA71" w14:textId="77777777" w:rsidR="00C46CE2" w:rsidRPr="00743512" w:rsidRDefault="00C46CE2" w:rsidP="00EE69DF">
            <w:pPr>
              <w:pStyle w:val="TableText0"/>
              <w:jc w:val="center"/>
            </w:pPr>
            <w:r w:rsidRPr="00743512">
              <w:t>75/921 (8.1%)</w:t>
            </w:r>
          </w:p>
        </w:tc>
        <w:tc>
          <w:tcPr>
            <w:tcW w:w="11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534318" w14:textId="77777777" w:rsidR="00C46CE2" w:rsidRPr="00743512" w:rsidRDefault="00C46CE2" w:rsidP="00EE69DF">
            <w:pPr>
              <w:pStyle w:val="TableText0"/>
              <w:jc w:val="center"/>
            </w:pPr>
            <w:r w:rsidRPr="00743512">
              <w:t>109/ 915 (11.9%)</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41CBBC" w14:textId="77777777" w:rsidR="00C46CE2" w:rsidRPr="00743512" w:rsidRDefault="00C46CE2" w:rsidP="00EE69DF">
            <w:pPr>
              <w:pStyle w:val="TableText0"/>
              <w:jc w:val="center"/>
              <w:rPr>
                <w:b/>
                <w:bCs w:val="0"/>
              </w:rPr>
            </w:pPr>
            <w:r w:rsidRPr="00743512">
              <w:rPr>
                <w:b/>
                <w:bCs w:val="0"/>
              </w:rPr>
              <w:t>0.68 (0.50, 0.91)</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31A0DF" w14:textId="77777777" w:rsidR="00C46CE2" w:rsidRPr="00743512" w:rsidRDefault="00C46CE2" w:rsidP="00EE69DF">
            <w:pPr>
              <w:pStyle w:val="TableText0"/>
              <w:jc w:val="center"/>
            </w:pPr>
            <w:r w:rsidRPr="00743512">
              <w:t>NR</w:t>
            </w:r>
          </w:p>
        </w:tc>
      </w:tr>
      <w:tr w:rsidR="00C46CE2" w:rsidRPr="00743512" w14:paraId="4BB83792" w14:textId="77777777" w:rsidTr="004F5B47">
        <w:trPr>
          <w:cantSplit/>
        </w:trPr>
        <w:tc>
          <w:tcPr>
            <w:tcW w:w="6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6FF946" w14:textId="77777777" w:rsidR="00C46CE2" w:rsidRPr="00743512" w:rsidRDefault="00C46CE2" w:rsidP="00EE69DF">
            <w:pPr>
              <w:pStyle w:val="TableText0"/>
            </w:pPr>
            <w:r w:rsidRPr="00743512">
              <w:t>DDFS</w:t>
            </w:r>
          </w:p>
        </w:tc>
        <w:tc>
          <w:tcPr>
            <w:tcW w:w="105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BACB25" w14:textId="77777777" w:rsidR="00C46CE2" w:rsidRPr="00743512" w:rsidRDefault="00C46CE2" w:rsidP="00EE69DF">
            <w:pPr>
              <w:pStyle w:val="TableText0"/>
              <w:jc w:val="center"/>
            </w:pPr>
            <w:r w:rsidRPr="00743512">
              <w:t>107/921 (11.6%)</w:t>
            </w:r>
          </w:p>
        </w:tc>
        <w:tc>
          <w:tcPr>
            <w:tcW w:w="11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1026AF" w14:textId="77777777" w:rsidR="00C46CE2" w:rsidRPr="00743512" w:rsidRDefault="00C46CE2" w:rsidP="00EE69DF">
            <w:pPr>
              <w:pStyle w:val="TableText0"/>
              <w:jc w:val="center"/>
            </w:pPr>
            <w:r w:rsidRPr="00743512">
              <w:t>172/ 915 (18.8%)</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A8ABB0" w14:textId="77777777" w:rsidR="00C46CE2" w:rsidRPr="00743512" w:rsidRDefault="00C46CE2" w:rsidP="00EE69DF">
            <w:pPr>
              <w:pStyle w:val="TableText0"/>
              <w:jc w:val="center"/>
              <w:rPr>
                <w:b/>
                <w:bCs w:val="0"/>
              </w:rPr>
            </w:pPr>
            <w:r w:rsidRPr="00743512">
              <w:rPr>
                <w:b/>
                <w:bCs w:val="0"/>
              </w:rPr>
              <w:t>0.61 (0.48, 0.77)</w:t>
            </w:r>
          </w:p>
        </w:tc>
        <w:tc>
          <w:tcPr>
            <w:tcW w:w="107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CF6DE8" w14:textId="77777777" w:rsidR="00C46CE2" w:rsidRPr="00743512" w:rsidRDefault="00C46CE2" w:rsidP="00EE69DF">
            <w:pPr>
              <w:pStyle w:val="TableText0"/>
              <w:jc w:val="center"/>
            </w:pPr>
            <w:r w:rsidRPr="00743512">
              <w:t>NR</w:t>
            </w:r>
          </w:p>
        </w:tc>
      </w:tr>
    </w:tbl>
    <w:bookmarkEnd w:id="43"/>
    <w:p w14:paraId="7538B128" w14:textId="77777777" w:rsidR="00C46CE2" w:rsidRPr="00743512" w:rsidRDefault="00C46CE2" w:rsidP="00EE69DF">
      <w:pPr>
        <w:pStyle w:val="FooterTableFigure"/>
        <w:keepNext/>
        <w:rPr>
          <w:sz w:val="20"/>
        </w:rPr>
      </w:pPr>
      <w:r w:rsidRPr="00743512">
        <w:t>Source: Table 2.18, p72, table 2.20, p75, and table 2.19, p73 of the resubmission.</w:t>
      </w:r>
    </w:p>
    <w:p w14:paraId="1AF1328F" w14:textId="77777777" w:rsidR="00C46CE2" w:rsidRPr="00743512" w:rsidRDefault="00C46CE2" w:rsidP="00C46CE2">
      <w:pPr>
        <w:pStyle w:val="FooterTableFigure"/>
        <w:rPr>
          <w:rFonts w:eastAsia="Calibri"/>
        </w:rPr>
      </w:pPr>
      <w:r w:rsidRPr="00743512">
        <w:rPr>
          <w:rFonts w:eastAsia="Calibri"/>
        </w:rPr>
        <w:t xml:space="preserve">CI = confidence interval; DCO = data cut-off; DDFS = distant disease-free survival; IDFS = invasive disease-free survival; n = number of participants with event; N = total participants in group; NR = not reached; OS = overall survival. </w:t>
      </w:r>
    </w:p>
    <w:p w14:paraId="322D6880" w14:textId="77777777" w:rsidR="00C46CE2" w:rsidRPr="00743512" w:rsidRDefault="00C46CE2" w:rsidP="00C46CE2">
      <w:pPr>
        <w:pStyle w:val="FooterTableFigure"/>
        <w:rPr>
          <w:rFonts w:eastAsia="Calibri"/>
        </w:rPr>
      </w:pPr>
      <w:r w:rsidRPr="00743512">
        <w:rPr>
          <w:rFonts w:eastAsia="Calibri"/>
          <w:b/>
          <w:bCs/>
        </w:rPr>
        <w:t>Bold</w:t>
      </w:r>
      <w:r w:rsidRPr="00743512">
        <w:rPr>
          <w:rFonts w:eastAsia="Calibri"/>
        </w:rPr>
        <w:t xml:space="preserve"> = statistically significant.</w:t>
      </w:r>
    </w:p>
    <w:p w14:paraId="361FBC09" w14:textId="0D274059" w:rsidR="00C46CE2" w:rsidRPr="00743512" w:rsidRDefault="00C46CE2" w:rsidP="00C46CE2">
      <w:pPr>
        <w:pStyle w:val="FooterTableFigure"/>
        <w:rPr>
          <w:rFonts w:eastAsia="Calibri"/>
        </w:rPr>
      </w:pPr>
      <w:r w:rsidRPr="00743512">
        <w:rPr>
          <w:rFonts w:eastAsia="Calibri"/>
          <w:vertAlign w:val="superscript"/>
        </w:rPr>
        <w:t>a</w:t>
      </w:r>
      <w:r w:rsidRPr="00743512">
        <w:rPr>
          <w:rFonts w:eastAsia="Calibri"/>
        </w:rPr>
        <w:t xml:space="preserve"> The resubmission noted that 95% C</w:t>
      </w:r>
      <w:r w:rsidR="002745C2" w:rsidRPr="00743512">
        <w:rPr>
          <w:rFonts w:eastAsia="Calibri"/>
        </w:rPr>
        <w:t>i</w:t>
      </w:r>
      <w:r w:rsidRPr="00743512">
        <w:rPr>
          <w:rFonts w:eastAsia="Calibri"/>
        </w:rPr>
        <w:t>s were exploratory, not inferential. For OS only, the hazard ratio with 98.5% CI was reported to be inferential according to the alpha spending rules for the DCO2 interim analysis (HR 0.68 (98.5% CI 0.47, 0.97)).</w:t>
      </w:r>
    </w:p>
    <w:p w14:paraId="388E28DB" w14:textId="52932F55" w:rsidR="00C46CE2" w:rsidRPr="00F32823" w:rsidRDefault="00C46CE2" w:rsidP="00C46CE2">
      <w:pPr>
        <w:pStyle w:val="FooterTableFigure"/>
        <w:rPr>
          <w:bCs/>
          <w:szCs w:val="18"/>
        </w:rPr>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data previously seen by the PBAC. </w:t>
      </w:r>
    </w:p>
    <w:p w14:paraId="40C23CB0" w14:textId="4D07183F" w:rsidR="00C46CE2" w:rsidRPr="00743512" w:rsidRDefault="00C46CE2" w:rsidP="00C46CE2">
      <w:pPr>
        <w:pStyle w:val="Caption"/>
      </w:pPr>
      <w:bookmarkStart w:id="44" w:name="_Ref121058397"/>
      <w:r w:rsidRPr="00743512">
        <w:t xml:space="preserve">Figure </w:t>
      </w:r>
      <w:r w:rsidR="00D2565D">
        <w:fldChar w:fldCharType="begin"/>
      </w:r>
      <w:r w:rsidR="00D2565D">
        <w:instrText xml:space="preserve"> SEQ Figure \* ARABIC </w:instrText>
      </w:r>
      <w:r w:rsidR="00D2565D">
        <w:fldChar w:fldCharType="separate"/>
      </w:r>
      <w:r w:rsidR="00D2565D">
        <w:rPr>
          <w:noProof/>
        </w:rPr>
        <w:t>1</w:t>
      </w:r>
      <w:r w:rsidR="00D2565D">
        <w:rPr>
          <w:noProof/>
        </w:rPr>
        <w:fldChar w:fldCharType="end"/>
      </w:r>
      <w:bookmarkEnd w:id="44"/>
      <w:r w:rsidRPr="00743512">
        <w:t xml:space="preserve">: Kaplan-Meier Plot for IDFS (ITT Population) in OlympiA </w:t>
      </w:r>
    </w:p>
    <w:p w14:paraId="769F11B0" w14:textId="77777777" w:rsidR="00C46CE2" w:rsidRPr="00743512" w:rsidRDefault="00C46CE2" w:rsidP="00C46CE2">
      <w:pPr>
        <w:pStyle w:val="FooterTableFigure"/>
        <w:rPr>
          <w:rFonts w:eastAsia="Calibri"/>
        </w:rPr>
      </w:pPr>
      <w:r w:rsidRPr="00743512">
        <w:rPr>
          <w:noProof/>
        </w:rPr>
        <w:drawing>
          <wp:inline distT="0" distB="0" distL="0" distR="0" wp14:anchorId="161D42A7" wp14:editId="333A5033">
            <wp:extent cx="5732145" cy="3132455"/>
            <wp:effectExtent l="0" t="0" r="1905" b="0"/>
            <wp:docPr id="2" name="Picture 2" descr="Figure 1: Kaplan-Meier Plot for IDFS (ITT Population) in Olymp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aplan-Meier Plot for IDFS (ITT Population) in OlympiA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132455"/>
                    </a:xfrm>
                    <a:prstGeom prst="rect">
                      <a:avLst/>
                    </a:prstGeom>
                    <a:noFill/>
                    <a:ln>
                      <a:noFill/>
                    </a:ln>
                  </pic:spPr>
                </pic:pic>
              </a:graphicData>
            </a:graphic>
          </wp:inline>
        </w:drawing>
      </w:r>
    </w:p>
    <w:p w14:paraId="4F768067" w14:textId="77777777" w:rsidR="00C46CE2" w:rsidRPr="00743512" w:rsidRDefault="00C46CE2" w:rsidP="00C46CE2">
      <w:pPr>
        <w:pStyle w:val="FooterTableFigure"/>
      </w:pPr>
      <w:r w:rsidRPr="00743512">
        <w:t>Source: Figure 2.3, p68 of the resubmission.</w:t>
      </w:r>
    </w:p>
    <w:p w14:paraId="1028C5D0" w14:textId="77777777" w:rsidR="00C46CE2" w:rsidRPr="00743512" w:rsidRDefault="00C46CE2" w:rsidP="00C46CE2">
      <w:pPr>
        <w:pStyle w:val="FooterTableFigure"/>
        <w:rPr>
          <w:szCs w:val="18"/>
        </w:rPr>
      </w:pPr>
      <w:r w:rsidRPr="00743512">
        <w:rPr>
          <w:szCs w:val="18"/>
        </w:rPr>
        <w:t>IDFS = Invasive disease-free survival, ITT = Intention-to-treat</w:t>
      </w:r>
    </w:p>
    <w:p w14:paraId="0739809A" w14:textId="77777777" w:rsidR="00C46CE2" w:rsidRPr="00743512" w:rsidRDefault="00C46CE2" w:rsidP="00C46CE2">
      <w:pPr>
        <w:pStyle w:val="FooterTableFigure"/>
        <w:rPr>
          <w:szCs w:val="18"/>
        </w:rPr>
      </w:pPr>
      <w:r w:rsidRPr="00743512">
        <w:rPr>
          <w:szCs w:val="18"/>
        </w:rPr>
        <w:t>Note: Median follow-up of 3.5 and 3.6 years in the olaparib and placebo arms, respectively.</w:t>
      </w:r>
    </w:p>
    <w:p w14:paraId="440744B9" w14:textId="28AE6B52" w:rsidR="00C46CE2" w:rsidRPr="00743512" w:rsidRDefault="00C46CE2" w:rsidP="00C46CE2">
      <w:pPr>
        <w:pStyle w:val="Caption"/>
      </w:pPr>
      <w:bookmarkStart w:id="45" w:name="_Ref121058384"/>
      <w:r w:rsidRPr="00743512">
        <w:t xml:space="preserve">Figure </w:t>
      </w:r>
      <w:r w:rsidR="00D2565D">
        <w:fldChar w:fldCharType="begin"/>
      </w:r>
      <w:r w:rsidR="00D2565D">
        <w:instrText xml:space="preserve"> SEQ Figure \* ARABIC </w:instrText>
      </w:r>
      <w:r w:rsidR="00D2565D">
        <w:fldChar w:fldCharType="separate"/>
      </w:r>
      <w:r w:rsidR="00D2565D">
        <w:rPr>
          <w:noProof/>
        </w:rPr>
        <w:t>2</w:t>
      </w:r>
      <w:r w:rsidR="00D2565D">
        <w:rPr>
          <w:noProof/>
        </w:rPr>
        <w:fldChar w:fldCharType="end"/>
      </w:r>
      <w:bookmarkEnd w:id="45"/>
      <w:r w:rsidRPr="00743512">
        <w:t>: Kaplan-Meier Plot for OS (ITT Population) in OlympiA</w:t>
      </w:r>
    </w:p>
    <w:p w14:paraId="65E4508F" w14:textId="77777777" w:rsidR="00C46CE2" w:rsidRPr="00743512" w:rsidRDefault="00C46CE2" w:rsidP="00C46CE2">
      <w:pPr>
        <w:pStyle w:val="FooterTableFigure"/>
        <w:rPr>
          <w:rFonts w:eastAsia="Calibri"/>
        </w:rPr>
      </w:pPr>
      <w:r w:rsidRPr="00743512">
        <w:rPr>
          <w:noProof/>
        </w:rPr>
        <w:drawing>
          <wp:inline distT="0" distB="0" distL="0" distR="0" wp14:anchorId="47747156" wp14:editId="26778C3A">
            <wp:extent cx="5724525" cy="3152775"/>
            <wp:effectExtent l="0" t="0" r="9525" b="9525"/>
            <wp:docPr id="1" name="Picture 1" descr="Figure 2: Kaplan-Meier Plot for OS (ITT Population) in Olym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Kaplan-Meier Plot for OS (ITT Population) in Olymp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152775"/>
                    </a:xfrm>
                    <a:prstGeom prst="rect">
                      <a:avLst/>
                    </a:prstGeom>
                    <a:noFill/>
                    <a:ln>
                      <a:noFill/>
                    </a:ln>
                  </pic:spPr>
                </pic:pic>
              </a:graphicData>
            </a:graphic>
          </wp:inline>
        </w:drawing>
      </w:r>
      <w:r w:rsidRPr="00743512">
        <w:rPr>
          <w:rFonts w:eastAsia="Calibri"/>
        </w:rPr>
        <w:t xml:space="preserve"> </w:t>
      </w:r>
    </w:p>
    <w:p w14:paraId="02F3789C" w14:textId="77777777" w:rsidR="00C46CE2" w:rsidRPr="00743512" w:rsidRDefault="00C46CE2" w:rsidP="00C46CE2">
      <w:pPr>
        <w:rPr>
          <w:rFonts w:ascii="Arial Narrow" w:hAnsi="Arial Narrow"/>
          <w:sz w:val="18"/>
          <w:szCs w:val="18"/>
        </w:rPr>
      </w:pPr>
      <w:r w:rsidRPr="00743512">
        <w:rPr>
          <w:rFonts w:ascii="Arial Narrow" w:hAnsi="Arial Narrow"/>
          <w:sz w:val="18"/>
          <w:szCs w:val="18"/>
        </w:rPr>
        <w:t>Source: Figure 2.5, p71 of the resubmission.</w:t>
      </w:r>
    </w:p>
    <w:p w14:paraId="5166B969" w14:textId="77777777" w:rsidR="00C46CE2" w:rsidRPr="00743512" w:rsidRDefault="00C46CE2" w:rsidP="00C46CE2">
      <w:pPr>
        <w:rPr>
          <w:rFonts w:ascii="Arial Narrow" w:hAnsi="Arial Narrow"/>
          <w:sz w:val="18"/>
          <w:szCs w:val="18"/>
        </w:rPr>
      </w:pPr>
      <w:r w:rsidRPr="00743512">
        <w:rPr>
          <w:rFonts w:ascii="Arial Narrow" w:hAnsi="Arial Narrow"/>
          <w:sz w:val="18"/>
          <w:szCs w:val="18"/>
        </w:rPr>
        <w:t>ITT = intention to treat, OS = overall survival.</w:t>
      </w:r>
    </w:p>
    <w:p w14:paraId="6CE3C896" w14:textId="738BA0CC" w:rsidR="00C46CE2" w:rsidRPr="00F32823" w:rsidRDefault="00210904" w:rsidP="00F32823">
      <w:pPr>
        <w:pStyle w:val="FooterTableFigure"/>
        <w:rPr>
          <w:szCs w:val="18"/>
        </w:rPr>
      </w:pPr>
      <w:r w:rsidRPr="00743512">
        <w:rPr>
          <w:szCs w:val="18"/>
        </w:rPr>
        <w:t>Note: Median follow-up of 3.5 and 3.6 years in the olaparib and placebo arms, respectively.</w:t>
      </w:r>
    </w:p>
    <w:p w14:paraId="7993125B" w14:textId="77777777" w:rsidR="00C46CE2" w:rsidRPr="00743512" w:rsidRDefault="00C46CE2" w:rsidP="00C46CE2">
      <w:pPr>
        <w:pStyle w:val="3-BodyText"/>
        <w:numPr>
          <w:ilvl w:val="0"/>
          <w:numId w:val="0"/>
        </w:numPr>
        <w:ind w:left="720" w:hanging="720"/>
        <w:rPr>
          <w:b/>
          <w:bCs/>
        </w:rPr>
      </w:pPr>
      <w:r w:rsidRPr="00743512">
        <w:rPr>
          <w:b/>
          <w:bCs/>
        </w:rPr>
        <w:t>Subgroup analyses</w:t>
      </w:r>
    </w:p>
    <w:p w14:paraId="1A34349B" w14:textId="383A20A5" w:rsidR="00C46CE2" w:rsidRPr="00743512" w:rsidRDefault="00C46CE2" w:rsidP="001074C6">
      <w:pPr>
        <w:pStyle w:val="3-BodyText"/>
        <w:numPr>
          <w:ilvl w:val="1"/>
          <w:numId w:val="9"/>
        </w:numPr>
        <w:snapToGrid w:val="0"/>
      </w:pPr>
      <w:r w:rsidRPr="00743512">
        <w:t>The presented subgroup analyses have not changed from the previous submission</w:t>
      </w:r>
      <w:r w:rsidR="00D30EB7" w:rsidRPr="00743512">
        <w:t>.</w:t>
      </w:r>
      <w:r w:rsidRPr="00743512">
        <w:t xml:space="preserve"> Hormone receptor status was a stratification factor in the OlympiA trial, which included a smaller proportion of HR+/HER2- patients (17.7%) compared to the TNBC population (82.3%). In contrast, the resubmission estimated the proportion of HR+, HER2- patients in Australian clinical practice is </w:t>
      </w:r>
      <w:r w:rsidR="00BA4CF6" w:rsidRPr="00743512">
        <w:t>between</w:t>
      </w:r>
      <w:r w:rsidRPr="00743512">
        <w:t xml:space="preserve"> 56.9% to 79.6% compared with 12% to 24% for TNBC. </w:t>
      </w:r>
    </w:p>
    <w:p w14:paraId="392AF6A3" w14:textId="7D4835B7" w:rsidR="00C46CE2" w:rsidRPr="00743512" w:rsidRDefault="00C46CE2" w:rsidP="001074C6">
      <w:pPr>
        <w:pStyle w:val="3-BodyText"/>
        <w:numPr>
          <w:ilvl w:val="1"/>
          <w:numId w:val="9"/>
        </w:numPr>
        <w:snapToGrid w:val="0"/>
      </w:pPr>
      <w:r w:rsidRPr="00743512">
        <w:t>The hazard ratios between the HR+/HER2- population and the TNBC population are largely similar for IDFS (0.68 vs. 0.62, respectively, p= 0.754) and DDFS (0.69 vs. 0.59, respectively, p-value = 0.381), but less similar for OS (0.90 vs. 0.64, respectively, p=</w:t>
      </w:r>
      <w:r w:rsidR="00267299" w:rsidRPr="00743512">
        <w:t> </w:t>
      </w:r>
      <w:r w:rsidRPr="00743512">
        <w:t>0.608</w:t>
      </w:r>
      <w:r w:rsidR="00EE38B8" w:rsidRPr="00743512">
        <w:t>; Table 6, olaparib PSD</w:t>
      </w:r>
      <w:r w:rsidR="00F4781C" w:rsidRPr="00743512">
        <w:t>,</w:t>
      </w:r>
      <w:r w:rsidR="00EE38B8" w:rsidRPr="00743512">
        <w:t xml:space="preserve"> March 2023 PBAC meeting</w:t>
      </w:r>
      <w:r w:rsidRPr="00743512">
        <w:t xml:space="preserve">). </w:t>
      </w:r>
      <w:r w:rsidR="00BA4CF6" w:rsidRPr="00743512">
        <w:t>T</w:t>
      </w:r>
      <w:r w:rsidRPr="00743512">
        <w:t xml:space="preserve">here were few deaths across both treatment arms for the HR+/HER2- population (n=16 events in the olaparib arm vs n=17 events in the placebo arm). </w:t>
      </w:r>
      <w:r w:rsidR="00EE38B8" w:rsidRPr="00743512">
        <w:t>OlympiA was not statistically powered for an assessment of treatment-effect modification by TNBC vs. HR+/HER2- (para 6.19, olaparib PSD</w:t>
      </w:r>
      <w:r w:rsidR="00F4781C" w:rsidRPr="00743512">
        <w:t>,</w:t>
      </w:r>
      <w:r w:rsidR="00EE38B8" w:rsidRPr="00743512">
        <w:t xml:space="preserve"> March 2023 PBAC meeting)</w:t>
      </w:r>
      <w:r w:rsidR="00157B92" w:rsidRPr="00743512">
        <w:t xml:space="preserve">. </w:t>
      </w:r>
    </w:p>
    <w:p w14:paraId="404493AC" w14:textId="6A57AB52" w:rsidR="00C46CE2" w:rsidRPr="00743512" w:rsidRDefault="00D30EB7" w:rsidP="001074C6">
      <w:pPr>
        <w:pStyle w:val="3-BodyText"/>
        <w:numPr>
          <w:ilvl w:val="1"/>
          <w:numId w:val="9"/>
        </w:numPr>
        <w:snapToGrid w:val="0"/>
      </w:pPr>
      <w:r w:rsidRPr="00743512">
        <w:t xml:space="preserve">In </w:t>
      </w:r>
      <w:r w:rsidR="00EE38B8" w:rsidRPr="00743512">
        <w:t>M</w:t>
      </w:r>
      <w:r w:rsidRPr="00743512">
        <w:t>arch 2023, t</w:t>
      </w:r>
      <w:r w:rsidR="00C46CE2" w:rsidRPr="00743512">
        <w:t xml:space="preserve">he PBAC considered that the results for the TNBC subgroup (IDFS </w:t>
      </w:r>
      <w:r w:rsidR="00F4781C" w:rsidRPr="00743512">
        <w:t>HR =</w:t>
      </w:r>
      <w:r w:rsidR="00C46CE2" w:rsidRPr="00743512">
        <w:t xml:space="preserve"> 0.62</w:t>
      </w:r>
      <w:r w:rsidR="00F4781C" w:rsidRPr="00743512">
        <w:t>;</w:t>
      </w:r>
      <w:r w:rsidR="00C46CE2" w:rsidRPr="00743512">
        <w:t xml:space="preserve"> 95% CI: 0.49, 0.79) were more certain than those for the HR+ subgroup (IDFS </w:t>
      </w:r>
      <w:r w:rsidR="00F4781C" w:rsidRPr="00743512">
        <w:t>HR =</w:t>
      </w:r>
      <w:r w:rsidR="00C46CE2" w:rsidRPr="00743512">
        <w:t xml:space="preserve"> 0.68</w:t>
      </w:r>
      <w:r w:rsidR="00F4781C" w:rsidRPr="00743512">
        <w:t>;</w:t>
      </w:r>
      <w:r w:rsidR="00C46CE2" w:rsidRPr="00743512">
        <w:t xml:space="preserve"> 95% CI: 0.40, 1.13) given the larger number of TNBC patients included in the trial (82.3% of the </w:t>
      </w:r>
      <w:r w:rsidR="00BC65D5" w:rsidRPr="00743512">
        <w:t>intention to treat [</w:t>
      </w:r>
      <w:r w:rsidR="00C46CE2" w:rsidRPr="00743512">
        <w:t>ITT</w:t>
      </w:r>
      <w:r w:rsidR="00BC65D5" w:rsidRPr="00743512">
        <w:t>]</w:t>
      </w:r>
      <w:r w:rsidR="00C46CE2" w:rsidRPr="00743512">
        <w:t xml:space="preserve"> population), and the longer duration of follow-up in this subgroup. Additionally, the PBAC considered that although there </w:t>
      </w:r>
      <w:r w:rsidR="004C3AA5" w:rsidRPr="00743512">
        <w:t>was</w:t>
      </w:r>
      <w:r w:rsidR="00C46CE2" w:rsidRPr="00743512">
        <w:t xml:space="preserve"> no statistical evidence of treatment-effect modification on the HR-scale, it </w:t>
      </w:r>
      <w:r w:rsidR="004C3AA5" w:rsidRPr="00743512">
        <w:t xml:space="preserve">was </w:t>
      </w:r>
      <w:r w:rsidR="00C46CE2" w:rsidRPr="00743512">
        <w:t xml:space="preserve">possible that an underlying pattern of treatment-effect modification might be revealed </w:t>
      </w:r>
      <w:r w:rsidR="004B707C" w:rsidRPr="00743512">
        <w:t xml:space="preserve">with more mature data </w:t>
      </w:r>
      <w:r w:rsidR="00C46CE2" w:rsidRPr="00743512">
        <w:t>(para 7.13, olaparib PSD, March 2023 PBAC meeting).</w:t>
      </w:r>
    </w:p>
    <w:p w14:paraId="21E1F9C3" w14:textId="76B005D8" w:rsidR="00C46CE2" w:rsidRPr="00743512" w:rsidRDefault="00C46CE2" w:rsidP="001074C6">
      <w:pPr>
        <w:pStyle w:val="3-BodyText"/>
        <w:numPr>
          <w:ilvl w:val="1"/>
          <w:numId w:val="9"/>
        </w:numPr>
        <w:snapToGrid w:val="0"/>
      </w:pPr>
      <w:bookmarkStart w:id="46" w:name="_Hlk124173909"/>
      <w:r w:rsidRPr="00743512">
        <w:t xml:space="preserve">The type of chemotherapy </w:t>
      </w:r>
      <w:r w:rsidR="00D30EB7" w:rsidRPr="00743512">
        <w:t xml:space="preserve">that </w:t>
      </w:r>
      <w:r w:rsidRPr="00743512">
        <w:t>patients received (neoadjuvant or adjuvant) was also a stratification factor for randomisation. The proportion of neoadjuvant and adjuvant patients was well balanced in both the olaparib arm (50.1% adjuvant and 49.9% neoadjuvant) and placebo arm (49.7% adjuvant and 50.3% neoadjuvant). For IDFS, the hazard ratios were similar across the adjuvant and neoadjuvant subgroups (0.612 vs. 0.622, respectively, p-value = 0.763). The hazard ratios for OS (adjuvant = 0.783 vs. neoadjuvant = 0.638, p-value = 0.753) and DDFS (adjuvant = 0.562 vs. neoadjuvant</w:t>
      </w:r>
      <w:r w:rsidR="006F3047" w:rsidRPr="00743512">
        <w:t> </w:t>
      </w:r>
      <w:r w:rsidRPr="00743512">
        <w:t>=</w:t>
      </w:r>
      <w:r w:rsidR="006F3047" w:rsidRPr="00743512">
        <w:t> </w:t>
      </w:r>
      <w:r w:rsidRPr="00743512">
        <w:t>0.623, p-value = 0.583) were slightly different across subgroups, the interaction p-values were not statistically significant</w:t>
      </w:r>
      <w:r w:rsidR="00EE38B8" w:rsidRPr="00743512">
        <w:t xml:space="preserve"> (Table 7, olaparib PSD</w:t>
      </w:r>
      <w:r w:rsidR="009A5607" w:rsidRPr="00743512">
        <w:t>,</w:t>
      </w:r>
      <w:r w:rsidR="00EE38B8" w:rsidRPr="00743512">
        <w:t xml:space="preserve"> March 2023 PBAC meeting)</w:t>
      </w:r>
      <w:r w:rsidRPr="00743512">
        <w:t>. OlympiA was not statistically powered for these comparisons.</w:t>
      </w:r>
    </w:p>
    <w:p w14:paraId="7537843B" w14:textId="4940A276" w:rsidR="00C46CE2" w:rsidRPr="00743512" w:rsidRDefault="00C46CE2" w:rsidP="00EE38B8">
      <w:pPr>
        <w:pStyle w:val="3-BodyText"/>
        <w:keepNext/>
        <w:numPr>
          <w:ilvl w:val="0"/>
          <w:numId w:val="0"/>
        </w:numPr>
        <w:snapToGrid w:val="0"/>
        <w:rPr>
          <w:b/>
          <w:bCs/>
        </w:rPr>
      </w:pPr>
      <w:r w:rsidRPr="00743512">
        <w:rPr>
          <w:b/>
          <w:bCs/>
        </w:rPr>
        <w:t>Patient reported outcomes</w:t>
      </w:r>
    </w:p>
    <w:bookmarkEnd w:id="46"/>
    <w:p w14:paraId="6DD8B5D4" w14:textId="2776C29B" w:rsidR="00C46CE2" w:rsidRPr="00743512" w:rsidRDefault="00C46CE2" w:rsidP="001074C6">
      <w:pPr>
        <w:pStyle w:val="3-BodyText"/>
        <w:numPr>
          <w:ilvl w:val="1"/>
          <w:numId w:val="9"/>
        </w:numPr>
        <w:snapToGrid w:val="0"/>
        <w:rPr>
          <w:color w:val="0066FF"/>
        </w:rPr>
      </w:pPr>
      <w:r w:rsidRPr="00743512">
        <w:t>Patient reported outcomes were measured with FACIT-Fatigue and EORTC QLQ-C30. The compliance rate for the QoL questionnaires was similar across both arms of the study</w:t>
      </w:r>
      <w:r w:rsidR="00EE38B8" w:rsidRPr="00743512">
        <w:t xml:space="preserve"> (s</w:t>
      </w:r>
      <w:r w:rsidRPr="00743512">
        <w:t>tarting at almost 100% and reducing to 70% at 24 months</w:t>
      </w:r>
      <w:r w:rsidR="00EE38B8" w:rsidRPr="00743512">
        <w:t>)</w:t>
      </w:r>
      <w:r w:rsidRPr="00743512">
        <w:t>.</w:t>
      </w:r>
    </w:p>
    <w:p w14:paraId="2DC48386" w14:textId="77777777" w:rsidR="00C46CE2" w:rsidRPr="00743512" w:rsidRDefault="00C46CE2" w:rsidP="001074C6">
      <w:pPr>
        <w:pStyle w:val="3-BodyText"/>
        <w:numPr>
          <w:ilvl w:val="1"/>
          <w:numId w:val="9"/>
        </w:numPr>
        <w:snapToGrid w:val="0"/>
        <w:rPr>
          <w:color w:val="0066FF"/>
        </w:rPr>
      </w:pPr>
      <w:r w:rsidRPr="00743512">
        <w:t>The FACIT-Fatigue scores were divided into patients who received neoadjuvant or adjuvant chemotherapy. Patients in the neoadjuvant group experienced an improvement in fatigue scores for the olaparib arm at 6 and 12 months but this was lost by 18 months. In contrast, the placebo arm did not see any improvement in fatigue scores. This was mirrored in the adjuvant chemotherapy group. The observed difference was statistically significant but did not meet the pre-established minimally clinically meaningful change threshold of 3 points.</w:t>
      </w:r>
    </w:p>
    <w:p w14:paraId="20A344C7" w14:textId="1B959651" w:rsidR="00B25543" w:rsidRPr="00743512" w:rsidRDefault="00C46CE2" w:rsidP="001074C6">
      <w:pPr>
        <w:pStyle w:val="3-BodyText"/>
        <w:numPr>
          <w:ilvl w:val="1"/>
          <w:numId w:val="9"/>
        </w:numPr>
        <w:snapToGrid w:val="0"/>
      </w:pPr>
      <w:r w:rsidRPr="00743512">
        <w:t>The results from the EORTC QLQ-C30 showed mean baseline global health/QoL scores were comparable between the treatment arms. In the neoadjuvant group, there was a statistically significant improvement in global health/QoL scores from baseline to 24 months in the olaparib arm compared with placebo. In contrast, patients in the olaparib arm of the adjuvant chemotherapy group saw statistically significant baseline global health/QoL scores improvements compared with placebo at 6 and 12 months but this was not sustained at 24 months</w:t>
      </w:r>
      <w:r w:rsidR="00B25543" w:rsidRPr="00743512">
        <w:t>.</w:t>
      </w:r>
    </w:p>
    <w:p w14:paraId="77C3E3E2" w14:textId="77777777" w:rsidR="00CA3B1E" w:rsidRPr="00743512" w:rsidRDefault="00CA3B1E" w:rsidP="00CA3B1E">
      <w:pPr>
        <w:pStyle w:val="4-SubsectionHeading"/>
        <w:rPr>
          <w:iCs/>
        </w:rPr>
      </w:pPr>
      <w:bookmarkStart w:id="47" w:name="_Toc22897642"/>
      <w:bookmarkStart w:id="48" w:name="_Toc124883282"/>
      <w:bookmarkStart w:id="49" w:name="_Toc145501121"/>
      <w:r w:rsidRPr="00743512">
        <w:rPr>
          <w:iCs/>
        </w:rPr>
        <w:t>Comparative harms</w:t>
      </w:r>
      <w:bookmarkEnd w:id="47"/>
      <w:bookmarkEnd w:id="48"/>
      <w:bookmarkEnd w:id="49"/>
    </w:p>
    <w:p w14:paraId="310A5694" w14:textId="77777777" w:rsidR="00CA3B1E" w:rsidRPr="00743512" w:rsidRDefault="00CA3B1E" w:rsidP="001074C6">
      <w:pPr>
        <w:pStyle w:val="3-BodyText"/>
        <w:numPr>
          <w:ilvl w:val="1"/>
          <w:numId w:val="9"/>
        </w:numPr>
        <w:snapToGrid w:val="0"/>
        <w:rPr>
          <w:color w:val="0066FF"/>
        </w:rPr>
      </w:pPr>
      <w:bookmarkStart w:id="50" w:name="_Hlk104801403"/>
      <w:r w:rsidRPr="00743512">
        <w:t>The evidence presented to support the safety claim in the resubmission was based on the OlympiA trial and has not changed from the previous submission.</w:t>
      </w:r>
    </w:p>
    <w:p w14:paraId="74A840CE" w14:textId="77777777" w:rsidR="00CA3B1E" w:rsidRPr="00743512" w:rsidRDefault="00CA3B1E" w:rsidP="001074C6">
      <w:pPr>
        <w:pStyle w:val="3-BodyText"/>
        <w:numPr>
          <w:ilvl w:val="1"/>
          <w:numId w:val="9"/>
        </w:numPr>
        <w:snapToGrid w:val="0"/>
      </w:pPr>
      <w:r w:rsidRPr="00743512">
        <w:t>The previous submission made a claim of non-inferior safety for olaparib vs. placebo (watch and wait). The PBAC considered that the claim of non-inferior comparative safety was not adequately supported by the data, and that olaparib was inferior to placebo in terms of safety (para 6.49, olaparib PSD, March 2023 PBAC meeting). Correspondingly, the resubmission made a claim of inferior, but manageable, safety for olaparib vs. placebo (watch and wait).</w:t>
      </w:r>
    </w:p>
    <w:p w14:paraId="638A6277" w14:textId="398A4F41" w:rsidR="00CA3B1E" w:rsidRPr="00743512" w:rsidRDefault="00CA3B1E" w:rsidP="007A67F9">
      <w:pPr>
        <w:pStyle w:val="3-BodyText"/>
        <w:numPr>
          <w:ilvl w:val="1"/>
          <w:numId w:val="9"/>
        </w:numPr>
        <w:snapToGrid w:val="0"/>
      </w:pPr>
      <w:r w:rsidRPr="00743512">
        <w:t>A summary of adverse events (A</w:t>
      </w:r>
      <w:r w:rsidR="001074C6" w:rsidRPr="00743512">
        <w:t>E</w:t>
      </w:r>
      <w:r w:rsidRPr="00743512">
        <w:t xml:space="preserve">s) in the OlympiA trial is presented in </w:t>
      </w:r>
      <w:r w:rsidRPr="00743512">
        <w:fldChar w:fldCharType="begin"/>
      </w:r>
      <w:r w:rsidRPr="00743512">
        <w:instrText xml:space="preserve"> REF _Ref144716259 \h </w:instrText>
      </w:r>
      <w:r w:rsidRPr="00743512">
        <w:fldChar w:fldCharType="separate"/>
      </w:r>
      <w:r w:rsidR="00D2565D" w:rsidRPr="00743512">
        <w:t xml:space="preserve">Table </w:t>
      </w:r>
      <w:r w:rsidR="00D2565D">
        <w:rPr>
          <w:noProof/>
        </w:rPr>
        <w:t>7</w:t>
      </w:r>
      <w:r w:rsidRPr="00743512">
        <w:fldChar w:fldCharType="end"/>
      </w:r>
      <w:r w:rsidRPr="00743512">
        <w:t xml:space="preserve">. </w:t>
      </w:r>
      <w:r w:rsidRPr="00743512">
        <w:fldChar w:fldCharType="begin"/>
      </w:r>
      <w:r w:rsidRPr="00743512">
        <w:instrText xml:space="preserve"> REF _Ref144716836 \h </w:instrText>
      </w:r>
      <w:r w:rsidRPr="00743512">
        <w:fldChar w:fldCharType="separate"/>
      </w:r>
      <w:r w:rsidR="00D2565D" w:rsidRPr="00743512">
        <w:t xml:space="preserve">Table </w:t>
      </w:r>
      <w:r w:rsidR="00D2565D">
        <w:rPr>
          <w:noProof/>
        </w:rPr>
        <w:t>8</w:t>
      </w:r>
      <w:r w:rsidRPr="00743512">
        <w:fldChar w:fldCharType="end"/>
      </w:r>
      <w:r w:rsidRPr="00743512">
        <w:t xml:space="preserve"> summarises most common Grade 3 or higher A</w:t>
      </w:r>
      <w:r w:rsidR="00EE38B8" w:rsidRPr="00743512">
        <w:t>E</w:t>
      </w:r>
      <w:r w:rsidRPr="00743512">
        <w:t>s in OlympiA.</w:t>
      </w:r>
    </w:p>
    <w:p w14:paraId="4EF05B47" w14:textId="4074F157" w:rsidR="00CA3B1E" w:rsidRPr="00743512" w:rsidRDefault="00CA3B1E" w:rsidP="00CA3B1E">
      <w:pPr>
        <w:pStyle w:val="Caption"/>
        <w:rPr>
          <w:rStyle w:val="CommentReference"/>
        </w:rPr>
      </w:pPr>
      <w:bookmarkStart w:id="51" w:name="_Ref144716259"/>
      <w:bookmarkEnd w:id="50"/>
      <w:r w:rsidRPr="00743512">
        <w:t xml:space="preserve">Table </w:t>
      </w:r>
      <w:r w:rsidR="00D2565D">
        <w:fldChar w:fldCharType="begin"/>
      </w:r>
      <w:r w:rsidR="00D2565D">
        <w:instrText xml:space="preserve"> SEQ Table \* ARABIC </w:instrText>
      </w:r>
      <w:r w:rsidR="00D2565D">
        <w:fldChar w:fldCharType="separate"/>
      </w:r>
      <w:r w:rsidR="00D2565D">
        <w:rPr>
          <w:noProof/>
        </w:rPr>
        <w:t>7</w:t>
      </w:r>
      <w:r w:rsidR="00D2565D">
        <w:rPr>
          <w:noProof/>
        </w:rPr>
        <w:fldChar w:fldCharType="end"/>
      </w:r>
      <w:bookmarkEnd w:id="51"/>
      <w:r w:rsidRPr="00743512">
        <w:rPr>
          <w:b w:val="0"/>
          <w:bCs w:val="0"/>
        </w:rPr>
        <w:t xml:space="preserve">: </w:t>
      </w:r>
      <w:r w:rsidRPr="00743512">
        <w:rPr>
          <w:rStyle w:val="CommentReference"/>
          <w:b/>
          <w:bCs w:val="0"/>
        </w:rPr>
        <w:t>Summary of key adverse events in the OlympiA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Caption w:val="Table 7: Summary of key adverse events in the OlympiA trial"/>
      </w:tblPr>
      <w:tblGrid>
        <w:gridCol w:w="4167"/>
        <w:gridCol w:w="1689"/>
        <w:gridCol w:w="1689"/>
        <w:gridCol w:w="1472"/>
      </w:tblGrid>
      <w:tr w:rsidR="00CA3B1E" w:rsidRPr="00743512" w14:paraId="2513DE33" w14:textId="77777777" w:rsidTr="004F5B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EA89C8" w14:textId="77777777" w:rsidR="00CA3B1E" w:rsidRPr="00743512" w:rsidRDefault="00CA3B1E" w:rsidP="004F5B47">
            <w:pPr>
              <w:pStyle w:val="In-tableHeading"/>
              <w:rPr>
                <w:lang w:val="en-AU"/>
              </w:rPr>
            </w:pPr>
            <w:r w:rsidRPr="00743512">
              <w:rPr>
                <w:lang w:val="en-AU"/>
              </w:rPr>
              <w:t>Trial ID</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B4B970" w14:textId="77777777" w:rsidR="00CA3B1E" w:rsidRPr="00743512" w:rsidRDefault="00CA3B1E" w:rsidP="004F5B47">
            <w:pPr>
              <w:pStyle w:val="In-tableHeading"/>
              <w:jc w:val="center"/>
              <w:rPr>
                <w:lang w:val="en-AU"/>
              </w:rPr>
            </w:pPr>
            <w:r w:rsidRPr="00743512">
              <w:rPr>
                <w:lang w:val="en-AU"/>
              </w:rPr>
              <w:t>Olaparib</w:t>
            </w:r>
          </w:p>
          <w:p w14:paraId="4D3ADA39" w14:textId="77777777" w:rsidR="00CA3B1E" w:rsidRPr="00743512" w:rsidRDefault="00CA3B1E" w:rsidP="004F5B47">
            <w:pPr>
              <w:pStyle w:val="In-tableHeading"/>
              <w:jc w:val="center"/>
              <w:rPr>
                <w:lang w:val="en-AU"/>
              </w:rPr>
            </w:pPr>
            <w:r w:rsidRPr="00743512">
              <w:rPr>
                <w:lang w:val="en-AU"/>
              </w:rPr>
              <w:t>n with event/N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D2A30F" w14:textId="77777777" w:rsidR="00CA3B1E" w:rsidRPr="00743512" w:rsidRDefault="00CA3B1E" w:rsidP="004F5B47">
            <w:pPr>
              <w:pStyle w:val="In-tableHeading"/>
              <w:jc w:val="center"/>
              <w:rPr>
                <w:lang w:val="en-AU"/>
              </w:rPr>
            </w:pPr>
            <w:r w:rsidRPr="00743512">
              <w:rPr>
                <w:lang w:val="en-AU"/>
              </w:rPr>
              <w:t>Placebo</w:t>
            </w:r>
          </w:p>
          <w:p w14:paraId="5CC654EF" w14:textId="77777777" w:rsidR="00CA3B1E" w:rsidRPr="00743512" w:rsidRDefault="00CA3B1E" w:rsidP="004F5B47">
            <w:pPr>
              <w:pStyle w:val="In-tableHeading"/>
              <w:jc w:val="center"/>
              <w:rPr>
                <w:lang w:val="en-AU"/>
              </w:rPr>
            </w:pPr>
            <w:r w:rsidRPr="00743512">
              <w:rPr>
                <w:lang w:val="en-AU"/>
              </w:rPr>
              <w:t>n with event/N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B53089" w14:textId="77777777" w:rsidR="00CA3B1E" w:rsidRPr="00743512" w:rsidRDefault="00CA3B1E" w:rsidP="004F5B47">
            <w:pPr>
              <w:pStyle w:val="In-tableHeading"/>
              <w:jc w:val="center"/>
              <w:rPr>
                <w:lang w:val="en-AU"/>
              </w:rPr>
            </w:pPr>
            <w:r w:rsidRPr="00743512">
              <w:rPr>
                <w:lang w:val="en-AU"/>
              </w:rPr>
              <w:t>RR (95% CI)</w:t>
            </w:r>
            <w:r w:rsidRPr="00743512">
              <w:rPr>
                <w:vertAlign w:val="superscript"/>
                <w:lang w:val="en-AU"/>
              </w:rPr>
              <w:t>a</w:t>
            </w:r>
          </w:p>
        </w:tc>
      </w:tr>
      <w:tr w:rsidR="00CA3B1E" w:rsidRPr="00743512" w14:paraId="55C77AB5"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40099F" w14:textId="77777777" w:rsidR="00CA3B1E" w:rsidRPr="00743512" w:rsidRDefault="00CA3B1E" w:rsidP="004F5B47">
            <w:pPr>
              <w:pStyle w:val="TableText0"/>
            </w:pPr>
            <w:r w:rsidRPr="00743512">
              <w:t>Any AE</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BDC9FD" w14:textId="77777777" w:rsidR="00CA3B1E" w:rsidRPr="00743512" w:rsidRDefault="00CA3B1E" w:rsidP="004F5B47">
            <w:pPr>
              <w:pStyle w:val="TableText0"/>
              <w:jc w:val="center"/>
            </w:pPr>
            <w:r w:rsidRPr="00743512">
              <w:t>836/911 (91.8%)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FAD5B6" w14:textId="77777777" w:rsidR="00CA3B1E" w:rsidRPr="00743512" w:rsidRDefault="00CA3B1E" w:rsidP="004F5B47">
            <w:pPr>
              <w:pStyle w:val="TableText0"/>
              <w:jc w:val="center"/>
            </w:pPr>
            <w:r w:rsidRPr="00743512">
              <w:t>758/904 (83.8%)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E5890C" w14:textId="77777777" w:rsidR="00CA3B1E" w:rsidRPr="00743512" w:rsidRDefault="00CA3B1E" w:rsidP="004F5B47">
            <w:pPr>
              <w:pStyle w:val="TableText0"/>
              <w:jc w:val="center"/>
              <w:rPr>
                <w:b/>
                <w:bCs w:val="0"/>
              </w:rPr>
            </w:pPr>
            <w:r w:rsidRPr="00743512">
              <w:rPr>
                <w:b/>
                <w:bCs w:val="0"/>
              </w:rPr>
              <w:t>1.09 (1.06, 1.13)</w:t>
            </w:r>
          </w:p>
        </w:tc>
      </w:tr>
      <w:tr w:rsidR="00CA3B1E" w:rsidRPr="00743512" w14:paraId="140DC0DB"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BB5A6D" w14:textId="77777777" w:rsidR="00CA3B1E" w:rsidRPr="00743512" w:rsidRDefault="00CA3B1E" w:rsidP="004F5B47">
            <w:pPr>
              <w:pStyle w:val="TableText0"/>
            </w:pPr>
            <w:r w:rsidRPr="00743512">
              <w:t xml:space="preserve">Any AE casually related to study treatment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E88FE4A" w14:textId="77777777" w:rsidR="00CA3B1E" w:rsidRPr="00743512" w:rsidRDefault="00CA3B1E" w:rsidP="004F5B47">
            <w:pPr>
              <w:pStyle w:val="TableText0"/>
              <w:jc w:val="center"/>
            </w:pPr>
            <w:r w:rsidRPr="00743512">
              <w:t>736/911 (80.8%)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900592" w14:textId="77777777" w:rsidR="00CA3B1E" w:rsidRPr="00743512" w:rsidRDefault="00CA3B1E" w:rsidP="004F5B47">
            <w:pPr>
              <w:pStyle w:val="TableText0"/>
              <w:jc w:val="center"/>
            </w:pPr>
            <w:r w:rsidRPr="00743512">
              <w:t>480/904 (53.1%)</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8327DB8" w14:textId="77777777" w:rsidR="00CA3B1E" w:rsidRPr="00743512" w:rsidRDefault="00CA3B1E" w:rsidP="004F5B47">
            <w:pPr>
              <w:pStyle w:val="TableText0"/>
              <w:jc w:val="center"/>
              <w:rPr>
                <w:b/>
                <w:bCs w:val="0"/>
              </w:rPr>
            </w:pPr>
            <w:r w:rsidRPr="00743512">
              <w:rPr>
                <w:b/>
                <w:bCs w:val="0"/>
              </w:rPr>
              <w:t>1.52 (1.42, 1.63)</w:t>
            </w:r>
          </w:p>
        </w:tc>
      </w:tr>
      <w:tr w:rsidR="00CA3B1E" w:rsidRPr="00743512" w14:paraId="12430DEB"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AC5032" w14:textId="77777777" w:rsidR="00CA3B1E" w:rsidRPr="00743512" w:rsidRDefault="00CA3B1E" w:rsidP="004F5B47">
            <w:pPr>
              <w:pStyle w:val="TableText0"/>
            </w:pPr>
            <w:r w:rsidRPr="00743512">
              <w:t>Any AE of CTCAE Grade ≥3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8D88AC" w14:textId="77777777" w:rsidR="00CA3B1E" w:rsidRPr="00743512" w:rsidRDefault="00CA3B1E" w:rsidP="004F5B47">
            <w:pPr>
              <w:pStyle w:val="TableText0"/>
              <w:jc w:val="center"/>
            </w:pPr>
            <w:r w:rsidRPr="00743512">
              <w:t>223/911 (24.5%)</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C107B9" w14:textId="77777777" w:rsidR="00CA3B1E" w:rsidRPr="00743512" w:rsidRDefault="00CA3B1E" w:rsidP="004F5B47">
            <w:pPr>
              <w:pStyle w:val="TableText0"/>
              <w:jc w:val="center"/>
            </w:pPr>
            <w:r w:rsidRPr="00743512">
              <w:t>102/904 (11.3%)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522ADC" w14:textId="77777777" w:rsidR="00CA3B1E" w:rsidRPr="00743512" w:rsidRDefault="00CA3B1E" w:rsidP="004F5B47">
            <w:pPr>
              <w:pStyle w:val="TableText0"/>
              <w:jc w:val="center"/>
              <w:rPr>
                <w:b/>
                <w:bCs w:val="0"/>
              </w:rPr>
            </w:pPr>
            <w:r w:rsidRPr="00743512">
              <w:rPr>
                <w:b/>
                <w:bCs w:val="0"/>
              </w:rPr>
              <w:t>2.17 (1.75, 2.69)</w:t>
            </w:r>
          </w:p>
        </w:tc>
      </w:tr>
      <w:tr w:rsidR="00CA3B1E" w:rsidRPr="00743512" w14:paraId="6A5A11D4"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79BB9A" w14:textId="77777777" w:rsidR="00CA3B1E" w:rsidRPr="00743512" w:rsidRDefault="00CA3B1E" w:rsidP="004F5B47">
            <w:pPr>
              <w:pStyle w:val="TableText0"/>
            </w:pPr>
            <w:r w:rsidRPr="00743512">
              <w:t>Any AE with outcome=death</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1EC482" w14:textId="77777777" w:rsidR="00CA3B1E" w:rsidRPr="00743512" w:rsidRDefault="00CA3B1E" w:rsidP="004F5B47">
            <w:pPr>
              <w:pStyle w:val="TableText0"/>
              <w:jc w:val="center"/>
            </w:pPr>
            <w:r w:rsidRPr="00743512">
              <w:t>1/911 (0.1%)</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5658699" w14:textId="77777777" w:rsidR="00CA3B1E" w:rsidRPr="00743512" w:rsidRDefault="00CA3B1E" w:rsidP="004F5B47">
            <w:pPr>
              <w:pStyle w:val="TableText0"/>
              <w:jc w:val="center"/>
            </w:pPr>
            <w:r w:rsidRPr="00743512">
              <w:t>2/904 (0.2%)</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E9471E" w14:textId="77777777" w:rsidR="00CA3B1E" w:rsidRPr="00743512" w:rsidRDefault="00CA3B1E" w:rsidP="004F5B47">
            <w:pPr>
              <w:pStyle w:val="TableText0"/>
              <w:jc w:val="center"/>
            </w:pPr>
            <w:r w:rsidRPr="00743512">
              <w:t>0.50 (0.05, 5.46)</w:t>
            </w:r>
          </w:p>
        </w:tc>
      </w:tr>
      <w:tr w:rsidR="00CA3B1E" w:rsidRPr="00743512" w14:paraId="350B6057"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6ADA3E" w14:textId="77777777" w:rsidR="00CA3B1E" w:rsidRPr="00743512" w:rsidRDefault="00CA3B1E" w:rsidP="004F5B47">
            <w:pPr>
              <w:pStyle w:val="TableText0"/>
            </w:pPr>
            <w:r w:rsidRPr="00743512">
              <w:t>Any SAE (including events with outcome=death)</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A434966" w14:textId="77777777" w:rsidR="00CA3B1E" w:rsidRPr="00743512" w:rsidRDefault="00CA3B1E" w:rsidP="004F5B47">
            <w:pPr>
              <w:pStyle w:val="TableText0"/>
              <w:jc w:val="center"/>
            </w:pPr>
            <w:r w:rsidRPr="00743512">
              <w:t>79/911 (8.7%)</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63B5D5" w14:textId="77777777" w:rsidR="00CA3B1E" w:rsidRPr="00743512" w:rsidRDefault="00CA3B1E" w:rsidP="004F5B47">
            <w:pPr>
              <w:pStyle w:val="TableText0"/>
              <w:jc w:val="center"/>
            </w:pPr>
            <w:r w:rsidRPr="00743512">
              <w:t>78/904 (8.6%)</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4375D0" w14:textId="77777777" w:rsidR="00CA3B1E" w:rsidRPr="00743512" w:rsidRDefault="00CA3B1E" w:rsidP="004F5B47">
            <w:pPr>
              <w:pStyle w:val="TableText0"/>
              <w:jc w:val="center"/>
            </w:pPr>
            <w:r w:rsidRPr="00743512">
              <w:t>1.01 (0.75, 1.36)</w:t>
            </w:r>
          </w:p>
        </w:tc>
      </w:tr>
      <w:tr w:rsidR="00CA3B1E" w:rsidRPr="00743512" w14:paraId="45D041F7"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7BB0CA" w14:textId="77777777" w:rsidR="00CA3B1E" w:rsidRPr="00743512" w:rsidRDefault="00CA3B1E" w:rsidP="004F5B47">
            <w:pPr>
              <w:pStyle w:val="TableText0"/>
            </w:pPr>
            <w:r w:rsidRPr="00743512">
              <w:t>Any AE leading to discontinuation of study treatment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439FE49" w14:textId="77777777" w:rsidR="00CA3B1E" w:rsidRPr="00743512" w:rsidRDefault="00CA3B1E" w:rsidP="004F5B47">
            <w:pPr>
              <w:pStyle w:val="TableText0"/>
              <w:jc w:val="center"/>
            </w:pPr>
            <w:r w:rsidRPr="00743512">
              <w:t>98/911 (10.8%)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DD2C9B" w14:textId="77777777" w:rsidR="00CA3B1E" w:rsidRPr="00743512" w:rsidRDefault="00CA3B1E" w:rsidP="004F5B47">
            <w:pPr>
              <w:pStyle w:val="TableText0"/>
              <w:jc w:val="center"/>
            </w:pPr>
            <w:r w:rsidRPr="00743512">
              <w:t>42/904 (4.6%)</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3051A57" w14:textId="77777777" w:rsidR="00CA3B1E" w:rsidRPr="00743512" w:rsidRDefault="00CA3B1E" w:rsidP="004F5B47">
            <w:pPr>
              <w:pStyle w:val="TableText0"/>
              <w:jc w:val="center"/>
              <w:rPr>
                <w:b/>
                <w:bCs w:val="0"/>
              </w:rPr>
            </w:pPr>
            <w:r w:rsidRPr="00743512">
              <w:rPr>
                <w:b/>
                <w:bCs w:val="0"/>
              </w:rPr>
              <w:t>2.32 (1.63, 3.28)</w:t>
            </w:r>
          </w:p>
        </w:tc>
      </w:tr>
      <w:tr w:rsidR="00CA3B1E" w:rsidRPr="00743512" w14:paraId="7B9AD3DE"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7F69B5" w14:textId="77777777" w:rsidR="00CA3B1E" w:rsidRPr="00743512" w:rsidRDefault="00CA3B1E" w:rsidP="004F5B47">
            <w:pPr>
              <w:pStyle w:val="TableText0"/>
            </w:pPr>
            <w:r w:rsidRPr="00743512">
              <w:t>Any AE leading to dose reduction</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0741CE" w14:textId="77777777" w:rsidR="00CA3B1E" w:rsidRPr="00743512" w:rsidRDefault="00CA3B1E" w:rsidP="004F5B47">
            <w:pPr>
              <w:pStyle w:val="TableText0"/>
              <w:jc w:val="center"/>
            </w:pPr>
            <w:r w:rsidRPr="00743512">
              <w:t>213/911 (23.4%)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74821B" w14:textId="77777777" w:rsidR="00CA3B1E" w:rsidRPr="00743512" w:rsidRDefault="00CA3B1E" w:rsidP="004F5B47">
            <w:pPr>
              <w:pStyle w:val="TableText0"/>
              <w:jc w:val="center"/>
            </w:pPr>
            <w:r w:rsidRPr="00743512">
              <w:t>33/904 (3.7%)</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B032D4" w14:textId="77777777" w:rsidR="00CA3B1E" w:rsidRPr="00743512" w:rsidRDefault="00CA3B1E" w:rsidP="004F5B47">
            <w:pPr>
              <w:pStyle w:val="TableText0"/>
              <w:jc w:val="center"/>
              <w:rPr>
                <w:b/>
                <w:bCs w:val="0"/>
              </w:rPr>
            </w:pPr>
            <w:r w:rsidRPr="00743512">
              <w:rPr>
                <w:b/>
                <w:bCs w:val="0"/>
              </w:rPr>
              <w:t>6.40 (4.49, 9.13)</w:t>
            </w:r>
          </w:p>
        </w:tc>
      </w:tr>
      <w:tr w:rsidR="00CA3B1E" w:rsidRPr="00743512" w14:paraId="1B4DE118" w14:textId="77777777" w:rsidTr="004F5B47">
        <w:trPr>
          <w:cantSplit/>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BED837" w14:textId="77777777" w:rsidR="00CA3B1E" w:rsidRPr="00743512" w:rsidRDefault="00CA3B1E" w:rsidP="004F5B47">
            <w:pPr>
              <w:pStyle w:val="TableText0"/>
            </w:pPr>
            <w:r w:rsidRPr="00743512">
              <w:t>Any AE leading to dose interruption</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79BDD4" w14:textId="77777777" w:rsidR="00CA3B1E" w:rsidRPr="00743512" w:rsidRDefault="00CA3B1E" w:rsidP="004F5B47">
            <w:pPr>
              <w:pStyle w:val="TableText0"/>
              <w:jc w:val="center"/>
            </w:pPr>
            <w:r w:rsidRPr="00743512">
              <w:t>286/911 (31.4%)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2742DA1" w14:textId="77777777" w:rsidR="00CA3B1E" w:rsidRPr="00743512" w:rsidRDefault="00CA3B1E" w:rsidP="004F5B47">
            <w:pPr>
              <w:pStyle w:val="TableText0"/>
              <w:jc w:val="center"/>
            </w:pPr>
            <w:r w:rsidRPr="00743512">
              <w:t>99/904 (11.0%)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075B7F" w14:textId="77777777" w:rsidR="00CA3B1E" w:rsidRPr="00743512" w:rsidRDefault="00CA3B1E" w:rsidP="004F5B47">
            <w:pPr>
              <w:pStyle w:val="TableText0"/>
              <w:jc w:val="center"/>
              <w:rPr>
                <w:b/>
                <w:bCs w:val="0"/>
              </w:rPr>
            </w:pPr>
            <w:r w:rsidRPr="00743512">
              <w:rPr>
                <w:b/>
                <w:bCs w:val="0"/>
              </w:rPr>
              <w:t>2.87 (2.33, 3.53)</w:t>
            </w:r>
          </w:p>
        </w:tc>
      </w:tr>
    </w:tbl>
    <w:p w14:paraId="15C113EA" w14:textId="14CE1CC4" w:rsidR="00CA3B1E" w:rsidRPr="00743512" w:rsidRDefault="00CA3B1E" w:rsidP="00CA3B1E">
      <w:pPr>
        <w:pStyle w:val="FooterTableFigure"/>
        <w:rPr>
          <w:sz w:val="20"/>
        </w:rPr>
      </w:pPr>
      <w:bookmarkStart w:id="52" w:name="_Toc22897643"/>
      <w:r w:rsidRPr="00743512">
        <w:t xml:space="preserve">Source: Table 2.25, p81 of the </w:t>
      </w:r>
      <w:r w:rsidR="00533F42" w:rsidRPr="00743512">
        <w:t>re</w:t>
      </w:r>
      <w:r w:rsidRPr="00743512">
        <w:t>submission.</w:t>
      </w:r>
    </w:p>
    <w:p w14:paraId="2B25A258" w14:textId="77777777" w:rsidR="00CA3B1E" w:rsidRPr="00743512" w:rsidRDefault="00CA3B1E" w:rsidP="00CA3B1E">
      <w:pPr>
        <w:pStyle w:val="FooterTableFigure"/>
        <w:rPr>
          <w:rFonts w:eastAsia="Calibri"/>
        </w:rPr>
      </w:pPr>
      <w:r w:rsidRPr="00743512">
        <w:rPr>
          <w:rFonts w:eastAsia="Calibri"/>
        </w:rPr>
        <w:t>AE = adverse event, CTCAE = common terminology criteria for adverse events, CI = confidence interval, N = total participants in group, RR = relative risk, SAE = serious adverse event.</w:t>
      </w:r>
    </w:p>
    <w:p w14:paraId="5DD1D57F" w14:textId="77777777" w:rsidR="00CA3B1E" w:rsidRPr="00743512" w:rsidRDefault="00CA3B1E" w:rsidP="00CA3B1E">
      <w:pPr>
        <w:pStyle w:val="FooterTableFigure"/>
        <w:rPr>
          <w:rFonts w:eastAsia="Calibri"/>
        </w:rPr>
      </w:pPr>
      <w:r w:rsidRPr="00743512">
        <w:rPr>
          <w:rFonts w:eastAsia="Calibri"/>
          <w:b/>
          <w:bCs/>
        </w:rPr>
        <w:t xml:space="preserve">Bold </w:t>
      </w:r>
      <w:r w:rsidRPr="00743512">
        <w:rPr>
          <w:rFonts w:eastAsia="Calibri"/>
        </w:rPr>
        <w:t>= statistically significant.</w:t>
      </w:r>
    </w:p>
    <w:p w14:paraId="30B83C49" w14:textId="77777777" w:rsidR="00CA3B1E" w:rsidRPr="00743512" w:rsidRDefault="00CA3B1E" w:rsidP="00CA3B1E">
      <w:pPr>
        <w:pStyle w:val="FooterTableFigure"/>
        <w:rPr>
          <w:rFonts w:eastAsia="Calibri"/>
        </w:rPr>
      </w:pPr>
      <w:r w:rsidRPr="00743512">
        <w:rPr>
          <w:rFonts w:eastAsia="Calibri"/>
          <w:vertAlign w:val="superscript"/>
        </w:rPr>
        <w:t>a</w:t>
      </w:r>
      <w:r w:rsidRPr="00743512">
        <w:rPr>
          <w:rFonts w:eastAsia="Calibri"/>
        </w:rPr>
        <w:t xml:space="preserve"> Table 10, p20 olaparib PSD, March 2023 PBAC meeting.</w:t>
      </w:r>
    </w:p>
    <w:p w14:paraId="02B6E438" w14:textId="25E1C28F" w:rsidR="00CA3B1E" w:rsidRPr="00F32823" w:rsidRDefault="00CA3B1E" w:rsidP="00CA3B1E">
      <w:pPr>
        <w:pStyle w:val="FooterTableFigure"/>
        <w:rPr>
          <w:bCs/>
          <w:szCs w:val="18"/>
        </w:rPr>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data previously seen by the PBAC. </w:t>
      </w:r>
    </w:p>
    <w:p w14:paraId="3D5DF483" w14:textId="2EBC4AA3" w:rsidR="00CA3B1E" w:rsidRPr="00743512" w:rsidRDefault="00CA3B1E" w:rsidP="00CA3B1E">
      <w:pPr>
        <w:pStyle w:val="Caption"/>
      </w:pPr>
      <w:bookmarkStart w:id="53" w:name="_Ref144716836"/>
      <w:bookmarkEnd w:id="52"/>
      <w:r w:rsidRPr="00743512">
        <w:t xml:space="preserve">Table </w:t>
      </w:r>
      <w:r w:rsidR="00D2565D">
        <w:fldChar w:fldCharType="begin"/>
      </w:r>
      <w:r w:rsidR="00D2565D">
        <w:instrText xml:space="preserve"> SEQ Table \* ARABIC </w:instrText>
      </w:r>
      <w:r w:rsidR="00D2565D">
        <w:fldChar w:fldCharType="separate"/>
      </w:r>
      <w:r w:rsidR="00D2565D">
        <w:rPr>
          <w:noProof/>
        </w:rPr>
        <w:t>8</w:t>
      </w:r>
      <w:r w:rsidR="00D2565D">
        <w:rPr>
          <w:noProof/>
        </w:rPr>
        <w:fldChar w:fldCharType="end"/>
      </w:r>
      <w:bookmarkEnd w:id="53"/>
      <w:r w:rsidRPr="00743512">
        <w:t>: Most common grade 3 or higher A</w:t>
      </w:r>
      <w:r w:rsidR="00202B17" w:rsidRPr="00743512">
        <w:t>E</w:t>
      </w:r>
      <w:r w:rsidRPr="00743512">
        <w:t>s in the OlympiA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Caption w:val="Table 8: Most common grade 3 or higher AEs in the OlympiA trial."/>
      </w:tblPr>
      <w:tblGrid>
        <w:gridCol w:w="4482"/>
        <w:gridCol w:w="2296"/>
        <w:gridCol w:w="2239"/>
      </w:tblGrid>
      <w:tr w:rsidR="00CA3B1E" w:rsidRPr="00743512" w14:paraId="5675E661" w14:textId="77777777" w:rsidTr="004F5B47">
        <w:trPr>
          <w:tblHeader/>
        </w:trPr>
        <w:tc>
          <w:tcPr>
            <w:tcW w:w="0" w:type="auto"/>
            <w:shd w:val="clear" w:color="auto" w:fill="B8CCE4" w:themeFill="accent1" w:themeFillTint="66"/>
            <w:vAlign w:val="center"/>
          </w:tcPr>
          <w:p w14:paraId="587A19F6" w14:textId="77777777" w:rsidR="00CA3B1E" w:rsidRPr="00743512" w:rsidRDefault="00CA3B1E" w:rsidP="004F5B47">
            <w:pPr>
              <w:pStyle w:val="In-tableHeading"/>
              <w:rPr>
                <w:lang w:val="en-AU"/>
              </w:rPr>
            </w:pPr>
            <w:r w:rsidRPr="00743512">
              <w:rPr>
                <w:lang w:val="en-AU"/>
              </w:rPr>
              <w:t>Trial ID</w:t>
            </w:r>
          </w:p>
        </w:tc>
        <w:tc>
          <w:tcPr>
            <w:tcW w:w="0" w:type="auto"/>
            <w:shd w:val="clear" w:color="auto" w:fill="B8CCE4" w:themeFill="accent1" w:themeFillTint="66"/>
            <w:vAlign w:val="center"/>
          </w:tcPr>
          <w:p w14:paraId="5F42D113" w14:textId="77777777" w:rsidR="00CA3B1E" w:rsidRPr="00743512" w:rsidRDefault="00CA3B1E" w:rsidP="004F5B47">
            <w:pPr>
              <w:pStyle w:val="In-tableHeading"/>
              <w:jc w:val="center"/>
              <w:rPr>
                <w:lang w:val="en-AU"/>
              </w:rPr>
            </w:pPr>
            <w:r w:rsidRPr="00743512">
              <w:rPr>
                <w:lang w:val="en-AU"/>
              </w:rPr>
              <w:t>Olaparib N = 911</w:t>
            </w:r>
          </w:p>
        </w:tc>
        <w:tc>
          <w:tcPr>
            <w:tcW w:w="0" w:type="auto"/>
            <w:shd w:val="clear" w:color="auto" w:fill="B8CCE4" w:themeFill="accent1" w:themeFillTint="66"/>
            <w:vAlign w:val="center"/>
          </w:tcPr>
          <w:p w14:paraId="215BB686" w14:textId="77777777" w:rsidR="00CA3B1E" w:rsidRPr="00743512" w:rsidRDefault="00CA3B1E" w:rsidP="004F5B47">
            <w:pPr>
              <w:pStyle w:val="In-tableHeading"/>
              <w:jc w:val="center"/>
              <w:rPr>
                <w:lang w:val="en-AU"/>
              </w:rPr>
            </w:pPr>
            <w:r w:rsidRPr="00743512">
              <w:rPr>
                <w:lang w:val="en-AU"/>
              </w:rPr>
              <w:t>Placebo N = 904</w:t>
            </w:r>
          </w:p>
        </w:tc>
      </w:tr>
      <w:tr w:rsidR="00CA3B1E" w:rsidRPr="00743512" w14:paraId="5311D376" w14:textId="77777777" w:rsidTr="004F5B47">
        <w:tc>
          <w:tcPr>
            <w:tcW w:w="0" w:type="auto"/>
            <w:shd w:val="clear" w:color="auto" w:fill="B8CCE4" w:themeFill="accent1" w:themeFillTint="66"/>
          </w:tcPr>
          <w:p w14:paraId="0413FDD2" w14:textId="77777777" w:rsidR="00CA3B1E" w:rsidRPr="00743512" w:rsidRDefault="00CA3B1E" w:rsidP="004F5B47">
            <w:pPr>
              <w:pStyle w:val="TableText0"/>
            </w:pPr>
            <w:r w:rsidRPr="00743512">
              <w:t xml:space="preserve">Patients with AE of CTCAE Grade </w:t>
            </w:r>
            <w:r w:rsidRPr="00743512">
              <w:rPr>
                <w:rFonts w:ascii="Symbol" w:eastAsia="Symbol" w:hAnsi="Symbol" w:cs="Symbol"/>
              </w:rPr>
              <w:t></w:t>
            </w:r>
            <w:r w:rsidRPr="00743512">
              <w:t>3</w:t>
            </w:r>
          </w:p>
        </w:tc>
        <w:tc>
          <w:tcPr>
            <w:tcW w:w="0" w:type="auto"/>
            <w:shd w:val="clear" w:color="auto" w:fill="B8CCE4" w:themeFill="accent1" w:themeFillTint="66"/>
          </w:tcPr>
          <w:p w14:paraId="0DFD07F5" w14:textId="77777777" w:rsidR="00CA3B1E" w:rsidRPr="00743512" w:rsidRDefault="00CA3B1E" w:rsidP="004F5B47">
            <w:pPr>
              <w:pStyle w:val="TableText0"/>
              <w:jc w:val="center"/>
            </w:pPr>
            <w:r w:rsidRPr="00743512">
              <w:t>223 (24.5)</w:t>
            </w:r>
          </w:p>
        </w:tc>
        <w:tc>
          <w:tcPr>
            <w:tcW w:w="0" w:type="auto"/>
            <w:shd w:val="clear" w:color="auto" w:fill="B8CCE4" w:themeFill="accent1" w:themeFillTint="66"/>
          </w:tcPr>
          <w:p w14:paraId="3F26EAFD" w14:textId="77777777" w:rsidR="00CA3B1E" w:rsidRPr="00743512" w:rsidRDefault="00CA3B1E" w:rsidP="004F5B47">
            <w:pPr>
              <w:pStyle w:val="TableText0"/>
              <w:jc w:val="center"/>
            </w:pPr>
            <w:r w:rsidRPr="00743512">
              <w:t>102 (11.3)</w:t>
            </w:r>
          </w:p>
        </w:tc>
      </w:tr>
      <w:tr w:rsidR="00CA3B1E" w:rsidRPr="00743512" w14:paraId="6D60F4F9" w14:textId="77777777" w:rsidTr="004F5B47">
        <w:tc>
          <w:tcPr>
            <w:tcW w:w="0" w:type="auto"/>
            <w:shd w:val="clear" w:color="auto" w:fill="B8CCE4" w:themeFill="accent1" w:themeFillTint="66"/>
          </w:tcPr>
          <w:p w14:paraId="6DEA30C1" w14:textId="77777777" w:rsidR="00CA3B1E" w:rsidRPr="00743512" w:rsidRDefault="00CA3B1E" w:rsidP="004F5B47">
            <w:pPr>
              <w:pStyle w:val="TableText0"/>
            </w:pPr>
            <w:r w:rsidRPr="00743512">
              <w:t>Anaemia</w:t>
            </w:r>
          </w:p>
        </w:tc>
        <w:tc>
          <w:tcPr>
            <w:tcW w:w="0" w:type="auto"/>
            <w:shd w:val="clear" w:color="auto" w:fill="B8CCE4" w:themeFill="accent1" w:themeFillTint="66"/>
          </w:tcPr>
          <w:p w14:paraId="4C5D429D" w14:textId="77777777" w:rsidR="00CA3B1E" w:rsidRPr="00743512" w:rsidRDefault="00CA3B1E" w:rsidP="004F5B47">
            <w:pPr>
              <w:pStyle w:val="TableText0"/>
              <w:jc w:val="center"/>
            </w:pPr>
            <w:r w:rsidRPr="00743512">
              <w:t>79 (8.7%)</w:t>
            </w:r>
          </w:p>
        </w:tc>
        <w:tc>
          <w:tcPr>
            <w:tcW w:w="0" w:type="auto"/>
            <w:shd w:val="clear" w:color="auto" w:fill="B8CCE4" w:themeFill="accent1" w:themeFillTint="66"/>
          </w:tcPr>
          <w:p w14:paraId="30D16D75" w14:textId="77777777" w:rsidR="00CA3B1E" w:rsidRPr="00743512" w:rsidRDefault="00CA3B1E" w:rsidP="004F5B47">
            <w:pPr>
              <w:pStyle w:val="TableText0"/>
              <w:jc w:val="center"/>
            </w:pPr>
            <w:r w:rsidRPr="00743512">
              <w:t>3 (0.3%)</w:t>
            </w:r>
          </w:p>
        </w:tc>
      </w:tr>
      <w:tr w:rsidR="00CA3B1E" w:rsidRPr="00743512" w14:paraId="0380D112" w14:textId="77777777" w:rsidTr="004F5B47">
        <w:tc>
          <w:tcPr>
            <w:tcW w:w="0" w:type="auto"/>
            <w:shd w:val="clear" w:color="auto" w:fill="B8CCE4" w:themeFill="accent1" w:themeFillTint="66"/>
          </w:tcPr>
          <w:p w14:paraId="3BA2DBA2" w14:textId="77777777" w:rsidR="00CA3B1E" w:rsidRPr="00743512" w:rsidRDefault="00CA3B1E" w:rsidP="004F5B47">
            <w:pPr>
              <w:pStyle w:val="TableText0"/>
            </w:pPr>
            <w:r w:rsidRPr="00743512">
              <w:t>Neutrophil count decrease</w:t>
            </w:r>
          </w:p>
        </w:tc>
        <w:tc>
          <w:tcPr>
            <w:tcW w:w="0" w:type="auto"/>
            <w:shd w:val="clear" w:color="auto" w:fill="B8CCE4" w:themeFill="accent1" w:themeFillTint="66"/>
          </w:tcPr>
          <w:p w14:paraId="71D0B455" w14:textId="77777777" w:rsidR="00CA3B1E" w:rsidRPr="00743512" w:rsidRDefault="00CA3B1E" w:rsidP="004F5B47">
            <w:pPr>
              <w:pStyle w:val="TableText0"/>
              <w:jc w:val="center"/>
            </w:pPr>
            <w:r w:rsidRPr="00743512">
              <w:t>45 (4.9%)</w:t>
            </w:r>
          </w:p>
        </w:tc>
        <w:tc>
          <w:tcPr>
            <w:tcW w:w="0" w:type="auto"/>
            <w:shd w:val="clear" w:color="auto" w:fill="B8CCE4" w:themeFill="accent1" w:themeFillTint="66"/>
          </w:tcPr>
          <w:p w14:paraId="6EA322F4" w14:textId="77777777" w:rsidR="00CA3B1E" w:rsidRPr="00743512" w:rsidRDefault="00CA3B1E" w:rsidP="004F5B47">
            <w:pPr>
              <w:pStyle w:val="TableText0"/>
              <w:jc w:val="center"/>
            </w:pPr>
            <w:r w:rsidRPr="00743512">
              <w:t>7 (0.8%)</w:t>
            </w:r>
          </w:p>
        </w:tc>
      </w:tr>
      <w:tr w:rsidR="00CA3B1E" w:rsidRPr="00743512" w14:paraId="7D419A0C" w14:textId="77777777" w:rsidTr="004F5B47">
        <w:tc>
          <w:tcPr>
            <w:tcW w:w="0" w:type="auto"/>
            <w:shd w:val="clear" w:color="auto" w:fill="B8CCE4" w:themeFill="accent1" w:themeFillTint="66"/>
          </w:tcPr>
          <w:p w14:paraId="7FE15EB3" w14:textId="77777777" w:rsidR="00CA3B1E" w:rsidRPr="00743512" w:rsidRDefault="00CA3B1E" w:rsidP="004F5B47">
            <w:pPr>
              <w:pStyle w:val="TableText0"/>
            </w:pPr>
            <w:r w:rsidRPr="00743512">
              <w:t>White blood cell count decrease</w:t>
            </w:r>
          </w:p>
        </w:tc>
        <w:tc>
          <w:tcPr>
            <w:tcW w:w="0" w:type="auto"/>
            <w:shd w:val="clear" w:color="auto" w:fill="B8CCE4" w:themeFill="accent1" w:themeFillTint="66"/>
          </w:tcPr>
          <w:p w14:paraId="03FAFDF4" w14:textId="77777777" w:rsidR="00CA3B1E" w:rsidRPr="00743512" w:rsidRDefault="00CA3B1E" w:rsidP="004F5B47">
            <w:pPr>
              <w:pStyle w:val="TableText0"/>
              <w:jc w:val="center"/>
            </w:pPr>
            <w:r w:rsidRPr="00743512">
              <w:t>27 (3.0%)</w:t>
            </w:r>
          </w:p>
        </w:tc>
        <w:tc>
          <w:tcPr>
            <w:tcW w:w="0" w:type="auto"/>
            <w:shd w:val="clear" w:color="auto" w:fill="B8CCE4" w:themeFill="accent1" w:themeFillTint="66"/>
          </w:tcPr>
          <w:p w14:paraId="4EED361B" w14:textId="77777777" w:rsidR="00CA3B1E" w:rsidRPr="00743512" w:rsidRDefault="00CA3B1E" w:rsidP="004F5B47">
            <w:pPr>
              <w:pStyle w:val="TableText0"/>
              <w:jc w:val="center"/>
            </w:pPr>
            <w:r w:rsidRPr="00743512">
              <w:t>3 (0.3%)</w:t>
            </w:r>
          </w:p>
        </w:tc>
      </w:tr>
      <w:tr w:rsidR="00CA3B1E" w:rsidRPr="00743512" w14:paraId="42AA8871" w14:textId="77777777" w:rsidTr="004F5B47">
        <w:tc>
          <w:tcPr>
            <w:tcW w:w="0" w:type="auto"/>
            <w:shd w:val="clear" w:color="auto" w:fill="B8CCE4" w:themeFill="accent1" w:themeFillTint="66"/>
          </w:tcPr>
          <w:p w14:paraId="58BFC24F" w14:textId="77777777" w:rsidR="00CA3B1E" w:rsidRPr="00743512" w:rsidRDefault="00CA3B1E" w:rsidP="004F5B47">
            <w:pPr>
              <w:pStyle w:val="TableText0"/>
            </w:pPr>
            <w:r w:rsidRPr="00743512">
              <w:t>Fatigue</w:t>
            </w:r>
          </w:p>
        </w:tc>
        <w:tc>
          <w:tcPr>
            <w:tcW w:w="0" w:type="auto"/>
            <w:shd w:val="clear" w:color="auto" w:fill="B8CCE4" w:themeFill="accent1" w:themeFillTint="66"/>
          </w:tcPr>
          <w:p w14:paraId="4F8E2598" w14:textId="77777777" w:rsidR="00CA3B1E" w:rsidRPr="00743512" w:rsidRDefault="00CA3B1E" w:rsidP="004F5B47">
            <w:pPr>
              <w:pStyle w:val="TableText0"/>
              <w:jc w:val="center"/>
            </w:pPr>
            <w:r w:rsidRPr="00743512">
              <w:t>16 (1.8%)</w:t>
            </w:r>
          </w:p>
        </w:tc>
        <w:tc>
          <w:tcPr>
            <w:tcW w:w="0" w:type="auto"/>
            <w:shd w:val="clear" w:color="auto" w:fill="B8CCE4" w:themeFill="accent1" w:themeFillTint="66"/>
          </w:tcPr>
          <w:p w14:paraId="1B450A58" w14:textId="77777777" w:rsidR="00CA3B1E" w:rsidRPr="00743512" w:rsidRDefault="00CA3B1E" w:rsidP="004F5B47">
            <w:pPr>
              <w:pStyle w:val="TableText0"/>
              <w:jc w:val="center"/>
            </w:pPr>
            <w:r w:rsidRPr="00743512">
              <w:t>6 (0.7%)</w:t>
            </w:r>
          </w:p>
        </w:tc>
      </w:tr>
    </w:tbl>
    <w:p w14:paraId="234132EA" w14:textId="77777777" w:rsidR="00CA3B1E" w:rsidRPr="00743512" w:rsidRDefault="00CA3B1E" w:rsidP="00CA3B1E">
      <w:pPr>
        <w:pStyle w:val="TableFigureFooter"/>
      </w:pPr>
      <w:r w:rsidRPr="00743512">
        <w:t>Source: Table 14.3.2.18, p323 of the OlympiA trial CSR tfls part C</w:t>
      </w:r>
    </w:p>
    <w:p w14:paraId="174B0903" w14:textId="77777777" w:rsidR="00CA3B1E" w:rsidRPr="00743512" w:rsidRDefault="00CA3B1E" w:rsidP="00CA3B1E">
      <w:pPr>
        <w:pStyle w:val="TableFigureFooter"/>
        <w:rPr>
          <w:rFonts w:eastAsia="Calibri"/>
        </w:rPr>
      </w:pPr>
      <w:r w:rsidRPr="00743512">
        <w:t xml:space="preserve">AE = adverse event; CSR = clinical study report; </w:t>
      </w:r>
      <w:r w:rsidRPr="00743512">
        <w:rPr>
          <w:rFonts w:eastAsia="Calibri"/>
        </w:rPr>
        <w:t>CTCAE = common terminology criteria for adverse events</w:t>
      </w:r>
    </w:p>
    <w:p w14:paraId="34A56EF0" w14:textId="6A68BF8A" w:rsidR="00CA3B1E" w:rsidRPr="00743512" w:rsidRDefault="00CA3B1E" w:rsidP="001074C6">
      <w:pPr>
        <w:pStyle w:val="3-BodyText"/>
        <w:numPr>
          <w:ilvl w:val="1"/>
          <w:numId w:val="9"/>
        </w:numPr>
        <w:snapToGrid w:val="0"/>
      </w:pPr>
      <w:r w:rsidRPr="00743512">
        <w:t xml:space="preserve">The resubmission provided additional data on potential safety concerns beyond those identified in the clinical trials. A periodic benefit-risk evaluation report (PBRER) was provided with the resubmission (16-Dec-2021 to 15-Dec-2022) encompassing approximately 46,818 patient years of exposure. During this PBRER period a safety update was made to the core data sheet. Sufficient evidence was found to suggest a causal relationship between olaparib and venous thromboembolism and pulmonary embolism. </w:t>
      </w:r>
      <w:r w:rsidR="00B955D9" w:rsidRPr="00743512">
        <w:t xml:space="preserve">The </w:t>
      </w:r>
      <w:r w:rsidR="00A07598" w:rsidRPr="00743512">
        <w:t xml:space="preserve">draft </w:t>
      </w:r>
      <w:r w:rsidR="00B955D9" w:rsidRPr="00743512">
        <w:t xml:space="preserve">Australian product information provided with the resubmission includes a revision to the section describing venous thromboembolic events. </w:t>
      </w:r>
    </w:p>
    <w:p w14:paraId="44AFABCD" w14:textId="77777777" w:rsidR="00CA3B1E" w:rsidRPr="00743512" w:rsidRDefault="00CA3B1E" w:rsidP="00CA3B1E">
      <w:pPr>
        <w:pStyle w:val="4-SubsectionHeading"/>
        <w:rPr>
          <w:iCs/>
        </w:rPr>
      </w:pPr>
      <w:bookmarkStart w:id="54" w:name="_Toc124883283"/>
      <w:bookmarkStart w:id="55" w:name="_Toc145501122"/>
      <w:r w:rsidRPr="00743512">
        <w:rPr>
          <w:iCs/>
        </w:rPr>
        <w:t>Benefits/harms</w:t>
      </w:r>
      <w:bookmarkEnd w:id="54"/>
      <w:bookmarkEnd w:id="55"/>
    </w:p>
    <w:p w14:paraId="225EB68F" w14:textId="5352CEAB" w:rsidR="00CA3B1E" w:rsidRPr="00743512" w:rsidRDefault="00CA3B1E" w:rsidP="001074C6">
      <w:pPr>
        <w:pStyle w:val="3-BodyText"/>
        <w:numPr>
          <w:ilvl w:val="1"/>
          <w:numId w:val="9"/>
        </w:numPr>
        <w:snapToGrid w:val="0"/>
        <w:rPr>
          <w:rStyle w:val="CommentReference"/>
          <w:rFonts w:eastAsiaTheme="majorEastAsia"/>
          <w:color w:val="0066FF"/>
        </w:rPr>
      </w:pPr>
      <w:r w:rsidRPr="00743512">
        <w:t xml:space="preserve">A summary of the comparative benefits and harms for olaparib versus placebo is presented in </w:t>
      </w:r>
      <w:r w:rsidRPr="00743512">
        <w:fldChar w:fldCharType="begin"/>
      </w:r>
      <w:r w:rsidRPr="00743512">
        <w:instrText xml:space="preserve"> REF _Ref104805037 \h </w:instrText>
      </w:r>
      <w:r w:rsidRPr="00743512">
        <w:fldChar w:fldCharType="separate"/>
      </w:r>
      <w:r w:rsidR="00D2565D" w:rsidRPr="00743512">
        <w:t xml:space="preserve">Table </w:t>
      </w:r>
      <w:r w:rsidR="00D2565D">
        <w:rPr>
          <w:noProof/>
        </w:rPr>
        <w:t>9</w:t>
      </w:r>
      <w:r w:rsidRPr="00743512">
        <w:fldChar w:fldCharType="end"/>
      </w:r>
      <w:r w:rsidRPr="00743512">
        <w:t xml:space="preserve">. The benefits/harms data </w:t>
      </w:r>
      <w:r w:rsidR="00B955D9" w:rsidRPr="00743512">
        <w:t>are un</w:t>
      </w:r>
      <w:r w:rsidRPr="00743512">
        <w:t>changed from the previous submission.</w:t>
      </w:r>
    </w:p>
    <w:p w14:paraId="268E52AF" w14:textId="57BE13EB" w:rsidR="00CA3B1E" w:rsidRPr="00743512" w:rsidRDefault="00CA3B1E" w:rsidP="00CA3B1E">
      <w:pPr>
        <w:pStyle w:val="Caption"/>
        <w:rPr>
          <w:rStyle w:val="CommentReference"/>
          <w:rFonts w:eastAsiaTheme="majorEastAsia"/>
          <w:b/>
          <w:bCs w:val="0"/>
          <w:szCs w:val="24"/>
        </w:rPr>
      </w:pPr>
      <w:bookmarkStart w:id="56" w:name="_Ref104805037"/>
      <w:r w:rsidRPr="00743512">
        <w:t xml:space="preserve">Table </w:t>
      </w:r>
      <w:r w:rsidR="00D2565D">
        <w:fldChar w:fldCharType="begin"/>
      </w:r>
      <w:r w:rsidR="00D2565D">
        <w:instrText xml:space="preserve"> SEQ Table \* ARABIC </w:instrText>
      </w:r>
      <w:r w:rsidR="00D2565D">
        <w:fldChar w:fldCharType="separate"/>
      </w:r>
      <w:r w:rsidR="00D2565D">
        <w:rPr>
          <w:noProof/>
        </w:rPr>
        <w:t>9</w:t>
      </w:r>
      <w:r w:rsidR="00D2565D">
        <w:rPr>
          <w:noProof/>
        </w:rPr>
        <w:fldChar w:fldCharType="end"/>
      </w:r>
      <w:bookmarkEnd w:id="56"/>
      <w:r w:rsidRPr="00743512">
        <w:rPr>
          <w:b w:val="0"/>
          <w:bCs w:val="0"/>
        </w:rPr>
        <w:t xml:space="preserve">: </w:t>
      </w:r>
      <w:r w:rsidRPr="00743512">
        <w:rPr>
          <w:rStyle w:val="CommentReference"/>
          <w:rFonts w:eastAsiaTheme="majorEastAsia"/>
          <w:b/>
          <w:bCs w:val="0"/>
        </w:rPr>
        <w:t>Summary of comparative benefits and harms for olaparib and placebo</w:t>
      </w:r>
    </w:p>
    <w:tbl>
      <w:tblPr>
        <w:tblStyle w:val="TableGrid"/>
        <w:tblW w:w="5000" w:type="pct"/>
        <w:shd w:val="clear" w:color="auto" w:fill="B8CCE4" w:themeFill="accent1" w:themeFillTint="66"/>
        <w:tblLayout w:type="fixed"/>
        <w:tblCellMar>
          <w:left w:w="28" w:type="dxa"/>
          <w:right w:w="28" w:type="dxa"/>
        </w:tblCellMar>
        <w:tblLook w:val="04A0" w:firstRow="1" w:lastRow="0" w:firstColumn="1" w:lastColumn="0" w:noHBand="0" w:noVBand="1"/>
        <w:tblCaption w:val="Table 9: Summary of comparative benefits and harms for olaparib and placebo"/>
      </w:tblPr>
      <w:tblGrid>
        <w:gridCol w:w="2464"/>
        <w:gridCol w:w="1446"/>
        <w:gridCol w:w="1515"/>
        <w:gridCol w:w="2007"/>
        <w:gridCol w:w="1585"/>
      </w:tblGrid>
      <w:tr w:rsidR="00CA3B1E" w:rsidRPr="00743512" w14:paraId="485B205B" w14:textId="77777777" w:rsidTr="004F5B47">
        <w:trPr>
          <w:trHeight w:val="20"/>
        </w:trPr>
        <w:tc>
          <w:tcPr>
            <w:tcW w:w="5000" w:type="pct"/>
            <w:gridSpan w:val="5"/>
            <w:shd w:val="clear" w:color="auto" w:fill="B8CCE4" w:themeFill="accent1" w:themeFillTint="66"/>
          </w:tcPr>
          <w:p w14:paraId="3D06C909" w14:textId="4010CE36" w:rsidR="00CA3B1E" w:rsidRPr="00743512" w:rsidRDefault="00305F01" w:rsidP="002B7CC9">
            <w:pPr>
              <w:pStyle w:val="In-tableHeading"/>
              <w:rPr>
                <w:lang w:val="en-AU"/>
              </w:rPr>
            </w:pPr>
            <w:r w:rsidRPr="00743512">
              <w:rPr>
                <w:lang w:val="en-AU"/>
              </w:rPr>
              <w:t>Invasive disease-</w:t>
            </w:r>
            <w:r w:rsidR="00CA3B1E" w:rsidRPr="00743512">
              <w:rPr>
                <w:lang w:val="en-AU"/>
              </w:rPr>
              <w:t>free survival (median duration of follow up 3.5 years for olaparib, 3.6 years for placebo)</w:t>
            </w:r>
          </w:p>
        </w:tc>
      </w:tr>
      <w:tr w:rsidR="00CA3B1E" w:rsidRPr="00743512" w14:paraId="683211C2" w14:textId="77777777" w:rsidTr="004F5B47">
        <w:trPr>
          <w:trHeight w:val="20"/>
        </w:trPr>
        <w:tc>
          <w:tcPr>
            <w:tcW w:w="1366" w:type="pct"/>
            <w:tcBorders>
              <w:bottom w:val="single" w:sz="4" w:space="0" w:color="auto"/>
            </w:tcBorders>
            <w:shd w:val="clear" w:color="auto" w:fill="B8CCE4" w:themeFill="accent1" w:themeFillTint="66"/>
          </w:tcPr>
          <w:p w14:paraId="6AF524D6" w14:textId="77777777" w:rsidR="00CA3B1E" w:rsidRPr="00743512" w:rsidRDefault="00CA3B1E" w:rsidP="002B7CC9">
            <w:pPr>
              <w:pStyle w:val="In-tableHeading"/>
              <w:rPr>
                <w:lang w:val="en-AU"/>
              </w:rPr>
            </w:pPr>
            <w:r w:rsidRPr="00743512">
              <w:rPr>
                <w:lang w:val="en-AU"/>
              </w:rPr>
              <w:t>Event</w:t>
            </w:r>
          </w:p>
        </w:tc>
        <w:tc>
          <w:tcPr>
            <w:tcW w:w="802" w:type="pct"/>
            <w:tcBorders>
              <w:bottom w:val="single" w:sz="4" w:space="0" w:color="auto"/>
            </w:tcBorders>
            <w:shd w:val="clear" w:color="auto" w:fill="B8CCE4" w:themeFill="accent1" w:themeFillTint="66"/>
          </w:tcPr>
          <w:p w14:paraId="59932784" w14:textId="77777777" w:rsidR="00CA3B1E" w:rsidRPr="00743512" w:rsidRDefault="00CA3B1E" w:rsidP="002B7CC9">
            <w:pPr>
              <w:pStyle w:val="In-tableHeading"/>
              <w:jc w:val="center"/>
              <w:rPr>
                <w:lang w:val="en-AU"/>
              </w:rPr>
            </w:pPr>
            <w:r w:rsidRPr="00743512">
              <w:rPr>
                <w:lang w:val="en-AU"/>
              </w:rPr>
              <w:t>Olaparib</w:t>
            </w:r>
          </w:p>
        </w:tc>
        <w:tc>
          <w:tcPr>
            <w:tcW w:w="840" w:type="pct"/>
            <w:tcBorders>
              <w:bottom w:val="single" w:sz="4" w:space="0" w:color="auto"/>
            </w:tcBorders>
            <w:shd w:val="clear" w:color="auto" w:fill="B8CCE4" w:themeFill="accent1" w:themeFillTint="66"/>
          </w:tcPr>
          <w:p w14:paraId="7D5FE3DE" w14:textId="77777777" w:rsidR="00CA3B1E" w:rsidRPr="00743512" w:rsidRDefault="00CA3B1E" w:rsidP="002B7CC9">
            <w:pPr>
              <w:pStyle w:val="In-tableHeading"/>
              <w:jc w:val="center"/>
              <w:rPr>
                <w:lang w:val="en-AU"/>
              </w:rPr>
            </w:pPr>
            <w:r w:rsidRPr="00743512">
              <w:rPr>
                <w:lang w:val="en-AU"/>
              </w:rPr>
              <w:t>Placebo</w:t>
            </w:r>
          </w:p>
        </w:tc>
        <w:tc>
          <w:tcPr>
            <w:tcW w:w="1113" w:type="pct"/>
            <w:tcBorders>
              <w:bottom w:val="single" w:sz="4" w:space="0" w:color="auto"/>
            </w:tcBorders>
            <w:shd w:val="clear" w:color="auto" w:fill="B8CCE4" w:themeFill="accent1" w:themeFillTint="66"/>
          </w:tcPr>
          <w:p w14:paraId="62B5B195" w14:textId="77777777" w:rsidR="00CA3B1E" w:rsidRPr="00743512" w:rsidRDefault="00CA3B1E" w:rsidP="002B7CC9">
            <w:pPr>
              <w:pStyle w:val="In-tableHeading"/>
              <w:jc w:val="center"/>
              <w:rPr>
                <w:rFonts w:asciiTheme="minorHAnsi" w:hAnsiTheme="minorHAnsi"/>
                <w:lang w:val="en-AU"/>
              </w:rPr>
            </w:pPr>
            <w:r w:rsidRPr="00743512">
              <w:rPr>
                <w:lang w:val="en-AU"/>
              </w:rPr>
              <w:t>Absolute Difference</w:t>
            </w:r>
          </w:p>
        </w:tc>
        <w:tc>
          <w:tcPr>
            <w:tcW w:w="879" w:type="pct"/>
            <w:tcBorders>
              <w:bottom w:val="single" w:sz="4" w:space="0" w:color="auto"/>
            </w:tcBorders>
            <w:shd w:val="clear" w:color="auto" w:fill="B8CCE4" w:themeFill="accent1" w:themeFillTint="66"/>
          </w:tcPr>
          <w:p w14:paraId="6F6A9DBB" w14:textId="77777777" w:rsidR="00CA3B1E" w:rsidRPr="00743512" w:rsidRDefault="00CA3B1E" w:rsidP="002B7CC9">
            <w:pPr>
              <w:pStyle w:val="In-tableHeading"/>
              <w:jc w:val="center"/>
              <w:rPr>
                <w:lang w:val="en-AU"/>
              </w:rPr>
            </w:pPr>
            <w:r w:rsidRPr="00743512">
              <w:rPr>
                <w:lang w:val="en-AU"/>
              </w:rPr>
              <w:t>HR (95% CI)</w:t>
            </w:r>
          </w:p>
        </w:tc>
      </w:tr>
      <w:tr w:rsidR="00CA3B1E" w:rsidRPr="00743512" w14:paraId="3E8573E6" w14:textId="77777777" w:rsidTr="004F5B47">
        <w:trPr>
          <w:trHeight w:val="20"/>
        </w:trPr>
        <w:tc>
          <w:tcPr>
            <w:tcW w:w="1366" w:type="pct"/>
            <w:tcBorders>
              <w:bottom w:val="single" w:sz="4" w:space="0" w:color="auto"/>
              <w:right w:val="single" w:sz="4" w:space="0" w:color="auto"/>
            </w:tcBorders>
            <w:shd w:val="clear" w:color="auto" w:fill="B8CCE4" w:themeFill="accent1" w:themeFillTint="66"/>
          </w:tcPr>
          <w:p w14:paraId="63E01F02" w14:textId="77777777" w:rsidR="00CA3B1E" w:rsidRPr="00743512" w:rsidRDefault="00CA3B1E" w:rsidP="002B7CC9">
            <w:pPr>
              <w:pStyle w:val="TableText0"/>
            </w:pPr>
            <w:r w:rsidRPr="00743512">
              <w:t>Progressed, n/N (%)</w:t>
            </w:r>
          </w:p>
        </w:tc>
        <w:tc>
          <w:tcPr>
            <w:tcW w:w="802" w:type="pct"/>
            <w:tcBorders>
              <w:left w:val="single" w:sz="4" w:space="0" w:color="auto"/>
              <w:bottom w:val="single" w:sz="4" w:space="0" w:color="auto"/>
              <w:right w:val="single" w:sz="4" w:space="0" w:color="auto"/>
            </w:tcBorders>
            <w:shd w:val="clear" w:color="auto" w:fill="B8CCE4" w:themeFill="accent1" w:themeFillTint="66"/>
          </w:tcPr>
          <w:p w14:paraId="28128045" w14:textId="77777777" w:rsidR="00CA3B1E" w:rsidRPr="00743512" w:rsidRDefault="00CA3B1E" w:rsidP="002B7CC9">
            <w:pPr>
              <w:pStyle w:val="TableText0"/>
              <w:jc w:val="center"/>
            </w:pPr>
            <w:r w:rsidRPr="00743512">
              <w:rPr>
                <w:rFonts w:cs="Times New Roman"/>
                <w:szCs w:val="20"/>
              </w:rPr>
              <w:t>134/921 (14.5%)</w:t>
            </w:r>
          </w:p>
        </w:tc>
        <w:tc>
          <w:tcPr>
            <w:tcW w:w="840" w:type="pct"/>
            <w:tcBorders>
              <w:left w:val="single" w:sz="4" w:space="0" w:color="auto"/>
              <w:bottom w:val="single" w:sz="4" w:space="0" w:color="auto"/>
              <w:right w:val="single" w:sz="4" w:space="0" w:color="auto"/>
            </w:tcBorders>
            <w:shd w:val="clear" w:color="auto" w:fill="B8CCE4" w:themeFill="accent1" w:themeFillTint="66"/>
          </w:tcPr>
          <w:p w14:paraId="68CFAA29" w14:textId="77777777" w:rsidR="00CA3B1E" w:rsidRPr="00743512" w:rsidRDefault="00CA3B1E" w:rsidP="002B7CC9">
            <w:pPr>
              <w:pStyle w:val="TableText0"/>
              <w:jc w:val="center"/>
            </w:pPr>
            <w:r w:rsidRPr="00743512">
              <w:rPr>
                <w:rFonts w:cs="Times New Roman"/>
                <w:szCs w:val="20"/>
              </w:rPr>
              <w:t>207/915 (22.6%)</w:t>
            </w:r>
          </w:p>
        </w:tc>
        <w:tc>
          <w:tcPr>
            <w:tcW w:w="1113" w:type="pct"/>
            <w:tcBorders>
              <w:left w:val="single" w:sz="4" w:space="0" w:color="auto"/>
              <w:bottom w:val="single" w:sz="4" w:space="0" w:color="auto"/>
              <w:right w:val="single" w:sz="4" w:space="0" w:color="auto"/>
            </w:tcBorders>
            <w:shd w:val="clear" w:color="auto" w:fill="B8CCE4" w:themeFill="accent1" w:themeFillTint="66"/>
          </w:tcPr>
          <w:p w14:paraId="01BFD199" w14:textId="77777777" w:rsidR="00CA3B1E" w:rsidRPr="00743512" w:rsidRDefault="00CA3B1E" w:rsidP="002B7CC9">
            <w:pPr>
              <w:pStyle w:val="TableText0"/>
              <w:jc w:val="center"/>
              <w:rPr>
                <w:color w:val="0070C0"/>
              </w:rPr>
            </w:pPr>
            <w:r w:rsidRPr="00743512">
              <w:t>-</w:t>
            </w:r>
          </w:p>
        </w:tc>
        <w:tc>
          <w:tcPr>
            <w:tcW w:w="879" w:type="pct"/>
            <w:tcBorders>
              <w:left w:val="single" w:sz="4" w:space="0" w:color="auto"/>
              <w:bottom w:val="nil"/>
            </w:tcBorders>
            <w:shd w:val="clear" w:color="auto" w:fill="B8CCE4" w:themeFill="accent1" w:themeFillTint="66"/>
          </w:tcPr>
          <w:p w14:paraId="36D880DF" w14:textId="77777777" w:rsidR="00CA3B1E" w:rsidRPr="00743512" w:rsidRDefault="00CA3B1E" w:rsidP="002B7CC9">
            <w:pPr>
              <w:pStyle w:val="TableText0"/>
              <w:jc w:val="center"/>
              <w:rPr>
                <w:szCs w:val="20"/>
              </w:rPr>
            </w:pPr>
            <w:r w:rsidRPr="00743512">
              <w:rPr>
                <w:szCs w:val="20"/>
              </w:rPr>
              <w:t>0.63 (0.50, 0.78I)</w:t>
            </w:r>
          </w:p>
          <w:p w14:paraId="2AD4BDE3" w14:textId="77777777" w:rsidR="00CA3B1E" w:rsidRPr="00743512" w:rsidRDefault="00CA3B1E" w:rsidP="002B7CC9">
            <w:pPr>
              <w:pStyle w:val="TableText0"/>
              <w:jc w:val="center"/>
              <w:rPr>
                <w:szCs w:val="20"/>
              </w:rPr>
            </w:pPr>
            <w:r w:rsidRPr="00743512">
              <w:rPr>
                <w:szCs w:val="20"/>
              </w:rPr>
              <w:t>P&lt;0.0001</w:t>
            </w:r>
          </w:p>
        </w:tc>
      </w:tr>
      <w:tr w:rsidR="00CA3B1E" w:rsidRPr="00743512" w14:paraId="325436DC" w14:textId="77777777" w:rsidTr="004F5B47">
        <w:trPr>
          <w:trHeight w:val="20"/>
        </w:trPr>
        <w:tc>
          <w:tcPr>
            <w:tcW w:w="1366" w:type="pct"/>
            <w:tcBorders>
              <w:top w:val="single" w:sz="4" w:space="0" w:color="auto"/>
              <w:bottom w:val="single" w:sz="4" w:space="0" w:color="auto"/>
              <w:right w:val="single" w:sz="4" w:space="0" w:color="auto"/>
            </w:tcBorders>
            <w:shd w:val="clear" w:color="auto" w:fill="B8CCE4" w:themeFill="accent1" w:themeFillTint="66"/>
          </w:tcPr>
          <w:p w14:paraId="20BC0E81" w14:textId="77777777" w:rsidR="00CA3B1E" w:rsidRPr="00743512" w:rsidRDefault="00CA3B1E" w:rsidP="002B7CC9">
            <w:pPr>
              <w:pStyle w:val="TableText0"/>
            </w:pPr>
            <w:r w:rsidRPr="00743512">
              <w:t>% Progression free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853D6F" w14:textId="77777777" w:rsidR="00CA3B1E" w:rsidRPr="00743512" w:rsidRDefault="00CA3B1E" w:rsidP="002B7CC9">
            <w:pPr>
              <w:pStyle w:val="TableText0"/>
              <w:jc w:val="center"/>
            </w:pPr>
            <w:r w:rsidRPr="00743512">
              <w:t>93.4% (91.5, 94.9)</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92AB9C" w14:textId="77777777" w:rsidR="00CA3B1E" w:rsidRPr="00743512" w:rsidRDefault="00CA3B1E" w:rsidP="002B7CC9">
            <w:pPr>
              <w:pStyle w:val="TableText0"/>
              <w:jc w:val="center"/>
              <w:rPr>
                <w:szCs w:val="20"/>
              </w:rPr>
            </w:pPr>
            <w:r w:rsidRPr="00743512">
              <w:t>88.4% (86.1, 90.3)</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CE42D0" w14:textId="77777777" w:rsidR="00CA3B1E" w:rsidRPr="00743512" w:rsidRDefault="00CA3B1E" w:rsidP="002B7CC9">
            <w:pPr>
              <w:pStyle w:val="TableText0"/>
              <w:jc w:val="center"/>
            </w:pPr>
            <w:r w:rsidRPr="00743512">
              <w:t>5.0</w:t>
            </w:r>
          </w:p>
        </w:tc>
        <w:tc>
          <w:tcPr>
            <w:tcW w:w="879" w:type="pct"/>
            <w:tcBorders>
              <w:top w:val="nil"/>
              <w:left w:val="single" w:sz="4" w:space="0" w:color="auto"/>
              <w:bottom w:val="nil"/>
            </w:tcBorders>
            <w:shd w:val="clear" w:color="auto" w:fill="B8CCE4" w:themeFill="accent1" w:themeFillTint="66"/>
          </w:tcPr>
          <w:p w14:paraId="53E5CF72" w14:textId="77777777" w:rsidR="00CA3B1E" w:rsidRPr="00743512" w:rsidRDefault="00CA3B1E" w:rsidP="002B7CC9">
            <w:pPr>
              <w:pStyle w:val="TableText0"/>
              <w:jc w:val="center"/>
            </w:pPr>
          </w:p>
        </w:tc>
      </w:tr>
      <w:tr w:rsidR="00CA3B1E" w:rsidRPr="00743512" w14:paraId="40EE9B12" w14:textId="77777777" w:rsidTr="004F5B47">
        <w:trPr>
          <w:trHeight w:val="20"/>
        </w:trPr>
        <w:tc>
          <w:tcPr>
            <w:tcW w:w="1366" w:type="pct"/>
            <w:tcBorders>
              <w:top w:val="single" w:sz="4" w:space="0" w:color="auto"/>
              <w:bottom w:val="single" w:sz="4" w:space="0" w:color="auto"/>
              <w:right w:val="single" w:sz="4" w:space="0" w:color="auto"/>
            </w:tcBorders>
            <w:shd w:val="clear" w:color="auto" w:fill="B8CCE4" w:themeFill="accent1" w:themeFillTint="66"/>
          </w:tcPr>
          <w:p w14:paraId="63C965B8" w14:textId="77777777" w:rsidR="00CA3B1E" w:rsidRPr="00743512" w:rsidRDefault="00CA3B1E" w:rsidP="002B7CC9">
            <w:pPr>
              <w:pStyle w:val="TableText0"/>
            </w:pPr>
            <w:r w:rsidRPr="00743512">
              <w:t>% Progression free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502ED7" w14:textId="7F38109C" w:rsidR="00CA3B1E" w:rsidRPr="00743512" w:rsidRDefault="00CA3B1E" w:rsidP="002B7CC9">
            <w:pPr>
              <w:pStyle w:val="TableText0"/>
              <w:jc w:val="center"/>
              <w:rPr>
                <w:szCs w:val="20"/>
              </w:rPr>
            </w:pPr>
            <w:r w:rsidRPr="00743512">
              <w:t>89.7% (87.4, 91.6)</w:t>
            </w:r>
            <w:r w:rsidR="00F32823" w:rsidRPr="00F32823">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21D6A1" w14:textId="77777777" w:rsidR="00CA3B1E" w:rsidRPr="00743512" w:rsidRDefault="00CA3B1E" w:rsidP="002B7CC9">
            <w:pPr>
              <w:pStyle w:val="TableText0"/>
              <w:jc w:val="center"/>
              <w:rPr>
                <w:szCs w:val="20"/>
              </w:rPr>
            </w:pPr>
            <w:r w:rsidRPr="00743512">
              <w:t>81.4% (78.7, 83.8)</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33C73D" w14:textId="77777777" w:rsidR="00CA3B1E" w:rsidRPr="00743512" w:rsidRDefault="00CA3B1E" w:rsidP="002B7CC9">
            <w:pPr>
              <w:pStyle w:val="TableText0"/>
              <w:jc w:val="center"/>
              <w:rPr>
                <w:rFonts w:cs="Times New Roman"/>
                <w:szCs w:val="20"/>
              </w:rPr>
            </w:pPr>
            <w:r w:rsidRPr="00743512">
              <w:rPr>
                <w:rFonts w:cs="Times New Roman"/>
                <w:szCs w:val="20"/>
              </w:rPr>
              <w:t>8.3</w:t>
            </w:r>
          </w:p>
        </w:tc>
        <w:tc>
          <w:tcPr>
            <w:tcW w:w="879" w:type="pct"/>
            <w:vMerge w:val="restart"/>
            <w:tcBorders>
              <w:top w:val="nil"/>
              <w:left w:val="single" w:sz="4" w:space="0" w:color="auto"/>
            </w:tcBorders>
            <w:shd w:val="clear" w:color="auto" w:fill="B8CCE4" w:themeFill="accent1" w:themeFillTint="66"/>
          </w:tcPr>
          <w:p w14:paraId="4D6F4673" w14:textId="77777777" w:rsidR="00CA3B1E" w:rsidRPr="00743512" w:rsidRDefault="00CA3B1E" w:rsidP="002B7CC9">
            <w:pPr>
              <w:pStyle w:val="TableText0"/>
              <w:jc w:val="center"/>
            </w:pPr>
          </w:p>
        </w:tc>
      </w:tr>
      <w:tr w:rsidR="00CA3B1E" w:rsidRPr="00743512" w14:paraId="13833306" w14:textId="77777777" w:rsidTr="004F5B47">
        <w:trPr>
          <w:trHeight w:val="20"/>
        </w:trPr>
        <w:tc>
          <w:tcPr>
            <w:tcW w:w="1366" w:type="pct"/>
            <w:tcBorders>
              <w:top w:val="single" w:sz="4" w:space="0" w:color="auto"/>
              <w:bottom w:val="single" w:sz="4" w:space="0" w:color="auto"/>
              <w:right w:val="single" w:sz="4" w:space="0" w:color="auto"/>
            </w:tcBorders>
            <w:shd w:val="clear" w:color="auto" w:fill="B8CCE4" w:themeFill="accent1" w:themeFillTint="66"/>
          </w:tcPr>
          <w:p w14:paraId="1CBFCD98" w14:textId="77777777" w:rsidR="00CA3B1E" w:rsidRPr="00743512" w:rsidRDefault="00CA3B1E" w:rsidP="002B7CC9">
            <w:pPr>
              <w:pStyle w:val="TableText0"/>
            </w:pPr>
            <w:r w:rsidRPr="00743512">
              <w:t>% Progression free at 36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3F01B6" w14:textId="77777777" w:rsidR="00CA3B1E" w:rsidRPr="00743512" w:rsidRDefault="00CA3B1E" w:rsidP="002B7CC9">
            <w:pPr>
              <w:pStyle w:val="TableText0"/>
              <w:jc w:val="center"/>
              <w:rPr>
                <w:szCs w:val="20"/>
              </w:rPr>
            </w:pPr>
            <w:r w:rsidRPr="00743512">
              <w:t>86.1% (83.5, 88.3)</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314D27" w14:textId="77777777" w:rsidR="00CA3B1E" w:rsidRPr="00743512" w:rsidRDefault="00CA3B1E" w:rsidP="002B7CC9">
            <w:pPr>
              <w:pStyle w:val="TableText0"/>
              <w:jc w:val="center"/>
              <w:rPr>
                <w:szCs w:val="20"/>
              </w:rPr>
            </w:pPr>
            <w:r w:rsidRPr="00743512">
              <w:t>77.3% (74.3, 80.0)</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69A72F" w14:textId="77777777" w:rsidR="00CA3B1E" w:rsidRPr="00743512" w:rsidRDefault="00CA3B1E" w:rsidP="002B7CC9">
            <w:pPr>
              <w:pStyle w:val="TableText0"/>
              <w:jc w:val="center"/>
              <w:rPr>
                <w:rFonts w:cs="Times New Roman"/>
                <w:szCs w:val="20"/>
              </w:rPr>
            </w:pPr>
            <w:r w:rsidRPr="00743512">
              <w:rPr>
                <w:rFonts w:cs="Times New Roman"/>
                <w:szCs w:val="20"/>
              </w:rPr>
              <w:t>8.8</w:t>
            </w:r>
          </w:p>
        </w:tc>
        <w:tc>
          <w:tcPr>
            <w:tcW w:w="879" w:type="pct"/>
            <w:vMerge/>
            <w:tcBorders>
              <w:left w:val="single" w:sz="4" w:space="0" w:color="auto"/>
            </w:tcBorders>
            <w:shd w:val="clear" w:color="auto" w:fill="B8CCE4" w:themeFill="accent1" w:themeFillTint="66"/>
          </w:tcPr>
          <w:p w14:paraId="3B3FA3FF" w14:textId="77777777" w:rsidR="00CA3B1E" w:rsidRPr="00743512" w:rsidRDefault="00CA3B1E" w:rsidP="002B7CC9">
            <w:pPr>
              <w:pStyle w:val="TableText0"/>
              <w:jc w:val="center"/>
            </w:pPr>
          </w:p>
        </w:tc>
      </w:tr>
      <w:tr w:rsidR="00CA3B1E" w:rsidRPr="00743512" w14:paraId="56F93911" w14:textId="77777777" w:rsidTr="004F5B47">
        <w:trPr>
          <w:trHeight w:val="20"/>
        </w:trPr>
        <w:tc>
          <w:tcPr>
            <w:tcW w:w="1366" w:type="pct"/>
            <w:tcBorders>
              <w:top w:val="single" w:sz="4" w:space="0" w:color="auto"/>
              <w:bottom w:val="single" w:sz="4" w:space="0" w:color="auto"/>
              <w:right w:val="single" w:sz="4" w:space="0" w:color="auto"/>
            </w:tcBorders>
            <w:shd w:val="clear" w:color="auto" w:fill="B8CCE4" w:themeFill="accent1" w:themeFillTint="66"/>
          </w:tcPr>
          <w:p w14:paraId="2B49284D" w14:textId="77777777" w:rsidR="00CA3B1E" w:rsidRPr="00743512" w:rsidRDefault="00CA3B1E" w:rsidP="002B7CC9">
            <w:pPr>
              <w:pStyle w:val="TableText0"/>
            </w:pPr>
            <w:r w:rsidRPr="00743512">
              <w:t>% Progression free at 48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9BD183" w14:textId="14181786" w:rsidR="00CA3B1E" w:rsidRPr="00743512" w:rsidRDefault="00CA3B1E" w:rsidP="002B7CC9">
            <w:pPr>
              <w:pStyle w:val="TableText0"/>
              <w:jc w:val="center"/>
              <w:rPr>
                <w:szCs w:val="20"/>
              </w:rPr>
            </w:pPr>
            <w:r w:rsidRPr="00743512">
              <w:t>82.7% (79.6, 85.4)</w:t>
            </w:r>
            <w:r w:rsidR="00F32823" w:rsidRPr="00F32823">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C169A0" w14:textId="77777777" w:rsidR="00CA3B1E" w:rsidRPr="00743512" w:rsidRDefault="00CA3B1E" w:rsidP="002B7CC9">
            <w:pPr>
              <w:pStyle w:val="TableText0"/>
              <w:jc w:val="center"/>
              <w:rPr>
                <w:szCs w:val="20"/>
              </w:rPr>
            </w:pPr>
            <w:r w:rsidRPr="00743512">
              <w:t>75.4% (72.2, 78.3)</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FE1390" w14:textId="77777777" w:rsidR="00CA3B1E" w:rsidRPr="00743512" w:rsidRDefault="00CA3B1E" w:rsidP="002B7CC9">
            <w:pPr>
              <w:pStyle w:val="TableText0"/>
              <w:jc w:val="center"/>
              <w:rPr>
                <w:rFonts w:cs="Times New Roman"/>
                <w:szCs w:val="20"/>
              </w:rPr>
            </w:pPr>
            <w:r w:rsidRPr="00743512">
              <w:rPr>
                <w:rFonts w:cs="Times New Roman"/>
                <w:szCs w:val="20"/>
              </w:rPr>
              <w:t>7.3</w:t>
            </w:r>
          </w:p>
        </w:tc>
        <w:tc>
          <w:tcPr>
            <w:tcW w:w="879" w:type="pct"/>
            <w:vMerge/>
            <w:tcBorders>
              <w:left w:val="single" w:sz="4" w:space="0" w:color="auto"/>
              <w:bottom w:val="single" w:sz="4" w:space="0" w:color="auto"/>
            </w:tcBorders>
            <w:shd w:val="clear" w:color="auto" w:fill="B8CCE4" w:themeFill="accent1" w:themeFillTint="66"/>
          </w:tcPr>
          <w:p w14:paraId="30415F7E" w14:textId="77777777" w:rsidR="00CA3B1E" w:rsidRPr="00743512" w:rsidRDefault="00CA3B1E" w:rsidP="002B7CC9">
            <w:pPr>
              <w:pStyle w:val="TableText0"/>
              <w:jc w:val="center"/>
            </w:pPr>
          </w:p>
        </w:tc>
      </w:tr>
      <w:tr w:rsidR="00CA3B1E" w:rsidRPr="00743512" w14:paraId="0A89033D" w14:textId="77777777" w:rsidTr="004F5B4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0F2847" w14:textId="77777777" w:rsidR="00CA3B1E" w:rsidRPr="00743512" w:rsidRDefault="00CA3B1E" w:rsidP="002B7CC9">
            <w:pPr>
              <w:pStyle w:val="In-tableHeading"/>
              <w:rPr>
                <w:lang w:val="en-AU"/>
              </w:rPr>
            </w:pPr>
            <w:r w:rsidRPr="00743512">
              <w:rPr>
                <w:lang w:val="en-AU"/>
              </w:rPr>
              <w:t>Overall survival (median duration of follow up 3.5 years for olaparib, 3.6 years for placebo)</w:t>
            </w:r>
          </w:p>
        </w:tc>
      </w:tr>
      <w:tr w:rsidR="00CA3B1E" w:rsidRPr="00743512" w14:paraId="60F50427"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4DEDA9" w14:textId="77777777" w:rsidR="00CA3B1E" w:rsidRPr="00743512" w:rsidRDefault="00CA3B1E" w:rsidP="002B7CC9">
            <w:pPr>
              <w:pStyle w:val="TableText0"/>
            </w:pPr>
            <w:r w:rsidRPr="00743512">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A35691" w14:textId="77777777" w:rsidR="00CA3B1E" w:rsidRPr="00743512" w:rsidRDefault="00CA3B1E" w:rsidP="002B7CC9">
            <w:pPr>
              <w:pStyle w:val="TableText0"/>
              <w:jc w:val="center"/>
            </w:pPr>
            <w:r w:rsidRPr="00743512">
              <w:rPr>
                <w:rFonts w:cs="Times New Roman"/>
                <w:szCs w:val="20"/>
              </w:rPr>
              <w:t>75/921 (8.1%)</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3CE146" w14:textId="77777777" w:rsidR="00CA3B1E" w:rsidRPr="00743512" w:rsidRDefault="00CA3B1E" w:rsidP="002B7CC9">
            <w:pPr>
              <w:pStyle w:val="TableText0"/>
              <w:jc w:val="center"/>
            </w:pPr>
            <w:r w:rsidRPr="00743512">
              <w:rPr>
                <w:rFonts w:cs="Times New Roman"/>
                <w:szCs w:val="20"/>
              </w:rPr>
              <w:t>109/915 (11.9%)</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9B2A26" w14:textId="77777777" w:rsidR="00CA3B1E" w:rsidRPr="00743512" w:rsidRDefault="00CA3B1E" w:rsidP="002B7CC9">
            <w:pPr>
              <w:pStyle w:val="TableText0"/>
              <w:jc w:val="center"/>
            </w:pPr>
            <w:r w:rsidRPr="00743512">
              <w:t>-</w:t>
            </w:r>
          </w:p>
        </w:tc>
        <w:tc>
          <w:tcPr>
            <w:tcW w:w="879" w:type="pct"/>
            <w:vMerge w:val="restart"/>
            <w:tcBorders>
              <w:top w:val="single" w:sz="4" w:space="0" w:color="auto"/>
              <w:left w:val="single" w:sz="4" w:space="0" w:color="auto"/>
              <w:right w:val="single" w:sz="4" w:space="0" w:color="auto"/>
            </w:tcBorders>
            <w:shd w:val="clear" w:color="auto" w:fill="B8CCE4" w:themeFill="accent1" w:themeFillTint="66"/>
          </w:tcPr>
          <w:p w14:paraId="27ACC6FA" w14:textId="77777777" w:rsidR="00CA3B1E" w:rsidRPr="00743512" w:rsidRDefault="00CA3B1E" w:rsidP="002B7CC9">
            <w:pPr>
              <w:pStyle w:val="TableText0"/>
              <w:jc w:val="center"/>
              <w:rPr>
                <w:szCs w:val="20"/>
              </w:rPr>
            </w:pPr>
            <w:r w:rsidRPr="00743512">
              <w:rPr>
                <w:szCs w:val="20"/>
              </w:rPr>
              <w:t>0.68 (0.48, 0.91)</w:t>
            </w:r>
          </w:p>
          <w:p w14:paraId="2A5A3020" w14:textId="77777777" w:rsidR="00CA3B1E" w:rsidRPr="00743512" w:rsidRDefault="00CA3B1E" w:rsidP="002B7CC9">
            <w:pPr>
              <w:pStyle w:val="TableText0"/>
              <w:jc w:val="center"/>
            </w:pPr>
            <w:r w:rsidRPr="00743512">
              <w:rPr>
                <w:szCs w:val="20"/>
              </w:rPr>
              <w:t>P=0.0091</w:t>
            </w:r>
          </w:p>
        </w:tc>
      </w:tr>
      <w:tr w:rsidR="00CA3B1E" w:rsidRPr="00743512" w14:paraId="304C6D43"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AD45C7" w14:textId="453CF1F6" w:rsidR="00CA3B1E" w:rsidRPr="00743512" w:rsidRDefault="00CA3B1E" w:rsidP="002B7CC9">
            <w:pPr>
              <w:pStyle w:val="TableText0"/>
            </w:pPr>
            <w:r w:rsidRPr="00743512">
              <w:t xml:space="preserve">% Alive at </w:t>
            </w:r>
            <w:r w:rsidR="0051242C" w:rsidRPr="00743512">
              <w:t>12</w:t>
            </w:r>
            <w:r w:rsidRPr="00743512">
              <w:t xml:space="preserve"> months (95% CI) </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5AB591" w14:textId="77777777" w:rsidR="00CA3B1E" w:rsidRPr="00743512" w:rsidRDefault="00CA3B1E" w:rsidP="002B7CC9">
            <w:pPr>
              <w:pStyle w:val="TableText0"/>
              <w:jc w:val="center"/>
            </w:pPr>
            <w:r w:rsidRPr="00743512">
              <w:rPr>
                <w:rFonts w:cs="Arial"/>
              </w:rPr>
              <w:t xml:space="preserve">98.0% </w:t>
            </w:r>
            <w:r w:rsidRPr="00743512">
              <w:t>(96.9, 98.8)</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F44015" w14:textId="77777777" w:rsidR="00CA3B1E" w:rsidRPr="00743512" w:rsidRDefault="00CA3B1E" w:rsidP="002B7CC9">
            <w:pPr>
              <w:pStyle w:val="TableText0"/>
              <w:jc w:val="center"/>
              <w:rPr>
                <w:szCs w:val="20"/>
              </w:rPr>
            </w:pPr>
            <w:r w:rsidRPr="00743512">
              <w:t>96.9% (95.5, 97.9)</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4B5F9C" w14:textId="77777777" w:rsidR="00CA3B1E" w:rsidRPr="00743512" w:rsidRDefault="00CA3B1E" w:rsidP="002B7CC9">
            <w:pPr>
              <w:pStyle w:val="TableText0"/>
              <w:jc w:val="center"/>
            </w:pPr>
            <w:r w:rsidRPr="00743512">
              <w:t>1.1</w:t>
            </w:r>
          </w:p>
        </w:tc>
        <w:tc>
          <w:tcPr>
            <w:tcW w:w="879" w:type="pct"/>
            <w:vMerge/>
            <w:tcBorders>
              <w:left w:val="single" w:sz="4" w:space="0" w:color="auto"/>
              <w:right w:val="single" w:sz="4" w:space="0" w:color="auto"/>
            </w:tcBorders>
            <w:shd w:val="clear" w:color="auto" w:fill="B8CCE4" w:themeFill="accent1" w:themeFillTint="66"/>
          </w:tcPr>
          <w:p w14:paraId="159FD8CA" w14:textId="77777777" w:rsidR="00CA3B1E" w:rsidRPr="00743512" w:rsidRDefault="00CA3B1E" w:rsidP="002B7CC9">
            <w:pPr>
              <w:pStyle w:val="TableText0"/>
              <w:jc w:val="center"/>
            </w:pPr>
          </w:p>
        </w:tc>
      </w:tr>
      <w:tr w:rsidR="00CA3B1E" w:rsidRPr="00743512" w14:paraId="60B11684"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087FCC" w14:textId="5A77BF91" w:rsidR="00CA3B1E" w:rsidRPr="00743512" w:rsidRDefault="00CA3B1E" w:rsidP="002B7CC9">
            <w:pPr>
              <w:pStyle w:val="TableText0"/>
            </w:pPr>
            <w:r w:rsidRPr="00743512">
              <w:t xml:space="preserve">% Alive at </w:t>
            </w:r>
            <w:r w:rsidR="0051242C" w:rsidRPr="00743512">
              <w:t>24</w:t>
            </w:r>
            <w:r w:rsidRPr="00743512">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1BBADC" w14:textId="77777777" w:rsidR="00CA3B1E" w:rsidRPr="00743512" w:rsidRDefault="00CA3B1E" w:rsidP="002B7CC9">
            <w:pPr>
              <w:pStyle w:val="TableText0"/>
              <w:jc w:val="center"/>
              <w:rPr>
                <w:szCs w:val="20"/>
              </w:rPr>
            </w:pPr>
            <w:r w:rsidRPr="00743512">
              <w:t>95.0% (93.3, 96.2)</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DC463D" w14:textId="77777777" w:rsidR="00CA3B1E" w:rsidRPr="00743512" w:rsidRDefault="00CA3B1E" w:rsidP="002B7CC9">
            <w:pPr>
              <w:pStyle w:val="TableText0"/>
              <w:jc w:val="center"/>
              <w:rPr>
                <w:szCs w:val="20"/>
              </w:rPr>
            </w:pPr>
            <w:r w:rsidRPr="00743512">
              <w:t>92.8% (90.9, 94.3)</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7F7477" w14:textId="77777777" w:rsidR="00CA3B1E" w:rsidRPr="00743512" w:rsidRDefault="00CA3B1E" w:rsidP="002B7CC9">
            <w:pPr>
              <w:pStyle w:val="TableText0"/>
              <w:jc w:val="center"/>
            </w:pPr>
            <w:r w:rsidRPr="00743512">
              <w:t>2.2</w:t>
            </w:r>
          </w:p>
        </w:tc>
        <w:tc>
          <w:tcPr>
            <w:tcW w:w="879" w:type="pct"/>
            <w:vMerge/>
            <w:tcBorders>
              <w:left w:val="single" w:sz="4" w:space="0" w:color="auto"/>
              <w:right w:val="single" w:sz="4" w:space="0" w:color="auto"/>
            </w:tcBorders>
            <w:shd w:val="clear" w:color="auto" w:fill="B8CCE4" w:themeFill="accent1" w:themeFillTint="66"/>
          </w:tcPr>
          <w:p w14:paraId="23A3DF0F" w14:textId="77777777" w:rsidR="00CA3B1E" w:rsidRPr="00743512" w:rsidRDefault="00CA3B1E" w:rsidP="002B7CC9">
            <w:pPr>
              <w:pStyle w:val="TableText0"/>
              <w:jc w:val="center"/>
            </w:pPr>
          </w:p>
        </w:tc>
      </w:tr>
      <w:tr w:rsidR="00CA3B1E" w:rsidRPr="00743512" w14:paraId="294F1FA8"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B9BE84" w14:textId="01885155" w:rsidR="00CA3B1E" w:rsidRPr="00743512" w:rsidRDefault="00CA3B1E" w:rsidP="002B7CC9">
            <w:pPr>
              <w:pStyle w:val="TableText0"/>
            </w:pPr>
            <w:r w:rsidRPr="00743512">
              <w:t xml:space="preserve">% Alive at </w:t>
            </w:r>
            <w:r w:rsidR="0051242C" w:rsidRPr="00743512">
              <w:t>36</w:t>
            </w:r>
            <w:r w:rsidRPr="00743512">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CE8B64" w14:textId="77777777" w:rsidR="00CA3B1E" w:rsidRPr="00743512" w:rsidRDefault="00CA3B1E" w:rsidP="002B7CC9">
            <w:pPr>
              <w:pStyle w:val="TableText0"/>
              <w:jc w:val="center"/>
              <w:rPr>
                <w:szCs w:val="20"/>
              </w:rPr>
            </w:pPr>
            <w:r w:rsidRPr="00743512">
              <w:t>92.8% (90.8, 94.4)</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C6796E" w14:textId="77777777" w:rsidR="00CA3B1E" w:rsidRPr="00743512" w:rsidRDefault="00CA3B1E" w:rsidP="002B7CC9">
            <w:pPr>
              <w:pStyle w:val="TableText0"/>
              <w:jc w:val="center"/>
              <w:rPr>
                <w:szCs w:val="20"/>
              </w:rPr>
            </w:pPr>
            <w:r w:rsidRPr="00743512">
              <w:t>89.1% (86.7, 91.0)</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2D65B2" w14:textId="77777777" w:rsidR="00CA3B1E" w:rsidRPr="00743512" w:rsidRDefault="00CA3B1E" w:rsidP="002B7CC9">
            <w:pPr>
              <w:pStyle w:val="TableText0"/>
              <w:jc w:val="center"/>
            </w:pPr>
            <w:r w:rsidRPr="00743512">
              <w:t>3.7</w:t>
            </w:r>
          </w:p>
        </w:tc>
        <w:tc>
          <w:tcPr>
            <w:tcW w:w="879" w:type="pct"/>
            <w:vMerge/>
            <w:tcBorders>
              <w:left w:val="single" w:sz="4" w:space="0" w:color="auto"/>
              <w:right w:val="single" w:sz="4" w:space="0" w:color="auto"/>
            </w:tcBorders>
            <w:shd w:val="clear" w:color="auto" w:fill="B8CCE4" w:themeFill="accent1" w:themeFillTint="66"/>
          </w:tcPr>
          <w:p w14:paraId="2FA35DB8" w14:textId="77777777" w:rsidR="00CA3B1E" w:rsidRPr="00743512" w:rsidRDefault="00CA3B1E" w:rsidP="002B7CC9">
            <w:pPr>
              <w:pStyle w:val="TableText0"/>
              <w:jc w:val="center"/>
            </w:pPr>
          </w:p>
        </w:tc>
      </w:tr>
      <w:tr w:rsidR="00CA3B1E" w:rsidRPr="00743512" w14:paraId="0E43C8EE"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7E3244" w14:textId="344A4306" w:rsidR="00CA3B1E" w:rsidRPr="00743512" w:rsidRDefault="00CA3B1E" w:rsidP="002B7CC9">
            <w:pPr>
              <w:pStyle w:val="TableText0"/>
            </w:pPr>
            <w:r w:rsidRPr="00743512">
              <w:t xml:space="preserve">% Alive at </w:t>
            </w:r>
            <w:r w:rsidR="0051242C" w:rsidRPr="00743512">
              <w:t>48</w:t>
            </w:r>
            <w:r w:rsidRPr="00743512">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5B4A6D" w14:textId="77777777" w:rsidR="00CA3B1E" w:rsidRPr="00743512" w:rsidRDefault="00CA3B1E" w:rsidP="002B7CC9">
            <w:pPr>
              <w:pStyle w:val="TableText0"/>
              <w:jc w:val="center"/>
              <w:rPr>
                <w:szCs w:val="20"/>
              </w:rPr>
            </w:pPr>
            <w:r w:rsidRPr="00743512">
              <w:t>89.8% (87.2, 91.9)</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42E468" w14:textId="77777777" w:rsidR="00CA3B1E" w:rsidRPr="00743512" w:rsidRDefault="00CA3B1E" w:rsidP="002B7CC9">
            <w:pPr>
              <w:pStyle w:val="TableText0"/>
              <w:jc w:val="center"/>
              <w:rPr>
                <w:szCs w:val="20"/>
              </w:rPr>
            </w:pPr>
            <w:r w:rsidRPr="00743512">
              <w:t>86.4% (83.6, 88.7)</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413516" w14:textId="77777777" w:rsidR="00CA3B1E" w:rsidRPr="00743512" w:rsidRDefault="00CA3B1E" w:rsidP="002B7CC9">
            <w:pPr>
              <w:pStyle w:val="TableText0"/>
              <w:jc w:val="center"/>
            </w:pPr>
            <w:r w:rsidRPr="00743512">
              <w:t>3.4</w:t>
            </w:r>
          </w:p>
        </w:tc>
        <w:tc>
          <w:tcPr>
            <w:tcW w:w="879" w:type="pct"/>
            <w:vMerge/>
            <w:tcBorders>
              <w:left w:val="single" w:sz="4" w:space="0" w:color="auto"/>
              <w:bottom w:val="single" w:sz="4" w:space="0" w:color="auto"/>
              <w:right w:val="single" w:sz="4" w:space="0" w:color="auto"/>
            </w:tcBorders>
            <w:shd w:val="clear" w:color="auto" w:fill="B8CCE4" w:themeFill="accent1" w:themeFillTint="66"/>
          </w:tcPr>
          <w:p w14:paraId="0D9E5587" w14:textId="77777777" w:rsidR="00CA3B1E" w:rsidRPr="00743512" w:rsidRDefault="00CA3B1E" w:rsidP="002B7CC9">
            <w:pPr>
              <w:pStyle w:val="TableText0"/>
              <w:jc w:val="center"/>
            </w:pPr>
          </w:p>
        </w:tc>
      </w:tr>
      <w:tr w:rsidR="00CA3B1E" w:rsidRPr="00743512" w14:paraId="1E4E46EC" w14:textId="77777777" w:rsidTr="004F5B4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7FFE5E" w14:textId="77777777" w:rsidR="00CA3B1E" w:rsidRPr="00743512" w:rsidRDefault="00CA3B1E" w:rsidP="002B7CC9">
            <w:pPr>
              <w:pStyle w:val="TableText0"/>
              <w:rPr>
                <w:b/>
                <w:bCs w:val="0"/>
              </w:rPr>
            </w:pPr>
            <w:r w:rsidRPr="00743512">
              <w:rPr>
                <w:b/>
                <w:bCs w:val="0"/>
              </w:rPr>
              <w:t>Distant disease-free survival (median duration of follow up 3.5 years for olaparib, 3.6 years for placebo)</w:t>
            </w:r>
          </w:p>
        </w:tc>
      </w:tr>
      <w:tr w:rsidR="00CA3B1E" w:rsidRPr="00743512" w14:paraId="46F2F730"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39F5B" w14:textId="77777777" w:rsidR="00CA3B1E" w:rsidRPr="00743512" w:rsidRDefault="00CA3B1E" w:rsidP="002B7CC9">
            <w:pPr>
              <w:pStyle w:val="TableText0"/>
            </w:pPr>
            <w:r w:rsidRPr="00743512">
              <w:t>Progressed, n/N (%)</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0534CE" w14:textId="77777777" w:rsidR="00CA3B1E" w:rsidRPr="00743512" w:rsidRDefault="00CA3B1E" w:rsidP="002B7CC9">
            <w:pPr>
              <w:pStyle w:val="TableText0"/>
              <w:jc w:val="center"/>
              <w:rPr>
                <w:szCs w:val="20"/>
              </w:rPr>
            </w:pPr>
            <w:r w:rsidRPr="00743512">
              <w:rPr>
                <w:szCs w:val="20"/>
              </w:rPr>
              <w:t>107/921 (11.6%)</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C7BF5E" w14:textId="77777777" w:rsidR="00CA3B1E" w:rsidRPr="00743512" w:rsidRDefault="00CA3B1E" w:rsidP="002B7CC9">
            <w:pPr>
              <w:pStyle w:val="TableText0"/>
              <w:jc w:val="center"/>
              <w:rPr>
                <w:szCs w:val="20"/>
              </w:rPr>
            </w:pPr>
            <w:r w:rsidRPr="00743512">
              <w:rPr>
                <w:szCs w:val="20"/>
              </w:rPr>
              <w:t>172/915 (18.8%)</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054ECB" w14:textId="77777777" w:rsidR="00CA3B1E" w:rsidRPr="00743512" w:rsidRDefault="00CA3B1E" w:rsidP="002B7CC9">
            <w:pPr>
              <w:pStyle w:val="TableText0"/>
              <w:jc w:val="center"/>
            </w:pPr>
            <w:r w:rsidRPr="00743512">
              <w:t>-</w:t>
            </w:r>
          </w:p>
        </w:tc>
        <w:tc>
          <w:tcPr>
            <w:tcW w:w="879" w:type="pct"/>
            <w:vMerge w:val="restart"/>
            <w:tcBorders>
              <w:top w:val="nil"/>
              <w:left w:val="single" w:sz="4" w:space="0" w:color="auto"/>
              <w:right w:val="single" w:sz="4" w:space="0" w:color="auto"/>
            </w:tcBorders>
            <w:shd w:val="clear" w:color="auto" w:fill="B8CCE4" w:themeFill="accent1" w:themeFillTint="66"/>
          </w:tcPr>
          <w:p w14:paraId="34AC8CD3" w14:textId="77777777" w:rsidR="00CA3B1E" w:rsidRPr="00743512" w:rsidRDefault="00CA3B1E" w:rsidP="002B7CC9">
            <w:pPr>
              <w:pStyle w:val="TableText0"/>
              <w:jc w:val="center"/>
            </w:pPr>
            <w:r w:rsidRPr="00743512">
              <w:t>0.61 (0.48,077)</w:t>
            </w:r>
          </w:p>
          <w:p w14:paraId="5AA354A4" w14:textId="77777777" w:rsidR="00CA3B1E" w:rsidRPr="00743512" w:rsidRDefault="00CA3B1E" w:rsidP="002B7CC9">
            <w:pPr>
              <w:pStyle w:val="TableText0"/>
              <w:jc w:val="center"/>
            </w:pPr>
            <w:r w:rsidRPr="00743512">
              <w:t>P=&lt;0.0001</w:t>
            </w:r>
          </w:p>
        </w:tc>
      </w:tr>
      <w:tr w:rsidR="00CA3B1E" w:rsidRPr="00743512" w14:paraId="3A210EFF"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01BD95" w14:textId="77777777" w:rsidR="00CA3B1E" w:rsidRPr="00743512" w:rsidRDefault="00CA3B1E" w:rsidP="002B7CC9">
            <w:pPr>
              <w:pStyle w:val="TableText0"/>
            </w:pPr>
            <w:r w:rsidRPr="00743512">
              <w:t>% Progression free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D2F277" w14:textId="77777777" w:rsidR="00CA3B1E" w:rsidRPr="00743512" w:rsidRDefault="00CA3B1E" w:rsidP="002B7CC9">
            <w:pPr>
              <w:pStyle w:val="TableText0"/>
              <w:jc w:val="center"/>
              <w:rPr>
                <w:szCs w:val="20"/>
              </w:rPr>
            </w:pPr>
            <w:r w:rsidRPr="00743512">
              <w:t>94.4% (92.6, 95.7)</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ACAA75" w14:textId="77777777" w:rsidR="00CA3B1E" w:rsidRPr="00743512" w:rsidRDefault="00CA3B1E" w:rsidP="002B7CC9">
            <w:pPr>
              <w:pStyle w:val="TableText0"/>
              <w:jc w:val="center"/>
              <w:rPr>
                <w:szCs w:val="20"/>
              </w:rPr>
            </w:pPr>
            <w:r w:rsidRPr="00743512">
              <w:t>90.3% (88.2, 92.1)</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13FB35" w14:textId="77777777" w:rsidR="00CA3B1E" w:rsidRPr="00743512" w:rsidRDefault="00CA3B1E" w:rsidP="002B7CC9">
            <w:pPr>
              <w:pStyle w:val="TableText0"/>
              <w:jc w:val="center"/>
            </w:pPr>
            <w:r w:rsidRPr="00743512">
              <w:t>4.1</w:t>
            </w:r>
          </w:p>
        </w:tc>
        <w:tc>
          <w:tcPr>
            <w:tcW w:w="879" w:type="pct"/>
            <w:vMerge/>
            <w:tcBorders>
              <w:top w:val="nil"/>
              <w:left w:val="single" w:sz="4" w:space="0" w:color="auto"/>
              <w:right w:val="single" w:sz="4" w:space="0" w:color="auto"/>
            </w:tcBorders>
            <w:shd w:val="clear" w:color="auto" w:fill="B8CCE4" w:themeFill="accent1" w:themeFillTint="66"/>
          </w:tcPr>
          <w:p w14:paraId="5A98FCA4" w14:textId="77777777" w:rsidR="00CA3B1E" w:rsidRPr="00743512" w:rsidRDefault="00CA3B1E" w:rsidP="002B7CC9">
            <w:pPr>
              <w:pStyle w:val="TableText0"/>
              <w:jc w:val="center"/>
            </w:pPr>
          </w:p>
        </w:tc>
      </w:tr>
      <w:tr w:rsidR="00CA3B1E" w:rsidRPr="00743512" w14:paraId="73A1802D"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492A4D" w14:textId="77777777" w:rsidR="00CA3B1E" w:rsidRPr="00743512" w:rsidRDefault="00CA3B1E" w:rsidP="002B7CC9">
            <w:pPr>
              <w:pStyle w:val="TableText0"/>
            </w:pPr>
            <w:r w:rsidRPr="00743512">
              <w:t>% Progression free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E88166" w14:textId="77777777" w:rsidR="00CA3B1E" w:rsidRPr="00743512" w:rsidRDefault="00CA3B1E" w:rsidP="002B7CC9">
            <w:pPr>
              <w:pStyle w:val="TableText0"/>
              <w:jc w:val="center"/>
              <w:rPr>
                <w:szCs w:val="20"/>
              </w:rPr>
            </w:pPr>
            <w:r w:rsidRPr="00743512">
              <w:t>90.6% (88.4, 92.4)</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B8ED17" w14:textId="77777777" w:rsidR="00CA3B1E" w:rsidRPr="00743512" w:rsidRDefault="00CA3B1E" w:rsidP="002B7CC9">
            <w:pPr>
              <w:pStyle w:val="TableText0"/>
              <w:jc w:val="center"/>
              <w:rPr>
                <w:szCs w:val="20"/>
              </w:rPr>
            </w:pPr>
            <w:r w:rsidRPr="00743512">
              <w:t>84.0% (81.4, 86.3)</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6C4653" w14:textId="77777777" w:rsidR="00CA3B1E" w:rsidRPr="00743512" w:rsidRDefault="00CA3B1E" w:rsidP="002B7CC9">
            <w:pPr>
              <w:pStyle w:val="TableText0"/>
              <w:jc w:val="center"/>
            </w:pPr>
            <w:r w:rsidRPr="00743512">
              <w:t>6.6</w:t>
            </w:r>
          </w:p>
        </w:tc>
        <w:tc>
          <w:tcPr>
            <w:tcW w:w="879" w:type="pct"/>
            <w:vMerge/>
            <w:tcBorders>
              <w:left w:val="single" w:sz="4" w:space="0" w:color="auto"/>
              <w:right w:val="single" w:sz="4" w:space="0" w:color="auto"/>
            </w:tcBorders>
            <w:shd w:val="clear" w:color="auto" w:fill="B8CCE4" w:themeFill="accent1" w:themeFillTint="66"/>
          </w:tcPr>
          <w:p w14:paraId="09D2B61F" w14:textId="77777777" w:rsidR="00CA3B1E" w:rsidRPr="00743512" w:rsidRDefault="00CA3B1E" w:rsidP="002B7CC9">
            <w:pPr>
              <w:pStyle w:val="TableText0"/>
              <w:jc w:val="center"/>
            </w:pPr>
          </w:p>
        </w:tc>
      </w:tr>
      <w:tr w:rsidR="00CA3B1E" w:rsidRPr="00743512" w14:paraId="0778C42B"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BF320A" w14:textId="77777777" w:rsidR="00CA3B1E" w:rsidRPr="00743512" w:rsidRDefault="00CA3B1E" w:rsidP="002B7CC9">
            <w:pPr>
              <w:pStyle w:val="TableText0"/>
            </w:pPr>
            <w:r w:rsidRPr="00743512">
              <w:t>% Progression free at 36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EF6E7D" w14:textId="77777777" w:rsidR="00CA3B1E" w:rsidRPr="00743512" w:rsidRDefault="00CA3B1E" w:rsidP="002B7CC9">
            <w:pPr>
              <w:pStyle w:val="TableText0"/>
              <w:jc w:val="center"/>
              <w:rPr>
                <w:szCs w:val="20"/>
              </w:rPr>
            </w:pPr>
            <w:r w:rsidRPr="00743512">
              <w:t>88.0% (85.5, 90.1)</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6EAED8" w14:textId="77777777" w:rsidR="00CA3B1E" w:rsidRPr="00743512" w:rsidRDefault="00CA3B1E" w:rsidP="002B7CC9">
            <w:pPr>
              <w:pStyle w:val="TableText0"/>
              <w:jc w:val="center"/>
              <w:rPr>
                <w:szCs w:val="20"/>
              </w:rPr>
            </w:pPr>
            <w:r w:rsidRPr="00743512">
              <w:t>81.0% (78.1, 83.5)</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364A7E" w14:textId="77777777" w:rsidR="00CA3B1E" w:rsidRPr="00743512" w:rsidRDefault="00CA3B1E" w:rsidP="002B7CC9">
            <w:pPr>
              <w:pStyle w:val="TableText0"/>
              <w:jc w:val="center"/>
            </w:pPr>
            <w:r w:rsidRPr="00743512">
              <w:t>7.0</w:t>
            </w:r>
          </w:p>
        </w:tc>
        <w:tc>
          <w:tcPr>
            <w:tcW w:w="879" w:type="pct"/>
            <w:vMerge/>
            <w:tcBorders>
              <w:left w:val="single" w:sz="4" w:space="0" w:color="auto"/>
              <w:right w:val="single" w:sz="4" w:space="0" w:color="auto"/>
            </w:tcBorders>
            <w:shd w:val="clear" w:color="auto" w:fill="B8CCE4" w:themeFill="accent1" w:themeFillTint="66"/>
          </w:tcPr>
          <w:p w14:paraId="50D49C30" w14:textId="77777777" w:rsidR="00CA3B1E" w:rsidRPr="00743512" w:rsidRDefault="00CA3B1E" w:rsidP="002B7CC9">
            <w:pPr>
              <w:pStyle w:val="TableText0"/>
              <w:jc w:val="center"/>
            </w:pPr>
          </w:p>
        </w:tc>
      </w:tr>
      <w:tr w:rsidR="00CA3B1E" w:rsidRPr="00743512" w14:paraId="795AB8E4" w14:textId="77777777" w:rsidTr="004F5B4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0A5A39" w14:textId="77777777" w:rsidR="00CA3B1E" w:rsidRPr="00743512" w:rsidRDefault="00CA3B1E" w:rsidP="002B7CC9">
            <w:pPr>
              <w:pStyle w:val="TableText0"/>
            </w:pPr>
            <w:r w:rsidRPr="00743512">
              <w:t>% Progression free at 48 months (95% CI)</w:t>
            </w:r>
          </w:p>
        </w:tc>
        <w:tc>
          <w:tcPr>
            <w:tcW w:w="80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3403D1" w14:textId="77777777" w:rsidR="00CA3B1E" w:rsidRPr="00743512" w:rsidRDefault="00CA3B1E" w:rsidP="002B7CC9">
            <w:pPr>
              <w:pStyle w:val="TableText0"/>
              <w:jc w:val="center"/>
              <w:rPr>
                <w:szCs w:val="20"/>
              </w:rPr>
            </w:pPr>
            <w:r w:rsidRPr="00743512">
              <w:t>86.5% (83.8, 88.8)</w:t>
            </w:r>
          </w:p>
        </w:tc>
        <w:tc>
          <w:tcPr>
            <w:tcW w:w="84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32ADC" w14:textId="77777777" w:rsidR="00CA3B1E" w:rsidRPr="00743512" w:rsidRDefault="00CA3B1E" w:rsidP="002B7CC9">
            <w:pPr>
              <w:pStyle w:val="TableText0"/>
              <w:jc w:val="center"/>
              <w:rPr>
                <w:szCs w:val="20"/>
              </w:rPr>
            </w:pPr>
            <w:r w:rsidRPr="00743512">
              <w:t>79.1% (76.0, 81.8)</w:t>
            </w:r>
          </w:p>
        </w:tc>
        <w:tc>
          <w:tcPr>
            <w:tcW w:w="111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103421" w14:textId="77777777" w:rsidR="00CA3B1E" w:rsidRPr="00743512" w:rsidRDefault="00CA3B1E" w:rsidP="002B7CC9">
            <w:pPr>
              <w:pStyle w:val="TableText0"/>
              <w:jc w:val="center"/>
            </w:pPr>
            <w:r w:rsidRPr="00743512">
              <w:t>7.4</w:t>
            </w:r>
          </w:p>
        </w:tc>
        <w:tc>
          <w:tcPr>
            <w:tcW w:w="879" w:type="pct"/>
            <w:vMerge/>
            <w:tcBorders>
              <w:left w:val="single" w:sz="4" w:space="0" w:color="auto"/>
              <w:bottom w:val="nil"/>
              <w:right w:val="single" w:sz="4" w:space="0" w:color="auto"/>
            </w:tcBorders>
            <w:shd w:val="clear" w:color="auto" w:fill="B8CCE4" w:themeFill="accent1" w:themeFillTint="66"/>
          </w:tcPr>
          <w:p w14:paraId="2CACB9A5" w14:textId="77777777" w:rsidR="00CA3B1E" w:rsidRPr="00743512" w:rsidRDefault="00CA3B1E" w:rsidP="002B7CC9">
            <w:pPr>
              <w:pStyle w:val="TableText0"/>
              <w:jc w:val="center"/>
            </w:pPr>
          </w:p>
        </w:tc>
      </w:tr>
    </w:tbl>
    <w:tbl>
      <w:tblPr>
        <w:tblW w:w="5000" w:type="pct"/>
        <w:shd w:val="clear" w:color="auto" w:fill="B8CCE4" w:themeFill="accent1" w:themeFillTint="66"/>
        <w:tblCellMar>
          <w:left w:w="28" w:type="dxa"/>
          <w:right w:w="28" w:type="dxa"/>
        </w:tblCellMar>
        <w:tblLook w:val="04A0" w:firstRow="1" w:lastRow="0" w:firstColumn="1" w:lastColumn="0" w:noHBand="0" w:noVBand="1"/>
      </w:tblPr>
      <w:tblGrid>
        <w:gridCol w:w="2310"/>
        <w:gridCol w:w="1018"/>
        <w:gridCol w:w="1102"/>
        <w:gridCol w:w="1488"/>
        <w:gridCol w:w="887"/>
        <w:gridCol w:w="843"/>
        <w:gridCol w:w="1369"/>
      </w:tblGrid>
      <w:tr w:rsidR="00CA3B1E" w:rsidRPr="00743512" w14:paraId="0740293D" w14:textId="77777777" w:rsidTr="004F5B47">
        <w:tc>
          <w:tcPr>
            <w:tcW w:w="0" w:type="auto"/>
            <w:gridSpan w:val="7"/>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740DBF" w14:textId="77777777" w:rsidR="00CA3B1E" w:rsidRPr="00743512" w:rsidRDefault="00CA3B1E" w:rsidP="002B7CC9">
            <w:pPr>
              <w:pStyle w:val="In-tableHeading"/>
              <w:rPr>
                <w:lang w:val="en-AU"/>
              </w:rPr>
            </w:pPr>
            <w:r w:rsidRPr="00743512">
              <w:rPr>
                <w:lang w:val="en-AU"/>
              </w:rPr>
              <w:t xml:space="preserve">Harms </w:t>
            </w:r>
          </w:p>
        </w:tc>
      </w:tr>
      <w:tr w:rsidR="00CA3B1E" w:rsidRPr="00743512" w14:paraId="3B170F8D" w14:textId="77777777" w:rsidTr="004F5B47">
        <w:tc>
          <w:tcPr>
            <w:tcW w:w="0" w:type="auto"/>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7ABC43" w14:textId="77777777" w:rsidR="00CA3B1E" w:rsidRPr="00743512" w:rsidRDefault="00CA3B1E" w:rsidP="002B7CC9">
            <w:pPr>
              <w:pStyle w:val="In-tableHeading"/>
              <w:rPr>
                <w:lang w:val="en-AU"/>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952B88" w14:textId="77777777" w:rsidR="00CA3B1E" w:rsidRPr="00743512" w:rsidRDefault="00CA3B1E" w:rsidP="002B7CC9">
            <w:pPr>
              <w:pStyle w:val="In-tableHeading"/>
              <w:jc w:val="center"/>
              <w:rPr>
                <w:lang w:val="en-AU"/>
              </w:rPr>
            </w:pPr>
            <w:r w:rsidRPr="00743512">
              <w:rPr>
                <w:lang w:val="en-AU"/>
              </w:rPr>
              <w:t>Olaparib</w:t>
            </w:r>
          </w:p>
          <w:p w14:paraId="33B3EE67" w14:textId="77777777" w:rsidR="00CA3B1E" w:rsidRPr="00743512" w:rsidRDefault="00CA3B1E" w:rsidP="002B7CC9">
            <w:pPr>
              <w:pStyle w:val="In-tableHeading"/>
              <w:jc w:val="center"/>
              <w:rPr>
                <w:lang w:val="en-AU"/>
              </w:rPr>
            </w:pPr>
            <w:r w:rsidRPr="00743512">
              <w:rPr>
                <w:lang w:val="en-AU"/>
              </w:rPr>
              <w:t>n/N</w:t>
            </w:r>
          </w:p>
        </w:tc>
        <w:tc>
          <w:tcPr>
            <w:tcW w:w="611"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CDB1C6" w14:textId="77777777" w:rsidR="00CA3B1E" w:rsidRPr="00743512" w:rsidRDefault="00CA3B1E" w:rsidP="002B7CC9">
            <w:pPr>
              <w:pStyle w:val="In-tableHeading"/>
              <w:jc w:val="center"/>
              <w:rPr>
                <w:lang w:val="en-AU"/>
              </w:rPr>
            </w:pPr>
            <w:r w:rsidRPr="00743512">
              <w:rPr>
                <w:lang w:val="en-AU"/>
              </w:rPr>
              <w:t>Placebo</w:t>
            </w:r>
          </w:p>
          <w:p w14:paraId="2629AFEE" w14:textId="77777777" w:rsidR="00CA3B1E" w:rsidRPr="00743512" w:rsidRDefault="00CA3B1E" w:rsidP="002B7CC9">
            <w:pPr>
              <w:pStyle w:val="In-tableHeading"/>
              <w:jc w:val="center"/>
              <w:rPr>
                <w:lang w:val="en-AU"/>
              </w:rPr>
            </w:pPr>
            <w:r w:rsidRPr="00743512">
              <w:rPr>
                <w:lang w:val="en-AU"/>
              </w:rPr>
              <w:t>n/N</w:t>
            </w:r>
          </w:p>
        </w:tc>
        <w:tc>
          <w:tcPr>
            <w:tcW w:w="825"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4EFD60" w14:textId="77777777" w:rsidR="00CA3B1E" w:rsidRPr="00743512" w:rsidRDefault="00CA3B1E" w:rsidP="002B7CC9">
            <w:pPr>
              <w:pStyle w:val="In-tableHeading"/>
              <w:jc w:val="center"/>
              <w:rPr>
                <w:lang w:val="en-AU"/>
              </w:rPr>
            </w:pPr>
            <w:r w:rsidRPr="00743512">
              <w:rPr>
                <w:lang w:val="en-AU"/>
              </w:rPr>
              <w:t>RR*</w:t>
            </w:r>
          </w:p>
          <w:p w14:paraId="795B2363" w14:textId="77777777" w:rsidR="00CA3B1E" w:rsidRPr="00743512" w:rsidRDefault="00CA3B1E" w:rsidP="002B7CC9">
            <w:pPr>
              <w:pStyle w:val="In-tableHeading"/>
              <w:jc w:val="center"/>
              <w:rPr>
                <w:lang w:val="en-AU"/>
              </w:rPr>
            </w:pPr>
            <w:r w:rsidRPr="00743512">
              <w:rPr>
                <w:lang w:val="en-AU"/>
              </w:rPr>
              <w:t>(95% CI)</w:t>
            </w:r>
          </w:p>
        </w:tc>
        <w:tc>
          <w:tcPr>
            <w:tcW w:w="0" w:type="auto"/>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69932A" w14:textId="77777777" w:rsidR="00CA3B1E" w:rsidRPr="00743512" w:rsidRDefault="00CA3B1E" w:rsidP="002B7CC9">
            <w:pPr>
              <w:pStyle w:val="In-tableHeading"/>
              <w:jc w:val="center"/>
              <w:rPr>
                <w:lang w:val="en-AU"/>
              </w:rPr>
            </w:pPr>
            <w:r w:rsidRPr="00743512">
              <w:rPr>
                <w:lang w:val="en-AU"/>
              </w:rPr>
              <w:t>Event rate/100 patients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3F7206" w14:textId="77777777" w:rsidR="00CA3B1E" w:rsidRPr="00743512" w:rsidRDefault="00CA3B1E" w:rsidP="002B7CC9">
            <w:pPr>
              <w:pStyle w:val="In-tableHeading"/>
              <w:jc w:val="center"/>
              <w:rPr>
                <w:lang w:val="en-AU"/>
              </w:rPr>
            </w:pPr>
            <w:r w:rsidRPr="00743512">
              <w:rPr>
                <w:lang w:val="en-AU"/>
              </w:rPr>
              <w:t>RD*</w:t>
            </w:r>
          </w:p>
          <w:p w14:paraId="2E0619C3" w14:textId="77777777" w:rsidR="00CA3B1E" w:rsidRPr="00743512" w:rsidRDefault="00CA3B1E" w:rsidP="002B7CC9">
            <w:pPr>
              <w:pStyle w:val="In-tableHeading"/>
              <w:jc w:val="center"/>
              <w:rPr>
                <w:lang w:val="en-AU"/>
              </w:rPr>
            </w:pPr>
            <w:r w:rsidRPr="00743512">
              <w:rPr>
                <w:lang w:val="en-AU"/>
              </w:rPr>
              <w:t>(95% CI)</w:t>
            </w:r>
          </w:p>
        </w:tc>
      </w:tr>
      <w:tr w:rsidR="00CA3B1E" w:rsidRPr="00743512" w14:paraId="10672AC1" w14:textId="77777777" w:rsidTr="004F5B47">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BC7986" w14:textId="77777777" w:rsidR="00CA3B1E" w:rsidRPr="00743512" w:rsidRDefault="00CA3B1E" w:rsidP="002B7CC9">
            <w:pPr>
              <w:keepNext/>
              <w:jc w:val="left"/>
              <w:rPr>
                <w:rFonts w:ascii="Arial Narrow" w:eastAsiaTheme="majorEastAsia" w:hAnsi="Arial Narrow" w:cs="Times New Roman"/>
                <w:b/>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8EF9B3" w14:textId="77777777" w:rsidR="00CA3B1E" w:rsidRPr="00743512" w:rsidRDefault="00CA3B1E" w:rsidP="002B7CC9">
            <w:pPr>
              <w:keepNext/>
              <w:jc w:val="left"/>
              <w:rPr>
                <w:rFonts w:ascii="Arial Narrow" w:eastAsiaTheme="majorEastAsia" w:hAnsi="Arial Narrow" w:cs="Times New Roman"/>
                <w:b/>
                <w:sz w:val="20"/>
              </w:rPr>
            </w:pPr>
          </w:p>
        </w:tc>
        <w:tc>
          <w:tcPr>
            <w:tcW w:w="611"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0E10C8" w14:textId="77777777" w:rsidR="00CA3B1E" w:rsidRPr="00743512" w:rsidRDefault="00CA3B1E" w:rsidP="002B7CC9">
            <w:pPr>
              <w:keepNext/>
              <w:jc w:val="left"/>
              <w:rPr>
                <w:rFonts w:ascii="Arial Narrow" w:eastAsiaTheme="majorEastAsia" w:hAnsi="Arial Narrow" w:cs="Times New Roman"/>
                <w:b/>
                <w:sz w:val="20"/>
              </w:rPr>
            </w:pPr>
          </w:p>
        </w:tc>
        <w:tc>
          <w:tcPr>
            <w:tcW w:w="825"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A6B0CE" w14:textId="77777777" w:rsidR="00CA3B1E" w:rsidRPr="00743512" w:rsidRDefault="00CA3B1E" w:rsidP="002B7CC9">
            <w:pPr>
              <w:keepNext/>
              <w:jc w:val="left"/>
              <w:rPr>
                <w:rFonts w:ascii="Arial Narrow" w:eastAsiaTheme="majorEastAsia" w:hAnsi="Arial Narrow" w:cs="Times New Roman"/>
                <w:b/>
                <w:sz w:val="20"/>
              </w:rPr>
            </w:pP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D9BB1C" w14:textId="77777777" w:rsidR="00CA3B1E" w:rsidRPr="00743512" w:rsidRDefault="00CA3B1E" w:rsidP="002B7CC9">
            <w:pPr>
              <w:pStyle w:val="In-tableHeading"/>
              <w:jc w:val="center"/>
              <w:rPr>
                <w:lang w:val="en-AU"/>
              </w:rPr>
            </w:pPr>
            <w:r w:rsidRPr="00743512">
              <w:rPr>
                <w:lang w:val="en-AU"/>
              </w:rPr>
              <w:t>Olaparib</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EBE6C8" w14:textId="77777777" w:rsidR="00CA3B1E" w:rsidRPr="00743512" w:rsidRDefault="00CA3B1E" w:rsidP="002B7CC9">
            <w:pPr>
              <w:pStyle w:val="In-tableHeading"/>
              <w:jc w:val="center"/>
              <w:rPr>
                <w:lang w:val="en-AU"/>
              </w:rPr>
            </w:pPr>
            <w:r w:rsidRPr="00743512">
              <w:rPr>
                <w:lang w:val="en-AU"/>
              </w:rPr>
              <w:t>Placebo</w:t>
            </w:r>
          </w:p>
        </w:tc>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0156AE" w14:textId="77777777" w:rsidR="00CA3B1E" w:rsidRPr="00743512" w:rsidRDefault="00CA3B1E" w:rsidP="002B7CC9">
            <w:pPr>
              <w:keepNext/>
              <w:jc w:val="left"/>
              <w:rPr>
                <w:rFonts w:ascii="Arial Narrow" w:eastAsiaTheme="majorEastAsia" w:hAnsi="Arial Narrow" w:cs="Times New Roman"/>
                <w:b/>
                <w:sz w:val="20"/>
              </w:rPr>
            </w:pPr>
          </w:p>
        </w:tc>
      </w:tr>
      <w:tr w:rsidR="00CA3B1E" w:rsidRPr="00743512" w14:paraId="08374B86" w14:textId="77777777" w:rsidTr="004F5B47">
        <w:tc>
          <w:tcPr>
            <w:tcW w:w="0" w:type="auto"/>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DFE3E9" w14:textId="77777777" w:rsidR="00CA3B1E" w:rsidRPr="00743512" w:rsidRDefault="00CA3B1E" w:rsidP="002B7CC9">
            <w:pPr>
              <w:pStyle w:val="In-tableHeading"/>
              <w:jc w:val="both"/>
              <w:rPr>
                <w:lang w:val="en-AU"/>
              </w:rPr>
            </w:pPr>
            <w:r w:rsidRPr="00743512">
              <w:rPr>
                <w:lang w:val="en-AU"/>
              </w:rPr>
              <w:t>OlympiA</w:t>
            </w:r>
          </w:p>
        </w:tc>
      </w:tr>
      <w:tr w:rsidR="00CA3B1E" w:rsidRPr="00743512" w14:paraId="42BEC617" w14:textId="77777777" w:rsidTr="004F5B4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58FA0B" w14:textId="77777777" w:rsidR="00CA3B1E" w:rsidRPr="00743512" w:rsidRDefault="00CA3B1E" w:rsidP="002B7CC9">
            <w:pPr>
              <w:pStyle w:val="TableText0"/>
            </w:pPr>
            <w:r w:rsidRPr="00743512">
              <w:t>Any TEAE</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7D51D7" w14:textId="77777777" w:rsidR="00CA3B1E" w:rsidRPr="00743512" w:rsidRDefault="00CA3B1E" w:rsidP="002B7CC9">
            <w:pPr>
              <w:pStyle w:val="TableText0"/>
              <w:jc w:val="center"/>
            </w:pPr>
            <w:r w:rsidRPr="00743512">
              <w:t>736/911 (80.8)</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EB9506A" w14:textId="77777777" w:rsidR="00CA3B1E" w:rsidRPr="00743512" w:rsidRDefault="00CA3B1E" w:rsidP="002B7CC9">
            <w:pPr>
              <w:pStyle w:val="TableText0"/>
              <w:jc w:val="center"/>
            </w:pPr>
            <w:r w:rsidRPr="00743512">
              <w:t>480/904 (53.1)</w:t>
            </w:r>
          </w:p>
        </w:tc>
        <w:tc>
          <w:tcPr>
            <w:tcW w:w="8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4ECBE5" w14:textId="77777777" w:rsidR="00CA3B1E" w:rsidRPr="00743512" w:rsidRDefault="00CA3B1E" w:rsidP="002B7CC9">
            <w:pPr>
              <w:pStyle w:val="TableText0"/>
              <w:jc w:val="center"/>
              <w:rPr>
                <w:b/>
                <w:bCs w:val="0"/>
              </w:rPr>
            </w:pPr>
            <w:r w:rsidRPr="00743512">
              <w:rPr>
                <w:b/>
                <w:bCs w:val="0"/>
              </w:rPr>
              <w:t>1.52 (1.42, 1.63)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7F104C7" w14:textId="77777777" w:rsidR="00CA3B1E" w:rsidRPr="00743512" w:rsidRDefault="00CA3B1E" w:rsidP="002B7CC9">
            <w:pPr>
              <w:pStyle w:val="TableText0"/>
              <w:jc w:val="center"/>
            </w:pPr>
            <w:r w:rsidRPr="00743512">
              <w:t>81/100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4513868" w14:textId="77777777" w:rsidR="00CA3B1E" w:rsidRPr="00743512" w:rsidRDefault="00CA3B1E" w:rsidP="002B7CC9">
            <w:pPr>
              <w:pStyle w:val="TableText0"/>
              <w:jc w:val="center"/>
            </w:pPr>
            <w:r w:rsidRPr="00743512">
              <w:t>53/100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EDE032" w14:textId="77777777" w:rsidR="00CA3B1E" w:rsidRPr="00743512" w:rsidRDefault="00CA3B1E" w:rsidP="002B7CC9">
            <w:pPr>
              <w:pStyle w:val="TableText0"/>
              <w:jc w:val="center"/>
              <w:rPr>
                <w:b/>
                <w:bCs w:val="0"/>
              </w:rPr>
            </w:pPr>
            <w:r w:rsidRPr="00743512">
              <w:rPr>
                <w:b/>
                <w:bCs w:val="0"/>
              </w:rPr>
              <w:t>-27.7 (-31.83, -23.55,)</w:t>
            </w:r>
          </w:p>
        </w:tc>
      </w:tr>
      <w:tr w:rsidR="00CA3B1E" w:rsidRPr="00743512" w14:paraId="19DEC3F9" w14:textId="77777777" w:rsidTr="004F5B4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C237CC" w14:textId="2E194092" w:rsidR="00CA3B1E" w:rsidRPr="00743512" w:rsidRDefault="00CA3B1E" w:rsidP="002B7CC9">
            <w:pPr>
              <w:pStyle w:val="TableText0"/>
            </w:pPr>
            <w:r w:rsidRPr="00743512">
              <w:t>A</w:t>
            </w:r>
            <w:r w:rsidR="00202B17" w:rsidRPr="00743512">
              <w:t>E</w:t>
            </w:r>
            <w:r w:rsidRPr="00743512">
              <w:t xml:space="preserve">s grade </w:t>
            </w:r>
            <w:r w:rsidRPr="00743512">
              <w:rPr>
                <w:rFonts w:ascii="Symbol" w:eastAsia="Symbol" w:hAnsi="Symbol" w:cs="Symbol"/>
              </w:rPr>
              <w:t>³</w:t>
            </w:r>
            <w:r w:rsidRPr="00743512">
              <w:t>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E365F9" w14:textId="77777777" w:rsidR="00CA3B1E" w:rsidRPr="00743512" w:rsidRDefault="00CA3B1E" w:rsidP="002B7CC9">
            <w:pPr>
              <w:pStyle w:val="TableText0"/>
              <w:jc w:val="center"/>
            </w:pPr>
            <w:r w:rsidRPr="00743512">
              <w:t>223/911 (24.5)</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2CBEBA2" w14:textId="77777777" w:rsidR="00CA3B1E" w:rsidRPr="00743512" w:rsidRDefault="00CA3B1E" w:rsidP="002B7CC9">
            <w:pPr>
              <w:pStyle w:val="TableText0"/>
              <w:jc w:val="center"/>
            </w:pPr>
            <w:r w:rsidRPr="00743512">
              <w:t>102/904 (11.3)</w:t>
            </w:r>
          </w:p>
        </w:tc>
        <w:tc>
          <w:tcPr>
            <w:tcW w:w="8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1B6816" w14:textId="77777777" w:rsidR="00CA3B1E" w:rsidRPr="00743512" w:rsidRDefault="00CA3B1E" w:rsidP="002B7CC9">
            <w:pPr>
              <w:pStyle w:val="TableText0"/>
              <w:jc w:val="center"/>
              <w:rPr>
                <w:b/>
                <w:bCs w:val="0"/>
              </w:rPr>
            </w:pPr>
            <w:r w:rsidRPr="00743512">
              <w:rPr>
                <w:b/>
                <w:bCs w:val="0"/>
              </w:rPr>
              <w:t>2.17 (1.75, 2.69)</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A7503B6" w14:textId="77777777" w:rsidR="00CA3B1E" w:rsidRPr="00743512" w:rsidRDefault="00CA3B1E" w:rsidP="002B7CC9">
            <w:pPr>
              <w:pStyle w:val="TableText0"/>
              <w:jc w:val="center"/>
            </w:pPr>
            <w:r w:rsidRPr="00743512">
              <w:t>24/100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1C304A" w14:textId="77777777" w:rsidR="00CA3B1E" w:rsidRPr="00743512" w:rsidRDefault="00CA3B1E" w:rsidP="002B7CC9">
            <w:pPr>
              <w:pStyle w:val="TableText0"/>
              <w:jc w:val="center"/>
            </w:pPr>
            <w:r w:rsidRPr="00743512">
              <w:t>11/100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75522F" w14:textId="77777777" w:rsidR="00CA3B1E" w:rsidRPr="00743512" w:rsidRDefault="00CA3B1E" w:rsidP="002B7CC9">
            <w:pPr>
              <w:pStyle w:val="TableText0"/>
              <w:jc w:val="center"/>
              <w:rPr>
                <w:b/>
                <w:bCs w:val="0"/>
              </w:rPr>
            </w:pPr>
            <w:r w:rsidRPr="00743512">
              <w:rPr>
                <w:b/>
                <w:bCs w:val="0"/>
              </w:rPr>
              <w:t>-13.2 (-16.67, -9.72)</w:t>
            </w:r>
          </w:p>
        </w:tc>
      </w:tr>
      <w:tr w:rsidR="00CA3B1E" w:rsidRPr="00743512" w14:paraId="79FE72C6" w14:textId="77777777" w:rsidTr="004F5B4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10D458" w14:textId="77777777" w:rsidR="00CA3B1E" w:rsidRPr="00743512" w:rsidRDefault="00CA3B1E" w:rsidP="002B7CC9">
            <w:pPr>
              <w:pStyle w:val="TableText0"/>
            </w:pPr>
            <w:r w:rsidRPr="00743512">
              <w:t xml:space="preserve">Grade </w:t>
            </w:r>
            <w:r w:rsidRPr="00743512">
              <w:rPr>
                <w:rFonts w:ascii="Symbol" w:eastAsia="Symbol" w:hAnsi="Symbol" w:cs="Symbol"/>
              </w:rPr>
              <w:t>³</w:t>
            </w:r>
            <w:r w:rsidRPr="00743512">
              <w:t>3 Anaemia</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AAEDFE1" w14:textId="77777777" w:rsidR="00CA3B1E" w:rsidRPr="00743512" w:rsidRDefault="00CA3B1E" w:rsidP="002B7CC9">
            <w:pPr>
              <w:pStyle w:val="TableText0"/>
              <w:jc w:val="center"/>
            </w:pPr>
            <w:r w:rsidRPr="00743512">
              <w:t>79/911 (8.7%)</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CF7F27" w14:textId="77777777" w:rsidR="00CA3B1E" w:rsidRPr="00743512" w:rsidRDefault="00CA3B1E" w:rsidP="002B7CC9">
            <w:pPr>
              <w:pStyle w:val="TableText0"/>
              <w:jc w:val="center"/>
            </w:pPr>
            <w:r w:rsidRPr="00743512">
              <w:t>3/904 (0.3%)</w:t>
            </w:r>
          </w:p>
        </w:tc>
        <w:tc>
          <w:tcPr>
            <w:tcW w:w="82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4DA86C" w14:textId="77777777" w:rsidR="00CA3B1E" w:rsidRPr="00743512" w:rsidRDefault="00CA3B1E" w:rsidP="002B7CC9">
            <w:pPr>
              <w:pStyle w:val="TableText0"/>
              <w:jc w:val="center"/>
              <w:rPr>
                <w:b/>
                <w:bCs w:val="0"/>
              </w:rPr>
            </w:pPr>
            <w:r w:rsidRPr="00743512">
              <w:rPr>
                <w:b/>
                <w:bCs w:val="0"/>
              </w:rPr>
              <w:t>26.13 (8.28, 82.46)</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432C5A" w14:textId="77777777" w:rsidR="00CA3B1E" w:rsidRPr="00743512" w:rsidRDefault="00CA3B1E" w:rsidP="002B7CC9">
            <w:pPr>
              <w:pStyle w:val="TableText0"/>
              <w:jc w:val="center"/>
            </w:pPr>
            <w:r w:rsidRPr="00743512">
              <w:t>9/100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092881" w14:textId="77777777" w:rsidR="00CA3B1E" w:rsidRPr="00743512" w:rsidRDefault="00CA3B1E" w:rsidP="002B7CC9">
            <w:pPr>
              <w:pStyle w:val="TableText0"/>
              <w:jc w:val="center"/>
            </w:pPr>
            <w:r w:rsidRPr="00743512">
              <w:t>1/100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4638BFF" w14:textId="77777777" w:rsidR="00CA3B1E" w:rsidRPr="00743512" w:rsidRDefault="00CA3B1E" w:rsidP="002B7CC9">
            <w:pPr>
              <w:pStyle w:val="TableText0"/>
              <w:jc w:val="center"/>
              <w:rPr>
                <w:b/>
                <w:bCs w:val="0"/>
              </w:rPr>
            </w:pPr>
            <w:r w:rsidRPr="00743512">
              <w:rPr>
                <w:b/>
                <w:bCs w:val="0"/>
              </w:rPr>
              <w:t>-8.3 (-10.21, -6.47)</w:t>
            </w:r>
          </w:p>
        </w:tc>
      </w:tr>
      <w:tr w:rsidR="00CA3B1E" w:rsidRPr="00743512" w14:paraId="22D985A9" w14:textId="77777777" w:rsidTr="004F5B4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861E86" w14:textId="77777777" w:rsidR="00CA3B1E" w:rsidRPr="00743512" w:rsidRDefault="00CA3B1E" w:rsidP="002B7CC9">
            <w:pPr>
              <w:pStyle w:val="TableText0"/>
            </w:pPr>
            <w:r w:rsidRPr="00743512">
              <w:t xml:space="preserve">Grade </w:t>
            </w:r>
            <w:r w:rsidRPr="00743512">
              <w:rPr>
                <w:rFonts w:ascii="Symbol" w:eastAsia="Symbol" w:hAnsi="Symbol" w:cs="Symbol"/>
              </w:rPr>
              <w:t>³</w:t>
            </w:r>
            <w:r w:rsidRPr="00743512">
              <w:t>3 Neutrophil count decrease</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4DD99E" w14:textId="77777777" w:rsidR="00CA3B1E" w:rsidRPr="00743512" w:rsidRDefault="00CA3B1E" w:rsidP="002B7CC9">
            <w:pPr>
              <w:pStyle w:val="TableText0"/>
              <w:jc w:val="center"/>
            </w:pPr>
            <w:r w:rsidRPr="00743512">
              <w:t>45/911 (4.9%)</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A23B32" w14:textId="77777777" w:rsidR="00CA3B1E" w:rsidRPr="00743512" w:rsidRDefault="00CA3B1E" w:rsidP="002B7CC9">
            <w:pPr>
              <w:pStyle w:val="TableText0"/>
              <w:jc w:val="center"/>
            </w:pPr>
            <w:r w:rsidRPr="00743512">
              <w:t>7/904 (0.8%)</w:t>
            </w:r>
          </w:p>
        </w:tc>
        <w:tc>
          <w:tcPr>
            <w:tcW w:w="8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C5BADE" w14:textId="77777777" w:rsidR="00CA3B1E" w:rsidRPr="00743512" w:rsidRDefault="00CA3B1E" w:rsidP="002B7CC9">
            <w:pPr>
              <w:pStyle w:val="TableText0"/>
              <w:jc w:val="center"/>
              <w:rPr>
                <w:b/>
                <w:bCs w:val="0"/>
              </w:rPr>
            </w:pPr>
            <w:r w:rsidRPr="00743512">
              <w:rPr>
                <w:b/>
              </w:rPr>
              <w:t>6.38 (2.89, 14.07)</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9EA37C" w14:textId="77777777" w:rsidR="00CA3B1E" w:rsidRPr="00743512" w:rsidRDefault="00CA3B1E" w:rsidP="002B7CC9">
            <w:pPr>
              <w:pStyle w:val="TableText0"/>
              <w:jc w:val="center"/>
            </w:pPr>
            <w:r w:rsidRPr="00743512">
              <w:t>5/100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F2C37C" w14:textId="77777777" w:rsidR="00CA3B1E" w:rsidRPr="00743512" w:rsidRDefault="00CA3B1E" w:rsidP="002B7CC9">
            <w:pPr>
              <w:pStyle w:val="TableText0"/>
              <w:jc w:val="center"/>
            </w:pPr>
            <w:r w:rsidRPr="00743512">
              <w:t>1/100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423434" w14:textId="77777777" w:rsidR="00CA3B1E" w:rsidRPr="00743512" w:rsidRDefault="00CA3B1E" w:rsidP="002B7CC9">
            <w:pPr>
              <w:pStyle w:val="TableText0"/>
              <w:jc w:val="center"/>
              <w:rPr>
                <w:b/>
                <w:bCs w:val="0"/>
              </w:rPr>
            </w:pPr>
            <w:r w:rsidRPr="00743512">
              <w:rPr>
                <w:b/>
                <w:bCs w:val="0"/>
              </w:rPr>
              <w:t>-4.1 (-5.68, -2.65)</w:t>
            </w:r>
          </w:p>
        </w:tc>
      </w:tr>
      <w:tr w:rsidR="00CA3B1E" w:rsidRPr="00743512" w14:paraId="2B59BC52" w14:textId="77777777" w:rsidTr="004F5B4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E964E9" w14:textId="3441DDFF" w:rsidR="00CA3B1E" w:rsidRPr="00743512" w:rsidRDefault="00CA3B1E" w:rsidP="002B7CC9">
            <w:pPr>
              <w:pStyle w:val="TableText0"/>
            </w:pPr>
            <w:r w:rsidRPr="00743512">
              <w:t>A</w:t>
            </w:r>
            <w:r w:rsidR="00202B17" w:rsidRPr="00743512">
              <w:t>E</w:t>
            </w:r>
            <w:r w:rsidRPr="00743512">
              <w:t>s leading to drug discontinuation</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D1012E" w14:textId="77777777" w:rsidR="00CA3B1E" w:rsidRPr="00743512" w:rsidRDefault="00CA3B1E" w:rsidP="002B7CC9">
            <w:pPr>
              <w:pStyle w:val="TableText0"/>
              <w:jc w:val="center"/>
            </w:pPr>
            <w:r w:rsidRPr="00743512">
              <w:t>98/911 (10.8)</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2726F0" w14:textId="77777777" w:rsidR="00CA3B1E" w:rsidRPr="00743512" w:rsidRDefault="00CA3B1E" w:rsidP="002B7CC9">
            <w:pPr>
              <w:pStyle w:val="TableText0"/>
              <w:jc w:val="center"/>
            </w:pPr>
            <w:r w:rsidRPr="00743512">
              <w:t>42/904 (4.6)</w:t>
            </w:r>
          </w:p>
        </w:tc>
        <w:tc>
          <w:tcPr>
            <w:tcW w:w="8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0DAE3E" w14:textId="77777777" w:rsidR="00CA3B1E" w:rsidRPr="00743512" w:rsidRDefault="00CA3B1E" w:rsidP="002B7CC9">
            <w:pPr>
              <w:pStyle w:val="TableText0"/>
              <w:jc w:val="center"/>
              <w:rPr>
                <w:b/>
                <w:bCs w:val="0"/>
              </w:rPr>
            </w:pPr>
            <w:r w:rsidRPr="00743512">
              <w:rPr>
                <w:b/>
                <w:bCs w:val="0"/>
              </w:rPr>
              <w:t>2.32 (1.63, 3.28)</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2E226F6" w14:textId="77777777" w:rsidR="00CA3B1E" w:rsidRPr="00743512" w:rsidRDefault="00CA3B1E" w:rsidP="002B7CC9">
            <w:pPr>
              <w:pStyle w:val="TableText0"/>
              <w:jc w:val="center"/>
            </w:pPr>
            <w:r w:rsidRPr="00743512">
              <w:t>11/100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FD8C2D" w14:textId="77777777" w:rsidR="00CA3B1E" w:rsidRPr="00743512" w:rsidRDefault="00CA3B1E" w:rsidP="002B7CC9">
            <w:pPr>
              <w:pStyle w:val="TableText0"/>
              <w:jc w:val="center"/>
            </w:pPr>
            <w:r w:rsidRPr="00743512">
              <w:t>5/100</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F767E7" w14:textId="77777777" w:rsidR="00CA3B1E" w:rsidRPr="00743512" w:rsidRDefault="00CA3B1E" w:rsidP="002B7CC9">
            <w:pPr>
              <w:pStyle w:val="TableText0"/>
              <w:jc w:val="center"/>
              <w:rPr>
                <w:b/>
                <w:bCs w:val="0"/>
              </w:rPr>
            </w:pPr>
            <w:r w:rsidRPr="00743512">
              <w:rPr>
                <w:b/>
                <w:bCs w:val="0"/>
              </w:rPr>
              <w:t>-6.1 (-8.55, -3.68)</w:t>
            </w:r>
          </w:p>
        </w:tc>
      </w:tr>
    </w:tbl>
    <w:p w14:paraId="2C9A607E" w14:textId="06733951" w:rsidR="00CA3B1E" w:rsidRPr="00743512" w:rsidRDefault="00CA3B1E" w:rsidP="00CA3B1E">
      <w:pPr>
        <w:pStyle w:val="FooterTableFigure"/>
        <w:rPr>
          <w:sz w:val="20"/>
        </w:rPr>
      </w:pPr>
      <w:r w:rsidRPr="00743512">
        <w:t xml:space="preserve">Source: Table 2.18, p72, table 2.19, p73, and table 2.20, p75, Table 2.25, p81 of the </w:t>
      </w:r>
      <w:r w:rsidR="00533F42" w:rsidRPr="00743512">
        <w:t>re</w:t>
      </w:r>
      <w:r w:rsidRPr="00743512">
        <w:t>submission. Table 14.3.2.18, p323 of the OlympiA trial CSR tfls part C</w:t>
      </w:r>
    </w:p>
    <w:p w14:paraId="39749F49" w14:textId="66D6B4DD" w:rsidR="00CA3B1E" w:rsidRPr="00743512" w:rsidRDefault="00CA3B1E" w:rsidP="00CA3B1E">
      <w:pPr>
        <w:pStyle w:val="FooterTableFigure"/>
        <w:rPr>
          <w:rFonts w:eastAsia="Calibri"/>
        </w:rPr>
      </w:pPr>
      <w:r w:rsidRPr="00743512">
        <w:t xml:space="preserve">AE = adverse event, </w:t>
      </w:r>
      <w:r w:rsidR="00210904" w:rsidRPr="00743512">
        <w:t xml:space="preserve">CSR = clinical study report; </w:t>
      </w:r>
      <w:r w:rsidRPr="00743512">
        <w:rPr>
          <w:rFonts w:eastAsia="Calibri"/>
        </w:rPr>
        <w:t xml:space="preserve">CTCAE = common terminology criteria for adverse events, CI = confidence interval, DDFS = distant disease-free survival, IDFS = invasive disease-free survival, n = number of participants with event, N = total participants in group, OS = overall survival, RD = risk difference, RR = relative risk. </w:t>
      </w:r>
    </w:p>
    <w:p w14:paraId="4A0F815F" w14:textId="77777777" w:rsidR="00CA3B1E" w:rsidRPr="00743512" w:rsidRDefault="00CA3B1E" w:rsidP="00CA3B1E">
      <w:pPr>
        <w:pStyle w:val="FooterTableFigure"/>
        <w:rPr>
          <w:rFonts w:eastAsia="Calibri"/>
        </w:rPr>
      </w:pPr>
      <w:r w:rsidRPr="00743512">
        <w:rPr>
          <w:rFonts w:eastAsia="Calibri"/>
          <w:b/>
          <w:bCs/>
        </w:rPr>
        <w:t>Bold</w:t>
      </w:r>
      <w:r w:rsidRPr="00743512">
        <w:rPr>
          <w:rFonts w:eastAsia="Calibri"/>
        </w:rPr>
        <w:t xml:space="preserve"> = statistically significant.</w:t>
      </w:r>
    </w:p>
    <w:p w14:paraId="4F09479A" w14:textId="1B517633" w:rsidR="00CA3B1E" w:rsidRPr="00743512" w:rsidRDefault="00CA3B1E" w:rsidP="00CA3B1E">
      <w:pPr>
        <w:pStyle w:val="FooterTableFigure"/>
        <w:rPr>
          <w:rFonts w:eastAsia="Calibri"/>
        </w:rPr>
      </w:pPr>
      <w:r w:rsidRPr="00743512">
        <w:rPr>
          <w:rFonts w:eastAsia="Calibri"/>
        </w:rPr>
        <w:t>* Table 12, p21 olaparib PSD, March 2023 PBAC meeting.</w:t>
      </w:r>
    </w:p>
    <w:p w14:paraId="320CBDF5" w14:textId="77777777" w:rsidR="00CA3B1E" w:rsidRPr="00743512" w:rsidRDefault="00CA3B1E" w:rsidP="00CA3B1E">
      <w:pPr>
        <w:pStyle w:val="FooterTableFigure"/>
        <w:rPr>
          <w:bCs/>
          <w:szCs w:val="18"/>
        </w:rPr>
      </w:pPr>
      <w:r w:rsidRPr="00743512">
        <w:rPr>
          <w:rStyle w:val="CommentReference"/>
          <w:b w:val="0"/>
          <w:bCs/>
          <w:sz w:val="18"/>
          <w:szCs w:val="18"/>
          <w:shd w:val="clear" w:color="auto" w:fill="B8CCE4" w:themeFill="accent1" w:themeFillTint="66"/>
        </w:rPr>
        <w:t>Blue shading</w:t>
      </w:r>
      <w:r w:rsidRPr="00743512">
        <w:rPr>
          <w:rStyle w:val="CommentReference"/>
          <w:b w:val="0"/>
          <w:bCs/>
          <w:sz w:val="18"/>
          <w:szCs w:val="18"/>
        </w:rPr>
        <w:t xml:space="preserve"> indicates data previously seen by the PBAC. </w:t>
      </w:r>
    </w:p>
    <w:p w14:paraId="2DE01FC5" w14:textId="77777777" w:rsidR="00CA3B1E" w:rsidRPr="00743512" w:rsidRDefault="00CA3B1E" w:rsidP="00CA3B1E">
      <w:pPr>
        <w:pStyle w:val="FooterTableFigure"/>
        <w:rPr>
          <w:rFonts w:eastAsia="Calibri"/>
        </w:rPr>
      </w:pPr>
    </w:p>
    <w:p w14:paraId="0A2F9226" w14:textId="1F810985" w:rsidR="00CA3B1E" w:rsidRPr="00743512" w:rsidRDefault="00CA3B1E" w:rsidP="001074C6">
      <w:pPr>
        <w:pStyle w:val="3-BodyText"/>
        <w:numPr>
          <w:ilvl w:val="1"/>
          <w:numId w:val="9"/>
        </w:numPr>
        <w:snapToGrid w:val="0"/>
      </w:pPr>
      <w:r w:rsidRPr="00743512">
        <w:t xml:space="preserve">Based on the direct evidence presented in the </w:t>
      </w:r>
      <w:r w:rsidR="00533F42" w:rsidRPr="00743512">
        <w:t>re</w:t>
      </w:r>
      <w:r w:rsidRPr="00743512">
        <w:t>submission, for every 100 patients treated with olaparib in comparison with placebo over a median duration of follow-up of 3.5 years:</w:t>
      </w:r>
    </w:p>
    <w:p w14:paraId="5E067D84" w14:textId="1FF9FD8C" w:rsidR="00CA3B1E" w:rsidRPr="00743512" w:rsidRDefault="00CA3B1E" w:rsidP="001074C6">
      <w:pPr>
        <w:pStyle w:val="ListParagraph"/>
        <w:numPr>
          <w:ilvl w:val="0"/>
          <w:numId w:val="20"/>
        </w:numPr>
        <w:snapToGrid w:val="0"/>
        <w:spacing w:after="40"/>
        <w:ind w:left="1080"/>
      </w:pPr>
      <w:r w:rsidRPr="00743512">
        <w:t xml:space="preserve">Approximately </w:t>
      </w:r>
      <w:r w:rsidR="00801DCA" w:rsidRPr="00743512">
        <w:t xml:space="preserve">7 </w:t>
      </w:r>
      <w:r w:rsidRPr="00743512">
        <w:t>additional patients would remain invasive disease free</w:t>
      </w:r>
      <w:r w:rsidR="00801DCA" w:rsidRPr="00743512">
        <w:t xml:space="preserve"> at Year 4</w:t>
      </w:r>
      <w:r w:rsidRPr="00743512">
        <w:t>.</w:t>
      </w:r>
    </w:p>
    <w:p w14:paraId="3A0A1642" w14:textId="51F71FD1" w:rsidR="00CA3B1E" w:rsidRPr="00743512" w:rsidRDefault="00CA3B1E" w:rsidP="001074C6">
      <w:pPr>
        <w:pStyle w:val="ListParagraph"/>
        <w:numPr>
          <w:ilvl w:val="0"/>
          <w:numId w:val="20"/>
        </w:numPr>
        <w:snapToGrid w:val="0"/>
        <w:spacing w:after="40"/>
        <w:ind w:left="1080"/>
      </w:pPr>
      <w:r w:rsidRPr="00743512">
        <w:t xml:space="preserve">Approximately </w:t>
      </w:r>
      <w:r w:rsidR="00801DCA" w:rsidRPr="00743512">
        <w:t>3</w:t>
      </w:r>
      <w:r w:rsidRPr="00743512">
        <w:t xml:space="preserve"> fewer patients would die</w:t>
      </w:r>
      <w:r w:rsidR="00801DCA" w:rsidRPr="00743512">
        <w:t xml:space="preserve"> at Year 4</w:t>
      </w:r>
      <w:r w:rsidRPr="00743512">
        <w:t>.</w:t>
      </w:r>
    </w:p>
    <w:p w14:paraId="16BF374A" w14:textId="7C55F8C4" w:rsidR="00A92AFC" w:rsidRPr="00743512" w:rsidRDefault="00A92AFC" w:rsidP="001074C6">
      <w:pPr>
        <w:pStyle w:val="ListParagraph"/>
        <w:numPr>
          <w:ilvl w:val="0"/>
          <w:numId w:val="20"/>
        </w:numPr>
        <w:spacing w:after="40"/>
        <w:ind w:left="1080"/>
      </w:pPr>
      <w:r w:rsidRPr="00743512">
        <w:t>Approximately 7 additional patients would remain free of distant recurrence</w:t>
      </w:r>
      <w:r w:rsidR="00801DCA" w:rsidRPr="00743512">
        <w:t xml:space="preserve"> at Year 4</w:t>
      </w:r>
      <w:r w:rsidRPr="00743512">
        <w:t>.</w:t>
      </w:r>
    </w:p>
    <w:p w14:paraId="3004ABA2" w14:textId="77777777" w:rsidR="00CA3B1E" w:rsidRPr="00743512" w:rsidRDefault="00CA3B1E" w:rsidP="001074C6">
      <w:pPr>
        <w:pStyle w:val="ListParagraph"/>
        <w:numPr>
          <w:ilvl w:val="0"/>
          <w:numId w:val="20"/>
        </w:numPr>
        <w:snapToGrid w:val="0"/>
        <w:spacing w:after="40"/>
        <w:ind w:left="1080"/>
      </w:pPr>
      <w:r w:rsidRPr="00743512">
        <w:t>Approximately 8 additional patients would experience grade 3 or higher anaemia.</w:t>
      </w:r>
    </w:p>
    <w:p w14:paraId="089C3F1A" w14:textId="77777777" w:rsidR="00A92AFC" w:rsidRPr="00743512" w:rsidRDefault="00CA3B1E" w:rsidP="001074C6">
      <w:pPr>
        <w:pStyle w:val="ListParagraph"/>
        <w:numPr>
          <w:ilvl w:val="0"/>
          <w:numId w:val="20"/>
        </w:numPr>
        <w:snapToGrid w:val="0"/>
        <w:spacing w:after="40"/>
        <w:ind w:left="1080"/>
      </w:pPr>
      <w:r w:rsidRPr="00743512">
        <w:t>Approximately 4 additional patients would experience a grade 3 or higher neutrophil count decrease.</w:t>
      </w:r>
    </w:p>
    <w:p w14:paraId="3E392E88" w14:textId="02D78C14" w:rsidR="00CA3B1E" w:rsidRPr="00743512" w:rsidRDefault="00A92AFC" w:rsidP="001074C6">
      <w:pPr>
        <w:pStyle w:val="ListParagraph"/>
        <w:numPr>
          <w:ilvl w:val="0"/>
          <w:numId w:val="20"/>
        </w:numPr>
        <w:snapToGrid w:val="0"/>
        <w:spacing w:after="40"/>
        <w:ind w:left="1080"/>
      </w:pPr>
      <w:r w:rsidRPr="00743512">
        <w:t>Approximately 1 to 2 patients may develop olaparib related myelodysplastic syndrome/acute myeloid leukaemia over the long term.</w:t>
      </w:r>
      <w:r w:rsidR="00CA3B1E" w:rsidRPr="00743512">
        <w:t xml:space="preserve"> </w:t>
      </w:r>
    </w:p>
    <w:p w14:paraId="32BAF897" w14:textId="77777777" w:rsidR="00CA3B1E" w:rsidRPr="00743512" w:rsidRDefault="00CA3B1E" w:rsidP="00CA3B1E">
      <w:pPr>
        <w:pStyle w:val="4-SubsectionHeading"/>
        <w:rPr>
          <w:iCs/>
        </w:rPr>
      </w:pPr>
      <w:bookmarkStart w:id="57" w:name="_Toc22897644"/>
      <w:bookmarkStart w:id="58" w:name="_Toc124883284"/>
      <w:bookmarkStart w:id="59" w:name="_Toc145501123"/>
      <w:r w:rsidRPr="00743512">
        <w:rPr>
          <w:iCs/>
        </w:rPr>
        <w:t>Clinical claim</w:t>
      </w:r>
      <w:bookmarkEnd w:id="57"/>
      <w:bookmarkEnd w:id="58"/>
      <w:bookmarkEnd w:id="59"/>
    </w:p>
    <w:p w14:paraId="49DF82E2" w14:textId="656DCC7D" w:rsidR="00CA3B1E" w:rsidRPr="00743512" w:rsidRDefault="00CA3B1E" w:rsidP="001074C6">
      <w:pPr>
        <w:pStyle w:val="3-BodyText"/>
        <w:numPr>
          <w:ilvl w:val="1"/>
          <w:numId w:val="9"/>
        </w:numPr>
        <w:snapToGrid w:val="0"/>
        <w:rPr>
          <w:rFonts w:eastAsia="Calibri"/>
        </w:rPr>
      </w:pPr>
      <w:r w:rsidRPr="00743512">
        <w:t xml:space="preserve">The </w:t>
      </w:r>
      <w:r w:rsidR="00206283" w:rsidRPr="00743512">
        <w:t>re</w:t>
      </w:r>
      <w:r w:rsidRPr="00743512">
        <w:t>submission described olaparib as superior in terms of effectiveness compared with placebo and inferior, but manageable, in terms of safety compared to placebo.</w:t>
      </w:r>
    </w:p>
    <w:p w14:paraId="1EAD03A0" w14:textId="36CFEE40" w:rsidR="00CA3B1E" w:rsidRPr="00743512" w:rsidRDefault="00CA3B1E" w:rsidP="001074C6">
      <w:pPr>
        <w:pStyle w:val="3-BodyText"/>
        <w:numPr>
          <w:ilvl w:val="1"/>
          <w:numId w:val="9"/>
        </w:numPr>
        <w:snapToGrid w:val="0"/>
        <w:rPr>
          <w:rFonts w:eastAsia="Calibri"/>
        </w:rPr>
      </w:pPr>
      <w:r w:rsidRPr="00743512">
        <w:rPr>
          <w:rFonts w:eastAsia="Calibri"/>
        </w:rPr>
        <w:t>The previous submission made the claim of superior effectiveness for olaparib over placebo in patients with HER2- high-risk eBC with a confirmed g</w:t>
      </w:r>
      <w:r w:rsidR="00CD50D4" w:rsidRPr="00743512">
        <w:rPr>
          <w:rFonts w:eastAsia="Calibri"/>
          <w:i/>
        </w:rPr>
        <w:t>BRCA1</w:t>
      </w:r>
      <w:r w:rsidRPr="00743512">
        <w:rPr>
          <w:rFonts w:eastAsia="Calibri"/>
        </w:rPr>
        <w:t xml:space="preserve"> or g</w:t>
      </w:r>
      <w:r w:rsidR="00CD50D4" w:rsidRPr="00743512">
        <w:rPr>
          <w:rFonts w:eastAsia="Calibri"/>
          <w:i/>
        </w:rPr>
        <w:t>BRCA2</w:t>
      </w:r>
      <w:r w:rsidRPr="00743512">
        <w:rPr>
          <w:rFonts w:eastAsia="Calibri"/>
        </w:rPr>
        <w:t xml:space="preserve"> mutation in patients who have previously been treated with neoadjuvant or adjuvant chemotherapy. The data presented in the resubmission </w:t>
      </w:r>
      <w:r w:rsidR="00836DF6" w:rsidRPr="00743512">
        <w:rPr>
          <w:rFonts w:eastAsia="Calibri"/>
        </w:rPr>
        <w:t xml:space="preserve">have </w:t>
      </w:r>
      <w:r w:rsidRPr="00743512">
        <w:rPr>
          <w:rFonts w:eastAsia="Calibri"/>
        </w:rPr>
        <w:t>not changed since the previous submission and remain immature. The PBAC considered that a claim of superior efficacy was supported for olaparib compared with placebo, based on immature IDFS data (para 7.6, olaparib PSD, March 2023).</w:t>
      </w:r>
    </w:p>
    <w:p w14:paraId="63FEC477" w14:textId="67370BFD" w:rsidR="00B25543" w:rsidRPr="00743512" w:rsidRDefault="00CA3B1E" w:rsidP="001074C6">
      <w:pPr>
        <w:pStyle w:val="3-BodyText"/>
        <w:numPr>
          <w:ilvl w:val="1"/>
          <w:numId w:val="9"/>
        </w:numPr>
        <w:snapToGrid w:val="0"/>
        <w:rPr>
          <w:rFonts w:eastAsia="Calibri"/>
        </w:rPr>
      </w:pPr>
      <w:r w:rsidRPr="00743512">
        <w:rPr>
          <w:rFonts w:eastAsia="Calibri"/>
        </w:rPr>
        <w:t>The previous submission made a claim of non-inferior safety. The PBAC disagreed with this claim and considered that olaparib had inferior safety in comparison with placebo (para 7.7, olaparib PSD. March 2023). Accordingly, the resubmission updated the safety claim to one of inferior, but manageable safety for olaparib compared with placebo. Th</w:t>
      </w:r>
      <w:r w:rsidR="00832A5A" w:rsidRPr="00743512">
        <w:rPr>
          <w:rFonts w:eastAsia="Calibri"/>
        </w:rPr>
        <w:t>e evaluators considered th</w:t>
      </w:r>
      <w:r w:rsidRPr="00743512">
        <w:rPr>
          <w:rFonts w:eastAsia="Calibri"/>
        </w:rPr>
        <w:t>is claim was supported by the presented evidence</w:t>
      </w:r>
      <w:r w:rsidR="00C32377" w:rsidRPr="00743512">
        <w:rPr>
          <w:rFonts w:eastAsia="Calibri"/>
        </w:rPr>
        <w:t>.</w:t>
      </w:r>
    </w:p>
    <w:p w14:paraId="63A19B64" w14:textId="0D1ADE4D" w:rsidR="001074C6" w:rsidRPr="00F32823" w:rsidRDefault="009073FA" w:rsidP="00F32823">
      <w:pPr>
        <w:pStyle w:val="3-BodyText"/>
        <w:numPr>
          <w:ilvl w:val="1"/>
          <w:numId w:val="9"/>
        </w:numPr>
        <w:snapToGrid w:val="0"/>
        <w:rPr>
          <w:rFonts w:eastAsia="Calibri"/>
        </w:rPr>
      </w:pPr>
      <w:r w:rsidRPr="00743512">
        <w:t xml:space="preserve">The </w:t>
      </w:r>
      <w:r w:rsidR="00F4781C" w:rsidRPr="00743512">
        <w:t xml:space="preserve">PBAC agreed with </w:t>
      </w:r>
      <w:r w:rsidRPr="00743512">
        <w:t>ESC that the resubmission’s claim that in comparison with placebo, olaparib was superior in terms of effectiveness and inferior, but manageable, in terms of safety was reasonable</w:t>
      </w:r>
      <w:r w:rsidR="00157B92" w:rsidRPr="00743512">
        <w:t xml:space="preserve">. </w:t>
      </w:r>
      <w:r w:rsidRPr="00743512">
        <w:t>The ESC noted that the resubmission did not provide any further clinical data for IDFS and OS endpoints and previously noted concerns regarding immature data were unchanged.</w:t>
      </w:r>
    </w:p>
    <w:p w14:paraId="40375EE0" w14:textId="77777777" w:rsidR="00B60939" w:rsidRPr="00743512" w:rsidRDefault="00B60939" w:rsidP="00E9094A">
      <w:pPr>
        <w:pStyle w:val="4-SubsectionHeading"/>
        <w:rPr>
          <w:iCs/>
        </w:rPr>
      </w:pPr>
      <w:bookmarkStart w:id="60" w:name="_Toc145501124"/>
      <w:r w:rsidRPr="00743512">
        <w:rPr>
          <w:iCs/>
        </w:rPr>
        <w:t>Economic analysis</w:t>
      </w:r>
      <w:bookmarkEnd w:id="3"/>
      <w:bookmarkEnd w:id="60"/>
      <w:r w:rsidR="00491B3A" w:rsidRPr="00743512">
        <w:rPr>
          <w:iCs/>
        </w:rPr>
        <w:t xml:space="preserve"> </w:t>
      </w:r>
    </w:p>
    <w:p w14:paraId="2AA93CFF" w14:textId="5F17F677" w:rsidR="00BF3070" w:rsidRPr="00743512" w:rsidRDefault="00BF3070" w:rsidP="00BF3070">
      <w:pPr>
        <w:pStyle w:val="3-BodyText"/>
      </w:pPr>
      <w:bookmarkStart w:id="61" w:name="_Toc22897646"/>
      <w:r w:rsidRPr="00743512">
        <w:t xml:space="preserve">The resubmission presented a stepped economic evaluation which remained based on the direct randomised trial OlympiA. The key components of the economic evaluation are presented in </w:t>
      </w:r>
      <w:r w:rsidRPr="00743512">
        <w:fldChar w:fldCharType="begin"/>
      </w:r>
      <w:r w:rsidRPr="00743512">
        <w:instrText xml:space="preserve"> REF _Ref143794854 \h  \* MERGEFORMAT </w:instrText>
      </w:r>
      <w:r w:rsidRPr="00743512">
        <w:fldChar w:fldCharType="separate"/>
      </w:r>
      <w:r w:rsidR="00D2565D" w:rsidRPr="00743512">
        <w:t xml:space="preserve">Table </w:t>
      </w:r>
      <w:r w:rsidR="00D2565D" w:rsidRPr="00D2565D">
        <w:t>10</w:t>
      </w:r>
      <w:r w:rsidRPr="00743512">
        <w:fldChar w:fldCharType="end"/>
      </w:r>
      <w:r w:rsidRPr="00743512">
        <w:t xml:space="preserve">. </w:t>
      </w:r>
    </w:p>
    <w:p w14:paraId="3995CD7E" w14:textId="710C6686" w:rsidR="00BF3070" w:rsidRPr="00743512" w:rsidRDefault="00BF3070" w:rsidP="00EE69DF">
      <w:pPr>
        <w:pStyle w:val="Caption"/>
        <w:rPr>
          <w:bCs w:val="0"/>
        </w:rPr>
      </w:pPr>
      <w:bookmarkStart w:id="62" w:name="_Ref143794854"/>
      <w:r w:rsidRPr="00743512">
        <w:rPr>
          <w:bCs w:val="0"/>
        </w:rPr>
        <w:t xml:space="preserve">Table </w:t>
      </w:r>
      <w:r w:rsidRPr="00743512">
        <w:rPr>
          <w:bCs w:val="0"/>
        </w:rPr>
        <w:fldChar w:fldCharType="begin"/>
      </w:r>
      <w:r w:rsidRPr="00743512">
        <w:rPr>
          <w:bCs w:val="0"/>
        </w:rPr>
        <w:instrText xml:space="preserve"> SEQ Table \* ARABIC </w:instrText>
      </w:r>
      <w:r w:rsidRPr="00743512">
        <w:rPr>
          <w:bCs w:val="0"/>
        </w:rPr>
        <w:fldChar w:fldCharType="separate"/>
      </w:r>
      <w:r w:rsidR="00D2565D">
        <w:rPr>
          <w:bCs w:val="0"/>
          <w:noProof/>
        </w:rPr>
        <w:t>10</w:t>
      </w:r>
      <w:r w:rsidRPr="00743512">
        <w:rPr>
          <w:bCs w:val="0"/>
        </w:rPr>
        <w:fldChar w:fldCharType="end"/>
      </w:r>
      <w:bookmarkEnd w:id="62"/>
      <w:r w:rsidRPr="00743512">
        <w:rPr>
          <w:bCs w:val="0"/>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0: Summary of model structure, key inputs and rationale"/>
      </w:tblPr>
      <w:tblGrid>
        <w:gridCol w:w="1414"/>
        <w:gridCol w:w="7603"/>
      </w:tblGrid>
      <w:tr w:rsidR="00BF3070" w:rsidRPr="00743512" w14:paraId="6749316D" w14:textId="77777777" w:rsidTr="004F5B47">
        <w:trPr>
          <w:cantSplit/>
        </w:trPr>
        <w:tc>
          <w:tcPr>
            <w:tcW w:w="784" w:type="pct"/>
            <w:vAlign w:val="center"/>
          </w:tcPr>
          <w:p w14:paraId="42F91FDC" w14:textId="77777777" w:rsidR="00BF3070" w:rsidRPr="00743512" w:rsidRDefault="00BF3070" w:rsidP="00EE69DF">
            <w:pPr>
              <w:pStyle w:val="In-tableHeading"/>
              <w:jc w:val="center"/>
              <w:rPr>
                <w:lang w:val="en-AU"/>
              </w:rPr>
            </w:pPr>
            <w:r w:rsidRPr="00743512">
              <w:rPr>
                <w:lang w:val="en-AU"/>
              </w:rPr>
              <w:t>Component</w:t>
            </w:r>
          </w:p>
        </w:tc>
        <w:tc>
          <w:tcPr>
            <w:tcW w:w="4216" w:type="pct"/>
            <w:tcBorders>
              <w:bottom w:val="single" w:sz="4" w:space="0" w:color="auto"/>
            </w:tcBorders>
          </w:tcPr>
          <w:p w14:paraId="6A480087" w14:textId="77777777" w:rsidR="00BF3070" w:rsidRPr="00743512" w:rsidRDefault="00BF3070" w:rsidP="00EE69DF">
            <w:pPr>
              <w:pStyle w:val="In-tableHeading"/>
              <w:rPr>
                <w:lang w:val="en-AU"/>
              </w:rPr>
            </w:pPr>
            <w:r w:rsidRPr="00743512">
              <w:rPr>
                <w:lang w:val="en-AU"/>
              </w:rPr>
              <w:t>Summary</w:t>
            </w:r>
          </w:p>
        </w:tc>
      </w:tr>
      <w:tr w:rsidR="00BF3070" w:rsidRPr="00743512" w14:paraId="29C4916B" w14:textId="77777777" w:rsidTr="004F5B47">
        <w:trPr>
          <w:cantSplit/>
        </w:trPr>
        <w:tc>
          <w:tcPr>
            <w:tcW w:w="784" w:type="pct"/>
            <w:vAlign w:val="center"/>
          </w:tcPr>
          <w:p w14:paraId="7DFA227F" w14:textId="77777777" w:rsidR="00BF3070" w:rsidRPr="00743512" w:rsidRDefault="00BF3070" w:rsidP="00EE69DF">
            <w:pPr>
              <w:pStyle w:val="TableText0"/>
            </w:pPr>
            <w:r w:rsidRPr="00743512">
              <w:t>Treatments</w:t>
            </w:r>
          </w:p>
        </w:tc>
        <w:tc>
          <w:tcPr>
            <w:tcW w:w="4216" w:type="pct"/>
            <w:shd w:val="clear" w:color="auto" w:fill="C6D9F1" w:themeFill="text2" w:themeFillTint="33"/>
          </w:tcPr>
          <w:p w14:paraId="000A64AB" w14:textId="77777777" w:rsidR="00BF3070" w:rsidRPr="00743512" w:rsidRDefault="00BF3070" w:rsidP="00EE69DF">
            <w:pPr>
              <w:pStyle w:val="TableText0"/>
            </w:pPr>
            <w:r w:rsidRPr="00743512">
              <w:t xml:space="preserve">Adjuvant olaparib vs. placebo (no treatment). </w:t>
            </w:r>
          </w:p>
        </w:tc>
      </w:tr>
      <w:tr w:rsidR="00BF3070" w:rsidRPr="00743512" w14:paraId="4ADD761B" w14:textId="77777777" w:rsidTr="004F5B47">
        <w:trPr>
          <w:cantSplit/>
        </w:trPr>
        <w:tc>
          <w:tcPr>
            <w:tcW w:w="784" w:type="pct"/>
            <w:vAlign w:val="center"/>
          </w:tcPr>
          <w:p w14:paraId="750B9088" w14:textId="77777777" w:rsidR="00BF3070" w:rsidRPr="00743512" w:rsidRDefault="00BF3070" w:rsidP="00EE69DF">
            <w:pPr>
              <w:pStyle w:val="TableText0"/>
            </w:pPr>
            <w:r w:rsidRPr="00743512">
              <w:t>Type of analysis</w:t>
            </w:r>
          </w:p>
        </w:tc>
        <w:tc>
          <w:tcPr>
            <w:tcW w:w="4216" w:type="pct"/>
            <w:shd w:val="clear" w:color="auto" w:fill="C6D9F1" w:themeFill="text2" w:themeFillTint="33"/>
          </w:tcPr>
          <w:p w14:paraId="57B4B701" w14:textId="77777777" w:rsidR="00BF3070" w:rsidRPr="00743512" w:rsidRDefault="00BF3070" w:rsidP="00EE69DF">
            <w:pPr>
              <w:pStyle w:val="TableText0"/>
            </w:pPr>
            <w:r w:rsidRPr="00743512">
              <w:t>Cost-effectiveness analysis and cost-utility analysis</w:t>
            </w:r>
          </w:p>
        </w:tc>
      </w:tr>
      <w:tr w:rsidR="00BF3070" w:rsidRPr="00743512" w14:paraId="7057F5D3" w14:textId="77777777" w:rsidTr="004F5B47">
        <w:trPr>
          <w:cantSplit/>
          <w:trHeight w:val="44"/>
        </w:trPr>
        <w:tc>
          <w:tcPr>
            <w:tcW w:w="784" w:type="pct"/>
            <w:vAlign w:val="center"/>
          </w:tcPr>
          <w:p w14:paraId="2D08D45C" w14:textId="77777777" w:rsidR="00BF3070" w:rsidRPr="00743512" w:rsidRDefault="00BF3070" w:rsidP="00EE69DF">
            <w:pPr>
              <w:pStyle w:val="TableText0"/>
            </w:pPr>
            <w:r w:rsidRPr="00743512">
              <w:t>Outcomes</w:t>
            </w:r>
          </w:p>
        </w:tc>
        <w:tc>
          <w:tcPr>
            <w:tcW w:w="4216" w:type="pct"/>
            <w:tcBorders>
              <w:bottom w:val="single" w:sz="4" w:space="0" w:color="auto"/>
            </w:tcBorders>
            <w:shd w:val="clear" w:color="auto" w:fill="C6D9F1" w:themeFill="text2" w:themeFillTint="33"/>
          </w:tcPr>
          <w:p w14:paraId="46C78C23" w14:textId="77777777" w:rsidR="00BF3070" w:rsidRPr="00743512" w:rsidRDefault="00BF3070" w:rsidP="00EE69DF">
            <w:pPr>
              <w:pStyle w:val="TableText0"/>
            </w:pPr>
            <w:r w:rsidRPr="00743512">
              <w:t>Disease-free years gained, life years gained, quality-adjusted life years gained</w:t>
            </w:r>
          </w:p>
        </w:tc>
      </w:tr>
      <w:tr w:rsidR="00BF3070" w:rsidRPr="00743512" w14:paraId="301225C4" w14:textId="77777777" w:rsidTr="004F5B47">
        <w:trPr>
          <w:cantSplit/>
        </w:trPr>
        <w:tc>
          <w:tcPr>
            <w:tcW w:w="784" w:type="pct"/>
            <w:vAlign w:val="center"/>
          </w:tcPr>
          <w:p w14:paraId="797E9B0E" w14:textId="77777777" w:rsidR="00BF3070" w:rsidRPr="00743512" w:rsidRDefault="00BF3070" w:rsidP="004F5B47">
            <w:pPr>
              <w:pStyle w:val="TableText0"/>
              <w:keepNext w:val="0"/>
            </w:pPr>
            <w:r w:rsidRPr="00743512">
              <w:t>Time horizon</w:t>
            </w:r>
          </w:p>
        </w:tc>
        <w:tc>
          <w:tcPr>
            <w:tcW w:w="4216" w:type="pct"/>
            <w:tcBorders>
              <w:bottom w:val="single" w:sz="4" w:space="0" w:color="auto"/>
            </w:tcBorders>
            <w:shd w:val="clear" w:color="auto" w:fill="C6D9F1" w:themeFill="text2" w:themeFillTint="33"/>
          </w:tcPr>
          <w:p w14:paraId="090F6E96" w14:textId="77777777" w:rsidR="00BF3070" w:rsidRPr="00743512" w:rsidRDefault="00BF3070" w:rsidP="004F5B47">
            <w:pPr>
              <w:pStyle w:val="TableText0"/>
              <w:keepNext w:val="0"/>
              <w:widowControl w:val="0"/>
            </w:pPr>
            <w:r w:rsidRPr="00743512">
              <w:t xml:space="preserve">40 years in the model base case vs. 3.5-3.6 years in the key trial (OlympiA). </w:t>
            </w:r>
          </w:p>
        </w:tc>
      </w:tr>
      <w:tr w:rsidR="00BF3070" w:rsidRPr="00743512" w14:paraId="07313450" w14:textId="77777777" w:rsidTr="004F5B47">
        <w:trPr>
          <w:cantSplit/>
        </w:trPr>
        <w:tc>
          <w:tcPr>
            <w:tcW w:w="784" w:type="pct"/>
            <w:vAlign w:val="center"/>
          </w:tcPr>
          <w:p w14:paraId="433FAFA9" w14:textId="77777777" w:rsidR="00BF3070" w:rsidRPr="00743512" w:rsidRDefault="00BF3070" w:rsidP="004F5B47">
            <w:pPr>
              <w:pStyle w:val="TableText0"/>
              <w:keepNext w:val="0"/>
            </w:pPr>
            <w:r w:rsidRPr="00743512">
              <w:t>Methods used to generate results</w:t>
            </w:r>
          </w:p>
        </w:tc>
        <w:tc>
          <w:tcPr>
            <w:tcW w:w="4216" w:type="pct"/>
            <w:shd w:val="clear" w:color="auto" w:fill="C6D9F1" w:themeFill="text2" w:themeFillTint="33"/>
          </w:tcPr>
          <w:p w14:paraId="7D42CFF7" w14:textId="77777777" w:rsidR="00BF3070" w:rsidRPr="00743512" w:rsidRDefault="00BF3070" w:rsidP="004F5B47">
            <w:pPr>
              <w:pStyle w:val="TableText0"/>
              <w:keepNext w:val="0"/>
              <w:widowControl w:val="0"/>
            </w:pPr>
            <w:r w:rsidRPr="00743512">
              <w:t>Semi-Markov with time varying transition probabilities</w:t>
            </w:r>
          </w:p>
        </w:tc>
      </w:tr>
      <w:tr w:rsidR="00BF3070" w:rsidRPr="00743512" w14:paraId="749C0F2B" w14:textId="77777777" w:rsidTr="004F5B47">
        <w:trPr>
          <w:cantSplit/>
        </w:trPr>
        <w:tc>
          <w:tcPr>
            <w:tcW w:w="784" w:type="pct"/>
            <w:vAlign w:val="center"/>
          </w:tcPr>
          <w:p w14:paraId="05B0A507" w14:textId="77777777" w:rsidR="00BF3070" w:rsidRPr="00743512" w:rsidRDefault="00BF3070" w:rsidP="004F5B47">
            <w:pPr>
              <w:pStyle w:val="TableText0"/>
              <w:keepNext w:val="0"/>
            </w:pPr>
            <w:r w:rsidRPr="00743512">
              <w:t>Health states</w:t>
            </w:r>
          </w:p>
        </w:tc>
        <w:tc>
          <w:tcPr>
            <w:tcW w:w="4216" w:type="pct"/>
            <w:shd w:val="clear" w:color="auto" w:fill="C6D9F1" w:themeFill="text2" w:themeFillTint="33"/>
          </w:tcPr>
          <w:p w14:paraId="64B7A75A" w14:textId="77777777" w:rsidR="00BF3070" w:rsidRPr="00743512" w:rsidRDefault="00BF3070" w:rsidP="004F5B47">
            <w:pPr>
              <w:pStyle w:val="TableText0"/>
              <w:keepNext w:val="0"/>
            </w:pPr>
            <w:r w:rsidRPr="00743512">
              <w:t>Five health states: invasive disease-free survival (IDFS), non-metastatic recurrence (non-mBC), early-onset metastatic disease (early-onset mBC), late-onset metastatic disease (late-onset mBC), and death</w:t>
            </w:r>
          </w:p>
        </w:tc>
      </w:tr>
      <w:tr w:rsidR="00BF3070" w:rsidRPr="00743512" w14:paraId="0698502F" w14:textId="77777777" w:rsidTr="004F5B47">
        <w:trPr>
          <w:cantSplit/>
        </w:trPr>
        <w:tc>
          <w:tcPr>
            <w:tcW w:w="784" w:type="pct"/>
            <w:vAlign w:val="center"/>
          </w:tcPr>
          <w:p w14:paraId="21FEDEE8" w14:textId="77777777" w:rsidR="00BF3070" w:rsidRPr="00743512" w:rsidRDefault="00BF3070" w:rsidP="004F5B47">
            <w:pPr>
              <w:pStyle w:val="TableText0"/>
              <w:keepNext w:val="0"/>
            </w:pPr>
            <w:r w:rsidRPr="00743512">
              <w:t>Cycle length</w:t>
            </w:r>
          </w:p>
        </w:tc>
        <w:tc>
          <w:tcPr>
            <w:tcW w:w="4216" w:type="pct"/>
            <w:tcBorders>
              <w:bottom w:val="single" w:sz="4" w:space="0" w:color="auto"/>
            </w:tcBorders>
            <w:shd w:val="clear" w:color="auto" w:fill="C6D9F1" w:themeFill="text2" w:themeFillTint="33"/>
          </w:tcPr>
          <w:p w14:paraId="49BA2E8A" w14:textId="77777777" w:rsidR="00BF3070" w:rsidRPr="00743512" w:rsidRDefault="00BF3070" w:rsidP="004F5B47">
            <w:pPr>
              <w:pStyle w:val="TableText0"/>
              <w:keepNext w:val="0"/>
            </w:pPr>
            <w:r w:rsidRPr="00743512">
              <w:t>Monthly</w:t>
            </w:r>
          </w:p>
        </w:tc>
      </w:tr>
      <w:tr w:rsidR="00BF3070" w:rsidRPr="00743512" w14:paraId="5AD2F6F8" w14:textId="77777777" w:rsidTr="004F5B47">
        <w:trPr>
          <w:cantSplit/>
        </w:trPr>
        <w:tc>
          <w:tcPr>
            <w:tcW w:w="784" w:type="pct"/>
            <w:vMerge w:val="restart"/>
            <w:vAlign w:val="center"/>
          </w:tcPr>
          <w:p w14:paraId="1C48CBB5" w14:textId="77777777" w:rsidR="00BF3070" w:rsidRPr="00743512" w:rsidRDefault="00BF3070" w:rsidP="004F5B47">
            <w:pPr>
              <w:pStyle w:val="TableText0"/>
              <w:keepNext w:val="0"/>
            </w:pPr>
            <w:r w:rsidRPr="00743512">
              <w:t>Transition probabilities</w:t>
            </w:r>
          </w:p>
        </w:tc>
        <w:tc>
          <w:tcPr>
            <w:tcW w:w="4216" w:type="pct"/>
            <w:tcBorders>
              <w:bottom w:val="nil"/>
            </w:tcBorders>
            <w:shd w:val="clear" w:color="auto" w:fill="C6D9F1" w:themeFill="text2" w:themeFillTint="33"/>
          </w:tcPr>
          <w:p w14:paraId="2FBB8DCF" w14:textId="77777777" w:rsidR="00BF3070" w:rsidRPr="00743512" w:rsidRDefault="00BF3070" w:rsidP="004F5B47">
            <w:pPr>
              <w:pStyle w:val="TableText0"/>
            </w:pPr>
            <w:r w:rsidRPr="00743512">
              <w:t>The model had 7 transition probabilities. Transition probabilities were largely cycle specific and were calculated from survival curves.</w:t>
            </w:r>
          </w:p>
          <w:p w14:paraId="493C1ABC" w14:textId="77777777" w:rsidR="00BF3070" w:rsidRPr="00743512" w:rsidRDefault="00BF3070" w:rsidP="004F5B47">
            <w:pPr>
              <w:pStyle w:val="TableText0"/>
            </w:pPr>
            <w:r w:rsidRPr="00743512">
              <w:rPr>
                <w:b/>
                <w:bCs w:val="0"/>
              </w:rPr>
              <w:t>TP1 – IDFS to non-mBC</w:t>
            </w:r>
            <w:r w:rsidRPr="00743512">
              <w:t xml:space="preserve"> (approx. 25% of all recurrences)</w:t>
            </w:r>
          </w:p>
          <w:p w14:paraId="21DA84A7" w14:textId="77777777" w:rsidR="00BF3070" w:rsidRPr="00743512" w:rsidRDefault="00BF3070" w:rsidP="001074C6">
            <w:pPr>
              <w:pStyle w:val="TableText0"/>
              <w:numPr>
                <w:ilvl w:val="0"/>
                <w:numId w:val="12"/>
              </w:numPr>
            </w:pPr>
            <w:r w:rsidRPr="00743512">
              <w:t xml:space="preserve">Before </w:t>
            </w:r>
            <w:r w:rsidRPr="00743512">
              <w:rPr>
                <w:shd w:val="clear" w:color="auto" w:fill="FFFFFF" w:themeFill="background1"/>
              </w:rPr>
              <w:t xml:space="preserve">48 months </w:t>
            </w:r>
            <w:r w:rsidRPr="00743512">
              <w:t>– OlympiA IDFS survival curve (KM data)</w:t>
            </w:r>
          </w:p>
          <w:p w14:paraId="571FB2CA" w14:textId="77777777" w:rsidR="00BF3070" w:rsidRPr="00743512" w:rsidRDefault="00BF3070" w:rsidP="001074C6">
            <w:pPr>
              <w:pStyle w:val="TableText0"/>
              <w:numPr>
                <w:ilvl w:val="0"/>
                <w:numId w:val="12"/>
              </w:numPr>
            </w:pPr>
            <w:r w:rsidRPr="00743512">
              <w:t>To 60 months – parametric extrapolation of the OlympiA IDFS survival curve</w:t>
            </w:r>
          </w:p>
          <w:p w14:paraId="761ACB18" w14:textId="77777777" w:rsidR="00BF3070" w:rsidRPr="00743512" w:rsidRDefault="00BF3070" w:rsidP="001074C6">
            <w:pPr>
              <w:pStyle w:val="TableText0"/>
              <w:numPr>
                <w:ilvl w:val="0"/>
                <w:numId w:val="12"/>
              </w:numPr>
            </w:pPr>
            <w:r w:rsidRPr="00743512">
              <w:t>To 10 years – externally sourced recurrence rate</w:t>
            </w:r>
          </w:p>
          <w:p w14:paraId="7CEE3E24" w14:textId="77777777" w:rsidR="00BF3070" w:rsidRPr="00743512" w:rsidRDefault="00BF3070" w:rsidP="001074C6">
            <w:pPr>
              <w:pStyle w:val="TableText0"/>
              <w:numPr>
                <w:ilvl w:val="0"/>
                <w:numId w:val="12"/>
              </w:numPr>
            </w:pPr>
            <w:r w:rsidRPr="00743512">
              <w:t>After 10 years – no recurrences</w:t>
            </w:r>
          </w:p>
        </w:tc>
      </w:tr>
      <w:tr w:rsidR="00BF3070" w:rsidRPr="00743512" w14:paraId="213B5D88" w14:textId="77777777" w:rsidTr="004F5B47">
        <w:trPr>
          <w:cantSplit/>
        </w:trPr>
        <w:tc>
          <w:tcPr>
            <w:tcW w:w="784" w:type="pct"/>
            <w:vMerge/>
            <w:vAlign w:val="center"/>
          </w:tcPr>
          <w:p w14:paraId="6A5966BA" w14:textId="77777777" w:rsidR="00BF3070" w:rsidRPr="00743512" w:rsidRDefault="00BF3070" w:rsidP="004F5B47">
            <w:pPr>
              <w:pStyle w:val="TableText0"/>
              <w:keepNext w:val="0"/>
            </w:pPr>
          </w:p>
        </w:tc>
        <w:tc>
          <w:tcPr>
            <w:tcW w:w="4216" w:type="pct"/>
            <w:tcBorders>
              <w:top w:val="nil"/>
              <w:bottom w:val="nil"/>
            </w:tcBorders>
            <w:shd w:val="clear" w:color="auto" w:fill="C6D9F1" w:themeFill="text2" w:themeFillTint="33"/>
          </w:tcPr>
          <w:p w14:paraId="02C6D739" w14:textId="77777777" w:rsidR="00BF3070" w:rsidRPr="00743512" w:rsidRDefault="00BF3070" w:rsidP="004F5B47">
            <w:pPr>
              <w:pStyle w:val="TableText0"/>
              <w:keepNext w:val="0"/>
              <w:widowControl w:val="0"/>
            </w:pPr>
            <w:r w:rsidRPr="00743512">
              <w:rPr>
                <w:b/>
              </w:rPr>
              <w:t>TP2 – IDFS to mBC</w:t>
            </w:r>
            <w:r w:rsidRPr="00743512">
              <w:t xml:space="preserve"> (approx. 75% of all recurrences). Before 24 months, metastatic recurrences move to the early-onset mBC health state. After 24 months, metastatic recurrences move to the late-onset mBC health state. Derivation of transition probabilities as for TP1.</w:t>
            </w:r>
          </w:p>
        </w:tc>
      </w:tr>
      <w:tr w:rsidR="00BF3070" w:rsidRPr="00743512" w14:paraId="527C55B9" w14:textId="77777777" w:rsidTr="004F5B47">
        <w:trPr>
          <w:cantSplit/>
        </w:trPr>
        <w:tc>
          <w:tcPr>
            <w:tcW w:w="784" w:type="pct"/>
            <w:vMerge/>
            <w:vAlign w:val="center"/>
          </w:tcPr>
          <w:p w14:paraId="7D7FEA3E" w14:textId="77777777" w:rsidR="00BF3070" w:rsidRPr="00743512" w:rsidRDefault="00BF3070" w:rsidP="004F5B47">
            <w:pPr>
              <w:pStyle w:val="TableText0"/>
              <w:keepNext w:val="0"/>
            </w:pPr>
          </w:p>
        </w:tc>
        <w:tc>
          <w:tcPr>
            <w:tcW w:w="4216" w:type="pct"/>
            <w:tcBorders>
              <w:top w:val="nil"/>
              <w:bottom w:val="nil"/>
            </w:tcBorders>
            <w:shd w:val="clear" w:color="auto" w:fill="C6D9F1" w:themeFill="text2" w:themeFillTint="33"/>
          </w:tcPr>
          <w:p w14:paraId="2F4A5A70" w14:textId="07C92704" w:rsidR="00BF3070" w:rsidRPr="00743512" w:rsidRDefault="00BF3070" w:rsidP="004F5B47">
            <w:pPr>
              <w:pStyle w:val="TableText0"/>
              <w:keepNext w:val="0"/>
              <w:rPr>
                <w:iCs/>
              </w:rPr>
            </w:pPr>
            <w:r w:rsidRPr="00743512">
              <w:rPr>
                <w:b/>
                <w:bCs w:val="0"/>
                <w:iCs/>
              </w:rPr>
              <w:t>TP3 – IDFS to death</w:t>
            </w:r>
            <w:r w:rsidRPr="00743512">
              <w:rPr>
                <w:iCs/>
              </w:rPr>
              <w:t xml:space="preserve">. All-cause mortality data from ABS lifetables, applying a SMR of </w:t>
            </w:r>
            <w:r w:rsidRPr="00743512">
              <w:rPr>
                <w:iCs/>
                <w:shd w:val="clear" w:color="auto" w:fill="FFFFFF" w:themeFill="background1"/>
              </w:rPr>
              <w:t>1.61</w:t>
            </w:r>
            <w:r w:rsidRPr="00743512">
              <w:rPr>
                <w:iCs/>
              </w:rPr>
              <w:t xml:space="preserve"> to reflect higher mortality in patients with g</w:t>
            </w:r>
            <w:r w:rsidR="00CD50D4" w:rsidRPr="00743512">
              <w:rPr>
                <w:i/>
              </w:rPr>
              <w:t>BRCA</w:t>
            </w:r>
            <w:r w:rsidRPr="00743512">
              <w:rPr>
                <w:iCs/>
              </w:rPr>
              <w:t xml:space="preserve"> mutations.</w:t>
            </w:r>
          </w:p>
        </w:tc>
      </w:tr>
      <w:tr w:rsidR="00BF3070" w:rsidRPr="00743512" w14:paraId="48AE5D7B" w14:textId="77777777" w:rsidTr="004F5B47">
        <w:trPr>
          <w:cantSplit/>
        </w:trPr>
        <w:tc>
          <w:tcPr>
            <w:tcW w:w="784" w:type="pct"/>
            <w:vMerge/>
            <w:vAlign w:val="center"/>
          </w:tcPr>
          <w:p w14:paraId="06F18EA6" w14:textId="77777777" w:rsidR="00BF3070" w:rsidRPr="00743512" w:rsidRDefault="00BF3070" w:rsidP="004F5B47">
            <w:pPr>
              <w:pStyle w:val="TableText0"/>
              <w:keepNext w:val="0"/>
            </w:pPr>
          </w:p>
        </w:tc>
        <w:tc>
          <w:tcPr>
            <w:tcW w:w="4216" w:type="pct"/>
            <w:tcBorders>
              <w:top w:val="nil"/>
              <w:bottom w:val="nil"/>
            </w:tcBorders>
          </w:tcPr>
          <w:p w14:paraId="7BFA341E" w14:textId="77777777" w:rsidR="00BF3070" w:rsidRPr="00743512" w:rsidRDefault="00BF3070" w:rsidP="004F5B47">
            <w:pPr>
              <w:pStyle w:val="TableText0"/>
              <w:keepNext w:val="0"/>
              <w:rPr>
                <w:shd w:val="clear" w:color="auto" w:fill="C6D9F1" w:themeFill="text2" w:themeFillTint="33"/>
              </w:rPr>
            </w:pPr>
            <w:r w:rsidRPr="00743512">
              <w:rPr>
                <w:b/>
                <w:bCs w:val="0"/>
                <w:shd w:val="clear" w:color="auto" w:fill="C6D9F1" w:themeFill="text2" w:themeFillTint="33"/>
              </w:rPr>
              <w:t>TP4 – non-mBC to mBC</w:t>
            </w:r>
            <w:r w:rsidRPr="00743512">
              <w:rPr>
                <w:shd w:val="clear" w:color="auto" w:fill="C6D9F1" w:themeFill="text2" w:themeFillTint="33"/>
              </w:rPr>
              <w:t>. OlympiA survival curve from local recurrence to distant recurrence with fitted parametric function.</w:t>
            </w:r>
          </w:p>
        </w:tc>
      </w:tr>
      <w:tr w:rsidR="00BF3070" w:rsidRPr="00743512" w14:paraId="6E13FBE6" w14:textId="77777777" w:rsidTr="004F5B47">
        <w:trPr>
          <w:cantSplit/>
        </w:trPr>
        <w:tc>
          <w:tcPr>
            <w:tcW w:w="784" w:type="pct"/>
            <w:vMerge/>
            <w:vAlign w:val="center"/>
          </w:tcPr>
          <w:p w14:paraId="644517D1" w14:textId="77777777" w:rsidR="00BF3070" w:rsidRPr="00743512" w:rsidRDefault="00BF3070" w:rsidP="004F5B47">
            <w:pPr>
              <w:pStyle w:val="TableText0"/>
              <w:keepNext w:val="0"/>
            </w:pPr>
          </w:p>
        </w:tc>
        <w:tc>
          <w:tcPr>
            <w:tcW w:w="4216" w:type="pct"/>
            <w:tcBorders>
              <w:top w:val="nil"/>
              <w:bottom w:val="nil"/>
            </w:tcBorders>
          </w:tcPr>
          <w:p w14:paraId="49AF887D" w14:textId="77777777" w:rsidR="00BF3070" w:rsidRPr="00743512" w:rsidRDefault="00BF3070" w:rsidP="004F5B47">
            <w:pPr>
              <w:pStyle w:val="TableText0"/>
              <w:keepNext w:val="0"/>
            </w:pPr>
            <w:r w:rsidRPr="00743512">
              <w:rPr>
                <w:b/>
                <w:bCs w:val="0"/>
                <w:shd w:val="clear" w:color="auto" w:fill="C6D9F1" w:themeFill="text2" w:themeFillTint="33"/>
              </w:rPr>
              <w:t>TP5 – non-mBC to death</w:t>
            </w:r>
            <w:r w:rsidRPr="00743512">
              <w:rPr>
                <w:shd w:val="clear" w:color="auto" w:fill="C6D9F1" w:themeFill="text2" w:themeFillTint="33"/>
              </w:rPr>
              <w:t>. OlympiA survival curve from local recurrence to death with fitted parametric function,</w:t>
            </w:r>
            <w:r w:rsidRPr="00743512">
              <w:t xml:space="preserve"> with adjustment for increased PARP use in the two treatment arms, especially in the placebo arm.</w:t>
            </w:r>
          </w:p>
        </w:tc>
      </w:tr>
      <w:tr w:rsidR="00BF3070" w:rsidRPr="00743512" w14:paraId="1ACD8A34" w14:textId="77777777" w:rsidTr="004F5B47">
        <w:trPr>
          <w:cantSplit/>
        </w:trPr>
        <w:tc>
          <w:tcPr>
            <w:tcW w:w="784" w:type="pct"/>
            <w:vMerge/>
            <w:vAlign w:val="center"/>
          </w:tcPr>
          <w:p w14:paraId="0FB39441" w14:textId="77777777" w:rsidR="00BF3070" w:rsidRPr="00743512" w:rsidRDefault="00BF3070" w:rsidP="004F5B47">
            <w:pPr>
              <w:pStyle w:val="TableText0"/>
              <w:keepNext w:val="0"/>
            </w:pPr>
          </w:p>
        </w:tc>
        <w:tc>
          <w:tcPr>
            <w:tcW w:w="4216" w:type="pct"/>
            <w:tcBorders>
              <w:top w:val="nil"/>
              <w:bottom w:val="nil"/>
            </w:tcBorders>
          </w:tcPr>
          <w:p w14:paraId="774B3217" w14:textId="77777777" w:rsidR="00BF3070" w:rsidRPr="00743512" w:rsidRDefault="00BF3070" w:rsidP="004F5B47">
            <w:pPr>
              <w:pStyle w:val="TableText0"/>
              <w:keepNext w:val="0"/>
            </w:pPr>
            <w:r w:rsidRPr="00743512">
              <w:rPr>
                <w:b/>
                <w:bCs w:val="0"/>
                <w:shd w:val="clear" w:color="auto" w:fill="C6D9F1" w:themeFill="text2" w:themeFillTint="33"/>
              </w:rPr>
              <w:t>TP6 – early-onset mBC to death</w:t>
            </w:r>
            <w:r w:rsidRPr="00743512">
              <w:rPr>
                <w:shd w:val="clear" w:color="auto" w:fill="C6D9F1" w:themeFill="text2" w:themeFillTint="33"/>
              </w:rPr>
              <w:t>. Data from OlympiA.</w:t>
            </w:r>
            <w:r w:rsidRPr="00743512">
              <w:t xml:space="preserve"> Treatment-specific and with adjustment for increased PARP use in the two treatment arms, especially in the placebo arm.</w:t>
            </w:r>
          </w:p>
        </w:tc>
      </w:tr>
      <w:tr w:rsidR="00BF3070" w:rsidRPr="00743512" w14:paraId="70E2147E" w14:textId="77777777" w:rsidTr="004F5B47">
        <w:trPr>
          <w:cantSplit/>
        </w:trPr>
        <w:tc>
          <w:tcPr>
            <w:tcW w:w="784" w:type="pct"/>
            <w:vMerge/>
            <w:tcBorders>
              <w:bottom w:val="single" w:sz="4" w:space="0" w:color="auto"/>
            </w:tcBorders>
            <w:vAlign w:val="center"/>
          </w:tcPr>
          <w:p w14:paraId="5A3BAB74" w14:textId="77777777" w:rsidR="00BF3070" w:rsidRPr="00743512" w:rsidRDefault="00BF3070" w:rsidP="004F5B47">
            <w:pPr>
              <w:pStyle w:val="TableText0"/>
              <w:keepNext w:val="0"/>
            </w:pPr>
          </w:p>
        </w:tc>
        <w:tc>
          <w:tcPr>
            <w:tcW w:w="4216" w:type="pct"/>
            <w:tcBorders>
              <w:top w:val="nil"/>
              <w:bottom w:val="single" w:sz="4" w:space="0" w:color="auto"/>
            </w:tcBorders>
            <w:shd w:val="clear" w:color="auto" w:fill="C6D9F1" w:themeFill="text2" w:themeFillTint="33"/>
          </w:tcPr>
          <w:p w14:paraId="3E2D74AE" w14:textId="77777777" w:rsidR="00BF3070" w:rsidRPr="00743512" w:rsidRDefault="00BF3070" w:rsidP="004F5B47">
            <w:pPr>
              <w:pStyle w:val="TableText0"/>
              <w:keepNext w:val="0"/>
            </w:pPr>
            <w:r w:rsidRPr="00743512">
              <w:rPr>
                <w:b/>
                <w:bCs w:val="0"/>
              </w:rPr>
              <w:t>TP7 – late-onset mBC to death</w:t>
            </w:r>
            <w:r w:rsidRPr="00743512">
              <w:t>. Pooled survival curves from three treatments used in the metastatic setting. Each survival curve was first fitted with a parametric function.</w:t>
            </w:r>
          </w:p>
        </w:tc>
      </w:tr>
      <w:tr w:rsidR="00BF3070" w:rsidRPr="00743512" w14:paraId="35807E53" w14:textId="77777777" w:rsidTr="004F5B47">
        <w:trPr>
          <w:cantSplit/>
          <w:trHeight w:val="2932"/>
        </w:trPr>
        <w:tc>
          <w:tcPr>
            <w:tcW w:w="784" w:type="pct"/>
            <w:vMerge w:val="restart"/>
            <w:shd w:val="clear" w:color="auto" w:fill="FFFFFF" w:themeFill="background1"/>
          </w:tcPr>
          <w:p w14:paraId="2C392B72" w14:textId="77777777" w:rsidR="00BF3070" w:rsidRPr="00743512" w:rsidRDefault="00BF3070" w:rsidP="004F5B47">
            <w:pPr>
              <w:pStyle w:val="TableText0"/>
              <w:keepNext w:val="0"/>
            </w:pPr>
            <w:r w:rsidRPr="00743512">
              <w:t>Extrapolation method</w:t>
            </w:r>
          </w:p>
        </w:tc>
        <w:tc>
          <w:tcPr>
            <w:tcW w:w="4216" w:type="pct"/>
            <w:tcBorders>
              <w:bottom w:val="nil"/>
            </w:tcBorders>
            <w:shd w:val="clear" w:color="auto" w:fill="C6D9F1" w:themeFill="text2" w:themeFillTint="33"/>
          </w:tcPr>
          <w:p w14:paraId="2844900E" w14:textId="77777777" w:rsidR="00BF3070" w:rsidRPr="00743512" w:rsidRDefault="00BF3070" w:rsidP="004F5B47">
            <w:pPr>
              <w:pStyle w:val="TableText0"/>
              <w:keepNext w:val="0"/>
            </w:pPr>
            <w:r w:rsidRPr="00743512">
              <w:t xml:space="preserve">The observed data for the IDFS survival curve were used until </w:t>
            </w:r>
            <w:r w:rsidRPr="00743512">
              <w:rPr>
                <w:shd w:val="clear" w:color="auto" w:fill="FFFFFF" w:themeFill="background1"/>
              </w:rPr>
              <w:t>48 months</w:t>
            </w:r>
            <w:r w:rsidRPr="00743512">
              <w:t xml:space="preserve">. A parametric function of best statistical fit was applied to the olaparib curve from </w:t>
            </w:r>
            <w:r w:rsidRPr="00743512">
              <w:rPr>
                <w:shd w:val="clear" w:color="auto" w:fill="FFFFFF" w:themeFill="background1"/>
              </w:rPr>
              <w:t>48 months</w:t>
            </w:r>
            <w:r w:rsidRPr="00743512">
              <w:t xml:space="preserve"> to 60 months. The same function (despite not being the best fit) was applied to the placebo arm. This was TP1 and TP2. </w:t>
            </w:r>
          </w:p>
          <w:p w14:paraId="6957222E" w14:textId="77777777" w:rsidR="00BF3070" w:rsidRPr="00743512" w:rsidRDefault="00BF3070" w:rsidP="004F5B47">
            <w:pPr>
              <w:pStyle w:val="TableText0"/>
            </w:pPr>
          </w:p>
          <w:p w14:paraId="4EC72849" w14:textId="77777777" w:rsidR="00BF3070" w:rsidRPr="00743512" w:rsidRDefault="00BF3070" w:rsidP="004F5B47">
            <w:pPr>
              <w:pStyle w:val="TableText0"/>
            </w:pPr>
            <w:r w:rsidRPr="00743512">
              <w:t>Extrapolation following 5 years occurred as a consequence of an assumed recurrence rate until 10 years, then no recurrences. This approach maintained the initial divergence of the IDFS curve for the lifetime of the model (except for the impact of background mortality, i.e. TP3).</w:t>
            </w:r>
          </w:p>
          <w:p w14:paraId="49614FBC" w14:textId="77777777" w:rsidR="00BF3070" w:rsidRPr="00743512" w:rsidRDefault="00BF3070" w:rsidP="004F5B47">
            <w:pPr>
              <w:pStyle w:val="TableText0"/>
            </w:pPr>
          </w:p>
          <w:p w14:paraId="353CC99F" w14:textId="77777777" w:rsidR="00BF3070" w:rsidRPr="00743512" w:rsidRDefault="00BF3070" w:rsidP="004F5B47">
            <w:pPr>
              <w:pStyle w:val="TableText0"/>
            </w:pPr>
            <w:r w:rsidRPr="00743512">
              <w:t xml:space="preserve">Other survival curves (TP4, TP5, TP6 and TP7) were extrapolated using parametric functions. TP4, TP5 and TP7 were common across the arms; </w:t>
            </w:r>
            <w:r w:rsidRPr="00743512">
              <w:rPr>
                <w:shd w:val="clear" w:color="auto" w:fill="FFFFFF" w:themeFill="background1"/>
              </w:rPr>
              <w:t>whereas TP6 was treatment-specific</w:t>
            </w:r>
            <w:r w:rsidRPr="00743512">
              <w:t>.</w:t>
            </w:r>
          </w:p>
          <w:p w14:paraId="780FA8EF" w14:textId="77777777" w:rsidR="00BF3070" w:rsidRPr="00743512" w:rsidRDefault="00BF3070" w:rsidP="004F5B47">
            <w:pPr>
              <w:pStyle w:val="TableText0"/>
            </w:pPr>
          </w:p>
          <w:p w14:paraId="0BD0C04E" w14:textId="77777777" w:rsidR="00BF3070" w:rsidRPr="00743512" w:rsidRDefault="00BF3070" w:rsidP="004F5B47">
            <w:pPr>
              <w:pStyle w:val="TableText0"/>
            </w:pPr>
            <w:r w:rsidRPr="00743512">
              <w:t>Overall survival was not ‘extrapolated’. It was a product of all transition probabilities applied in the model.</w:t>
            </w:r>
          </w:p>
          <w:p w14:paraId="626E1DF7" w14:textId="77777777" w:rsidR="00BF3070" w:rsidRPr="00743512" w:rsidRDefault="00BF3070" w:rsidP="004F5B47">
            <w:pPr>
              <w:pStyle w:val="TableText0"/>
              <w:keepNext w:val="0"/>
            </w:pPr>
          </w:p>
        </w:tc>
      </w:tr>
      <w:tr w:rsidR="00BF3070" w:rsidRPr="00743512" w14:paraId="29A69CBB" w14:textId="77777777" w:rsidTr="004F5B47">
        <w:trPr>
          <w:cantSplit/>
        </w:trPr>
        <w:tc>
          <w:tcPr>
            <w:tcW w:w="784" w:type="pct"/>
            <w:vMerge/>
            <w:tcBorders>
              <w:bottom w:val="single" w:sz="4" w:space="0" w:color="auto"/>
            </w:tcBorders>
            <w:shd w:val="clear" w:color="auto" w:fill="FFFFFF" w:themeFill="background1"/>
          </w:tcPr>
          <w:p w14:paraId="1D7AF7B8" w14:textId="77777777" w:rsidR="00BF3070" w:rsidRPr="00743512" w:rsidRDefault="00BF3070" w:rsidP="004F5B47">
            <w:pPr>
              <w:pStyle w:val="TableText0"/>
              <w:keepNext w:val="0"/>
            </w:pPr>
          </w:p>
        </w:tc>
        <w:tc>
          <w:tcPr>
            <w:tcW w:w="4216" w:type="pct"/>
            <w:tcBorders>
              <w:top w:val="nil"/>
            </w:tcBorders>
            <w:shd w:val="clear" w:color="auto" w:fill="FFFFFF" w:themeFill="background1"/>
          </w:tcPr>
          <w:p w14:paraId="117DFEDA" w14:textId="77777777" w:rsidR="00BF3070" w:rsidRPr="00743512" w:rsidRDefault="00BF3070" w:rsidP="004F5B47">
            <w:pPr>
              <w:pStyle w:val="TableText0"/>
              <w:keepNext w:val="0"/>
            </w:pPr>
            <w:r w:rsidRPr="00743512">
              <w:rPr>
                <w:shd w:val="clear" w:color="auto" w:fill="FFFFFF" w:themeFill="background1"/>
              </w:rPr>
              <w:t>Approximately 78% of the life years (undiscounted) occurred following the extent of trial data (79 months) in both arms. About 87% of the incremental life years (undiscounted) were accrued beyond 79 months</w:t>
            </w:r>
          </w:p>
        </w:tc>
      </w:tr>
      <w:tr w:rsidR="00BF3070" w:rsidRPr="00743512" w14:paraId="0592E0E9" w14:textId="77777777" w:rsidTr="004F5B47">
        <w:trPr>
          <w:cantSplit/>
        </w:trPr>
        <w:tc>
          <w:tcPr>
            <w:tcW w:w="784" w:type="pct"/>
            <w:shd w:val="clear" w:color="auto" w:fill="FFFFFF" w:themeFill="background1"/>
          </w:tcPr>
          <w:p w14:paraId="77D779DD" w14:textId="77777777" w:rsidR="00BF3070" w:rsidRPr="00743512" w:rsidRDefault="00BF3070" w:rsidP="004F5B47">
            <w:pPr>
              <w:pStyle w:val="TableText0"/>
              <w:keepNext w:val="0"/>
            </w:pPr>
            <w:r w:rsidRPr="00743512">
              <w:t>Health related quality of life</w:t>
            </w:r>
          </w:p>
        </w:tc>
        <w:tc>
          <w:tcPr>
            <w:tcW w:w="4216" w:type="pct"/>
            <w:shd w:val="clear" w:color="auto" w:fill="C6D9F1" w:themeFill="text2" w:themeFillTint="33"/>
          </w:tcPr>
          <w:p w14:paraId="206AFB83" w14:textId="77777777" w:rsidR="00BF3070" w:rsidRPr="00743512" w:rsidRDefault="00BF3070" w:rsidP="004F5B47">
            <w:pPr>
              <w:pStyle w:val="TableText0"/>
              <w:keepNext w:val="0"/>
            </w:pPr>
            <w:r w:rsidRPr="00743512">
              <w:t>Utilities were applied to the IDFS, non-mBC, early-onset mBC and late-onset mBC health states.</w:t>
            </w:r>
          </w:p>
          <w:p w14:paraId="433F9D8B" w14:textId="77777777" w:rsidR="00BF3070" w:rsidRPr="00743512" w:rsidRDefault="00BF3070" w:rsidP="001074C6">
            <w:pPr>
              <w:pStyle w:val="TableText0"/>
              <w:keepNext w:val="0"/>
              <w:widowControl w:val="0"/>
              <w:numPr>
                <w:ilvl w:val="0"/>
                <w:numId w:val="13"/>
              </w:numPr>
              <w:rPr>
                <w:shd w:val="clear" w:color="auto" w:fill="FFFFFF" w:themeFill="background1"/>
              </w:rPr>
            </w:pPr>
            <w:r w:rsidRPr="00743512">
              <w:t>IDFS: 0.869 – OlympiA EORTC QLQ-C30 mapped to EQ-5D and then to utilities using a mapping algorithm (Crott and Briggs 2010</w:t>
            </w:r>
            <w:r w:rsidRPr="00743512">
              <w:rPr>
                <w:rStyle w:val="FootnoteReference"/>
              </w:rPr>
              <w:footnoteReference w:id="13"/>
            </w:r>
            <w:r w:rsidRPr="00743512">
              <w:t xml:space="preserve">). </w:t>
            </w:r>
            <w:r w:rsidRPr="00743512">
              <w:rPr>
                <w:shd w:val="clear" w:color="auto" w:fill="FFFFFF" w:themeFill="background1"/>
              </w:rPr>
              <w:t>A 0.6% disutility has been applied to the duration of olaparib treatment.</w:t>
            </w:r>
          </w:p>
          <w:p w14:paraId="7A8BA5E0" w14:textId="77777777" w:rsidR="00BF3070" w:rsidRPr="00743512" w:rsidRDefault="00BF3070" w:rsidP="001074C6">
            <w:pPr>
              <w:pStyle w:val="TableText0"/>
              <w:keepNext w:val="0"/>
              <w:widowControl w:val="0"/>
              <w:numPr>
                <w:ilvl w:val="0"/>
                <w:numId w:val="13"/>
              </w:numPr>
            </w:pPr>
            <w:r w:rsidRPr="00743512">
              <w:t>Non-mBC: 0.7875 – midway between IDFS and early-onset mBC (assumption)</w:t>
            </w:r>
          </w:p>
          <w:p w14:paraId="5A676E0C" w14:textId="77777777" w:rsidR="00BF3070" w:rsidRPr="00743512" w:rsidRDefault="00BF3070" w:rsidP="001074C6">
            <w:pPr>
              <w:pStyle w:val="TableText0"/>
              <w:keepNext w:val="0"/>
              <w:widowControl w:val="0"/>
              <w:numPr>
                <w:ilvl w:val="0"/>
                <w:numId w:val="13"/>
              </w:numPr>
            </w:pPr>
            <w:r w:rsidRPr="00743512">
              <w:t>Early-onset mBC: 0.706 – OlympiAD (mBC) EORTC QLQ-C30 from pre-progression state mapped to EQ-5D and then to utilities using a mapping algorithm.</w:t>
            </w:r>
          </w:p>
          <w:p w14:paraId="4CF59CF2" w14:textId="77777777" w:rsidR="00BF3070" w:rsidRPr="00743512" w:rsidRDefault="00BF3070" w:rsidP="001074C6">
            <w:pPr>
              <w:pStyle w:val="TableText0"/>
              <w:keepNext w:val="0"/>
              <w:widowControl w:val="0"/>
              <w:numPr>
                <w:ilvl w:val="0"/>
                <w:numId w:val="13"/>
              </w:numPr>
            </w:pPr>
            <w:r w:rsidRPr="00743512">
              <w:t>Late-onset mBC: 0.678 – as for early-onset mBC but from the post-progression state.</w:t>
            </w:r>
          </w:p>
        </w:tc>
      </w:tr>
      <w:tr w:rsidR="00BF3070" w:rsidRPr="00743512" w14:paraId="70D9C32C" w14:textId="77777777" w:rsidTr="004F5B47">
        <w:trPr>
          <w:cantSplit/>
        </w:trPr>
        <w:tc>
          <w:tcPr>
            <w:tcW w:w="784" w:type="pct"/>
            <w:shd w:val="clear" w:color="auto" w:fill="FFFFFF" w:themeFill="background1"/>
          </w:tcPr>
          <w:p w14:paraId="6ECAFAD2" w14:textId="77777777" w:rsidR="00BF3070" w:rsidRPr="00743512" w:rsidRDefault="00BF3070" w:rsidP="004F5B47">
            <w:pPr>
              <w:pStyle w:val="TableText0"/>
              <w:keepNext w:val="0"/>
            </w:pPr>
            <w:r w:rsidRPr="00743512">
              <w:t xml:space="preserve">Costs </w:t>
            </w:r>
          </w:p>
        </w:tc>
        <w:tc>
          <w:tcPr>
            <w:tcW w:w="4216" w:type="pct"/>
            <w:shd w:val="clear" w:color="auto" w:fill="C6D9F1" w:themeFill="text2" w:themeFillTint="33"/>
          </w:tcPr>
          <w:p w14:paraId="7C05429F" w14:textId="589BE8BC" w:rsidR="00BF3070" w:rsidRPr="00743512" w:rsidRDefault="00BF3070" w:rsidP="004F5B47">
            <w:pPr>
              <w:pStyle w:val="TableText0"/>
              <w:keepNext w:val="0"/>
            </w:pPr>
            <w:r w:rsidRPr="00743512">
              <w:t xml:space="preserve">Testing costs were estimated based on the increment between the assumed current testing rate of 74% for TNBC patients </w:t>
            </w:r>
            <w:r w:rsidRPr="00743512">
              <w:rPr>
                <w:shd w:val="clear" w:color="auto" w:fill="FFFFFF" w:themeFill="background1"/>
              </w:rPr>
              <w:t>and 20% for HR+, HER2- patients</w:t>
            </w:r>
            <w:r w:rsidRPr="00743512">
              <w:t>, and the assumed uptake rate of 95%</w:t>
            </w:r>
            <w:r w:rsidR="00157B92" w:rsidRPr="00743512">
              <w:t xml:space="preserve">. </w:t>
            </w:r>
          </w:p>
        </w:tc>
      </w:tr>
    </w:tbl>
    <w:p w14:paraId="6D216119" w14:textId="77777777" w:rsidR="00BF3070" w:rsidRPr="00743512" w:rsidRDefault="00BF3070" w:rsidP="00BF3070">
      <w:pPr>
        <w:pStyle w:val="TableFooter"/>
      </w:pPr>
      <w:r w:rsidRPr="00743512">
        <w:t>Source: Table 3.1, pp107-112 and Table 3.2, p113 of the resubmission.</w:t>
      </w:r>
    </w:p>
    <w:p w14:paraId="3496EE80" w14:textId="1CB4A5F1" w:rsidR="00BF3070" w:rsidRPr="00743512" w:rsidRDefault="00BF3070" w:rsidP="00BF3070">
      <w:pPr>
        <w:pStyle w:val="TableFooter"/>
      </w:pPr>
      <w:r w:rsidRPr="00743512">
        <w:t xml:space="preserve">ABS = Australian Bureau of Statistics; EORTC QLQ-C30 = European Organisation for Research and Treatment </w:t>
      </w:r>
      <w:r w:rsidR="002745C2" w:rsidRPr="00743512">
        <w:t>–</w:t>
      </w:r>
      <w:r w:rsidRPr="00743512">
        <w:t xml:space="preserve"> Quality of Life Questionnaire for cancer patients; EQ-5D = EuroQo</w:t>
      </w:r>
      <w:r w:rsidR="00202B17" w:rsidRPr="00743512">
        <w:t>L</w:t>
      </w:r>
      <w:r w:rsidRPr="00743512">
        <w:t xml:space="preserve"> five dimension scale questionnaire; HER2 = human epidermal growth factor receptor 2; HR = hormone receptor; KM = Kaplan-Meier; PARP = poly (adenosine diphosphate [ADP]-ribose) polymerase; SMR = standardised mortality ratio; TP = transition probability </w:t>
      </w:r>
    </w:p>
    <w:p w14:paraId="256F1000" w14:textId="5ACEF0EF" w:rsidR="001074C6" w:rsidRPr="00743512" w:rsidRDefault="00BF3070" w:rsidP="00F32823">
      <w:pPr>
        <w:pStyle w:val="TableFooter"/>
        <w:spacing w:after="120"/>
      </w:pPr>
      <w:r w:rsidRPr="00743512">
        <w:rPr>
          <w:shd w:val="clear" w:color="auto" w:fill="B8CCE4" w:themeFill="accent1" w:themeFillTint="66"/>
        </w:rPr>
        <w:t>Blue</w:t>
      </w:r>
      <w:r w:rsidRPr="00743512">
        <w:t xml:space="preserve"> shading indicates these data sources and key inputs were unchanged from the previous submission</w:t>
      </w:r>
      <w:r w:rsidR="00157B92" w:rsidRPr="00743512">
        <w:t xml:space="preserve">. </w:t>
      </w:r>
    </w:p>
    <w:p w14:paraId="3DD0F59C" w14:textId="5149A33E" w:rsidR="00BF3070" w:rsidRPr="00743512" w:rsidRDefault="00BF3070" w:rsidP="00BF3070">
      <w:pPr>
        <w:pStyle w:val="3-BodyText"/>
      </w:pPr>
      <w:r w:rsidRPr="00743512">
        <w:t>The structure of the model remained the same</w:t>
      </w:r>
      <w:r w:rsidR="00A008A9" w:rsidRPr="00743512">
        <w:t xml:space="preserve"> as the March 2023 submission</w:t>
      </w:r>
      <w:r w:rsidRPr="00743512">
        <w:t xml:space="preserve">. Key differences between the previous submission and the resubmission are summarised in </w:t>
      </w:r>
      <w:r w:rsidRPr="00743512">
        <w:fldChar w:fldCharType="begin"/>
      </w:r>
      <w:r w:rsidRPr="00743512">
        <w:instrText xml:space="preserve"> REF _Ref143801604 \h </w:instrText>
      </w:r>
      <w:r w:rsidRPr="00743512">
        <w:fldChar w:fldCharType="separate"/>
      </w:r>
      <w:r w:rsidR="00D2565D" w:rsidRPr="00743512">
        <w:t xml:space="preserve">Table </w:t>
      </w:r>
      <w:r w:rsidR="00D2565D">
        <w:rPr>
          <w:noProof/>
        </w:rPr>
        <w:t>11</w:t>
      </w:r>
      <w:r w:rsidRPr="00743512">
        <w:fldChar w:fldCharType="end"/>
      </w:r>
      <w:r w:rsidRPr="00743512">
        <w:t xml:space="preserve">. A number of these changes were in response to previous PBAC consideration. The changes which did not adequately reflect the </w:t>
      </w:r>
      <w:r w:rsidR="009A5607" w:rsidRPr="00743512">
        <w:t xml:space="preserve">March 2023 </w:t>
      </w:r>
      <w:r w:rsidRPr="00743512">
        <w:t>PBAC and ESC advice, along with other economic issues are discussed below.</w:t>
      </w:r>
      <w:r w:rsidR="005A5F28" w:rsidRPr="00743512">
        <w:t xml:space="preserve"> The pre</w:t>
      </w:r>
      <w:r w:rsidR="00A008A9" w:rsidRPr="00743512">
        <w:noBreakHyphen/>
      </w:r>
      <w:r w:rsidR="005A5F28" w:rsidRPr="00743512">
        <w:t>PBAC response presented further adjustments to the base case.</w:t>
      </w:r>
    </w:p>
    <w:p w14:paraId="146B29AE" w14:textId="04D91511" w:rsidR="00BF3070" w:rsidRPr="00743512" w:rsidRDefault="00BF3070" w:rsidP="00BF3070">
      <w:pPr>
        <w:pStyle w:val="Caption"/>
        <w:rPr>
          <w:bCs w:val="0"/>
        </w:rPr>
      </w:pPr>
      <w:bookmarkStart w:id="63" w:name="_Ref143801604"/>
      <w:r w:rsidRPr="00743512">
        <w:t xml:space="preserve">Table </w:t>
      </w:r>
      <w:r w:rsidR="00D2565D">
        <w:fldChar w:fldCharType="begin"/>
      </w:r>
      <w:r w:rsidR="00D2565D">
        <w:instrText xml:space="preserve"> S</w:instrText>
      </w:r>
      <w:r w:rsidR="00D2565D">
        <w:instrText xml:space="preserve">EQ Table \* ARABIC </w:instrText>
      </w:r>
      <w:r w:rsidR="00D2565D">
        <w:fldChar w:fldCharType="separate"/>
      </w:r>
      <w:r w:rsidR="00D2565D">
        <w:rPr>
          <w:noProof/>
        </w:rPr>
        <w:t>11</w:t>
      </w:r>
      <w:r w:rsidR="00D2565D">
        <w:rPr>
          <w:noProof/>
        </w:rPr>
        <w:fldChar w:fldCharType="end"/>
      </w:r>
      <w:bookmarkEnd w:id="63"/>
      <w:r w:rsidRPr="00743512">
        <w:t xml:space="preserve">: </w:t>
      </w:r>
      <w:r w:rsidRPr="00743512">
        <w:rPr>
          <w:bCs w:val="0"/>
        </w:rPr>
        <w:t>Key changes between the previous submission and the resubmission</w:t>
      </w:r>
    </w:p>
    <w:tbl>
      <w:tblPr>
        <w:tblStyle w:val="AZTable"/>
        <w:tblW w:w="5000" w:type="pct"/>
        <w:tblLook w:val="04A0" w:firstRow="1" w:lastRow="0" w:firstColumn="1" w:lastColumn="0" w:noHBand="0" w:noVBand="1"/>
        <w:tblCaption w:val="Table 11: Key changes between the previous submission and the resubmission"/>
      </w:tblPr>
      <w:tblGrid>
        <w:gridCol w:w="401"/>
        <w:gridCol w:w="2115"/>
        <w:gridCol w:w="1318"/>
        <w:gridCol w:w="1322"/>
        <w:gridCol w:w="1794"/>
        <w:gridCol w:w="2067"/>
      </w:tblGrid>
      <w:tr w:rsidR="000229FE" w:rsidRPr="00743512" w14:paraId="1DFD5D60" w14:textId="77777777" w:rsidTr="001074C6">
        <w:trPr>
          <w:cnfStyle w:val="100000000000" w:firstRow="1" w:lastRow="0" w:firstColumn="0" w:lastColumn="0" w:oddVBand="0" w:evenVBand="0" w:oddHBand="0" w:evenHBand="0" w:firstRowFirstColumn="0" w:firstRowLastColumn="0" w:lastRowFirstColumn="0" w:lastRowLastColumn="0"/>
          <w:cantSplit/>
          <w:tblHeader/>
        </w:trPr>
        <w:tc>
          <w:tcPr>
            <w:tcW w:w="222" w:type="pct"/>
          </w:tcPr>
          <w:p w14:paraId="4B369FFB" w14:textId="77777777" w:rsidR="000229FE" w:rsidRPr="00743512" w:rsidRDefault="000229FE" w:rsidP="00836DF6">
            <w:pPr>
              <w:pStyle w:val="TableHeading0"/>
              <w:keepNext w:val="0"/>
              <w:keepLines w:val="0"/>
              <w:rPr>
                <w:sz w:val="20"/>
              </w:rPr>
            </w:pPr>
            <w:bookmarkStart w:id="64" w:name="_Hlk150770570"/>
          </w:p>
        </w:tc>
        <w:tc>
          <w:tcPr>
            <w:tcW w:w="1173" w:type="pct"/>
          </w:tcPr>
          <w:p w14:paraId="6E2AC10A" w14:textId="5089A2C8" w:rsidR="000229FE" w:rsidRPr="00743512" w:rsidRDefault="000229FE" w:rsidP="00836DF6">
            <w:pPr>
              <w:pStyle w:val="TableHeading0"/>
              <w:keepNext w:val="0"/>
              <w:keepLines w:val="0"/>
              <w:rPr>
                <w:sz w:val="20"/>
              </w:rPr>
            </w:pPr>
            <w:bookmarkStart w:id="65" w:name="_Hlk144112731"/>
            <w:r w:rsidRPr="00743512">
              <w:rPr>
                <w:sz w:val="20"/>
              </w:rPr>
              <w:t>Input/assumption</w:t>
            </w:r>
          </w:p>
        </w:tc>
        <w:tc>
          <w:tcPr>
            <w:tcW w:w="731" w:type="pct"/>
            <w:tcBorders>
              <w:bottom w:val="single" w:sz="4" w:space="0" w:color="auto"/>
            </w:tcBorders>
          </w:tcPr>
          <w:p w14:paraId="793C8BC0" w14:textId="77777777" w:rsidR="000229FE" w:rsidRPr="00743512" w:rsidRDefault="000229FE" w:rsidP="00836DF6">
            <w:pPr>
              <w:pStyle w:val="TableHeading0"/>
              <w:keepNext w:val="0"/>
              <w:keepLines w:val="0"/>
              <w:rPr>
                <w:sz w:val="20"/>
              </w:rPr>
            </w:pPr>
            <w:r w:rsidRPr="00743512">
              <w:rPr>
                <w:sz w:val="20"/>
              </w:rPr>
              <w:t>Previous submission</w:t>
            </w:r>
          </w:p>
        </w:tc>
        <w:tc>
          <w:tcPr>
            <w:tcW w:w="733" w:type="pct"/>
            <w:tcBorders>
              <w:bottom w:val="single" w:sz="4" w:space="0" w:color="auto"/>
            </w:tcBorders>
          </w:tcPr>
          <w:p w14:paraId="22CA2CFA" w14:textId="77777777" w:rsidR="000229FE" w:rsidRPr="00743512" w:rsidRDefault="000229FE" w:rsidP="00836DF6">
            <w:pPr>
              <w:pStyle w:val="TableHeading0"/>
              <w:keepNext w:val="0"/>
              <w:keepLines w:val="0"/>
              <w:rPr>
                <w:sz w:val="20"/>
              </w:rPr>
            </w:pPr>
            <w:r w:rsidRPr="00743512">
              <w:rPr>
                <w:sz w:val="20"/>
              </w:rPr>
              <w:t>PBAC/MSAC advice (March 2023 meeting)</w:t>
            </w:r>
          </w:p>
        </w:tc>
        <w:tc>
          <w:tcPr>
            <w:tcW w:w="995" w:type="pct"/>
          </w:tcPr>
          <w:p w14:paraId="412C3FC6" w14:textId="77777777" w:rsidR="000229FE" w:rsidRPr="00743512" w:rsidRDefault="000229FE" w:rsidP="00836DF6">
            <w:pPr>
              <w:pStyle w:val="TableHeading0"/>
              <w:keepNext w:val="0"/>
              <w:keepLines w:val="0"/>
              <w:rPr>
                <w:sz w:val="20"/>
              </w:rPr>
            </w:pPr>
            <w:r w:rsidRPr="00743512">
              <w:rPr>
                <w:sz w:val="20"/>
              </w:rPr>
              <w:t>Current resubmission</w:t>
            </w:r>
          </w:p>
        </w:tc>
        <w:tc>
          <w:tcPr>
            <w:tcW w:w="1147" w:type="pct"/>
          </w:tcPr>
          <w:p w14:paraId="5997574F" w14:textId="77777777" w:rsidR="000229FE" w:rsidRPr="00743512" w:rsidRDefault="000229FE" w:rsidP="00836DF6">
            <w:pPr>
              <w:pStyle w:val="TableHeading0"/>
              <w:keepNext w:val="0"/>
              <w:keepLines w:val="0"/>
              <w:rPr>
                <w:sz w:val="20"/>
              </w:rPr>
            </w:pPr>
            <w:r w:rsidRPr="00743512">
              <w:rPr>
                <w:sz w:val="20"/>
              </w:rPr>
              <w:t>Comments</w:t>
            </w:r>
          </w:p>
        </w:tc>
      </w:tr>
      <w:tr w:rsidR="000229FE" w:rsidRPr="00743512" w14:paraId="67790143" w14:textId="77777777" w:rsidTr="001074C6">
        <w:trPr>
          <w:cantSplit/>
        </w:trPr>
        <w:tc>
          <w:tcPr>
            <w:tcW w:w="222" w:type="pct"/>
          </w:tcPr>
          <w:p w14:paraId="7EEDABD8" w14:textId="1B9E4CA9" w:rsidR="000229FE" w:rsidRPr="00743512" w:rsidRDefault="000229FE" w:rsidP="00836DF6">
            <w:pPr>
              <w:pStyle w:val="TableText0"/>
              <w:keepNext w:val="0"/>
              <w:rPr>
                <w:sz w:val="20"/>
                <w:szCs w:val="20"/>
              </w:rPr>
            </w:pPr>
            <w:r w:rsidRPr="00743512">
              <w:rPr>
                <w:sz w:val="20"/>
                <w:szCs w:val="20"/>
              </w:rPr>
              <w:t>1</w:t>
            </w:r>
          </w:p>
        </w:tc>
        <w:tc>
          <w:tcPr>
            <w:tcW w:w="1173" w:type="pct"/>
          </w:tcPr>
          <w:p w14:paraId="1BF3E007" w14:textId="09A44B69" w:rsidR="000229FE" w:rsidRPr="00743512" w:rsidRDefault="000229FE" w:rsidP="00836DF6">
            <w:pPr>
              <w:pStyle w:val="TableText0"/>
              <w:keepNext w:val="0"/>
              <w:rPr>
                <w:sz w:val="20"/>
                <w:szCs w:val="20"/>
              </w:rPr>
            </w:pPr>
            <w:r w:rsidRPr="00743512">
              <w:rPr>
                <w:sz w:val="20"/>
                <w:szCs w:val="20"/>
              </w:rPr>
              <w:t>Price (effective DPMQ)</w:t>
            </w:r>
          </w:p>
        </w:tc>
        <w:tc>
          <w:tcPr>
            <w:tcW w:w="731" w:type="pct"/>
            <w:shd w:val="clear" w:color="auto" w:fill="C6D9F1" w:themeFill="text2" w:themeFillTint="33"/>
          </w:tcPr>
          <w:p w14:paraId="75E63033" w14:textId="35E96B50" w:rsidR="000229FE" w:rsidRPr="00743512" w:rsidRDefault="00F32823" w:rsidP="00836DF6">
            <w:pPr>
              <w:pStyle w:val="TableText0"/>
              <w:keepNext w:val="0"/>
              <w:rPr>
                <w:sz w:val="20"/>
                <w:szCs w:val="20"/>
              </w:rPr>
            </w:pPr>
            <w:r w:rsidRPr="00F32823">
              <w:rPr>
                <w:sz w:val="20"/>
                <w:szCs w:val="20"/>
              </w:rPr>
              <w:t>$</w:t>
            </w:r>
            <w:r w:rsidR="00632DCB" w:rsidRPr="00F32823">
              <w:rPr>
                <w:color w:val="000000"/>
                <w:spacing w:val="49"/>
                <w:sz w:val="20"/>
                <w:szCs w:val="20"/>
                <w:shd w:val="solid" w:color="000000" w:fill="000000"/>
                <w:fitText w:val="320" w:id="-1032088822"/>
                <w14:textFill>
                  <w14:solidFill>
                    <w14:srgbClr w14:val="000000">
                      <w14:alpha w14:val="100000"/>
                    </w14:srgbClr>
                  </w14:solidFill>
                </w14:textFill>
              </w:rPr>
              <w:t>|||</w:t>
            </w:r>
            <w:r w:rsidR="00632DCB" w:rsidRPr="00F32823">
              <w:rPr>
                <w:color w:val="000000"/>
                <w:spacing w:val="3"/>
                <w:sz w:val="20"/>
                <w:szCs w:val="20"/>
                <w:shd w:val="solid" w:color="000000" w:fill="000000"/>
                <w:fitText w:val="320" w:id="-1032088822"/>
                <w14:textFill>
                  <w14:solidFill>
                    <w14:srgbClr w14:val="000000">
                      <w14:alpha w14:val="100000"/>
                    </w14:srgbClr>
                  </w14:solidFill>
                </w14:textFill>
              </w:rPr>
              <w:t>|</w:t>
            </w:r>
          </w:p>
        </w:tc>
        <w:tc>
          <w:tcPr>
            <w:tcW w:w="733" w:type="pct"/>
            <w:shd w:val="clear" w:color="auto" w:fill="C6D9F1" w:themeFill="text2" w:themeFillTint="33"/>
          </w:tcPr>
          <w:p w14:paraId="1AD4158E" w14:textId="77777777" w:rsidR="000229FE" w:rsidRPr="00743512" w:rsidRDefault="000229FE" w:rsidP="00836DF6">
            <w:pPr>
              <w:pStyle w:val="TableText0"/>
              <w:keepNext w:val="0"/>
              <w:rPr>
                <w:sz w:val="20"/>
                <w:szCs w:val="20"/>
              </w:rPr>
            </w:pPr>
            <w:r w:rsidRPr="00743512">
              <w:rPr>
                <w:sz w:val="20"/>
                <w:szCs w:val="20"/>
              </w:rPr>
              <w:t>–</w:t>
            </w:r>
          </w:p>
        </w:tc>
        <w:tc>
          <w:tcPr>
            <w:tcW w:w="995" w:type="pct"/>
          </w:tcPr>
          <w:p w14:paraId="3D5E2AC0" w14:textId="207F4D9E" w:rsidR="000229FE" w:rsidRPr="00743512" w:rsidRDefault="00F32823" w:rsidP="00836DF6">
            <w:pPr>
              <w:pStyle w:val="TableText0"/>
              <w:keepNext w:val="0"/>
              <w:rPr>
                <w:sz w:val="20"/>
                <w:szCs w:val="20"/>
              </w:rPr>
            </w:pPr>
            <w:r w:rsidRPr="00F32823">
              <w:rPr>
                <w:sz w:val="20"/>
                <w:szCs w:val="20"/>
              </w:rPr>
              <w:t>$</w:t>
            </w:r>
            <w:r w:rsidR="00632DCB" w:rsidRPr="00F32823">
              <w:rPr>
                <w:color w:val="000000"/>
                <w:spacing w:val="49"/>
                <w:sz w:val="20"/>
                <w:szCs w:val="20"/>
                <w:shd w:val="solid" w:color="000000" w:fill="000000"/>
                <w:fitText w:val="320" w:id="-1032088821"/>
                <w14:textFill>
                  <w14:solidFill>
                    <w14:srgbClr w14:val="000000">
                      <w14:alpha w14:val="100000"/>
                    </w14:srgbClr>
                  </w14:solidFill>
                </w14:textFill>
              </w:rPr>
              <w:t>|||</w:t>
            </w:r>
            <w:r w:rsidR="00632DCB" w:rsidRPr="00F32823">
              <w:rPr>
                <w:color w:val="000000"/>
                <w:spacing w:val="3"/>
                <w:sz w:val="20"/>
                <w:szCs w:val="20"/>
                <w:shd w:val="solid" w:color="000000" w:fill="000000"/>
                <w:fitText w:val="320" w:id="-1032088821"/>
                <w14:textFill>
                  <w14:solidFill>
                    <w14:srgbClr w14:val="000000">
                      <w14:alpha w14:val="100000"/>
                    </w14:srgbClr>
                  </w14:solidFill>
                </w14:textFill>
              </w:rPr>
              <w:t>|</w:t>
            </w:r>
          </w:p>
          <w:p w14:paraId="554BBA55" w14:textId="536B75C6" w:rsidR="005A5F28" w:rsidRPr="00743512" w:rsidRDefault="005A5F28" w:rsidP="00836DF6">
            <w:pPr>
              <w:pStyle w:val="TableText0"/>
              <w:keepNext w:val="0"/>
              <w:rPr>
                <w:sz w:val="20"/>
                <w:szCs w:val="20"/>
              </w:rPr>
            </w:pPr>
            <w:r w:rsidRPr="00743512">
              <w:rPr>
                <w:sz w:val="20"/>
                <w:szCs w:val="20"/>
              </w:rPr>
              <w:t xml:space="preserve">This was reduced to </w:t>
            </w:r>
            <w:r w:rsidR="00F32823" w:rsidRPr="00F32823">
              <w:rPr>
                <w:sz w:val="20"/>
                <w:szCs w:val="20"/>
              </w:rPr>
              <w:t>$</w:t>
            </w:r>
            <w:r w:rsidR="00632DCB" w:rsidRPr="00F32823">
              <w:rPr>
                <w:color w:val="000000"/>
                <w:spacing w:val="49"/>
                <w:sz w:val="20"/>
                <w:szCs w:val="20"/>
                <w:shd w:val="solid" w:color="000000" w:fill="000000"/>
                <w:fitText w:val="320" w:id="-1032088820"/>
                <w14:textFill>
                  <w14:solidFill>
                    <w14:srgbClr w14:val="000000">
                      <w14:alpha w14:val="100000"/>
                    </w14:srgbClr>
                  </w14:solidFill>
                </w14:textFill>
              </w:rPr>
              <w:t>|||</w:t>
            </w:r>
            <w:r w:rsidR="00632DCB" w:rsidRPr="00F32823">
              <w:rPr>
                <w:color w:val="000000"/>
                <w:spacing w:val="3"/>
                <w:sz w:val="20"/>
                <w:szCs w:val="20"/>
                <w:shd w:val="solid" w:color="000000" w:fill="000000"/>
                <w:fitText w:val="320" w:id="-1032088820"/>
                <w14:textFill>
                  <w14:solidFill>
                    <w14:srgbClr w14:val="000000">
                      <w14:alpha w14:val="100000"/>
                    </w14:srgbClr>
                  </w14:solidFill>
                </w14:textFill>
              </w:rPr>
              <w:t>|</w:t>
            </w:r>
            <w:r w:rsidRPr="00743512">
              <w:rPr>
                <w:sz w:val="20"/>
                <w:szCs w:val="20"/>
              </w:rPr>
              <w:t xml:space="preserve"> in the pre-PBAC response.</w:t>
            </w:r>
          </w:p>
        </w:tc>
        <w:tc>
          <w:tcPr>
            <w:tcW w:w="1147" w:type="pct"/>
          </w:tcPr>
          <w:p w14:paraId="55382F3C" w14:textId="250C01A1" w:rsidR="000229FE" w:rsidRPr="00743512" w:rsidRDefault="000229FE" w:rsidP="00836DF6">
            <w:pPr>
              <w:pStyle w:val="TableText0"/>
              <w:keepNext w:val="0"/>
              <w:rPr>
                <w:sz w:val="20"/>
                <w:szCs w:val="20"/>
              </w:rPr>
            </w:pPr>
            <w:r w:rsidRPr="00743512">
              <w:rPr>
                <w:sz w:val="20"/>
                <w:szCs w:val="20"/>
              </w:rPr>
              <w:t>–</w:t>
            </w:r>
          </w:p>
        </w:tc>
      </w:tr>
      <w:tr w:rsidR="000229FE" w:rsidRPr="00743512" w14:paraId="027010D1" w14:textId="77777777" w:rsidTr="001074C6">
        <w:trPr>
          <w:cantSplit/>
          <w:trHeight w:val="114"/>
        </w:trPr>
        <w:tc>
          <w:tcPr>
            <w:tcW w:w="222" w:type="pct"/>
          </w:tcPr>
          <w:p w14:paraId="6BD1BCD5" w14:textId="11349414" w:rsidR="000229FE" w:rsidRPr="00743512" w:rsidRDefault="000229FE" w:rsidP="00836DF6">
            <w:pPr>
              <w:pStyle w:val="TableText0"/>
              <w:keepNext w:val="0"/>
              <w:rPr>
                <w:sz w:val="20"/>
                <w:szCs w:val="20"/>
              </w:rPr>
            </w:pPr>
            <w:r w:rsidRPr="00743512">
              <w:rPr>
                <w:sz w:val="20"/>
                <w:szCs w:val="20"/>
              </w:rPr>
              <w:t>2</w:t>
            </w:r>
          </w:p>
        </w:tc>
        <w:tc>
          <w:tcPr>
            <w:tcW w:w="1173" w:type="pct"/>
          </w:tcPr>
          <w:p w14:paraId="283259D5" w14:textId="1FB17B04" w:rsidR="000229FE" w:rsidRPr="00743512" w:rsidRDefault="000229FE" w:rsidP="00836DF6">
            <w:pPr>
              <w:pStyle w:val="TableText0"/>
              <w:keepNext w:val="0"/>
              <w:rPr>
                <w:sz w:val="20"/>
                <w:szCs w:val="20"/>
              </w:rPr>
            </w:pPr>
            <w:r w:rsidRPr="00743512">
              <w:rPr>
                <w:sz w:val="20"/>
                <w:szCs w:val="20"/>
              </w:rPr>
              <w:t>Unit cost of g</w:t>
            </w:r>
            <w:r w:rsidR="00CD50D4" w:rsidRPr="00743512">
              <w:rPr>
                <w:i/>
                <w:sz w:val="20"/>
                <w:szCs w:val="20"/>
              </w:rPr>
              <w:t>BRCA</w:t>
            </w:r>
            <w:r w:rsidRPr="00743512">
              <w:rPr>
                <w:sz w:val="20"/>
                <w:szCs w:val="20"/>
              </w:rPr>
              <w:t xml:space="preserve"> test</w:t>
            </w:r>
          </w:p>
        </w:tc>
        <w:tc>
          <w:tcPr>
            <w:tcW w:w="731" w:type="pct"/>
            <w:shd w:val="clear" w:color="auto" w:fill="C6D9F1" w:themeFill="text2" w:themeFillTint="33"/>
          </w:tcPr>
          <w:p w14:paraId="2EAD08D6" w14:textId="77777777" w:rsidR="000229FE" w:rsidRPr="00372E25" w:rsidRDefault="000229FE" w:rsidP="00836DF6">
            <w:pPr>
              <w:pStyle w:val="TableText0"/>
              <w:keepNext w:val="0"/>
              <w:rPr>
                <w:sz w:val="20"/>
                <w:szCs w:val="20"/>
              </w:rPr>
            </w:pPr>
            <w:r w:rsidRPr="00372E25">
              <w:rPr>
                <w:sz w:val="20"/>
                <w:szCs w:val="20"/>
              </w:rPr>
              <w:t>$1,200</w:t>
            </w:r>
          </w:p>
        </w:tc>
        <w:tc>
          <w:tcPr>
            <w:tcW w:w="733" w:type="pct"/>
            <w:shd w:val="clear" w:color="auto" w:fill="C6D9F1" w:themeFill="text2" w:themeFillTint="33"/>
          </w:tcPr>
          <w:p w14:paraId="3F38C605" w14:textId="18AC1D2B" w:rsidR="000229FE" w:rsidRPr="00372E25" w:rsidRDefault="000229FE" w:rsidP="00836DF6">
            <w:pPr>
              <w:pStyle w:val="TableText0"/>
              <w:keepNext w:val="0"/>
              <w:rPr>
                <w:sz w:val="20"/>
                <w:szCs w:val="20"/>
              </w:rPr>
            </w:pPr>
            <w:r w:rsidRPr="00372E25">
              <w:rPr>
                <w:sz w:val="20"/>
                <w:szCs w:val="20"/>
              </w:rPr>
              <w:t>The price for g</w:t>
            </w:r>
            <w:r w:rsidR="00CD50D4" w:rsidRPr="00372E25">
              <w:rPr>
                <w:i/>
                <w:sz w:val="20"/>
                <w:szCs w:val="20"/>
              </w:rPr>
              <w:t>BRCA</w:t>
            </w:r>
            <w:r w:rsidRPr="00372E25">
              <w:rPr>
                <w:sz w:val="20"/>
                <w:szCs w:val="20"/>
              </w:rPr>
              <w:t xml:space="preserve"> testing to be investigated</w:t>
            </w:r>
          </w:p>
        </w:tc>
        <w:tc>
          <w:tcPr>
            <w:tcW w:w="995" w:type="pct"/>
          </w:tcPr>
          <w:p w14:paraId="00118437" w14:textId="77777777" w:rsidR="000229FE" w:rsidRPr="00372E25" w:rsidRDefault="000229FE" w:rsidP="00836DF6">
            <w:pPr>
              <w:pStyle w:val="TableText0"/>
              <w:keepNext w:val="0"/>
              <w:rPr>
                <w:sz w:val="20"/>
                <w:szCs w:val="20"/>
              </w:rPr>
            </w:pPr>
            <w:r w:rsidRPr="00372E25">
              <w:rPr>
                <w:sz w:val="20"/>
                <w:szCs w:val="20"/>
              </w:rPr>
              <w:t>$1,000</w:t>
            </w:r>
          </w:p>
        </w:tc>
        <w:tc>
          <w:tcPr>
            <w:tcW w:w="1147" w:type="pct"/>
          </w:tcPr>
          <w:p w14:paraId="3B09CFA7" w14:textId="0BD88731" w:rsidR="000229FE" w:rsidRPr="00372E25" w:rsidRDefault="000229FE" w:rsidP="00836DF6">
            <w:pPr>
              <w:pStyle w:val="TableText0"/>
              <w:keepNext w:val="0"/>
              <w:rPr>
                <w:sz w:val="20"/>
                <w:szCs w:val="20"/>
              </w:rPr>
            </w:pPr>
            <w:r w:rsidRPr="00372E25">
              <w:rPr>
                <w:sz w:val="20"/>
                <w:szCs w:val="20"/>
              </w:rPr>
              <w:t>Proposed fee of $1,200</w:t>
            </w:r>
            <w:r w:rsidR="00A008A9" w:rsidRPr="00372E25">
              <w:rPr>
                <w:sz w:val="20"/>
                <w:szCs w:val="20"/>
              </w:rPr>
              <w:t xml:space="preserve"> applied in alternative base case</w:t>
            </w:r>
            <w:r w:rsidRPr="00372E25">
              <w:rPr>
                <w:sz w:val="20"/>
                <w:szCs w:val="20"/>
              </w:rPr>
              <w:t xml:space="preserve">. </w:t>
            </w:r>
          </w:p>
        </w:tc>
      </w:tr>
      <w:tr w:rsidR="000229FE" w:rsidRPr="00743512" w14:paraId="5175499A" w14:textId="77777777" w:rsidTr="001074C6">
        <w:trPr>
          <w:cantSplit/>
        </w:trPr>
        <w:tc>
          <w:tcPr>
            <w:tcW w:w="222" w:type="pct"/>
          </w:tcPr>
          <w:p w14:paraId="660C00B0" w14:textId="085D3D95" w:rsidR="000229FE" w:rsidRPr="00743512" w:rsidRDefault="000229FE" w:rsidP="00836DF6">
            <w:pPr>
              <w:pStyle w:val="TableText0"/>
              <w:keepNext w:val="0"/>
              <w:rPr>
                <w:sz w:val="20"/>
                <w:szCs w:val="20"/>
              </w:rPr>
            </w:pPr>
            <w:r w:rsidRPr="00743512">
              <w:rPr>
                <w:sz w:val="20"/>
                <w:szCs w:val="20"/>
              </w:rPr>
              <w:t>3</w:t>
            </w:r>
          </w:p>
        </w:tc>
        <w:tc>
          <w:tcPr>
            <w:tcW w:w="1173" w:type="pct"/>
          </w:tcPr>
          <w:p w14:paraId="2041C631" w14:textId="68462526" w:rsidR="000229FE" w:rsidRPr="00743512" w:rsidRDefault="000229FE" w:rsidP="00836DF6">
            <w:pPr>
              <w:pStyle w:val="TableText0"/>
              <w:keepNext w:val="0"/>
              <w:rPr>
                <w:sz w:val="20"/>
                <w:szCs w:val="20"/>
              </w:rPr>
            </w:pPr>
            <w:r w:rsidRPr="00743512">
              <w:rPr>
                <w:sz w:val="20"/>
                <w:szCs w:val="20"/>
              </w:rPr>
              <w:t>Truncation point for IDFS data</w:t>
            </w:r>
          </w:p>
        </w:tc>
        <w:tc>
          <w:tcPr>
            <w:tcW w:w="731" w:type="pct"/>
            <w:shd w:val="clear" w:color="auto" w:fill="C6D9F1" w:themeFill="text2" w:themeFillTint="33"/>
          </w:tcPr>
          <w:p w14:paraId="165D1C59" w14:textId="77777777" w:rsidR="000229FE" w:rsidRPr="00743512" w:rsidRDefault="000229FE" w:rsidP="00836DF6">
            <w:pPr>
              <w:pStyle w:val="TableText0"/>
              <w:keepNext w:val="0"/>
              <w:rPr>
                <w:sz w:val="20"/>
                <w:szCs w:val="20"/>
              </w:rPr>
            </w:pPr>
            <w:r w:rsidRPr="00743512">
              <w:rPr>
                <w:sz w:val="20"/>
                <w:szCs w:val="20"/>
              </w:rPr>
              <w:t xml:space="preserve">42 months </w:t>
            </w:r>
          </w:p>
        </w:tc>
        <w:tc>
          <w:tcPr>
            <w:tcW w:w="733" w:type="pct"/>
            <w:shd w:val="clear" w:color="auto" w:fill="C6D9F1" w:themeFill="text2" w:themeFillTint="33"/>
          </w:tcPr>
          <w:p w14:paraId="0D1544F2" w14:textId="77777777" w:rsidR="000229FE" w:rsidRPr="00743512" w:rsidRDefault="000229FE" w:rsidP="00836DF6">
            <w:pPr>
              <w:pStyle w:val="TableText0"/>
              <w:keepNext w:val="0"/>
              <w:rPr>
                <w:sz w:val="20"/>
                <w:szCs w:val="20"/>
              </w:rPr>
            </w:pPr>
            <w:r w:rsidRPr="00743512">
              <w:rPr>
                <w:sz w:val="20"/>
                <w:szCs w:val="20"/>
              </w:rPr>
              <w:t>60 months</w:t>
            </w:r>
          </w:p>
        </w:tc>
        <w:tc>
          <w:tcPr>
            <w:tcW w:w="995" w:type="pct"/>
          </w:tcPr>
          <w:p w14:paraId="0402BDC0" w14:textId="073C6A07" w:rsidR="000229FE" w:rsidRPr="00743512" w:rsidRDefault="000229FE" w:rsidP="00836DF6">
            <w:pPr>
              <w:pStyle w:val="TableText0"/>
              <w:keepNext w:val="0"/>
              <w:rPr>
                <w:sz w:val="20"/>
                <w:szCs w:val="20"/>
              </w:rPr>
            </w:pPr>
            <w:r w:rsidRPr="00743512">
              <w:rPr>
                <w:sz w:val="20"/>
                <w:szCs w:val="20"/>
              </w:rPr>
              <w:t>48 months</w:t>
            </w:r>
            <w:r w:rsidR="005A5F28" w:rsidRPr="00743512">
              <w:rPr>
                <w:sz w:val="20"/>
                <w:szCs w:val="20"/>
              </w:rPr>
              <w:t>. This was adjusted to 54 months in the pre</w:t>
            </w:r>
            <w:r w:rsidR="00A008A9" w:rsidRPr="00743512">
              <w:rPr>
                <w:sz w:val="20"/>
                <w:szCs w:val="20"/>
              </w:rPr>
              <w:noBreakHyphen/>
            </w:r>
            <w:r w:rsidR="005A5F28" w:rsidRPr="00743512">
              <w:rPr>
                <w:sz w:val="20"/>
                <w:szCs w:val="20"/>
              </w:rPr>
              <w:t>PBAC response.</w:t>
            </w:r>
          </w:p>
        </w:tc>
        <w:tc>
          <w:tcPr>
            <w:tcW w:w="1147" w:type="pct"/>
          </w:tcPr>
          <w:p w14:paraId="78362D50" w14:textId="3B8F6C76" w:rsidR="000229FE" w:rsidRPr="00743512" w:rsidRDefault="000229FE" w:rsidP="00836DF6">
            <w:pPr>
              <w:pStyle w:val="TableText0"/>
              <w:keepNext w:val="0"/>
              <w:rPr>
                <w:sz w:val="20"/>
                <w:szCs w:val="20"/>
              </w:rPr>
            </w:pPr>
            <w:r w:rsidRPr="00743512">
              <w:rPr>
                <w:sz w:val="20"/>
                <w:szCs w:val="20"/>
              </w:rPr>
              <w:t xml:space="preserve">Not in line with </w:t>
            </w:r>
            <w:r w:rsidR="00804BD1" w:rsidRPr="00743512">
              <w:rPr>
                <w:sz w:val="20"/>
                <w:szCs w:val="20"/>
              </w:rPr>
              <w:t>previous</w:t>
            </w:r>
            <w:r w:rsidR="00A008A9" w:rsidRPr="00743512">
              <w:rPr>
                <w:sz w:val="20"/>
                <w:szCs w:val="20"/>
              </w:rPr>
              <w:t xml:space="preserve"> </w:t>
            </w:r>
            <w:r w:rsidRPr="00743512">
              <w:rPr>
                <w:sz w:val="20"/>
                <w:szCs w:val="20"/>
              </w:rPr>
              <w:t xml:space="preserve">PBAC advice. </w:t>
            </w:r>
          </w:p>
        </w:tc>
      </w:tr>
      <w:tr w:rsidR="000229FE" w:rsidRPr="00743512" w14:paraId="2CFF954A" w14:textId="77777777" w:rsidTr="001074C6">
        <w:trPr>
          <w:cantSplit/>
        </w:trPr>
        <w:tc>
          <w:tcPr>
            <w:tcW w:w="222" w:type="pct"/>
          </w:tcPr>
          <w:p w14:paraId="49B91185" w14:textId="7C14798A" w:rsidR="000229FE" w:rsidRPr="00743512" w:rsidRDefault="000229FE" w:rsidP="00836DF6">
            <w:pPr>
              <w:pStyle w:val="TableText0"/>
              <w:keepNext w:val="0"/>
              <w:rPr>
                <w:sz w:val="20"/>
                <w:szCs w:val="20"/>
              </w:rPr>
            </w:pPr>
            <w:r w:rsidRPr="00743512">
              <w:rPr>
                <w:sz w:val="20"/>
                <w:szCs w:val="20"/>
              </w:rPr>
              <w:t>4</w:t>
            </w:r>
          </w:p>
        </w:tc>
        <w:tc>
          <w:tcPr>
            <w:tcW w:w="1173" w:type="pct"/>
          </w:tcPr>
          <w:p w14:paraId="1B957662" w14:textId="5E4DACE3" w:rsidR="000229FE" w:rsidRPr="00743512" w:rsidRDefault="000229FE" w:rsidP="00836DF6">
            <w:pPr>
              <w:pStyle w:val="TableText0"/>
              <w:keepNext w:val="0"/>
              <w:rPr>
                <w:sz w:val="20"/>
                <w:szCs w:val="20"/>
              </w:rPr>
            </w:pPr>
            <w:r w:rsidRPr="00743512">
              <w:rPr>
                <w:sz w:val="20"/>
                <w:szCs w:val="20"/>
              </w:rPr>
              <w:t xml:space="preserve">SMR applied to background mortality for </w:t>
            </w:r>
            <w:r w:rsidR="00CD50D4" w:rsidRPr="00743512">
              <w:rPr>
                <w:i/>
                <w:sz w:val="20"/>
                <w:szCs w:val="20"/>
              </w:rPr>
              <w:t>BRCA</w:t>
            </w:r>
            <w:r w:rsidRPr="00743512">
              <w:rPr>
                <w:sz w:val="20"/>
                <w:szCs w:val="20"/>
              </w:rPr>
              <w:t xml:space="preserve"> patients</w:t>
            </w:r>
          </w:p>
        </w:tc>
        <w:tc>
          <w:tcPr>
            <w:tcW w:w="731" w:type="pct"/>
            <w:shd w:val="clear" w:color="auto" w:fill="C6D9F1" w:themeFill="text2" w:themeFillTint="33"/>
          </w:tcPr>
          <w:p w14:paraId="4FEB547C" w14:textId="77777777" w:rsidR="000229FE" w:rsidRPr="00743512" w:rsidRDefault="000229FE" w:rsidP="00836DF6">
            <w:pPr>
              <w:pStyle w:val="TableText0"/>
              <w:keepNext w:val="0"/>
              <w:rPr>
                <w:sz w:val="20"/>
                <w:szCs w:val="20"/>
              </w:rPr>
            </w:pPr>
            <w:r w:rsidRPr="00743512">
              <w:rPr>
                <w:sz w:val="20"/>
                <w:szCs w:val="20"/>
              </w:rPr>
              <w:t xml:space="preserve">1.46 </w:t>
            </w:r>
          </w:p>
        </w:tc>
        <w:tc>
          <w:tcPr>
            <w:tcW w:w="733" w:type="pct"/>
            <w:shd w:val="clear" w:color="auto" w:fill="C6D9F1" w:themeFill="text2" w:themeFillTint="33"/>
          </w:tcPr>
          <w:p w14:paraId="1214EC72" w14:textId="77777777" w:rsidR="000229FE" w:rsidRPr="00743512" w:rsidRDefault="000229FE" w:rsidP="00836DF6">
            <w:pPr>
              <w:pStyle w:val="TableText0"/>
              <w:keepNext w:val="0"/>
              <w:rPr>
                <w:sz w:val="20"/>
                <w:szCs w:val="20"/>
              </w:rPr>
            </w:pPr>
            <w:r w:rsidRPr="00743512">
              <w:rPr>
                <w:sz w:val="20"/>
                <w:szCs w:val="20"/>
              </w:rPr>
              <w:t>2</w:t>
            </w:r>
          </w:p>
        </w:tc>
        <w:tc>
          <w:tcPr>
            <w:tcW w:w="995" w:type="pct"/>
          </w:tcPr>
          <w:p w14:paraId="1A4E4583" w14:textId="582D759E" w:rsidR="000229FE" w:rsidRPr="00743512" w:rsidRDefault="000229FE" w:rsidP="001074C6">
            <w:pPr>
              <w:pStyle w:val="TableText0"/>
              <w:keepNext w:val="0"/>
              <w:rPr>
                <w:sz w:val="20"/>
                <w:szCs w:val="20"/>
              </w:rPr>
            </w:pPr>
            <w:r w:rsidRPr="00743512">
              <w:rPr>
                <w:sz w:val="20"/>
                <w:szCs w:val="20"/>
              </w:rPr>
              <w:t>1.61</w:t>
            </w:r>
            <w:r w:rsidR="001074C6" w:rsidRPr="00743512">
              <w:rPr>
                <w:sz w:val="20"/>
                <w:szCs w:val="20"/>
              </w:rPr>
              <w:t xml:space="preserve"> </w:t>
            </w:r>
            <w:r w:rsidRPr="00743512">
              <w:rPr>
                <w:sz w:val="20"/>
                <w:szCs w:val="20"/>
              </w:rPr>
              <w:t xml:space="preserve">(non-mBC deaths in OlympiA vs. ABS lifetables) </w:t>
            </w:r>
          </w:p>
        </w:tc>
        <w:tc>
          <w:tcPr>
            <w:tcW w:w="1147" w:type="pct"/>
          </w:tcPr>
          <w:p w14:paraId="47CD6098" w14:textId="5DE9EF5D" w:rsidR="000229FE" w:rsidRPr="00743512" w:rsidRDefault="000229FE" w:rsidP="00836DF6">
            <w:pPr>
              <w:pStyle w:val="TableText0"/>
              <w:keepNext w:val="0"/>
              <w:rPr>
                <w:sz w:val="20"/>
                <w:szCs w:val="20"/>
              </w:rPr>
            </w:pPr>
            <w:r w:rsidRPr="00743512">
              <w:rPr>
                <w:sz w:val="20"/>
                <w:szCs w:val="20"/>
              </w:rPr>
              <w:t xml:space="preserve">Not in line with </w:t>
            </w:r>
            <w:r w:rsidR="00804BD1" w:rsidRPr="00743512">
              <w:rPr>
                <w:sz w:val="20"/>
                <w:szCs w:val="20"/>
              </w:rPr>
              <w:t>previous</w:t>
            </w:r>
            <w:r w:rsidR="00A008A9" w:rsidRPr="00743512">
              <w:rPr>
                <w:sz w:val="20"/>
                <w:szCs w:val="20"/>
              </w:rPr>
              <w:t xml:space="preserve"> </w:t>
            </w:r>
            <w:r w:rsidRPr="00743512">
              <w:rPr>
                <w:sz w:val="20"/>
                <w:szCs w:val="20"/>
              </w:rPr>
              <w:t xml:space="preserve">PBAC advice (SMR=2). </w:t>
            </w:r>
          </w:p>
        </w:tc>
      </w:tr>
      <w:tr w:rsidR="000229FE" w:rsidRPr="00743512" w14:paraId="7A507C69" w14:textId="77777777" w:rsidTr="001074C6">
        <w:trPr>
          <w:cantSplit/>
          <w:trHeight w:val="300"/>
        </w:trPr>
        <w:tc>
          <w:tcPr>
            <w:tcW w:w="222" w:type="pct"/>
          </w:tcPr>
          <w:p w14:paraId="07D44234" w14:textId="0E57E6D1" w:rsidR="000229FE" w:rsidRPr="00743512" w:rsidRDefault="000229FE" w:rsidP="00836DF6">
            <w:pPr>
              <w:pStyle w:val="TableText0"/>
              <w:keepNext w:val="0"/>
              <w:rPr>
                <w:sz w:val="20"/>
                <w:szCs w:val="20"/>
              </w:rPr>
            </w:pPr>
            <w:r w:rsidRPr="00743512">
              <w:rPr>
                <w:sz w:val="20"/>
                <w:szCs w:val="20"/>
              </w:rPr>
              <w:t>5</w:t>
            </w:r>
          </w:p>
        </w:tc>
        <w:tc>
          <w:tcPr>
            <w:tcW w:w="1173" w:type="pct"/>
          </w:tcPr>
          <w:p w14:paraId="640F0B34" w14:textId="5BE1FDD9" w:rsidR="000229FE" w:rsidRPr="00743512" w:rsidRDefault="000229FE" w:rsidP="00836DF6">
            <w:pPr>
              <w:pStyle w:val="TableText0"/>
              <w:keepNext w:val="0"/>
              <w:rPr>
                <w:sz w:val="20"/>
                <w:szCs w:val="20"/>
              </w:rPr>
            </w:pPr>
            <w:r w:rsidRPr="00743512">
              <w:rPr>
                <w:sz w:val="20"/>
                <w:szCs w:val="20"/>
              </w:rPr>
              <w:t>Risk of death from early-onset mBC</w:t>
            </w:r>
          </w:p>
        </w:tc>
        <w:tc>
          <w:tcPr>
            <w:tcW w:w="731" w:type="pct"/>
            <w:shd w:val="clear" w:color="auto" w:fill="C6D9F1" w:themeFill="text2" w:themeFillTint="33"/>
          </w:tcPr>
          <w:p w14:paraId="302DA322" w14:textId="77777777" w:rsidR="000229FE" w:rsidRPr="00743512" w:rsidRDefault="000229FE" w:rsidP="00836DF6">
            <w:pPr>
              <w:pStyle w:val="TableText0"/>
              <w:keepNext w:val="0"/>
              <w:rPr>
                <w:sz w:val="20"/>
                <w:szCs w:val="20"/>
              </w:rPr>
            </w:pPr>
            <w:r w:rsidRPr="00743512">
              <w:rPr>
                <w:sz w:val="20"/>
                <w:szCs w:val="20"/>
              </w:rPr>
              <w:t>Equal across two arms, no adjustment for PARP use</w:t>
            </w:r>
          </w:p>
        </w:tc>
        <w:tc>
          <w:tcPr>
            <w:tcW w:w="733" w:type="pct"/>
            <w:shd w:val="clear" w:color="auto" w:fill="C6D9F1" w:themeFill="text2" w:themeFillTint="33"/>
          </w:tcPr>
          <w:p w14:paraId="61D80FA3" w14:textId="77777777" w:rsidR="000229FE" w:rsidRPr="00743512" w:rsidRDefault="000229FE" w:rsidP="00836DF6">
            <w:pPr>
              <w:pStyle w:val="TableText0"/>
              <w:keepNext w:val="0"/>
              <w:rPr>
                <w:sz w:val="20"/>
                <w:szCs w:val="20"/>
              </w:rPr>
            </w:pPr>
            <w:r w:rsidRPr="00743512">
              <w:rPr>
                <w:sz w:val="20"/>
                <w:szCs w:val="20"/>
              </w:rPr>
              <w:t>Arm-specific</w:t>
            </w:r>
          </w:p>
        </w:tc>
        <w:tc>
          <w:tcPr>
            <w:tcW w:w="995" w:type="pct"/>
          </w:tcPr>
          <w:p w14:paraId="38DCDA93" w14:textId="77777777" w:rsidR="000229FE" w:rsidRPr="00743512" w:rsidRDefault="000229FE" w:rsidP="00836DF6">
            <w:pPr>
              <w:pStyle w:val="TableText0"/>
              <w:keepNext w:val="0"/>
              <w:rPr>
                <w:sz w:val="20"/>
                <w:szCs w:val="20"/>
              </w:rPr>
            </w:pPr>
            <w:r w:rsidRPr="00743512">
              <w:rPr>
                <w:sz w:val="20"/>
                <w:szCs w:val="20"/>
              </w:rPr>
              <w:t>Arm-specific, with adjustment for increased PARP use in the mBC setting</w:t>
            </w:r>
          </w:p>
        </w:tc>
        <w:tc>
          <w:tcPr>
            <w:tcW w:w="1147" w:type="pct"/>
          </w:tcPr>
          <w:p w14:paraId="0BBA04A2" w14:textId="27B6AA9D" w:rsidR="000229FE" w:rsidRPr="00743512" w:rsidRDefault="00836DF6" w:rsidP="00836DF6">
            <w:pPr>
              <w:pStyle w:val="TableText0"/>
              <w:keepNext w:val="0"/>
              <w:rPr>
                <w:sz w:val="20"/>
                <w:szCs w:val="20"/>
              </w:rPr>
            </w:pPr>
            <w:r w:rsidRPr="00743512">
              <w:rPr>
                <w:sz w:val="20"/>
                <w:szCs w:val="20"/>
              </w:rPr>
              <w:t>The use of arm-specific data was appropriate, however t</w:t>
            </w:r>
            <w:r w:rsidR="000229FE" w:rsidRPr="00743512">
              <w:rPr>
                <w:sz w:val="20"/>
                <w:szCs w:val="20"/>
              </w:rPr>
              <w:t xml:space="preserve">he adjustment </w:t>
            </w:r>
            <w:r w:rsidRPr="00743512">
              <w:rPr>
                <w:sz w:val="20"/>
                <w:szCs w:val="20"/>
              </w:rPr>
              <w:t xml:space="preserve">for increased PARP use </w:t>
            </w:r>
            <w:r w:rsidR="000229FE" w:rsidRPr="00743512">
              <w:rPr>
                <w:sz w:val="20"/>
                <w:szCs w:val="20"/>
              </w:rPr>
              <w:t xml:space="preserve">was not adequately justified. </w:t>
            </w:r>
          </w:p>
        </w:tc>
      </w:tr>
      <w:tr w:rsidR="000229FE" w:rsidRPr="00743512" w14:paraId="2CC12A6E" w14:textId="77777777" w:rsidTr="001074C6">
        <w:trPr>
          <w:cantSplit/>
        </w:trPr>
        <w:tc>
          <w:tcPr>
            <w:tcW w:w="222" w:type="pct"/>
          </w:tcPr>
          <w:p w14:paraId="17AA9CE8" w14:textId="1438D8B9" w:rsidR="000229FE" w:rsidRPr="00743512" w:rsidRDefault="000229FE" w:rsidP="00836DF6">
            <w:pPr>
              <w:pStyle w:val="TableText0"/>
              <w:keepNext w:val="0"/>
              <w:rPr>
                <w:sz w:val="20"/>
                <w:szCs w:val="20"/>
              </w:rPr>
            </w:pPr>
            <w:r w:rsidRPr="00743512">
              <w:rPr>
                <w:sz w:val="20"/>
                <w:szCs w:val="20"/>
              </w:rPr>
              <w:t>6</w:t>
            </w:r>
          </w:p>
        </w:tc>
        <w:tc>
          <w:tcPr>
            <w:tcW w:w="1173" w:type="pct"/>
          </w:tcPr>
          <w:p w14:paraId="7CC1C5DF" w14:textId="74FC8C98" w:rsidR="000229FE" w:rsidRPr="00743512" w:rsidRDefault="000229FE" w:rsidP="00836DF6">
            <w:pPr>
              <w:pStyle w:val="TableText0"/>
              <w:keepNext w:val="0"/>
              <w:rPr>
                <w:sz w:val="20"/>
                <w:szCs w:val="20"/>
              </w:rPr>
            </w:pPr>
            <w:r w:rsidRPr="00743512">
              <w:rPr>
                <w:sz w:val="20"/>
                <w:szCs w:val="20"/>
              </w:rPr>
              <w:t>Testing rate in HR+, HER2- patients</w:t>
            </w:r>
          </w:p>
        </w:tc>
        <w:tc>
          <w:tcPr>
            <w:tcW w:w="731" w:type="pct"/>
            <w:shd w:val="clear" w:color="auto" w:fill="C6D9F1" w:themeFill="text2" w:themeFillTint="33"/>
          </w:tcPr>
          <w:p w14:paraId="30D0F46C" w14:textId="77777777" w:rsidR="000229FE" w:rsidRPr="00743512" w:rsidRDefault="000229FE" w:rsidP="00836DF6">
            <w:pPr>
              <w:pStyle w:val="TableText0"/>
              <w:keepNext w:val="0"/>
              <w:rPr>
                <w:sz w:val="20"/>
                <w:szCs w:val="20"/>
              </w:rPr>
            </w:pPr>
            <w:r w:rsidRPr="00743512">
              <w:rPr>
                <w:sz w:val="20"/>
                <w:szCs w:val="20"/>
              </w:rPr>
              <w:t>74% (based on rate in TNBC)</w:t>
            </w:r>
          </w:p>
        </w:tc>
        <w:tc>
          <w:tcPr>
            <w:tcW w:w="733" w:type="pct"/>
            <w:shd w:val="clear" w:color="auto" w:fill="C6D9F1" w:themeFill="text2" w:themeFillTint="33"/>
          </w:tcPr>
          <w:p w14:paraId="5B3DA92D" w14:textId="77777777" w:rsidR="000229FE" w:rsidRPr="00743512" w:rsidRDefault="000229FE" w:rsidP="00836DF6">
            <w:pPr>
              <w:pStyle w:val="TableText0"/>
              <w:keepNext w:val="0"/>
              <w:rPr>
                <w:sz w:val="20"/>
                <w:szCs w:val="20"/>
              </w:rPr>
            </w:pPr>
            <w:r w:rsidRPr="00743512">
              <w:rPr>
                <w:sz w:val="20"/>
                <w:szCs w:val="20"/>
              </w:rPr>
              <w:t>20%</w:t>
            </w:r>
          </w:p>
        </w:tc>
        <w:tc>
          <w:tcPr>
            <w:tcW w:w="995" w:type="pct"/>
          </w:tcPr>
          <w:p w14:paraId="67900A4C" w14:textId="77777777" w:rsidR="000229FE" w:rsidRPr="00743512" w:rsidRDefault="000229FE" w:rsidP="00836DF6">
            <w:pPr>
              <w:pStyle w:val="TableText0"/>
              <w:keepNext w:val="0"/>
              <w:rPr>
                <w:sz w:val="20"/>
                <w:szCs w:val="20"/>
              </w:rPr>
            </w:pPr>
            <w:r w:rsidRPr="00743512">
              <w:rPr>
                <w:sz w:val="20"/>
                <w:szCs w:val="20"/>
              </w:rPr>
              <w:t>20%</w:t>
            </w:r>
          </w:p>
        </w:tc>
        <w:tc>
          <w:tcPr>
            <w:tcW w:w="1147" w:type="pct"/>
          </w:tcPr>
          <w:p w14:paraId="1BE7F57B" w14:textId="73D94854" w:rsidR="000229FE" w:rsidRPr="00743512" w:rsidRDefault="000229FE" w:rsidP="00836DF6">
            <w:pPr>
              <w:pStyle w:val="TableText0"/>
              <w:keepNext w:val="0"/>
              <w:rPr>
                <w:sz w:val="20"/>
                <w:szCs w:val="20"/>
              </w:rPr>
            </w:pPr>
            <w:r w:rsidRPr="00743512">
              <w:rPr>
                <w:sz w:val="20"/>
                <w:szCs w:val="20"/>
              </w:rPr>
              <w:t xml:space="preserve">In line with </w:t>
            </w:r>
            <w:r w:rsidR="00804BD1" w:rsidRPr="00743512">
              <w:rPr>
                <w:sz w:val="20"/>
                <w:szCs w:val="20"/>
              </w:rPr>
              <w:t xml:space="preserve">previous </w:t>
            </w:r>
            <w:r w:rsidRPr="00743512">
              <w:rPr>
                <w:sz w:val="20"/>
                <w:szCs w:val="20"/>
              </w:rPr>
              <w:t>PBAC advice</w:t>
            </w:r>
          </w:p>
        </w:tc>
      </w:tr>
      <w:tr w:rsidR="000229FE" w:rsidRPr="00743512" w14:paraId="0A6A963C" w14:textId="77777777" w:rsidTr="001074C6">
        <w:trPr>
          <w:cantSplit/>
        </w:trPr>
        <w:tc>
          <w:tcPr>
            <w:tcW w:w="222" w:type="pct"/>
          </w:tcPr>
          <w:p w14:paraId="751B9C2E" w14:textId="3A37E3D4" w:rsidR="000229FE" w:rsidRPr="00743512" w:rsidRDefault="000229FE" w:rsidP="00836DF6">
            <w:pPr>
              <w:pStyle w:val="TableText0"/>
              <w:keepNext w:val="0"/>
              <w:rPr>
                <w:sz w:val="20"/>
                <w:szCs w:val="20"/>
              </w:rPr>
            </w:pPr>
            <w:r w:rsidRPr="00743512">
              <w:rPr>
                <w:sz w:val="20"/>
                <w:szCs w:val="20"/>
              </w:rPr>
              <w:t>7</w:t>
            </w:r>
          </w:p>
        </w:tc>
        <w:tc>
          <w:tcPr>
            <w:tcW w:w="1173" w:type="pct"/>
          </w:tcPr>
          <w:p w14:paraId="09858107" w14:textId="07522329" w:rsidR="000229FE" w:rsidRPr="00743512" w:rsidRDefault="000229FE" w:rsidP="00836DF6">
            <w:pPr>
              <w:pStyle w:val="TableText0"/>
              <w:keepNext w:val="0"/>
              <w:rPr>
                <w:sz w:val="20"/>
                <w:szCs w:val="20"/>
              </w:rPr>
            </w:pPr>
            <w:r w:rsidRPr="00743512">
              <w:rPr>
                <w:sz w:val="20"/>
                <w:szCs w:val="20"/>
              </w:rPr>
              <w:t>Proportion of TNBC</w:t>
            </w:r>
          </w:p>
        </w:tc>
        <w:tc>
          <w:tcPr>
            <w:tcW w:w="731" w:type="pct"/>
            <w:shd w:val="clear" w:color="auto" w:fill="C6D9F1" w:themeFill="text2" w:themeFillTint="33"/>
          </w:tcPr>
          <w:p w14:paraId="61B38C75" w14:textId="77777777" w:rsidR="000229FE" w:rsidRPr="00743512" w:rsidRDefault="000229FE" w:rsidP="00836DF6">
            <w:pPr>
              <w:pStyle w:val="TableText0"/>
              <w:keepNext w:val="0"/>
              <w:rPr>
                <w:sz w:val="20"/>
                <w:szCs w:val="20"/>
              </w:rPr>
            </w:pPr>
            <w:r w:rsidRPr="00743512">
              <w:rPr>
                <w:sz w:val="20"/>
                <w:szCs w:val="20"/>
              </w:rPr>
              <w:t xml:space="preserve">12.1% </w:t>
            </w:r>
          </w:p>
        </w:tc>
        <w:tc>
          <w:tcPr>
            <w:tcW w:w="733" w:type="pct"/>
            <w:shd w:val="clear" w:color="auto" w:fill="C6D9F1" w:themeFill="text2" w:themeFillTint="33"/>
          </w:tcPr>
          <w:p w14:paraId="40205712" w14:textId="7BF7E0FD" w:rsidR="000229FE" w:rsidRPr="00743512" w:rsidRDefault="000229FE" w:rsidP="00836DF6">
            <w:pPr>
              <w:pStyle w:val="TableText0"/>
              <w:keepNext w:val="0"/>
              <w:rPr>
                <w:sz w:val="20"/>
                <w:szCs w:val="20"/>
              </w:rPr>
            </w:pPr>
            <w:r w:rsidRPr="00743512">
              <w:rPr>
                <w:sz w:val="20"/>
                <w:szCs w:val="20"/>
              </w:rPr>
              <w:t xml:space="preserve">15% </w:t>
            </w:r>
            <w:r w:rsidR="001074C6" w:rsidRPr="00743512">
              <w:rPr>
                <w:sz w:val="20"/>
                <w:szCs w:val="20"/>
              </w:rPr>
              <w:t>s</w:t>
            </w:r>
            <w:r w:rsidRPr="00743512">
              <w:rPr>
                <w:sz w:val="20"/>
                <w:szCs w:val="20"/>
              </w:rPr>
              <w:t>uggested for the financial analysis</w:t>
            </w:r>
          </w:p>
        </w:tc>
        <w:tc>
          <w:tcPr>
            <w:tcW w:w="995" w:type="pct"/>
          </w:tcPr>
          <w:p w14:paraId="33B91CF7" w14:textId="77777777" w:rsidR="000229FE" w:rsidRPr="00743512" w:rsidRDefault="000229FE" w:rsidP="00836DF6">
            <w:pPr>
              <w:pStyle w:val="TableText0"/>
              <w:keepNext w:val="0"/>
              <w:rPr>
                <w:sz w:val="20"/>
                <w:szCs w:val="20"/>
              </w:rPr>
            </w:pPr>
            <w:r w:rsidRPr="00743512">
              <w:rPr>
                <w:sz w:val="20"/>
                <w:szCs w:val="20"/>
              </w:rPr>
              <w:t>15%</w:t>
            </w:r>
          </w:p>
        </w:tc>
        <w:tc>
          <w:tcPr>
            <w:tcW w:w="1147" w:type="pct"/>
          </w:tcPr>
          <w:p w14:paraId="5F98F7E3" w14:textId="2D1C9C98" w:rsidR="000229FE" w:rsidRPr="00743512" w:rsidRDefault="000229FE" w:rsidP="00836DF6">
            <w:pPr>
              <w:pStyle w:val="TableText0"/>
              <w:keepNext w:val="0"/>
              <w:rPr>
                <w:sz w:val="20"/>
                <w:szCs w:val="20"/>
              </w:rPr>
            </w:pPr>
            <w:r w:rsidRPr="00743512">
              <w:rPr>
                <w:sz w:val="20"/>
                <w:szCs w:val="20"/>
              </w:rPr>
              <w:t xml:space="preserve">In line with </w:t>
            </w:r>
            <w:r w:rsidR="00804BD1" w:rsidRPr="00743512">
              <w:rPr>
                <w:sz w:val="20"/>
                <w:szCs w:val="20"/>
              </w:rPr>
              <w:t xml:space="preserve">previous </w:t>
            </w:r>
            <w:r w:rsidRPr="00743512">
              <w:rPr>
                <w:sz w:val="20"/>
                <w:szCs w:val="20"/>
              </w:rPr>
              <w:t>PBAC advice</w:t>
            </w:r>
          </w:p>
        </w:tc>
      </w:tr>
      <w:tr w:rsidR="000229FE" w:rsidRPr="00743512" w14:paraId="5245046B" w14:textId="77777777" w:rsidTr="001074C6">
        <w:trPr>
          <w:cantSplit/>
        </w:trPr>
        <w:tc>
          <w:tcPr>
            <w:tcW w:w="222" w:type="pct"/>
          </w:tcPr>
          <w:p w14:paraId="1D3AFCD8" w14:textId="41A6D674" w:rsidR="000229FE" w:rsidRPr="00743512" w:rsidRDefault="000229FE" w:rsidP="00836DF6">
            <w:pPr>
              <w:pStyle w:val="TableText0"/>
              <w:keepNext w:val="0"/>
              <w:rPr>
                <w:sz w:val="20"/>
                <w:szCs w:val="20"/>
              </w:rPr>
            </w:pPr>
            <w:r w:rsidRPr="00743512">
              <w:rPr>
                <w:sz w:val="20"/>
                <w:szCs w:val="20"/>
              </w:rPr>
              <w:t>8</w:t>
            </w:r>
          </w:p>
        </w:tc>
        <w:tc>
          <w:tcPr>
            <w:tcW w:w="1173" w:type="pct"/>
          </w:tcPr>
          <w:p w14:paraId="36123C50" w14:textId="29F0D2A5" w:rsidR="000229FE" w:rsidRPr="00743512" w:rsidRDefault="000229FE" w:rsidP="00836DF6">
            <w:pPr>
              <w:pStyle w:val="TableText0"/>
              <w:keepNext w:val="0"/>
              <w:rPr>
                <w:sz w:val="20"/>
                <w:szCs w:val="20"/>
              </w:rPr>
            </w:pPr>
            <w:r w:rsidRPr="00743512">
              <w:rPr>
                <w:sz w:val="20"/>
                <w:szCs w:val="20"/>
              </w:rPr>
              <w:t>g</w:t>
            </w:r>
            <w:r w:rsidR="00CD50D4" w:rsidRPr="00743512">
              <w:rPr>
                <w:i/>
                <w:sz w:val="20"/>
                <w:szCs w:val="20"/>
              </w:rPr>
              <w:t>BRCA</w:t>
            </w:r>
            <w:r w:rsidRPr="00743512">
              <w:rPr>
                <w:sz w:val="20"/>
                <w:szCs w:val="20"/>
              </w:rPr>
              <w:t xml:space="preserve"> prevalence in HR+, HER2- breast cancer</w:t>
            </w:r>
          </w:p>
        </w:tc>
        <w:tc>
          <w:tcPr>
            <w:tcW w:w="731" w:type="pct"/>
            <w:shd w:val="clear" w:color="auto" w:fill="C6D9F1" w:themeFill="text2" w:themeFillTint="33"/>
          </w:tcPr>
          <w:p w14:paraId="74A08B99" w14:textId="77777777" w:rsidR="000229FE" w:rsidRPr="00743512" w:rsidRDefault="000229FE" w:rsidP="00836DF6">
            <w:pPr>
              <w:pStyle w:val="TableText0"/>
              <w:keepNext w:val="0"/>
              <w:rPr>
                <w:sz w:val="20"/>
                <w:szCs w:val="20"/>
              </w:rPr>
            </w:pPr>
            <w:r w:rsidRPr="00743512">
              <w:rPr>
                <w:sz w:val="20"/>
                <w:szCs w:val="20"/>
              </w:rPr>
              <w:t>13.25%</w:t>
            </w:r>
          </w:p>
        </w:tc>
        <w:tc>
          <w:tcPr>
            <w:tcW w:w="733" w:type="pct"/>
            <w:shd w:val="clear" w:color="auto" w:fill="C6D9F1" w:themeFill="text2" w:themeFillTint="33"/>
          </w:tcPr>
          <w:p w14:paraId="4E1851CF" w14:textId="77777777" w:rsidR="000229FE" w:rsidRPr="00743512" w:rsidRDefault="000229FE" w:rsidP="00836DF6">
            <w:pPr>
              <w:pStyle w:val="TableText0"/>
              <w:keepNext w:val="0"/>
              <w:rPr>
                <w:sz w:val="20"/>
                <w:szCs w:val="20"/>
              </w:rPr>
            </w:pPr>
            <w:r w:rsidRPr="00743512">
              <w:rPr>
                <w:sz w:val="20"/>
                <w:szCs w:val="20"/>
              </w:rPr>
              <w:t>5% suggested for the financial analysis</w:t>
            </w:r>
          </w:p>
        </w:tc>
        <w:tc>
          <w:tcPr>
            <w:tcW w:w="995" w:type="pct"/>
          </w:tcPr>
          <w:p w14:paraId="16075B54" w14:textId="77777777" w:rsidR="000229FE" w:rsidRPr="00743512" w:rsidRDefault="000229FE" w:rsidP="00836DF6">
            <w:pPr>
              <w:pStyle w:val="TableText0"/>
              <w:keepNext w:val="0"/>
              <w:rPr>
                <w:sz w:val="20"/>
                <w:szCs w:val="20"/>
              </w:rPr>
            </w:pPr>
            <w:r w:rsidRPr="00743512">
              <w:rPr>
                <w:sz w:val="20"/>
                <w:szCs w:val="20"/>
              </w:rPr>
              <w:t>5%</w:t>
            </w:r>
          </w:p>
        </w:tc>
        <w:tc>
          <w:tcPr>
            <w:tcW w:w="1147" w:type="pct"/>
          </w:tcPr>
          <w:p w14:paraId="334752EC" w14:textId="78ACDF18" w:rsidR="000229FE" w:rsidRPr="00743512" w:rsidRDefault="000229FE" w:rsidP="00836DF6">
            <w:pPr>
              <w:pStyle w:val="TableText0"/>
              <w:keepNext w:val="0"/>
              <w:rPr>
                <w:sz w:val="20"/>
                <w:szCs w:val="20"/>
              </w:rPr>
            </w:pPr>
            <w:r w:rsidRPr="00743512">
              <w:rPr>
                <w:sz w:val="20"/>
                <w:szCs w:val="20"/>
              </w:rPr>
              <w:t xml:space="preserve">In line with </w:t>
            </w:r>
            <w:r w:rsidR="00804BD1" w:rsidRPr="00743512">
              <w:rPr>
                <w:sz w:val="20"/>
                <w:szCs w:val="20"/>
              </w:rPr>
              <w:t xml:space="preserve">previous </w:t>
            </w:r>
            <w:r w:rsidRPr="00743512">
              <w:rPr>
                <w:sz w:val="20"/>
                <w:szCs w:val="20"/>
              </w:rPr>
              <w:t>PBAC advice</w:t>
            </w:r>
          </w:p>
        </w:tc>
      </w:tr>
      <w:tr w:rsidR="000229FE" w:rsidRPr="00743512" w14:paraId="004B257A" w14:textId="77777777" w:rsidTr="001074C6">
        <w:trPr>
          <w:cantSplit/>
        </w:trPr>
        <w:tc>
          <w:tcPr>
            <w:tcW w:w="222" w:type="pct"/>
          </w:tcPr>
          <w:p w14:paraId="3199DA3F" w14:textId="21DFFA51" w:rsidR="000229FE" w:rsidRPr="00743512" w:rsidRDefault="000229FE" w:rsidP="00836DF6">
            <w:pPr>
              <w:pStyle w:val="TableText0"/>
              <w:keepNext w:val="0"/>
              <w:rPr>
                <w:sz w:val="20"/>
                <w:szCs w:val="20"/>
              </w:rPr>
            </w:pPr>
            <w:r w:rsidRPr="00743512">
              <w:rPr>
                <w:sz w:val="20"/>
                <w:szCs w:val="20"/>
              </w:rPr>
              <w:t>9</w:t>
            </w:r>
          </w:p>
        </w:tc>
        <w:tc>
          <w:tcPr>
            <w:tcW w:w="1173" w:type="pct"/>
          </w:tcPr>
          <w:p w14:paraId="3CC77129" w14:textId="7B02B2FF" w:rsidR="000229FE" w:rsidRPr="00743512" w:rsidRDefault="000229FE" w:rsidP="00836DF6">
            <w:pPr>
              <w:pStyle w:val="TableText0"/>
              <w:keepNext w:val="0"/>
              <w:rPr>
                <w:sz w:val="20"/>
                <w:szCs w:val="20"/>
              </w:rPr>
            </w:pPr>
            <w:r w:rsidRPr="00743512">
              <w:rPr>
                <w:sz w:val="20"/>
                <w:szCs w:val="20"/>
              </w:rPr>
              <w:t xml:space="preserve">Duration of olaparib treatment </w:t>
            </w:r>
          </w:p>
        </w:tc>
        <w:tc>
          <w:tcPr>
            <w:tcW w:w="731" w:type="pct"/>
            <w:shd w:val="clear" w:color="auto" w:fill="C6D9F1" w:themeFill="text2" w:themeFillTint="33"/>
          </w:tcPr>
          <w:p w14:paraId="4A4D0823" w14:textId="77777777" w:rsidR="000229FE" w:rsidRPr="00743512" w:rsidRDefault="000229FE" w:rsidP="00836DF6">
            <w:pPr>
              <w:pStyle w:val="TableText0"/>
              <w:keepNext w:val="0"/>
              <w:rPr>
                <w:sz w:val="20"/>
                <w:szCs w:val="20"/>
              </w:rPr>
            </w:pPr>
            <w:r w:rsidRPr="00743512">
              <w:rPr>
                <w:sz w:val="20"/>
                <w:szCs w:val="20"/>
              </w:rPr>
              <w:t>10.267 months (based on trial TTD curve)</w:t>
            </w:r>
          </w:p>
        </w:tc>
        <w:tc>
          <w:tcPr>
            <w:tcW w:w="733" w:type="pct"/>
            <w:shd w:val="clear" w:color="auto" w:fill="C6D9F1" w:themeFill="text2" w:themeFillTint="33"/>
          </w:tcPr>
          <w:p w14:paraId="083E032E" w14:textId="77777777" w:rsidR="000229FE" w:rsidRPr="00743512" w:rsidRDefault="000229FE" w:rsidP="00836DF6">
            <w:pPr>
              <w:pStyle w:val="TableText0"/>
              <w:keepNext w:val="0"/>
              <w:rPr>
                <w:sz w:val="20"/>
                <w:szCs w:val="20"/>
              </w:rPr>
            </w:pPr>
            <w:r w:rsidRPr="00743512">
              <w:rPr>
                <w:sz w:val="20"/>
                <w:szCs w:val="20"/>
              </w:rPr>
              <w:t>–</w:t>
            </w:r>
          </w:p>
        </w:tc>
        <w:tc>
          <w:tcPr>
            <w:tcW w:w="995" w:type="pct"/>
          </w:tcPr>
          <w:p w14:paraId="4E0CB4BB" w14:textId="77777777" w:rsidR="000229FE" w:rsidRPr="00743512" w:rsidRDefault="000229FE" w:rsidP="00836DF6">
            <w:pPr>
              <w:pStyle w:val="TableText0"/>
              <w:keepNext w:val="0"/>
              <w:rPr>
                <w:sz w:val="20"/>
                <w:szCs w:val="20"/>
              </w:rPr>
            </w:pPr>
            <w:r w:rsidRPr="00743512">
              <w:rPr>
                <w:sz w:val="20"/>
                <w:szCs w:val="20"/>
              </w:rPr>
              <w:t>9.7 months (based on the mean treatment duration observed in OlympiA)</w:t>
            </w:r>
          </w:p>
        </w:tc>
        <w:tc>
          <w:tcPr>
            <w:tcW w:w="1147" w:type="pct"/>
          </w:tcPr>
          <w:p w14:paraId="587E4C8A" w14:textId="77777777" w:rsidR="000229FE" w:rsidRPr="00743512" w:rsidRDefault="000229FE" w:rsidP="00836DF6">
            <w:pPr>
              <w:pStyle w:val="TableText0"/>
              <w:keepNext w:val="0"/>
              <w:rPr>
                <w:sz w:val="20"/>
                <w:szCs w:val="20"/>
              </w:rPr>
            </w:pPr>
            <w:r w:rsidRPr="00743512">
              <w:rPr>
                <w:sz w:val="20"/>
                <w:szCs w:val="20"/>
              </w:rPr>
              <w:t>The TTD approach appears more accurate, as drug costs would be incurred at the beginning of each model cycle.</w:t>
            </w:r>
          </w:p>
        </w:tc>
      </w:tr>
      <w:tr w:rsidR="000229FE" w:rsidRPr="00743512" w14:paraId="739C05BB" w14:textId="77777777" w:rsidTr="001074C6">
        <w:trPr>
          <w:cantSplit/>
        </w:trPr>
        <w:tc>
          <w:tcPr>
            <w:tcW w:w="222" w:type="pct"/>
          </w:tcPr>
          <w:p w14:paraId="6DDC4A2C" w14:textId="0ECE3648" w:rsidR="000229FE" w:rsidRPr="00743512" w:rsidRDefault="000229FE" w:rsidP="00836DF6">
            <w:pPr>
              <w:pStyle w:val="TableText0"/>
              <w:keepNext w:val="0"/>
              <w:rPr>
                <w:sz w:val="20"/>
                <w:szCs w:val="20"/>
              </w:rPr>
            </w:pPr>
            <w:r w:rsidRPr="00743512">
              <w:rPr>
                <w:sz w:val="20"/>
                <w:szCs w:val="20"/>
              </w:rPr>
              <w:t>10</w:t>
            </w:r>
          </w:p>
        </w:tc>
        <w:tc>
          <w:tcPr>
            <w:tcW w:w="1173" w:type="pct"/>
          </w:tcPr>
          <w:p w14:paraId="5DE9568A" w14:textId="7656753B" w:rsidR="000229FE" w:rsidRPr="00743512" w:rsidRDefault="000229FE" w:rsidP="00836DF6">
            <w:pPr>
              <w:pStyle w:val="TableText0"/>
              <w:keepNext w:val="0"/>
              <w:rPr>
                <w:sz w:val="20"/>
                <w:szCs w:val="20"/>
              </w:rPr>
            </w:pPr>
            <w:r w:rsidRPr="00743512">
              <w:rPr>
                <w:sz w:val="20"/>
                <w:szCs w:val="20"/>
              </w:rPr>
              <w:t>Proportion of patients receiving treatment in the mBC health state</w:t>
            </w:r>
          </w:p>
        </w:tc>
        <w:tc>
          <w:tcPr>
            <w:tcW w:w="731" w:type="pct"/>
            <w:shd w:val="clear" w:color="auto" w:fill="C6D9F1" w:themeFill="text2" w:themeFillTint="33"/>
          </w:tcPr>
          <w:p w14:paraId="5BA9E631" w14:textId="77777777" w:rsidR="000229FE" w:rsidRPr="00743512" w:rsidRDefault="000229FE" w:rsidP="00836DF6">
            <w:pPr>
              <w:pStyle w:val="TableText0"/>
              <w:keepNext w:val="0"/>
              <w:rPr>
                <w:sz w:val="20"/>
                <w:szCs w:val="20"/>
              </w:rPr>
            </w:pPr>
            <w:r w:rsidRPr="00743512">
              <w:rPr>
                <w:sz w:val="20"/>
                <w:szCs w:val="20"/>
              </w:rPr>
              <w:t>100%</w:t>
            </w:r>
          </w:p>
        </w:tc>
        <w:tc>
          <w:tcPr>
            <w:tcW w:w="733" w:type="pct"/>
            <w:shd w:val="clear" w:color="auto" w:fill="C6D9F1" w:themeFill="text2" w:themeFillTint="33"/>
          </w:tcPr>
          <w:p w14:paraId="1FF0C9E8" w14:textId="77777777" w:rsidR="000229FE" w:rsidRPr="00743512" w:rsidRDefault="000229FE" w:rsidP="00836DF6">
            <w:pPr>
              <w:pStyle w:val="TableText0"/>
              <w:keepNext w:val="0"/>
              <w:rPr>
                <w:sz w:val="20"/>
                <w:szCs w:val="20"/>
              </w:rPr>
            </w:pPr>
            <w:r w:rsidRPr="00743512">
              <w:rPr>
                <w:sz w:val="20"/>
                <w:szCs w:val="20"/>
              </w:rPr>
              <w:t>70% (based on the OlympiA trial)</w:t>
            </w:r>
          </w:p>
        </w:tc>
        <w:tc>
          <w:tcPr>
            <w:tcW w:w="995" w:type="pct"/>
          </w:tcPr>
          <w:p w14:paraId="737E9688" w14:textId="77777777" w:rsidR="000229FE" w:rsidRPr="00743512" w:rsidRDefault="000229FE" w:rsidP="00836DF6">
            <w:pPr>
              <w:pStyle w:val="TableText0"/>
              <w:keepNext w:val="0"/>
              <w:rPr>
                <w:sz w:val="20"/>
                <w:szCs w:val="20"/>
              </w:rPr>
            </w:pPr>
            <w:r w:rsidRPr="00743512">
              <w:rPr>
                <w:sz w:val="20"/>
                <w:szCs w:val="20"/>
              </w:rPr>
              <w:t>80%</w:t>
            </w:r>
          </w:p>
        </w:tc>
        <w:tc>
          <w:tcPr>
            <w:tcW w:w="1147" w:type="pct"/>
          </w:tcPr>
          <w:p w14:paraId="5A61C3A9" w14:textId="60895F6A" w:rsidR="000229FE" w:rsidRPr="00743512" w:rsidRDefault="000229FE" w:rsidP="00836DF6">
            <w:pPr>
              <w:pStyle w:val="TableText0"/>
              <w:keepNext w:val="0"/>
              <w:rPr>
                <w:sz w:val="20"/>
                <w:szCs w:val="20"/>
              </w:rPr>
            </w:pPr>
            <w:r w:rsidRPr="00743512">
              <w:rPr>
                <w:sz w:val="20"/>
                <w:szCs w:val="20"/>
              </w:rPr>
              <w:t xml:space="preserve">Trial data </w:t>
            </w:r>
            <w:r w:rsidR="00836DF6" w:rsidRPr="00743512">
              <w:rPr>
                <w:sz w:val="20"/>
                <w:szCs w:val="20"/>
              </w:rPr>
              <w:t xml:space="preserve">are </w:t>
            </w:r>
            <w:r w:rsidRPr="00743512">
              <w:rPr>
                <w:sz w:val="20"/>
                <w:szCs w:val="20"/>
              </w:rPr>
              <w:t>preferred</w:t>
            </w:r>
            <w:r w:rsidR="00157B92" w:rsidRPr="00743512">
              <w:rPr>
                <w:sz w:val="20"/>
                <w:szCs w:val="20"/>
              </w:rPr>
              <w:t xml:space="preserve">. </w:t>
            </w:r>
          </w:p>
        </w:tc>
      </w:tr>
      <w:tr w:rsidR="000229FE" w:rsidRPr="00743512" w14:paraId="678CE3EE" w14:textId="77777777" w:rsidTr="001074C6">
        <w:trPr>
          <w:cantSplit/>
        </w:trPr>
        <w:tc>
          <w:tcPr>
            <w:tcW w:w="222" w:type="pct"/>
          </w:tcPr>
          <w:p w14:paraId="72D366C5" w14:textId="4B545BA3" w:rsidR="000229FE" w:rsidRPr="00743512" w:rsidRDefault="000229FE" w:rsidP="00836DF6">
            <w:pPr>
              <w:pStyle w:val="TableText0"/>
              <w:keepNext w:val="0"/>
              <w:rPr>
                <w:sz w:val="20"/>
                <w:szCs w:val="20"/>
              </w:rPr>
            </w:pPr>
            <w:r w:rsidRPr="00743512">
              <w:rPr>
                <w:sz w:val="20"/>
                <w:szCs w:val="20"/>
              </w:rPr>
              <w:t>11</w:t>
            </w:r>
          </w:p>
        </w:tc>
        <w:tc>
          <w:tcPr>
            <w:tcW w:w="1173" w:type="pct"/>
          </w:tcPr>
          <w:p w14:paraId="4394C0E2" w14:textId="37166FFF" w:rsidR="000229FE" w:rsidRPr="00743512" w:rsidRDefault="000229FE" w:rsidP="00836DF6">
            <w:pPr>
              <w:pStyle w:val="TableText0"/>
              <w:keepNext w:val="0"/>
              <w:rPr>
                <w:sz w:val="20"/>
                <w:szCs w:val="20"/>
              </w:rPr>
            </w:pPr>
            <w:r w:rsidRPr="00743512">
              <w:rPr>
                <w:sz w:val="20"/>
                <w:szCs w:val="20"/>
              </w:rPr>
              <w:t>RDI for sacituzumab govitecan</w:t>
            </w:r>
          </w:p>
        </w:tc>
        <w:tc>
          <w:tcPr>
            <w:tcW w:w="731" w:type="pct"/>
            <w:shd w:val="clear" w:color="auto" w:fill="C6D9F1" w:themeFill="text2" w:themeFillTint="33"/>
          </w:tcPr>
          <w:p w14:paraId="3CB871F2" w14:textId="77777777" w:rsidR="000229FE" w:rsidRPr="00743512" w:rsidRDefault="000229FE" w:rsidP="00836DF6">
            <w:pPr>
              <w:pStyle w:val="TableText0"/>
              <w:keepNext w:val="0"/>
              <w:rPr>
                <w:sz w:val="20"/>
                <w:szCs w:val="20"/>
              </w:rPr>
            </w:pPr>
            <w:r w:rsidRPr="00743512">
              <w:rPr>
                <w:sz w:val="20"/>
                <w:szCs w:val="20"/>
              </w:rPr>
              <w:t>100%</w:t>
            </w:r>
          </w:p>
        </w:tc>
        <w:tc>
          <w:tcPr>
            <w:tcW w:w="733" w:type="pct"/>
            <w:shd w:val="clear" w:color="auto" w:fill="C6D9F1" w:themeFill="text2" w:themeFillTint="33"/>
          </w:tcPr>
          <w:p w14:paraId="0AF83492" w14:textId="77777777" w:rsidR="000229FE" w:rsidRPr="00743512" w:rsidRDefault="000229FE" w:rsidP="00836DF6">
            <w:pPr>
              <w:pStyle w:val="TableText0"/>
              <w:keepNext w:val="0"/>
              <w:rPr>
                <w:sz w:val="20"/>
                <w:szCs w:val="20"/>
              </w:rPr>
            </w:pPr>
            <w:r w:rsidRPr="00743512">
              <w:rPr>
                <w:sz w:val="20"/>
                <w:szCs w:val="20"/>
              </w:rPr>
              <w:t>75%</w:t>
            </w:r>
          </w:p>
        </w:tc>
        <w:tc>
          <w:tcPr>
            <w:tcW w:w="995" w:type="pct"/>
          </w:tcPr>
          <w:p w14:paraId="6F058ED7" w14:textId="77777777" w:rsidR="000229FE" w:rsidRPr="00743512" w:rsidRDefault="000229FE" w:rsidP="00836DF6">
            <w:pPr>
              <w:pStyle w:val="TableText0"/>
              <w:keepNext w:val="0"/>
              <w:rPr>
                <w:sz w:val="20"/>
                <w:szCs w:val="20"/>
              </w:rPr>
            </w:pPr>
            <w:r w:rsidRPr="00743512">
              <w:rPr>
                <w:sz w:val="20"/>
                <w:szCs w:val="20"/>
              </w:rPr>
              <w:t xml:space="preserve">94% </w:t>
            </w:r>
          </w:p>
        </w:tc>
        <w:tc>
          <w:tcPr>
            <w:tcW w:w="1147" w:type="pct"/>
          </w:tcPr>
          <w:p w14:paraId="4345CB16" w14:textId="26599137" w:rsidR="000229FE" w:rsidRPr="00743512" w:rsidRDefault="000229FE" w:rsidP="00836DF6">
            <w:pPr>
              <w:pStyle w:val="TableText0"/>
              <w:keepNext w:val="0"/>
              <w:rPr>
                <w:sz w:val="20"/>
                <w:szCs w:val="20"/>
              </w:rPr>
            </w:pPr>
            <w:r w:rsidRPr="00743512">
              <w:rPr>
                <w:sz w:val="20"/>
                <w:szCs w:val="20"/>
              </w:rPr>
              <w:t xml:space="preserve">Not in line with </w:t>
            </w:r>
            <w:r w:rsidR="00804BD1" w:rsidRPr="00743512">
              <w:rPr>
                <w:sz w:val="20"/>
                <w:szCs w:val="20"/>
              </w:rPr>
              <w:t xml:space="preserve">previous </w:t>
            </w:r>
            <w:r w:rsidRPr="00743512">
              <w:rPr>
                <w:sz w:val="20"/>
                <w:szCs w:val="20"/>
              </w:rPr>
              <w:t xml:space="preserve">PBAC advice. 94% is a likely overestimate. </w:t>
            </w:r>
          </w:p>
        </w:tc>
      </w:tr>
      <w:tr w:rsidR="000229FE" w:rsidRPr="00743512" w14:paraId="1C326F32" w14:textId="77777777" w:rsidTr="001074C6">
        <w:trPr>
          <w:cantSplit/>
        </w:trPr>
        <w:tc>
          <w:tcPr>
            <w:tcW w:w="222" w:type="pct"/>
          </w:tcPr>
          <w:p w14:paraId="1C5EED01" w14:textId="5417F76C" w:rsidR="000229FE" w:rsidRPr="00743512" w:rsidRDefault="000229FE" w:rsidP="00836DF6">
            <w:pPr>
              <w:pStyle w:val="TableText0"/>
              <w:keepNext w:val="0"/>
              <w:rPr>
                <w:sz w:val="20"/>
                <w:szCs w:val="20"/>
              </w:rPr>
            </w:pPr>
            <w:r w:rsidRPr="00743512">
              <w:rPr>
                <w:sz w:val="20"/>
                <w:szCs w:val="20"/>
              </w:rPr>
              <w:t>12</w:t>
            </w:r>
          </w:p>
        </w:tc>
        <w:tc>
          <w:tcPr>
            <w:tcW w:w="1173" w:type="pct"/>
          </w:tcPr>
          <w:p w14:paraId="2311129B" w14:textId="331A8B4E" w:rsidR="000229FE" w:rsidRPr="00743512" w:rsidRDefault="000229FE" w:rsidP="00836DF6">
            <w:pPr>
              <w:pStyle w:val="TableText0"/>
              <w:keepNext w:val="0"/>
              <w:rPr>
                <w:sz w:val="20"/>
                <w:szCs w:val="20"/>
              </w:rPr>
            </w:pPr>
            <w:r w:rsidRPr="00743512">
              <w:rPr>
                <w:sz w:val="20"/>
                <w:szCs w:val="20"/>
              </w:rPr>
              <w:t xml:space="preserve">Cost of echocardiography </w:t>
            </w:r>
          </w:p>
        </w:tc>
        <w:tc>
          <w:tcPr>
            <w:tcW w:w="731" w:type="pct"/>
            <w:shd w:val="clear" w:color="auto" w:fill="C6D9F1" w:themeFill="text2" w:themeFillTint="33"/>
          </w:tcPr>
          <w:p w14:paraId="6103826C" w14:textId="77777777" w:rsidR="000229FE" w:rsidRPr="00743512" w:rsidRDefault="000229FE" w:rsidP="00836DF6">
            <w:pPr>
              <w:pStyle w:val="TableText0"/>
              <w:keepNext w:val="0"/>
              <w:rPr>
                <w:sz w:val="20"/>
                <w:szCs w:val="20"/>
              </w:rPr>
            </w:pPr>
            <w:r w:rsidRPr="00743512">
              <w:rPr>
                <w:sz w:val="20"/>
                <w:szCs w:val="20"/>
              </w:rPr>
              <w:t>Included</w:t>
            </w:r>
          </w:p>
        </w:tc>
        <w:tc>
          <w:tcPr>
            <w:tcW w:w="733" w:type="pct"/>
            <w:shd w:val="clear" w:color="auto" w:fill="C6D9F1" w:themeFill="text2" w:themeFillTint="33"/>
          </w:tcPr>
          <w:p w14:paraId="5EAF5953" w14:textId="10E0B94F" w:rsidR="000229FE" w:rsidRPr="00743512" w:rsidRDefault="000229FE" w:rsidP="00836DF6">
            <w:pPr>
              <w:pStyle w:val="TableText0"/>
              <w:keepNext w:val="0"/>
              <w:rPr>
                <w:sz w:val="20"/>
                <w:szCs w:val="20"/>
              </w:rPr>
            </w:pPr>
            <w:r w:rsidRPr="00743512">
              <w:rPr>
                <w:sz w:val="20"/>
                <w:szCs w:val="20"/>
              </w:rPr>
              <w:t>Not include</w:t>
            </w:r>
            <w:r w:rsidR="00804BD1" w:rsidRPr="00743512">
              <w:rPr>
                <w:sz w:val="20"/>
                <w:szCs w:val="20"/>
              </w:rPr>
              <w:t>d</w:t>
            </w:r>
          </w:p>
        </w:tc>
        <w:tc>
          <w:tcPr>
            <w:tcW w:w="995" w:type="pct"/>
          </w:tcPr>
          <w:p w14:paraId="0802BB2B" w14:textId="3025E699" w:rsidR="000229FE" w:rsidRPr="00743512" w:rsidRDefault="000229FE" w:rsidP="00836DF6">
            <w:pPr>
              <w:pStyle w:val="TableText0"/>
              <w:keepNext w:val="0"/>
              <w:rPr>
                <w:sz w:val="20"/>
                <w:szCs w:val="20"/>
              </w:rPr>
            </w:pPr>
            <w:r w:rsidRPr="00743512">
              <w:rPr>
                <w:sz w:val="20"/>
                <w:szCs w:val="20"/>
              </w:rPr>
              <w:t>Included in the mBC health state</w:t>
            </w:r>
            <w:r w:rsidR="005A5F28" w:rsidRPr="00743512">
              <w:rPr>
                <w:sz w:val="20"/>
                <w:szCs w:val="20"/>
              </w:rPr>
              <w:t>. Excluded in the pre</w:t>
            </w:r>
            <w:r w:rsidR="00A008A9" w:rsidRPr="00743512">
              <w:rPr>
                <w:sz w:val="20"/>
                <w:szCs w:val="20"/>
              </w:rPr>
              <w:noBreakHyphen/>
            </w:r>
            <w:r w:rsidR="005A5F28" w:rsidRPr="00743512">
              <w:rPr>
                <w:sz w:val="20"/>
                <w:szCs w:val="20"/>
              </w:rPr>
              <w:t>PBAC base case.</w:t>
            </w:r>
          </w:p>
        </w:tc>
        <w:tc>
          <w:tcPr>
            <w:tcW w:w="1147" w:type="pct"/>
          </w:tcPr>
          <w:p w14:paraId="6BD31751" w14:textId="72ABC830" w:rsidR="000229FE" w:rsidRPr="00743512" w:rsidRDefault="000229FE" w:rsidP="00836DF6">
            <w:pPr>
              <w:pStyle w:val="TableText0"/>
              <w:keepNext w:val="0"/>
              <w:rPr>
                <w:sz w:val="20"/>
                <w:szCs w:val="20"/>
              </w:rPr>
            </w:pPr>
            <w:r w:rsidRPr="00743512">
              <w:rPr>
                <w:sz w:val="20"/>
                <w:szCs w:val="20"/>
              </w:rPr>
              <w:t xml:space="preserve">Not in line with </w:t>
            </w:r>
            <w:r w:rsidR="00804BD1" w:rsidRPr="00743512">
              <w:rPr>
                <w:sz w:val="20"/>
                <w:szCs w:val="20"/>
              </w:rPr>
              <w:t xml:space="preserve">previous </w:t>
            </w:r>
            <w:r w:rsidRPr="00743512">
              <w:rPr>
                <w:sz w:val="20"/>
                <w:szCs w:val="20"/>
              </w:rPr>
              <w:t>PBAC advice and not justified.</w:t>
            </w:r>
          </w:p>
        </w:tc>
      </w:tr>
      <w:tr w:rsidR="000229FE" w:rsidRPr="00743512" w14:paraId="46FCD90E" w14:textId="77777777" w:rsidTr="001074C6">
        <w:trPr>
          <w:cantSplit/>
        </w:trPr>
        <w:tc>
          <w:tcPr>
            <w:tcW w:w="222" w:type="pct"/>
          </w:tcPr>
          <w:p w14:paraId="08607352" w14:textId="7A8DDD0D" w:rsidR="000229FE" w:rsidRPr="00743512" w:rsidRDefault="000229FE" w:rsidP="00836DF6">
            <w:pPr>
              <w:pStyle w:val="TableText0"/>
              <w:keepNext w:val="0"/>
              <w:rPr>
                <w:sz w:val="20"/>
                <w:szCs w:val="20"/>
              </w:rPr>
            </w:pPr>
            <w:r w:rsidRPr="00743512">
              <w:rPr>
                <w:sz w:val="20"/>
                <w:szCs w:val="20"/>
              </w:rPr>
              <w:t>13</w:t>
            </w:r>
          </w:p>
        </w:tc>
        <w:tc>
          <w:tcPr>
            <w:tcW w:w="1173" w:type="pct"/>
          </w:tcPr>
          <w:p w14:paraId="55E092E0" w14:textId="00B705A6" w:rsidR="000229FE" w:rsidRPr="00743512" w:rsidRDefault="000229FE" w:rsidP="00836DF6">
            <w:pPr>
              <w:pStyle w:val="TableText0"/>
              <w:keepNext w:val="0"/>
              <w:rPr>
                <w:sz w:val="20"/>
                <w:szCs w:val="20"/>
              </w:rPr>
            </w:pPr>
            <w:r w:rsidRPr="00743512">
              <w:rPr>
                <w:sz w:val="20"/>
                <w:szCs w:val="20"/>
              </w:rPr>
              <w:t>Disutility associated with olaparib treatment</w:t>
            </w:r>
          </w:p>
        </w:tc>
        <w:tc>
          <w:tcPr>
            <w:tcW w:w="731" w:type="pct"/>
            <w:shd w:val="clear" w:color="auto" w:fill="C6D9F1" w:themeFill="text2" w:themeFillTint="33"/>
          </w:tcPr>
          <w:p w14:paraId="236F80AE" w14:textId="77777777" w:rsidR="000229FE" w:rsidRPr="00743512" w:rsidRDefault="000229FE" w:rsidP="00836DF6">
            <w:pPr>
              <w:pStyle w:val="TableText0"/>
              <w:keepNext w:val="0"/>
              <w:rPr>
                <w:sz w:val="20"/>
                <w:szCs w:val="20"/>
              </w:rPr>
            </w:pPr>
            <w:r w:rsidRPr="00743512">
              <w:rPr>
                <w:sz w:val="20"/>
                <w:szCs w:val="20"/>
              </w:rPr>
              <w:t>No disutility applied</w:t>
            </w:r>
          </w:p>
        </w:tc>
        <w:tc>
          <w:tcPr>
            <w:tcW w:w="733" w:type="pct"/>
            <w:shd w:val="clear" w:color="auto" w:fill="C6D9F1" w:themeFill="text2" w:themeFillTint="33"/>
          </w:tcPr>
          <w:p w14:paraId="07A85CDF" w14:textId="77777777" w:rsidR="000229FE" w:rsidRPr="00743512" w:rsidRDefault="000229FE" w:rsidP="00836DF6">
            <w:pPr>
              <w:pStyle w:val="TableText0"/>
              <w:keepNext w:val="0"/>
              <w:rPr>
                <w:sz w:val="20"/>
                <w:szCs w:val="20"/>
              </w:rPr>
            </w:pPr>
            <w:r w:rsidRPr="00743512">
              <w:rPr>
                <w:sz w:val="20"/>
                <w:szCs w:val="20"/>
              </w:rPr>
              <w:t>Apply disutility to treatment with olaparib (0.6%)</w:t>
            </w:r>
          </w:p>
        </w:tc>
        <w:tc>
          <w:tcPr>
            <w:tcW w:w="995" w:type="pct"/>
          </w:tcPr>
          <w:p w14:paraId="60FF7954" w14:textId="77777777" w:rsidR="000229FE" w:rsidRPr="00743512" w:rsidRDefault="000229FE" w:rsidP="00836DF6">
            <w:pPr>
              <w:pStyle w:val="TableText0"/>
              <w:keepNext w:val="0"/>
              <w:rPr>
                <w:sz w:val="20"/>
                <w:szCs w:val="20"/>
              </w:rPr>
            </w:pPr>
            <w:r w:rsidRPr="00743512">
              <w:rPr>
                <w:sz w:val="20"/>
                <w:szCs w:val="20"/>
              </w:rPr>
              <w:t>A disutility of 0.6% applied to the duration of olaparib treatment</w:t>
            </w:r>
          </w:p>
        </w:tc>
        <w:tc>
          <w:tcPr>
            <w:tcW w:w="1147" w:type="pct"/>
          </w:tcPr>
          <w:p w14:paraId="43DE6CB3" w14:textId="3DAA1904" w:rsidR="000229FE" w:rsidRPr="00743512" w:rsidRDefault="000229FE" w:rsidP="00836DF6">
            <w:pPr>
              <w:pStyle w:val="TableText0"/>
              <w:keepNext w:val="0"/>
              <w:rPr>
                <w:sz w:val="20"/>
                <w:szCs w:val="20"/>
              </w:rPr>
            </w:pPr>
            <w:r w:rsidRPr="00743512">
              <w:rPr>
                <w:sz w:val="20"/>
                <w:szCs w:val="20"/>
              </w:rPr>
              <w:t xml:space="preserve">In line with </w:t>
            </w:r>
            <w:r w:rsidR="00804BD1" w:rsidRPr="00743512">
              <w:rPr>
                <w:sz w:val="20"/>
                <w:szCs w:val="20"/>
              </w:rPr>
              <w:t xml:space="preserve">previous </w:t>
            </w:r>
            <w:r w:rsidRPr="00743512">
              <w:rPr>
                <w:sz w:val="20"/>
                <w:szCs w:val="20"/>
              </w:rPr>
              <w:t>PBAC advice</w:t>
            </w:r>
          </w:p>
        </w:tc>
      </w:tr>
    </w:tbl>
    <w:bookmarkEnd w:id="64"/>
    <w:bookmarkEnd w:id="65"/>
    <w:p w14:paraId="6D1FD99B" w14:textId="77777777" w:rsidR="00BF3070" w:rsidRPr="00743512" w:rsidRDefault="00BF3070" w:rsidP="00BF3070">
      <w:pPr>
        <w:pStyle w:val="TableFooter"/>
      </w:pPr>
      <w:r w:rsidRPr="00743512">
        <w:t>Source: Table 3.1, pp107-112 of the resubmission.</w:t>
      </w:r>
    </w:p>
    <w:p w14:paraId="79EC023F" w14:textId="6E94C36F" w:rsidR="00BF3070" w:rsidRPr="00743512" w:rsidRDefault="00BF3070" w:rsidP="00BF3070">
      <w:pPr>
        <w:pStyle w:val="TableFooter"/>
      </w:pPr>
      <w:r w:rsidRPr="00743512">
        <w:t>ABS = Australian Bureau of Statistics; DMPQ = dispensed price for maximum quantity; g</w:t>
      </w:r>
      <w:r w:rsidR="00CD50D4" w:rsidRPr="00743512">
        <w:rPr>
          <w:i/>
        </w:rPr>
        <w:t>BRCA</w:t>
      </w:r>
      <w:r w:rsidRPr="00743512">
        <w:t xml:space="preserve"> = germline breast cancer gene; HER2 = human epidermal growth factor receptor 2; HR = hormone receptor; IDFS = invasive disease-free survival; mBC = metastatic breast cancer recurrence; PARP = poly (adenosine diphosphate [ADP]-ribose) polymerase; RDI = relative dose intensity; SMR = standardised mortality ratio; TNBC = triple-negative breast cancer; TTD = time to treatment discontinuation</w:t>
      </w:r>
    </w:p>
    <w:p w14:paraId="09CD2EDD" w14:textId="4FFDED2B" w:rsidR="001074C6" w:rsidRPr="00743512" w:rsidRDefault="00BF3070" w:rsidP="00F32823">
      <w:pPr>
        <w:pStyle w:val="TableFooter"/>
        <w:spacing w:after="120"/>
      </w:pPr>
      <w:r w:rsidRPr="00743512">
        <w:rPr>
          <w:shd w:val="clear" w:color="auto" w:fill="B8CCE4" w:themeFill="accent1" w:themeFillTint="66"/>
        </w:rPr>
        <w:t>Blue</w:t>
      </w:r>
      <w:r w:rsidRPr="00743512">
        <w:t xml:space="preserve"> shading indicates data previously seen by the PBAC</w:t>
      </w:r>
      <w:r w:rsidR="00157B92" w:rsidRPr="00743512">
        <w:t xml:space="preserve">. </w:t>
      </w:r>
    </w:p>
    <w:p w14:paraId="7DD7AF80" w14:textId="09CFEAE4" w:rsidR="00BF3070" w:rsidRPr="00743512" w:rsidRDefault="00BF3070" w:rsidP="00BF3070">
      <w:pPr>
        <w:pStyle w:val="3-BodyText"/>
      </w:pPr>
      <w:bookmarkStart w:id="66" w:name="_Ref147955325"/>
      <w:r w:rsidRPr="00743512">
        <w:t xml:space="preserve">The resubmission nominated a time horizon of 40 years. This was unchanged from the previous submission and was not consistent with previous PBAC advice of a 30-year time horizon in the revised base case (Table 18, </w:t>
      </w:r>
      <w:bookmarkStart w:id="67" w:name="_Hlk144732728"/>
      <w:r w:rsidRPr="00743512">
        <w:t>olaparib PSD, March 2023 PBAC meeting</w:t>
      </w:r>
      <w:bookmarkEnd w:id="67"/>
      <w:r w:rsidRPr="00743512">
        <w:t>). The resubmission argued that a time horizon of 40 years was reasonable, based on the relatively young age of the model population (43 years) and the time horizon of previous eBC economic models considered by the PBAC, including the trastuzumab emtansine (T-DM1) model and the abemaciclib model. When the T-DM1 economic evaluation was reviewed, the PBAC considered that greater confidence in establishing cost-effectiveness would be derived by limiting the time horizon to 20 years, and noted this resulted in the ICER remaining within an acceptable range, namely less than $15,000 per quality-adjusted life year (QALY) (para 6.36 and 7.12, trastuzumab emtansine PSD, November 2019 PBAC meeting). Regarding the abemaciclib resubmission, the PBAC recalled it had previously advised that a 20-year time horizon would be more reasonable. However, in the context of more conservative treatment waning (from Year 4 to Year 7) and an older age at model entry</w:t>
      </w:r>
      <w:r w:rsidRPr="00743512">
        <w:rPr>
          <w:rStyle w:val="FootnoteReference"/>
        </w:rPr>
        <w:footnoteReference w:id="14"/>
      </w:r>
      <w:r w:rsidRPr="00743512">
        <w:t xml:space="preserve"> (approximately 60 years), and given the aim of treatment is cure, the PBAC agreed with the ESC that a 30-year time horizon would be reasonable (para 7.13, abemaciclib PSD, March 2023 PBAC meeting). There are multiple differences between the T-DM1 or abemaciclib contexts and that of olaparib, limiting the applicability of comparisons. However, in both the case of T-DM1 and of abemaciclib, the PBAC recommended shorter time horizons than proposed in the current resubmission. Although an extended time horizon can capture all important differences in costs and outcomes between the two treatment arms, extrapolating costs and outcomes over a 40-year time horizon is also associated with uncertainty which may be reduced by applying a shorter time horizon.</w:t>
      </w:r>
      <w:bookmarkEnd w:id="66"/>
    </w:p>
    <w:p w14:paraId="5674ABAC" w14:textId="7545E3B5" w:rsidR="00BF3070" w:rsidRPr="00743512" w:rsidRDefault="00BF3070" w:rsidP="004F5B47">
      <w:pPr>
        <w:pStyle w:val="3-BodyText"/>
      </w:pPr>
      <w:r w:rsidRPr="00743512">
        <w:t>The model functioned to direct recurrences, initially derived from the IDFS curve of the OlympiA trial, to recurrence health states. While there were some concerns regarding the costs and outcomes associated with non-metastatic breast cancer recurrence (non-mBC) and metastatic breast cancer recurrence (mBC) health states, they had minimal impacts on the model results, which were mainly driven by the modelled IDFS</w:t>
      </w:r>
      <w:r w:rsidR="00157B92" w:rsidRPr="00743512">
        <w:t xml:space="preserve">. </w:t>
      </w:r>
      <w:r w:rsidR="006E3C9C" w:rsidRPr="00743512">
        <w:t>The PSCR disagreed with the PBAC's March 2023 advice that the proportion of recurrences that are metastatic should be equal across both treatment arms</w:t>
      </w:r>
      <w:r w:rsidR="00157B92" w:rsidRPr="00743512">
        <w:t xml:space="preserve">. </w:t>
      </w:r>
      <w:r w:rsidR="006E3C9C" w:rsidRPr="00743512">
        <w:t>The ESC noted that the Evaluation’s alternative base case (</w:t>
      </w:r>
      <w:r w:rsidR="006E3C9C" w:rsidRPr="00743512">
        <w:fldChar w:fldCharType="begin"/>
      </w:r>
      <w:r w:rsidR="006E3C9C" w:rsidRPr="00743512">
        <w:instrText xml:space="preserve"> REF _Ref124154495 \h  \* MERGEFORMAT </w:instrText>
      </w:r>
      <w:r w:rsidR="006E3C9C" w:rsidRPr="00743512">
        <w:fldChar w:fldCharType="separate"/>
      </w:r>
      <w:r w:rsidR="00D2565D" w:rsidRPr="00743512">
        <w:t xml:space="preserve">Table </w:t>
      </w:r>
      <w:r w:rsidR="00D2565D">
        <w:t>15</w:t>
      </w:r>
      <w:r w:rsidR="006E3C9C" w:rsidRPr="00743512">
        <w:fldChar w:fldCharType="end"/>
      </w:r>
      <w:r w:rsidR="006E3C9C" w:rsidRPr="00743512">
        <w:t xml:space="preserve">) </w:t>
      </w:r>
      <w:r w:rsidR="00F4781C" w:rsidRPr="00743512">
        <w:t xml:space="preserve">applied equal </w:t>
      </w:r>
      <w:r w:rsidR="006372A5" w:rsidRPr="00743512">
        <w:t xml:space="preserve">proportions (metastatic vs non-metastatic) </w:t>
      </w:r>
      <w:r w:rsidR="00F4781C" w:rsidRPr="00743512">
        <w:t xml:space="preserve">across both arms which </w:t>
      </w:r>
      <w:r w:rsidR="006E3C9C" w:rsidRPr="00743512">
        <w:t>was consistent with previous PBAC advice</w:t>
      </w:r>
      <w:r w:rsidR="00F4781C" w:rsidRPr="00743512">
        <w:t xml:space="preserve">. The ESC considered that this </w:t>
      </w:r>
      <w:r w:rsidR="006E3C9C" w:rsidRPr="00743512">
        <w:t xml:space="preserve">was appropriate on the basis that a significant difference in rates had not been demonstrated between treatment groups and it was uncertain whether any difference would be maintained beyond the observed data. </w:t>
      </w:r>
    </w:p>
    <w:p w14:paraId="54EACE29" w14:textId="7948B022" w:rsidR="00BF3070" w:rsidRPr="00743512" w:rsidRDefault="00BF3070" w:rsidP="00BF3070">
      <w:pPr>
        <w:pStyle w:val="3-BodyText"/>
      </w:pPr>
      <w:r w:rsidRPr="00743512">
        <w:t>IDFS data from the OlympiA trial were used up to 48 months (compared with a truncation time point of 42 months in the previous submissions). At 48 months, there were still a large number of patients remaining at risk for recurrence (n=586. More trial data could be reliably included in the economic model to account for PBAC’s preference of observed rather than modelled data. Applying ‘Criterion 2’ of Gebski et al (2018)</w:t>
      </w:r>
      <w:r w:rsidRPr="00743512">
        <w:rPr>
          <w:rStyle w:val="FootnoteReference"/>
          <w:rFonts w:eastAsiaTheme="majorEastAsia"/>
        </w:rPr>
        <w:footnoteReference w:id="15"/>
      </w:r>
      <w:r w:rsidRPr="00743512">
        <w:t xml:space="preserve">, data from the olaparib and placebo IDFS KM curves were likely to remain reliable up to 60 months (i.e. the time point previously advised by the PBAC). The increment in IDFS was larger at 48 months compared with 60 months (7.3% vs. 5.5%) and hence the use of 48 months potentially overestimated the treatment benefit associated with olaparib over placebo. </w:t>
      </w:r>
      <w:r w:rsidRPr="00743512">
        <w:fldChar w:fldCharType="begin"/>
      </w:r>
      <w:r w:rsidRPr="00743512">
        <w:instrText xml:space="preserve"> REF _Ref143855341 \h  \* MERGEFORMAT </w:instrText>
      </w:r>
      <w:r w:rsidRPr="00743512">
        <w:fldChar w:fldCharType="separate"/>
      </w:r>
      <w:r w:rsidR="00D2565D" w:rsidRPr="00743512">
        <w:t xml:space="preserve">Figure </w:t>
      </w:r>
      <w:r w:rsidR="00D2565D">
        <w:t>3</w:t>
      </w:r>
      <w:r w:rsidRPr="00743512">
        <w:fldChar w:fldCharType="end"/>
      </w:r>
      <w:r w:rsidRPr="00743512">
        <w:t xml:space="preserve"> shows that </w:t>
      </w:r>
      <w:r w:rsidR="00F4781C" w:rsidRPr="00743512">
        <w:t xml:space="preserve">although </w:t>
      </w:r>
      <w:r w:rsidRPr="00743512">
        <w:t xml:space="preserve">the use of a later truncation point of 60 months affected the olaparib IDFS </w:t>
      </w:r>
      <w:r w:rsidR="00F4781C" w:rsidRPr="00743512">
        <w:t xml:space="preserve">minimally </w:t>
      </w:r>
      <w:r w:rsidRPr="00743512">
        <w:t xml:space="preserve">(red dotted line vs. red dashed line, </w:t>
      </w:r>
      <w:r w:rsidRPr="00743512">
        <w:fldChar w:fldCharType="begin"/>
      </w:r>
      <w:r w:rsidRPr="00743512">
        <w:instrText xml:space="preserve"> REF _Ref143855341 \h  \* MERGEFORMAT </w:instrText>
      </w:r>
      <w:r w:rsidRPr="00743512">
        <w:fldChar w:fldCharType="separate"/>
      </w:r>
      <w:r w:rsidR="00D2565D" w:rsidRPr="00743512">
        <w:t xml:space="preserve">Figure </w:t>
      </w:r>
      <w:r w:rsidR="00D2565D">
        <w:t>3</w:t>
      </w:r>
      <w:r w:rsidRPr="00743512">
        <w:fldChar w:fldCharType="end"/>
      </w:r>
      <w:r w:rsidRPr="00743512">
        <w:t>)</w:t>
      </w:r>
      <w:r w:rsidR="00F4781C" w:rsidRPr="00743512">
        <w:t xml:space="preserve">, it </w:t>
      </w:r>
      <w:r w:rsidRPr="00743512">
        <w:t xml:space="preserve">resulted in greater IDFS estimates for placebo throughout the model time horizon (blue dotted line vs. blue dashed line). </w:t>
      </w:r>
    </w:p>
    <w:p w14:paraId="2EE9BC13" w14:textId="65B97A79" w:rsidR="00836DF6" w:rsidRPr="00743512" w:rsidRDefault="00A3768B" w:rsidP="004F5B47">
      <w:pPr>
        <w:pStyle w:val="3-BodyText"/>
      </w:pPr>
      <w:bookmarkStart w:id="68" w:name="_Ref150250911"/>
      <w:r w:rsidRPr="00743512">
        <w:t>The PSCR stated that the truncation point should not be set beyond Month 54, based on the truncation point applied in the publication of the second interim analysis of OlympiA (Geyer 2022)</w:t>
      </w:r>
      <w:r w:rsidR="00157B92" w:rsidRPr="00743512">
        <w:t xml:space="preserve">. </w:t>
      </w:r>
      <w:r w:rsidRPr="00743512">
        <w:t xml:space="preserve">The PSCR </w:t>
      </w:r>
      <w:r w:rsidR="00483274" w:rsidRPr="00743512">
        <w:t>quoted email correspondence from the OlympiA trial statistician stating that</w:t>
      </w:r>
      <w:r w:rsidRPr="00743512">
        <w:t xml:space="preserve"> “54 months was selected based on the </w:t>
      </w:r>
      <w:r w:rsidR="002745C2" w:rsidRPr="00743512">
        <w:t>‘</w:t>
      </w:r>
      <w:r w:rsidRPr="00743512">
        <w:t>IBCSG standard rule</w:t>
      </w:r>
      <w:r w:rsidR="002745C2" w:rsidRPr="00743512">
        <w:t>’</w:t>
      </w:r>
      <w:r w:rsidRPr="00743512">
        <w:t xml:space="preserve"> </w:t>
      </w:r>
      <w:r w:rsidR="002745C2" w:rsidRPr="00743512">
        <w:t>–</w:t>
      </w:r>
      <w:r w:rsidRPr="00743512">
        <w:t xml:space="preserve"> 1 year beyond the median follow-up time. As the median follow-up was 3.5 years, the curves published in Geyer 2022 were drawn to a maximum of 4.5 years (54 months). This was not pre-specified, but a very reasonable standard for publications in the medical literature.”</w:t>
      </w:r>
      <w:bookmarkEnd w:id="68"/>
      <w:r w:rsidRPr="00743512">
        <w:t xml:space="preserve"> </w:t>
      </w:r>
    </w:p>
    <w:p w14:paraId="493644CB" w14:textId="01FC8937" w:rsidR="00A3768B" w:rsidRPr="00743512" w:rsidRDefault="00A3768B" w:rsidP="00F32823">
      <w:pPr>
        <w:pStyle w:val="3-BodyText"/>
      </w:pPr>
      <w:r w:rsidRPr="00743512">
        <w:t xml:space="preserve">The ESC noted that data from the trial </w:t>
      </w:r>
      <w:r w:rsidR="0067710C" w:rsidRPr="00743512">
        <w:t>KM</w:t>
      </w:r>
      <w:r w:rsidRPr="00743512">
        <w:t xml:space="preserve"> curves were likely to remain reliable up to 60 months</w:t>
      </w:r>
      <w:r w:rsidR="00836DF6" w:rsidRPr="00743512">
        <w:t xml:space="preserve"> based on the ‘Criterion 2’ of Gebski et al (2018). Therefore, unless the censoring is substantially biased, the KM curve</w:t>
      </w:r>
      <w:r w:rsidR="0067710C" w:rsidRPr="00743512">
        <w:t>s</w:t>
      </w:r>
      <w:r w:rsidR="00836DF6" w:rsidRPr="00743512">
        <w:t xml:space="preserve"> at 60 months likely represent the best estimate</w:t>
      </w:r>
      <w:r w:rsidR="00E410BB" w:rsidRPr="00743512">
        <w:t>s</w:t>
      </w:r>
      <w:r w:rsidR="00836DF6" w:rsidRPr="00743512">
        <w:t xml:space="preserve"> of IDFS for olaparib and placebo.</w:t>
      </w:r>
      <w:r w:rsidRPr="00743512">
        <w:t xml:space="preserve"> The ESC considered that the International Breast Cancer Study Group (IBCSG) rule which </w:t>
      </w:r>
      <w:r w:rsidR="0067710C" w:rsidRPr="00743512">
        <w:t>n</w:t>
      </w:r>
      <w:r w:rsidRPr="00743512">
        <w:t xml:space="preserve">ominated addition of an arbitrary period of time (1 year) </w:t>
      </w:r>
      <w:r w:rsidR="0067710C" w:rsidRPr="00743512">
        <w:t>does</w:t>
      </w:r>
      <w:r w:rsidRPr="00743512">
        <w:t xml:space="preserve"> not </w:t>
      </w:r>
      <w:r w:rsidR="0067710C" w:rsidRPr="00743512">
        <w:t>consider the number of</w:t>
      </w:r>
      <w:r w:rsidRPr="00743512">
        <w:t xml:space="preserve"> patients remaining at risk and that closer investigation of the data were warranted</w:t>
      </w:r>
      <w:r w:rsidR="00157B92" w:rsidRPr="00743512">
        <w:t xml:space="preserve">. </w:t>
      </w:r>
      <w:r w:rsidRPr="00743512">
        <w:t xml:space="preserve">The ESC noted that the model was sensitive to this change </w:t>
      </w:r>
      <w:r w:rsidR="00A25E92" w:rsidRPr="00743512">
        <w:t>(</w:t>
      </w:r>
      <w:r w:rsidR="00A25E92" w:rsidRPr="00743512">
        <w:fldChar w:fldCharType="begin"/>
      </w:r>
      <w:r w:rsidR="00A25E92" w:rsidRPr="00743512">
        <w:instrText xml:space="preserve"> REF _Ref104804865 \h  \* MERGEFORMAT </w:instrText>
      </w:r>
      <w:r w:rsidR="00A25E92" w:rsidRPr="00743512">
        <w:fldChar w:fldCharType="separate"/>
      </w:r>
      <w:r w:rsidR="00D2565D" w:rsidRPr="00743512">
        <w:t xml:space="preserve">Table </w:t>
      </w:r>
      <w:r w:rsidR="00D2565D">
        <w:t>17</w:t>
      </w:r>
      <w:r w:rsidR="00A25E92" w:rsidRPr="00743512">
        <w:fldChar w:fldCharType="end"/>
      </w:r>
      <w:r w:rsidR="00A25E92" w:rsidRPr="00743512">
        <w:t>).</w:t>
      </w:r>
      <w:r w:rsidR="005A5F28" w:rsidRPr="00743512">
        <w:t xml:space="preserve"> The pre-PBAC response accepted a truncation point of 54 months.</w:t>
      </w:r>
    </w:p>
    <w:p w14:paraId="4EF3CB38" w14:textId="546BEB26" w:rsidR="00BF3070" w:rsidRPr="00743512" w:rsidRDefault="00BF3070" w:rsidP="00BF3070">
      <w:pPr>
        <w:pStyle w:val="Caption"/>
      </w:pPr>
      <w:bookmarkStart w:id="69" w:name="_Ref143855341"/>
      <w:r w:rsidRPr="00743512">
        <w:t xml:space="preserve">Figure </w:t>
      </w:r>
      <w:r w:rsidR="00D2565D">
        <w:fldChar w:fldCharType="begin"/>
      </w:r>
      <w:r w:rsidR="00D2565D">
        <w:instrText xml:space="preserve"> SEQ Figure \* ARABIC </w:instrText>
      </w:r>
      <w:r w:rsidR="00D2565D">
        <w:fldChar w:fldCharType="separate"/>
      </w:r>
      <w:r w:rsidR="00D2565D">
        <w:rPr>
          <w:noProof/>
        </w:rPr>
        <w:t>3</w:t>
      </w:r>
      <w:r w:rsidR="00D2565D">
        <w:rPr>
          <w:noProof/>
        </w:rPr>
        <w:fldChar w:fldCharType="end"/>
      </w:r>
      <w:bookmarkEnd w:id="69"/>
      <w:r w:rsidRPr="00743512">
        <w:t>: Comparison of 48 month versus 60 month data truncation point for IDFS in the model</w:t>
      </w:r>
    </w:p>
    <w:p w14:paraId="79C7F264" w14:textId="77777777" w:rsidR="00BF3070" w:rsidRPr="00743512" w:rsidRDefault="00BF3070" w:rsidP="00BF3070">
      <w:pPr>
        <w:pStyle w:val="3-BodyText"/>
        <w:numPr>
          <w:ilvl w:val="0"/>
          <w:numId w:val="0"/>
        </w:numPr>
      </w:pPr>
      <w:r w:rsidRPr="00743512">
        <w:rPr>
          <w:noProof/>
        </w:rPr>
        <w:drawing>
          <wp:inline distT="0" distB="0" distL="0" distR="0" wp14:anchorId="4A8B5CAD" wp14:editId="10AC7004">
            <wp:extent cx="5659874" cy="3592285"/>
            <wp:effectExtent l="0" t="0" r="0" b="8255"/>
            <wp:docPr id="8" name="Picture 8" descr="Figure 3: Comparison of 48 month versus 60 month data truncation point for IDFS in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3: Comparison of 48 month versus 60 month data truncation point for IDFS in the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0642" cy="3599119"/>
                    </a:xfrm>
                    <a:prstGeom prst="rect">
                      <a:avLst/>
                    </a:prstGeom>
                    <a:noFill/>
                  </pic:spPr>
                </pic:pic>
              </a:graphicData>
            </a:graphic>
          </wp:inline>
        </w:drawing>
      </w:r>
    </w:p>
    <w:p w14:paraId="06AAD85F" w14:textId="77777777" w:rsidR="00BF3070" w:rsidRPr="00743512" w:rsidRDefault="00BF3070" w:rsidP="00BF3070">
      <w:pPr>
        <w:pStyle w:val="TableFigureFooter"/>
      </w:pPr>
      <w:r w:rsidRPr="00743512">
        <w:t>Source: Generated during the evaluation, based on the “OlympiA Economic Evaluation” Excel workbook.</w:t>
      </w:r>
    </w:p>
    <w:p w14:paraId="7BB7880F" w14:textId="6BBDEA68" w:rsidR="00BF3070" w:rsidRPr="00743512" w:rsidRDefault="00BF3070" w:rsidP="001074C6">
      <w:pPr>
        <w:pStyle w:val="TableFigureFooter"/>
      </w:pPr>
      <w:r w:rsidRPr="00743512">
        <w:t>IDFS = invasive disease-free survival; KM = Kaplan-Meier</w:t>
      </w:r>
    </w:p>
    <w:p w14:paraId="4AEB99B7" w14:textId="76D8F79E" w:rsidR="00BF3070" w:rsidRPr="00743512" w:rsidRDefault="00BF3070" w:rsidP="00BF3070">
      <w:pPr>
        <w:pStyle w:val="3-BodyText"/>
      </w:pPr>
      <w:bookmarkStart w:id="70" w:name="_Ref147949372"/>
      <w:r w:rsidRPr="00743512">
        <w:t>Similar to the previous submission, the resubmission assumed that the recurrence rate in patients remaining in the IDFS health state would reduce to 1% per annum (equal to 0.08% per month) from 5 years and to 0% beyond 10 years in both treatment arms. The clinical studies that informed the reduced recurrence risk were not limited to patients with high risk of recurrence and the interventions used were surgery, with or without radiation therapy and chemotherapy</w:t>
      </w:r>
      <w:r w:rsidR="00F4781C" w:rsidRPr="00743512">
        <w:t>, thus, t</w:t>
      </w:r>
      <w:r w:rsidRPr="00743512">
        <w:t xml:space="preserve">he recurrence-free survival observed in these studies </w:t>
      </w:r>
      <w:r w:rsidR="00F4781C" w:rsidRPr="00743512">
        <w:t xml:space="preserve">should not </w:t>
      </w:r>
      <w:r w:rsidRPr="00743512">
        <w:t xml:space="preserve">inform the comparative effectiveness of adjuvant therapy with a PARP inhibitor versus placebo in the proposed high-risk population. It is unclear whether olaparib therapy results in recurrence being avoided in all patients (i.e. results in a cure), or if olaparib delays micro-metastases progressing to macro-metastases and hence delays recurrence. </w:t>
      </w:r>
      <w:r w:rsidR="00F4781C" w:rsidRPr="00743512">
        <w:t>However, t</w:t>
      </w:r>
      <w:r w:rsidRPr="00743512">
        <w:t>he decrease in the incremental IDFS from Year 3 to Year 5 observed in the OlympiA trial supports that olaparib delays recurrence rather than cures disease in at least a proportion of patients. A delayed time point for reduced recurrence rate in the intervention arm was considered when the National Institute for Health and Care Excellence (NICE) Appraisal Committee reviewed the economic evaluations of osimertinib and atezolizumab for early</w:t>
      </w:r>
      <w:r w:rsidR="00F4781C" w:rsidRPr="00743512">
        <w:t>-</w:t>
      </w:r>
      <w:r w:rsidRPr="00743512">
        <w:t>stage non-small cell lung cancer (NSCLC) (TA761 and TA823). A sensitivity analysis was performed during the evaluation, by extending the year at which the reduced recurrence rate occurred in the olaparib arm by 1 year, i.e. from Year 5 to Year 6. The 1 year delay was selected based on the treatment duration of olaparib in the OlympiA trial (approximately 10 months).</w:t>
      </w:r>
      <w:bookmarkEnd w:id="70"/>
    </w:p>
    <w:p w14:paraId="4B74DB78" w14:textId="23B30B59" w:rsidR="00BF3070" w:rsidRPr="00743512" w:rsidRDefault="00BF3070" w:rsidP="00BF3070">
      <w:pPr>
        <w:pStyle w:val="3-BodyText"/>
      </w:pPr>
      <w:r w:rsidRPr="00743512">
        <w:t>To estimate transition probabilities from IDFS to death (TP3), a standardised mortality ratio (SMR) was used to capture the excess mortality risks from other illnesses in persons with g</w:t>
      </w:r>
      <w:r w:rsidR="00CD50D4" w:rsidRPr="00743512">
        <w:rPr>
          <w:i/>
        </w:rPr>
        <w:t>BRCA</w:t>
      </w:r>
      <w:r w:rsidRPr="00743512">
        <w:t xml:space="preserve">m. A SMR of 1.61 was calculated as the number of deaths due to non-breast cancer causes observed in OlympiA (n=11) divided by the number of deaths expected to occur over 3.5 years (i.e. the median follow-up of OlympiA) using Australian Bureau of Statistics (ABS) lifetables (n=6.8). During the relatively short observation period of OlympiA, patients had a much higher risk of disease recurrence and death as a result of </w:t>
      </w:r>
      <w:r w:rsidR="00CD50D4" w:rsidRPr="00743512">
        <w:rPr>
          <w:i/>
        </w:rPr>
        <w:t>BRCA</w:t>
      </w:r>
      <w:r w:rsidRPr="00743512">
        <w:t xml:space="preserve">m breast cancer than </w:t>
      </w:r>
      <w:r w:rsidR="00F4781C" w:rsidRPr="00743512">
        <w:t xml:space="preserve">death </w:t>
      </w:r>
      <w:r w:rsidRPr="00743512">
        <w:t xml:space="preserve">from non-breast cancer causes. It </w:t>
      </w:r>
      <w:r w:rsidR="00F4781C" w:rsidRPr="00743512">
        <w:t xml:space="preserve">was </w:t>
      </w:r>
      <w:r w:rsidRPr="00743512">
        <w:t>unlikely that the follow up in the OlympiA trial was sufficiently long enough to capture mortality from relevant g</w:t>
      </w:r>
      <w:r w:rsidR="00CD50D4" w:rsidRPr="00743512">
        <w:rPr>
          <w:i/>
        </w:rPr>
        <w:t>BRCA</w:t>
      </w:r>
      <w:r w:rsidRPr="00743512">
        <w:t>m-related competing risks. Therefore</w:t>
      </w:r>
      <w:r w:rsidR="00F4781C" w:rsidRPr="00743512">
        <w:t>,</w:t>
      </w:r>
      <w:r w:rsidR="00C07201" w:rsidRPr="00743512">
        <w:t xml:space="preserve"> the commentary considered that </w:t>
      </w:r>
      <w:r w:rsidRPr="00743512">
        <w:t xml:space="preserve">the SMR of 1.61 </w:t>
      </w:r>
      <w:r w:rsidR="00C07201" w:rsidRPr="00743512">
        <w:t>was</w:t>
      </w:r>
      <w:r w:rsidRPr="00743512">
        <w:t xml:space="preserve"> likely underestimate</w:t>
      </w:r>
      <w:r w:rsidR="00F4781C" w:rsidRPr="00743512">
        <w:t>d</w:t>
      </w:r>
      <w:r w:rsidRPr="00743512">
        <w:t xml:space="preserve">. The previous PBAC respecified base case assumed a SMR of 2.0 (para 6.75, olaparib PSD, March 2023 PBAC meeting). </w:t>
      </w:r>
    </w:p>
    <w:p w14:paraId="2DEBB532" w14:textId="2E09E098" w:rsidR="002745C2" w:rsidRPr="00743512" w:rsidRDefault="00C07201" w:rsidP="003701DB">
      <w:pPr>
        <w:pStyle w:val="3-BodyText"/>
        <w:tabs>
          <w:tab w:val="left" w:pos="3544"/>
        </w:tabs>
      </w:pPr>
      <w:bookmarkStart w:id="71" w:name="_Ref150251164"/>
      <w:r w:rsidRPr="00743512">
        <w:t>The PSCR acknowledged that the Mai 2009 SMR (1.49) used in the previous submission inappropriately excluded deaths from other cancers and noted that a literature search presented in the resubmission found a range of published estimates (1.5-2.0)</w:t>
      </w:r>
      <w:r w:rsidR="00157B92" w:rsidRPr="00743512">
        <w:t xml:space="preserve">. </w:t>
      </w:r>
      <w:r w:rsidR="002745C2" w:rsidRPr="00743512">
        <w:t xml:space="preserve">The </w:t>
      </w:r>
      <w:r w:rsidR="003D2900" w:rsidRPr="00743512">
        <w:t>ESC noted that an</w:t>
      </w:r>
      <w:r w:rsidRPr="00743512">
        <w:t xml:space="preserve"> SMR of 2, sourced from Levi 2002, was used in a scenario analysis suggested by the NICE evaluation group </w:t>
      </w:r>
      <w:r w:rsidR="00F4781C" w:rsidRPr="00743512">
        <w:t xml:space="preserve">but that </w:t>
      </w:r>
      <w:r w:rsidRPr="00743512">
        <w:t xml:space="preserve">the final model approved by NICE incorporated an SMR of 1.49 from Mai 2009. </w:t>
      </w:r>
      <w:r w:rsidR="002745C2" w:rsidRPr="00743512">
        <w:t>The ESC noted that the resubmission’s approach to estimation of the increase in background mortality for g</w:t>
      </w:r>
      <w:r w:rsidR="002745C2" w:rsidRPr="00743512">
        <w:rPr>
          <w:i/>
          <w:iCs/>
        </w:rPr>
        <w:t>BRCA</w:t>
      </w:r>
      <w:r w:rsidR="002745C2" w:rsidRPr="00743512">
        <w:t>m patients (SMR of 1.61) was based on the number of non-breast cancer deaths observed in the OlympiA trial and considered this was reasonable and in line with published estimates</w:t>
      </w:r>
      <w:r w:rsidR="00157B92" w:rsidRPr="00743512">
        <w:t xml:space="preserve">. </w:t>
      </w:r>
      <w:r w:rsidR="00F34EF2" w:rsidRPr="00743512">
        <w:t>The ESC noted that changing the SMR from 2.0 to 1.61 (or vice versa) had minimal impact on the ICER</w:t>
      </w:r>
      <w:r w:rsidR="00157B92" w:rsidRPr="00743512">
        <w:t xml:space="preserve">. </w:t>
      </w:r>
      <w:r w:rsidR="00F34EF2" w:rsidRPr="00743512">
        <w:t xml:space="preserve">The ESC considered it was appropriate to apply </w:t>
      </w:r>
      <w:r w:rsidR="00952C6A" w:rsidRPr="00743512">
        <w:t xml:space="preserve">an </w:t>
      </w:r>
      <w:r w:rsidR="00F34EF2" w:rsidRPr="00743512">
        <w:t>SMR of 1.61.</w:t>
      </w:r>
      <w:bookmarkEnd w:id="71"/>
    </w:p>
    <w:p w14:paraId="5D146A33" w14:textId="5D37FECD" w:rsidR="00BF3070" w:rsidRPr="00743512" w:rsidRDefault="00BF3070" w:rsidP="00BF3070">
      <w:pPr>
        <w:pStyle w:val="3-BodyText"/>
      </w:pPr>
      <w:r w:rsidRPr="00743512">
        <w:t>The transition probabilities from non-mBC to mBC (TP4), from non-mBC to death (TP5) and from early-onset mBC to death (TP6) were estimated based on the OlympiA trial data. Treatment-specific survival data, not pooled data, from the trial were used to model TP6, as per PBAC advice. The other main change was the incorporation of adjustments to nullify the impact of subsequent PARP</w:t>
      </w:r>
      <w:r w:rsidR="00952C6A" w:rsidRPr="00743512">
        <w:t xml:space="preserve"> inhibitor</w:t>
      </w:r>
      <w:r w:rsidRPr="00743512">
        <w:t xml:space="preserve"> use for non-mBC and mBC in OlympiA, as such use of PARP </w:t>
      </w:r>
      <w:r w:rsidR="00952C6A" w:rsidRPr="00743512">
        <w:t xml:space="preserve">inhibitor </w:t>
      </w:r>
      <w:r w:rsidRPr="00743512">
        <w:t>did not reflect Australian clinical practice. The adjustment factor applied to TP5 and TP6 was sourced from the OlympiAD trial which compared olaparib with chemotherapy treatment of physician’s choice (TPC) in patients with g</w:t>
      </w:r>
      <w:r w:rsidR="00CD50D4" w:rsidRPr="00743512">
        <w:rPr>
          <w:i/>
        </w:rPr>
        <w:t>BRCA</w:t>
      </w:r>
      <w:r w:rsidRPr="00743512">
        <w:t xml:space="preserve">m, HER2- mBC. In the OlympiAD trial, OS benefit with olaparib was observed among patients who had not received prior chemotherapy for mBC (median OS: 22.6 months vs. 14.7 months; </w:t>
      </w:r>
      <w:r w:rsidR="00F4781C" w:rsidRPr="00743512">
        <w:t>HR =</w:t>
      </w:r>
      <w:r w:rsidRPr="00743512">
        <w:t xml:space="preserve"> 0.51</w:t>
      </w:r>
      <w:r w:rsidR="00F4781C" w:rsidRPr="00743512">
        <w:t xml:space="preserve">; 95% CI: </w:t>
      </w:r>
      <w:r w:rsidRPr="00743512">
        <w:t>0.29, 0.90)</w:t>
      </w:r>
      <w:r w:rsidRPr="00743512">
        <w:rPr>
          <w:rStyle w:val="FootnoteReference"/>
          <w:rFonts w:eastAsiaTheme="majorEastAsia"/>
        </w:rPr>
        <w:footnoteReference w:id="16"/>
      </w:r>
      <w:r w:rsidRPr="00743512">
        <w:t xml:space="preserve">. An adjustment factor of 1.961 (=1/0.51) was applied to the proportion of patients receiving PARP in mBC and non-mBC settings, with no adjustment (by applying a factor of 1) to the remaining proportion of patients who did not </w:t>
      </w:r>
      <w:r w:rsidR="00F4781C" w:rsidRPr="00743512">
        <w:t xml:space="preserve">receive </w:t>
      </w:r>
      <w:r w:rsidRPr="00743512">
        <w:t xml:space="preserve">PARP. The resubmission’s approach to adjustment for PARP </w:t>
      </w:r>
      <w:r w:rsidR="00952C6A" w:rsidRPr="00743512">
        <w:t xml:space="preserve">inhibitor </w:t>
      </w:r>
      <w:r w:rsidRPr="00743512">
        <w:t>use was not adequately justified</w:t>
      </w:r>
      <w:r w:rsidR="00F4781C" w:rsidRPr="00743512">
        <w:t xml:space="preserve"> as</w:t>
      </w:r>
      <w:r w:rsidRPr="00743512">
        <w:t>:</w:t>
      </w:r>
    </w:p>
    <w:p w14:paraId="733B1E09" w14:textId="15818807" w:rsidR="00BF3070" w:rsidRPr="00743512" w:rsidRDefault="00F4781C" w:rsidP="00F4781C">
      <w:pPr>
        <w:pStyle w:val="3-BodyText"/>
        <w:numPr>
          <w:ilvl w:val="1"/>
          <w:numId w:val="14"/>
        </w:numPr>
        <w:ind w:left="1080"/>
      </w:pPr>
      <w:r w:rsidRPr="00743512">
        <w:t>n</w:t>
      </w:r>
      <w:r w:rsidR="00BF3070" w:rsidRPr="00743512">
        <w:t xml:space="preserve">one of the subjects in the OlympiAD trial had previously received a PARP inhibitor as adjuvant therapy. It was inappropriate to assume that the treatment effect of olaparib for mBC following adjuvant olaparib (i.e. the intervention arm of the economic model) would be the same as that reported in the OlympiAD trial. </w:t>
      </w:r>
    </w:p>
    <w:p w14:paraId="3DFC349C" w14:textId="0EFE686B" w:rsidR="00BF3070" w:rsidRPr="00743512" w:rsidRDefault="00F4781C" w:rsidP="00F4781C">
      <w:pPr>
        <w:pStyle w:val="3-BodyText"/>
        <w:numPr>
          <w:ilvl w:val="1"/>
          <w:numId w:val="14"/>
        </w:numPr>
        <w:ind w:left="1080"/>
      </w:pPr>
      <w:r w:rsidRPr="00743512">
        <w:t>a</w:t>
      </w:r>
      <w:r w:rsidR="00BF3070" w:rsidRPr="00743512">
        <w:t xml:space="preserve">ll patients in the OlympiAD trial had metastatic disease. It remained uncertain whether the OS benefit associated with olaparib observed in this trial can be used to inform the transition from non-mBC to death (TP5). </w:t>
      </w:r>
    </w:p>
    <w:p w14:paraId="0F7B0989" w14:textId="169117CF" w:rsidR="00BF3070" w:rsidRPr="00743512" w:rsidRDefault="00F4781C" w:rsidP="00F4781C">
      <w:pPr>
        <w:pStyle w:val="3-BodyText"/>
        <w:numPr>
          <w:ilvl w:val="1"/>
          <w:numId w:val="14"/>
        </w:numPr>
        <w:ind w:left="1080"/>
      </w:pPr>
      <w:r w:rsidRPr="00743512">
        <w:t>t</w:t>
      </w:r>
      <w:r w:rsidR="00BF3070" w:rsidRPr="00743512">
        <w:t xml:space="preserve">he OlympiAD trial enrolled patients who had received no more than two previous chemotherapy regimens for metastatic disease. No statistically significant improvement in OS with olaparib was reported in the intention-to-treat (ITT) population (median OS: 19.3 months vs. 17.1 months; </w:t>
      </w:r>
      <w:r w:rsidRPr="00743512">
        <w:t>HR =</w:t>
      </w:r>
      <w:r w:rsidR="00BF3070" w:rsidRPr="00743512">
        <w:t xml:space="preserve"> 0.90</w:t>
      </w:r>
      <w:r w:rsidRPr="00743512">
        <w:t xml:space="preserve">; 95% CI: </w:t>
      </w:r>
      <w:r w:rsidR="00BF3070" w:rsidRPr="00743512">
        <w:t xml:space="preserve">0.66, 1.23). </w:t>
      </w:r>
      <w:r w:rsidRPr="00743512">
        <w:t>The</w:t>
      </w:r>
      <w:r w:rsidR="00BF3070" w:rsidRPr="00743512">
        <w:t xml:space="preserve"> greater benefit (</w:t>
      </w:r>
      <w:r w:rsidRPr="00743512">
        <w:t>HR =</w:t>
      </w:r>
      <w:r w:rsidR="00BF3070" w:rsidRPr="00743512">
        <w:t xml:space="preserve"> 0.51) was only observed among a subgroup of patients who had not previously received chemotherapy for mBC. This subgroup contained only about 29% of the ITT population. As there is no evidence indicating that, in OlympiA, patients received a PARP inhibitor as first-line therapy for metastatic recurrence only, the results from the Olym</w:t>
      </w:r>
      <w:r w:rsidR="00157B92" w:rsidRPr="00743512">
        <w:t>p</w:t>
      </w:r>
      <w:r w:rsidR="00BF3070" w:rsidRPr="00743512">
        <w:t xml:space="preserve">iAD ITT population, regardless of line of therapy, may be more applicable to the OlympiA trial setting and, thus, to the olaparib economic model. </w:t>
      </w:r>
    </w:p>
    <w:p w14:paraId="49F4393B" w14:textId="3FF7BE4E" w:rsidR="00C01E6B" w:rsidRPr="00743512" w:rsidRDefault="00BF3070" w:rsidP="00BF3070">
      <w:pPr>
        <w:pStyle w:val="3-BodyText"/>
        <w:numPr>
          <w:ilvl w:val="0"/>
          <w:numId w:val="0"/>
        </w:numPr>
        <w:ind w:left="720"/>
        <w:rPr>
          <w:i/>
          <w:iCs/>
        </w:rPr>
      </w:pPr>
      <w:r w:rsidRPr="00743512">
        <w:t xml:space="preserve">Overall, there is considerable uncertainty regarding whether the PARP </w:t>
      </w:r>
      <w:r w:rsidR="00952C6A" w:rsidRPr="00743512">
        <w:t xml:space="preserve">inhibitor </w:t>
      </w:r>
      <w:r w:rsidRPr="00743512">
        <w:t xml:space="preserve">use in the OlympiA trial for treatment of non-mBC and mBC could have extended the time to death as observed in the first-line treatment subgroup of the OlympiAD trial. In addition, the method of adjusting for treatment switching </w:t>
      </w:r>
      <w:r w:rsidR="00952C6A" w:rsidRPr="00743512">
        <w:t xml:space="preserve">was </w:t>
      </w:r>
      <w:r w:rsidRPr="00743512">
        <w:t xml:space="preserve">not well justified and did not adhere to the methods described in the PBAC Guidelines (version 5.0). Therefore, the adjustment for TP5 and TP6 due to the use of </w:t>
      </w:r>
      <w:r w:rsidR="00952C6A" w:rsidRPr="00743512">
        <w:t xml:space="preserve">a </w:t>
      </w:r>
      <w:r w:rsidRPr="00743512">
        <w:t>PARP</w:t>
      </w:r>
      <w:r w:rsidR="00952C6A" w:rsidRPr="00743512">
        <w:t xml:space="preserve"> inhibitor</w:t>
      </w:r>
      <w:r w:rsidRPr="00743512">
        <w:t xml:space="preserve"> in the recurrence health states has been removed in the </w:t>
      </w:r>
      <w:r w:rsidR="00952C6A" w:rsidRPr="00743512">
        <w:t xml:space="preserve">Evaluation’s </w:t>
      </w:r>
      <w:r w:rsidRPr="00743512">
        <w:t>alternative base case analysis.</w:t>
      </w:r>
      <w:r w:rsidR="00952C6A" w:rsidRPr="00743512">
        <w:t xml:space="preserve"> The PSCR acknowledged that a simple approach was applied in the resubmission which did not adhere to the formal methods (such as RPSFT) described in the PBAC Guidelines. The ESC noted that the adjustment factor applied to the model was estimated based on the hazard ratio of OS reported in the first-line treatment subgroup of the OlympiAD trial, where no statistically significant improvement in OS with olaparib was observed in the overall mBC population. </w:t>
      </w:r>
      <w:r w:rsidR="00C01E6B" w:rsidRPr="00743512">
        <w:t>There is considerable uncertainty regarding the applicability of the subgroup results to the non-mBC setting and to the mBC setting (of all lines of therapy) of the economic model</w:t>
      </w:r>
      <w:r w:rsidR="00157B92" w:rsidRPr="00743512">
        <w:t xml:space="preserve">. </w:t>
      </w:r>
      <w:r w:rsidR="00C01E6B" w:rsidRPr="00743512">
        <w:t>The ESC agreed with the commentary that the method of adjustment for PARP inhibitor use was not well justified and favoured olaparib</w:t>
      </w:r>
      <w:r w:rsidR="00157B92" w:rsidRPr="00743512">
        <w:t xml:space="preserve">. </w:t>
      </w:r>
    </w:p>
    <w:p w14:paraId="18BF6759" w14:textId="49BACFFB" w:rsidR="00BF3070" w:rsidRPr="00743512" w:rsidRDefault="00BF3070" w:rsidP="00BF3070">
      <w:pPr>
        <w:pStyle w:val="3-BodyText"/>
      </w:pPr>
      <w:r w:rsidRPr="00743512">
        <w:t>The modelled OS curves were not based on the observed OS KM curves from the OlympiA trial, but were a product of the transition probabilities in the model. A comparison of the modelled and trial-based OS shows that the modelled OS curve substantially underestimates the observed survival data for the placebo arm from early time points (green dashed line vs. red sol</w:t>
      </w:r>
      <w:r w:rsidR="00BF198A" w:rsidRPr="00743512">
        <w:t>i</w:t>
      </w:r>
      <w:r w:rsidRPr="00743512">
        <w:t xml:space="preserve">d line, </w:t>
      </w:r>
      <w:r w:rsidRPr="00743512">
        <w:fldChar w:fldCharType="begin"/>
      </w:r>
      <w:r w:rsidRPr="00743512">
        <w:instrText xml:space="preserve"> REF _Ref143868404 \h  \* MERGEFORMAT </w:instrText>
      </w:r>
      <w:r w:rsidRPr="00743512">
        <w:fldChar w:fldCharType="separate"/>
      </w:r>
      <w:r w:rsidR="00D2565D" w:rsidRPr="00743512">
        <w:t xml:space="preserve">Figure </w:t>
      </w:r>
      <w:r w:rsidR="00D2565D">
        <w:t>4</w:t>
      </w:r>
      <w:r w:rsidRPr="00743512">
        <w:fldChar w:fldCharType="end"/>
      </w:r>
      <w:r w:rsidRPr="00743512">
        <w:t xml:space="preserve">); </w:t>
      </w:r>
      <w:r w:rsidR="00F4781C" w:rsidRPr="00743512">
        <w:t>whereas</w:t>
      </w:r>
      <w:r w:rsidRPr="00743512">
        <w:t>, it provides a good fit to the observed survival data for the olaparib arm up to approximately Month 50. If the adjustment for increased PARP use in the mBC and non-mBC settings is removed, the modelled OS curve more closely matches the observed OS data for placebo (orange dashed line vs. red solid line), though still appears to underestimate the observed OS data.</w:t>
      </w:r>
    </w:p>
    <w:p w14:paraId="01EC7377" w14:textId="7F840A30" w:rsidR="00BF3070" w:rsidRPr="00743512" w:rsidRDefault="00BF3070" w:rsidP="00BF3070">
      <w:pPr>
        <w:pStyle w:val="Caption"/>
      </w:pPr>
      <w:bookmarkStart w:id="72" w:name="_Ref143868404"/>
      <w:r w:rsidRPr="00743512">
        <w:t xml:space="preserve">Figure </w:t>
      </w:r>
      <w:r w:rsidR="00D2565D">
        <w:fldChar w:fldCharType="begin"/>
      </w:r>
      <w:r w:rsidR="00D2565D">
        <w:instrText xml:space="preserve"> SEQ Figure \* ARABIC </w:instrText>
      </w:r>
      <w:r w:rsidR="00D2565D">
        <w:fldChar w:fldCharType="separate"/>
      </w:r>
      <w:r w:rsidR="00D2565D">
        <w:rPr>
          <w:noProof/>
        </w:rPr>
        <w:t>4</w:t>
      </w:r>
      <w:r w:rsidR="00D2565D">
        <w:rPr>
          <w:noProof/>
        </w:rPr>
        <w:fldChar w:fldCharType="end"/>
      </w:r>
      <w:bookmarkEnd w:id="72"/>
      <w:r w:rsidRPr="00743512">
        <w:t>: Comparison of observed OS KM data with the modelled OS curves, with and without adjustment for PARP use</w:t>
      </w:r>
    </w:p>
    <w:p w14:paraId="67163D32" w14:textId="77777777" w:rsidR="00BF3070" w:rsidRPr="00743512" w:rsidRDefault="00BF3070" w:rsidP="00BF3070">
      <w:r w:rsidRPr="00743512">
        <w:rPr>
          <w:noProof/>
        </w:rPr>
        <w:drawing>
          <wp:inline distT="0" distB="0" distL="0" distR="0" wp14:anchorId="45941728" wp14:editId="06250E0D">
            <wp:extent cx="5551170" cy="3624943"/>
            <wp:effectExtent l="0" t="0" r="0" b="0"/>
            <wp:docPr id="14" name="Picture 14" descr="Figure 4: Comparison of observed OS KM data with the modelled OS curves, with and without adjustment for PARP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4: Comparison of observed OS KM data with the modelled OS curves, with and without adjustment for PARP 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9918" cy="3637185"/>
                    </a:xfrm>
                    <a:prstGeom prst="rect">
                      <a:avLst/>
                    </a:prstGeom>
                    <a:noFill/>
                  </pic:spPr>
                </pic:pic>
              </a:graphicData>
            </a:graphic>
          </wp:inline>
        </w:drawing>
      </w:r>
    </w:p>
    <w:p w14:paraId="5B36A45F" w14:textId="77777777" w:rsidR="00BF3070" w:rsidRPr="00743512" w:rsidRDefault="00BF3070" w:rsidP="00BF3070">
      <w:pPr>
        <w:pStyle w:val="TableFooter"/>
      </w:pPr>
      <w:r w:rsidRPr="00743512">
        <w:t>Source: Generated during the evaluation based on the economic evaluation spreadsheet.</w:t>
      </w:r>
    </w:p>
    <w:p w14:paraId="4AE24859" w14:textId="3EA9BBA3" w:rsidR="00BF3070" w:rsidRPr="00743512" w:rsidRDefault="00BF3070" w:rsidP="00F32823">
      <w:pPr>
        <w:pStyle w:val="TableFooter"/>
        <w:spacing w:after="120"/>
      </w:pPr>
      <w:r w:rsidRPr="00743512">
        <w:t>KM = Kaplan-Meier; OS = overall survival; PARP = poly (adenosine diphosphate [ADP]-ribose) polymerase.</w:t>
      </w:r>
    </w:p>
    <w:p w14:paraId="65FE64C2" w14:textId="3BEF4E55" w:rsidR="00BF3070" w:rsidRPr="0066791A" w:rsidRDefault="00BF3070" w:rsidP="00BF3070">
      <w:pPr>
        <w:pStyle w:val="3-BodyText"/>
      </w:pPr>
      <w:r w:rsidRPr="00743512">
        <w:t xml:space="preserve">The </w:t>
      </w:r>
      <w:r w:rsidRPr="0066791A">
        <w:t>resubmission used a g</w:t>
      </w:r>
      <w:r w:rsidR="00CD50D4" w:rsidRPr="0066791A">
        <w:rPr>
          <w:i/>
        </w:rPr>
        <w:t>BRCA</w:t>
      </w:r>
      <w:r w:rsidRPr="0066791A">
        <w:t xml:space="preserve"> testing cost of $1,000. As stated in </w:t>
      </w:r>
      <w:r w:rsidR="005A5F28" w:rsidRPr="0066791A">
        <w:t xml:space="preserve">paragraph </w:t>
      </w:r>
      <w:r w:rsidRPr="0066791A">
        <w:fldChar w:fldCharType="begin"/>
      </w:r>
      <w:r w:rsidRPr="0066791A">
        <w:instrText xml:space="preserve"> REF _Ref144746256 \r \h </w:instrText>
      </w:r>
      <w:r w:rsidR="0066791A">
        <w:instrText xml:space="preserve"> \* MERGEFORMAT </w:instrText>
      </w:r>
      <w:r w:rsidRPr="0066791A">
        <w:fldChar w:fldCharType="separate"/>
      </w:r>
      <w:r w:rsidR="00D2565D">
        <w:t>2.6</w:t>
      </w:r>
      <w:r w:rsidRPr="0066791A">
        <w:fldChar w:fldCharType="end"/>
      </w:r>
      <w:r w:rsidRPr="0066791A">
        <w:t xml:space="preserve">, </w:t>
      </w:r>
      <w:r w:rsidR="00E43167" w:rsidRPr="0066791A">
        <w:t>a</w:t>
      </w:r>
      <w:r w:rsidRPr="0066791A">
        <w:t xml:space="preserve"> Schedule fee of $1,200 </w:t>
      </w:r>
      <w:r w:rsidR="00E43167" w:rsidRPr="0066791A">
        <w:t xml:space="preserve">was proposed </w:t>
      </w:r>
      <w:r w:rsidRPr="0066791A">
        <w:t xml:space="preserve">for the </w:t>
      </w:r>
      <w:r w:rsidR="00DF248B" w:rsidRPr="0066791A">
        <w:t xml:space="preserve">MBS item for </w:t>
      </w:r>
      <w:r w:rsidRPr="0066791A">
        <w:t>g</w:t>
      </w:r>
      <w:r w:rsidR="00CD50D4" w:rsidRPr="0066791A">
        <w:rPr>
          <w:i/>
        </w:rPr>
        <w:t>BRCA</w:t>
      </w:r>
      <w:r w:rsidRPr="0066791A">
        <w:t xml:space="preserve"> testing to determine the eligibility of olaparib for eBC, based on stakeholder consultation feedback</w:t>
      </w:r>
      <w:r w:rsidR="00157B92" w:rsidRPr="0066791A">
        <w:t xml:space="preserve">. </w:t>
      </w:r>
    </w:p>
    <w:p w14:paraId="3A485029" w14:textId="39B0AE1E" w:rsidR="00D016C4" w:rsidRPr="00743512" w:rsidRDefault="00BF3070" w:rsidP="00BF3070">
      <w:pPr>
        <w:pStyle w:val="3-BodyText"/>
      </w:pPr>
      <w:bookmarkStart w:id="73" w:name="_Ref147953646"/>
      <w:r w:rsidRPr="0066791A">
        <w:t>The model assumed that g</w:t>
      </w:r>
      <w:r w:rsidR="00CD50D4" w:rsidRPr="0066791A">
        <w:rPr>
          <w:i/>
        </w:rPr>
        <w:t>BRCA</w:t>
      </w:r>
      <w:r w:rsidRPr="0066791A">
        <w:t xml:space="preserve"> testing would</w:t>
      </w:r>
      <w:r w:rsidRPr="00743512">
        <w:t xml:space="preserve"> be performed at or soon after diagnosis. According to the proposed MBS descriptor and proposed treatment algorithm, all TNBC patients would undergo g</w:t>
      </w:r>
      <w:r w:rsidR="00CD50D4" w:rsidRPr="00743512">
        <w:rPr>
          <w:i/>
        </w:rPr>
        <w:t>BRCA</w:t>
      </w:r>
      <w:r w:rsidRPr="00743512">
        <w:t xml:space="preserve"> testing; </w:t>
      </w:r>
      <w:r w:rsidR="00F4781C" w:rsidRPr="00743512">
        <w:t xml:space="preserve">whereas, </w:t>
      </w:r>
      <w:r w:rsidRPr="00743512">
        <w:t xml:space="preserve">of the HR+ population, about 49% patients would be considered having high-risk characteristics (i.e. tumour histology grade ≥3; tumour size ≥20 mm; or any positive lymph nodes) and </w:t>
      </w:r>
      <w:r w:rsidR="00F4781C" w:rsidRPr="00743512">
        <w:t xml:space="preserve">would be </w:t>
      </w:r>
      <w:r w:rsidRPr="00743512">
        <w:t>eligible for g</w:t>
      </w:r>
      <w:r w:rsidR="00CD50D4" w:rsidRPr="00743512">
        <w:rPr>
          <w:i/>
        </w:rPr>
        <w:t>BRCA</w:t>
      </w:r>
      <w:r w:rsidRPr="00743512">
        <w:t xml:space="preserve"> testing on MBS. The resubmission further assumed that 100% </w:t>
      </w:r>
      <w:r w:rsidR="00DF248B" w:rsidRPr="00743512">
        <w:t xml:space="preserve">of </w:t>
      </w:r>
      <w:r w:rsidRPr="00743512">
        <w:t>patients who tested positive for g</w:t>
      </w:r>
      <w:r w:rsidR="00CD50D4" w:rsidRPr="00743512">
        <w:rPr>
          <w:i/>
        </w:rPr>
        <w:t>BRCA</w:t>
      </w:r>
      <w:r w:rsidRPr="00743512">
        <w:t>m at initial diagnosis would be at a high risk of recurrence and thus, eligible for adjuvant olaparib therapy, despite the broader MBS eligibility criterion for g</w:t>
      </w:r>
      <w:r w:rsidR="00CD50D4" w:rsidRPr="00743512">
        <w:rPr>
          <w:i/>
        </w:rPr>
        <w:t>BRCA</w:t>
      </w:r>
      <w:r w:rsidRPr="00743512">
        <w:t xml:space="preserve"> testing than the PBS restriction for olaparib therapy. According to the proposed MBS and PBS listings, there will be a proportion of patients who meet the criterion for g</w:t>
      </w:r>
      <w:r w:rsidR="00CD50D4" w:rsidRPr="00743512">
        <w:rPr>
          <w:i/>
        </w:rPr>
        <w:t>BRCA</w:t>
      </w:r>
      <w:r w:rsidRPr="00743512">
        <w:t xml:space="preserve"> testing but are subsequently ineligible for olaparib therapy following surgery</w:t>
      </w:r>
      <w:r w:rsidRPr="00743512">
        <w:rPr>
          <w:rStyle w:val="FootnoteReference"/>
          <w:rFonts w:eastAsiaTheme="majorEastAsia"/>
        </w:rPr>
        <w:footnoteReference w:id="17"/>
      </w:r>
      <w:r w:rsidRPr="00743512">
        <w:t xml:space="preserve">. Removing these patients from the estimation of the number of patients needed to be tested to identify one patient </w:t>
      </w:r>
      <w:r w:rsidR="00F4781C" w:rsidRPr="00743512">
        <w:t xml:space="preserve">eligible for </w:t>
      </w:r>
      <w:r w:rsidRPr="00743512">
        <w:t>treat</w:t>
      </w:r>
      <w:r w:rsidR="00F4781C" w:rsidRPr="00743512">
        <w:t>ment</w:t>
      </w:r>
      <w:r w:rsidRPr="00743512">
        <w:t xml:space="preserve"> with olaparib has underestimated the incremental costs between the two treatment arms and favoured olaparib. A sensitivity analysis was performed </w:t>
      </w:r>
      <w:r w:rsidR="00F4781C" w:rsidRPr="00743512">
        <w:t>in which</w:t>
      </w:r>
      <w:r w:rsidRPr="00743512">
        <w:t xml:space="preserve"> the incremental cost for testing</w:t>
      </w:r>
      <w:r w:rsidR="00F4781C" w:rsidRPr="00743512">
        <w:t xml:space="preserve"> was doubled</w:t>
      </w:r>
      <w:r w:rsidRPr="00743512">
        <w:t xml:space="preserve">. </w:t>
      </w:r>
      <w:r w:rsidR="00F4781C" w:rsidRPr="00743512">
        <w:t>However, t</w:t>
      </w:r>
      <w:r w:rsidRPr="00743512">
        <w:t>he result of this analysis</w:t>
      </w:r>
      <w:r w:rsidR="00157B92" w:rsidRPr="00743512">
        <w:t xml:space="preserve"> </w:t>
      </w:r>
      <w:r w:rsidRPr="00743512">
        <w:t xml:space="preserve">should be interpreted with caution, as it </w:t>
      </w:r>
      <w:r w:rsidR="00F4781C" w:rsidRPr="00743512">
        <w:t xml:space="preserve">did </w:t>
      </w:r>
      <w:r w:rsidRPr="00743512">
        <w:t xml:space="preserve">not take into account </w:t>
      </w:r>
      <w:r w:rsidR="00F4781C" w:rsidRPr="00743512">
        <w:t xml:space="preserve">the </w:t>
      </w:r>
      <w:r w:rsidRPr="00743512">
        <w:t xml:space="preserve">benefits </w:t>
      </w:r>
      <w:r w:rsidR="00F4781C" w:rsidRPr="00743512">
        <w:t xml:space="preserve">of </w:t>
      </w:r>
      <w:r w:rsidRPr="00743512">
        <w:t>identifying g</w:t>
      </w:r>
      <w:r w:rsidR="00CD50D4" w:rsidRPr="00743512">
        <w:rPr>
          <w:i/>
        </w:rPr>
        <w:t>BRCA</w:t>
      </w:r>
      <w:r w:rsidRPr="00743512">
        <w:t xml:space="preserve">m in patients who </w:t>
      </w:r>
      <w:r w:rsidR="00F4781C" w:rsidRPr="00743512">
        <w:t xml:space="preserve">would </w:t>
      </w:r>
      <w:r w:rsidRPr="00743512">
        <w:t xml:space="preserve">not </w:t>
      </w:r>
      <w:r w:rsidR="00F4781C" w:rsidRPr="00743512">
        <w:t xml:space="preserve">be </w:t>
      </w:r>
      <w:r w:rsidRPr="00743512">
        <w:t xml:space="preserve">eligible for olaparib, such as increased monitoring for other cancers and </w:t>
      </w:r>
      <w:r w:rsidR="00F4781C" w:rsidRPr="00743512">
        <w:t xml:space="preserve">other </w:t>
      </w:r>
      <w:r w:rsidRPr="00743512">
        <w:t>preventative actions (e.g. bilateral salpingo-oophorectomy or mastectomy).</w:t>
      </w:r>
      <w:bookmarkEnd w:id="73"/>
      <w:r w:rsidRPr="00743512">
        <w:t xml:space="preserve"> </w:t>
      </w:r>
    </w:p>
    <w:p w14:paraId="6B6C4BED" w14:textId="3F9C1572" w:rsidR="00BF3070" w:rsidRPr="00162FFC" w:rsidRDefault="00D016C4" w:rsidP="004F5B47">
      <w:pPr>
        <w:pStyle w:val="3-BodyText"/>
      </w:pPr>
      <w:bookmarkStart w:id="74" w:name="_Ref147949883"/>
      <w:r w:rsidRPr="00743512">
        <w:t>The PSCR acknowledged that the resubmission failed to incorporate the test cost in g</w:t>
      </w:r>
      <w:r w:rsidRPr="00743512">
        <w:rPr>
          <w:i/>
          <w:iCs/>
        </w:rPr>
        <w:t>BRCA</w:t>
      </w:r>
      <w:r w:rsidRPr="00743512">
        <w:t xml:space="preserve"> positive patients who are ineligible for treatment (i.e., those who respond to chemotherapy) and proposed an adjustment. The PSCR assumed a chemotherapy non-response rate of 80% (equivalent to multiplying the incremental test cost by 1.25) which increased the ICER </w:t>
      </w:r>
      <w:r w:rsidR="00F4781C" w:rsidRPr="00743512">
        <w:t>from $</w:t>
      </w:r>
      <w:r w:rsidR="000F7259" w:rsidRPr="000F7259">
        <w:t>35,000 to &lt; $45,000</w:t>
      </w:r>
      <w:r w:rsidR="000F7259">
        <w:t xml:space="preserve"> </w:t>
      </w:r>
      <w:r w:rsidR="00F4781C" w:rsidRPr="00743512">
        <w:t>/QALY in the resubmission</w:t>
      </w:r>
      <w:r w:rsidR="00CE5C87" w:rsidRPr="00743512">
        <w:t>’</w:t>
      </w:r>
      <w:r w:rsidR="00F4781C" w:rsidRPr="00743512">
        <w:t xml:space="preserve">s base case </w:t>
      </w:r>
      <w:r w:rsidRPr="00743512">
        <w:t>to $</w:t>
      </w:r>
      <w:r w:rsidR="000F7259" w:rsidRPr="000F7259">
        <w:t>45,000 to &lt; $55,000</w:t>
      </w:r>
      <w:r w:rsidR="000F7259">
        <w:t xml:space="preserve"> </w:t>
      </w:r>
      <w:r w:rsidRPr="00743512">
        <w:t xml:space="preserve">/QALY </w:t>
      </w:r>
      <w:r w:rsidR="00157B92" w:rsidRPr="00743512">
        <w:t xml:space="preserve">. </w:t>
      </w:r>
      <w:r w:rsidRPr="00743512">
        <w:t xml:space="preserve">The ESC noted that 80% was the resubmission’s estimate of the proportion of patients with TNBC who are at high risk for </w:t>
      </w:r>
      <w:r w:rsidRPr="00162FFC">
        <w:t>recurrence, while the proportion of high</w:t>
      </w:r>
      <w:r w:rsidR="00F4781C" w:rsidRPr="00162FFC">
        <w:t>-</w:t>
      </w:r>
      <w:r w:rsidRPr="00162FFC">
        <w:t>risk patients in the HR</w:t>
      </w:r>
      <w:r w:rsidR="00F4781C" w:rsidRPr="00162FFC">
        <w:t>+</w:t>
      </w:r>
      <w:r w:rsidRPr="00162FFC">
        <w:t>/HER2</w:t>
      </w:r>
      <w:r w:rsidR="00F4781C" w:rsidRPr="00162FFC">
        <w:t>-</w:t>
      </w:r>
      <w:r w:rsidRPr="00162FFC">
        <w:t xml:space="preserve"> population was estimated to be 39.2%</w:t>
      </w:r>
      <w:r w:rsidR="00CE5C87" w:rsidRPr="00162FFC">
        <w:t xml:space="preserve">(49% with high-risk characteristics </w:t>
      </w:r>
      <w:r w:rsidR="00CE5C87" w:rsidRPr="00162FFC">
        <w:rPr>
          <w:rFonts w:cs="Calibri"/>
        </w:rPr>
        <w:t>×</w:t>
      </w:r>
      <w:r w:rsidR="00CE5C87" w:rsidRPr="00162FFC">
        <w:t xml:space="preserve"> 80% with a high risk of recurrence; see </w:t>
      </w:r>
      <w:r w:rsidR="00CE5C87" w:rsidRPr="00162FFC">
        <w:fldChar w:fldCharType="begin"/>
      </w:r>
      <w:r w:rsidR="00CE5C87" w:rsidRPr="00162FFC">
        <w:instrText xml:space="preserve"> REF _Ref104805262 \h </w:instrText>
      </w:r>
      <w:r w:rsidR="00162FFC">
        <w:instrText xml:space="preserve"> \* MERGEFORMAT </w:instrText>
      </w:r>
      <w:r w:rsidR="00CE5C87" w:rsidRPr="00162FFC">
        <w:fldChar w:fldCharType="separate"/>
      </w:r>
      <w:r w:rsidR="00D2565D" w:rsidRPr="00743512">
        <w:t xml:space="preserve">Table </w:t>
      </w:r>
      <w:r w:rsidR="00D2565D">
        <w:t>19</w:t>
      </w:r>
      <w:r w:rsidR="00CE5C87" w:rsidRPr="00162FFC">
        <w:fldChar w:fldCharType="end"/>
      </w:r>
      <w:r w:rsidR="00CE5C87" w:rsidRPr="00162FFC">
        <w:t xml:space="preserve">). </w:t>
      </w:r>
      <w:r w:rsidRPr="00162FFC">
        <w:t xml:space="preserve">. Both were higher than the </w:t>
      </w:r>
      <w:r w:rsidR="00F4781C" w:rsidRPr="00162FFC">
        <w:t xml:space="preserve">March 2023 </w:t>
      </w:r>
      <w:r w:rsidRPr="00162FFC">
        <w:t>PBAC estimates (40% for TNBC and 25% for HR</w:t>
      </w:r>
      <w:r w:rsidR="00F4781C" w:rsidRPr="00162FFC">
        <w:t>+</w:t>
      </w:r>
      <w:r w:rsidRPr="00162FFC">
        <w:t>/HER2</w:t>
      </w:r>
      <w:r w:rsidR="00F4781C" w:rsidRPr="00162FFC">
        <w:t>-</w:t>
      </w:r>
      <w:r w:rsidRPr="00162FFC">
        <w:t>)</w:t>
      </w:r>
      <w:r w:rsidR="00157B92" w:rsidRPr="00162FFC">
        <w:t xml:space="preserve">. </w:t>
      </w:r>
      <w:r w:rsidRPr="00162FFC">
        <w:t>Altering the adjustment to reflect these inputs would further increase the ICER</w:t>
      </w:r>
      <w:r w:rsidR="00D63944" w:rsidRPr="00162FFC">
        <w:t>, for example if the lowest of these proportions was used (25%), the ICER would increase to $</w:t>
      </w:r>
      <w:r w:rsidR="00B03FAB" w:rsidRPr="00162FFC">
        <w:t xml:space="preserve">55,000 to &lt; $75,000 </w:t>
      </w:r>
      <w:r w:rsidR="00D63944" w:rsidRPr="00162FFC">
        <w:t>/QALY</w:t>
      </w:r>
      <w:r w:rsidR="00D52352" w:rsidRPr="00162FFC">
        <w:t xml:space="preserve"> (with </w:t>
      </w:r>
      <w:r w:rsidR="00D52352" w:rsidRPr="00162FFC">
        <w:rPr>
          <w:i/>
          <w:iCs/>
        </w:rPr>
        <w:t>BRCA</w:t>
      </w:r>
      <w:r w:rsidR="00D52352" w:rsidRPr="00162FFC">
        <w:t xml:space="preserve"> test cost of $1,000 as per submission base case) or $</w:t>
      </w:r>
      <w:r w:rsidR="00B03FAB" w:rsidRPr="00162FFC">
        <w:t xml:space="preserve">55,000 to &lt; $75,000 </w:t>
      </w:r>
      <w:r w:rsidR="00D52352" w:rsidRPr="00162FFC">
        <w:t xml:space="preserve">/QALY (with </w:t>
      </w:r>
      <w:r w:rsidR="00D52352" w:rsidRPr="00162FFC">
        <w:rPr>
          <w:i/>
          <w:iCs/>
        </w:rPr>
        <w:t>BRCA</w:t>
      </w:r>
      <w:r w:rsidR="00D52352" w:rsidRPr="00162FFC">
        <w:t xml:space="preserve"> test cost of $1,200)</w:t>
      </w:r>
      <w:r w:rsidRPr="00162FFC">
        <w:t>.</w:t>
      </w:r>
      <w:bookmarkEnd w:id="74"/>
      <w:r w:rsidRPr="00162FFC">
        <w:t xml:space="preserve"> </w:t>
      </w:r>
    </w:p>
    <w:p w14:paraId="34A9C10E" w14:textId="0D7666C0" w:rsidR="00BF3070" w:rsidRPr="00743512" w:rsidRDefault="00BF3070" w:rsidP="00BF3070">
      <w:pPr>
        <w:pStyle w:val="3-BodyText"/>
      </w:pPr>
      <w:r w:rsidRPr="00743512">
        <w:t>The treatment duration of olaparib was sourced from the OlympiA clinical study report at DCO2</w:t>
      </w:r>
      <w:r w:rsidR="00F4781C" w:rsidRPr="00743512">
        <w:t>,</w:t>
      </w:r>
      <w:r w:rsidRPr="00743512">
        <w:t xml:space="preserve"> which reported a mean duration of 9.7 months in the olaparib arm after taking into account dose interruptions. The olaparib treatment duration applied to the economic model was around 0.5 months shorter than that used in the previous submission (10.27 months), which was derived from trial-based time to treatment discontinuation (TTD) curve adjusted for 12 days of treatment interruptions. The TTD approach may provide a more accurate estimate of the olaparib drug acquisition cost which would occur at the beginning of each model cycle. A sensitivity analysis was performed using a treatment duration of 10.27 months, incorporating wastage. </w:t>
      </w:r>
    </w:p>
    <w:p w14:paraId="475D8258" w14:textId="37D514BA" w:rsidR="00EF6842" w:rsidRPr="00743512" w:rsidRDefault="00EF6842" w:rsidP="004F5B47">
      <w:pPr>
        <w:pStyle w:val="3-BodyText"/>
      </w:pPr>
      <w:bookmarkStart w:id="75" w:name="_Ref150332422"/>
      <w:r w:rsidRPr="00743512">
        <w:t>The resubmission assumed that the total proportion of patients receiving active treatment for mBC was 80%, compared with an assumption of 100% in the March 2023 submission</w:t>
      </w:r>
      <w:r w:rsidR="00157B92" w:rsidRPr="00743512">
        <w:t xml:space="preserve">. </w:t>
      </w:r>
      <w:r w:rsidRPr="00743512">
        <w:t>The PBAC previously considered 100% was an overestimate and suggested use of a treatment rate of 70%, based on the data observed in the OlympiA trial (Table 18, olaparib PSD, March 2023 PBAC meeting). The resubmission expected that the rate of treatment in the metastatic setting would increase with longer follow-up of OlympiA. The resubmission indicated that rate of mBC treatments in those who have progressed ranged from 75% to 88% based on external data sources. The resubmission assumed 80% of patients in the mBC health state undergo treatment, roughly midway between 75% and 88%.</w:t>
      </w:r>
      <w:r w:rsidR="00672992" w:rsidRPr="00743512">
        <w:rPr>
          <w:i/>
          <w:iCs/>
        </w:rPr>
        <w:t xml:space="preserve"> </w:t>
      </w:r>
      <w:r w:rsidR="00672992" w:rsidRPr="00743512">
        <w:t xml:space="preserve">The ESC noted that while the resubmission’s assumption that the mBC treatment rate might increase with extended follow-up in the OlympiA trial might be reasonable, as the health outcomes (e.g. time from early-onset mBC to death) were modelled based on the OlympiA trial </w:t>
      </w:r>
      <w:r w:rsidR="00F4781C" w:rsidRPr="00743512">
        <w:t xml:space="preserve">in which </w:t>
      </w:r>
      <w:r w:rsidR="00672992" w:rsidRPr="00743512">
        <w:t>70% of mBC patients received treatments, trial data on the uptake of mBC therapies would be preferable in estimating the costs for mBC treatments.</w:t>
      </w:r>
      <w:bookmarkEnd w:id="75"/>
    </w:p>
    <w:p w14:paraId="6F5FF699" w14:textId="21BF6087" w:rsidR="00BF3070" w:rsidRPr="00743512" w:rsidRDefault="00BF3070" w:rsidP="00BF3070">
      <w:pPr>
        <w:pStyle w:val="3-BodyText"/>
      </w:pPr>
      <w:bookmarkStart w:id="76" w:name="_Ref147955329"/>
      <w:bookmarkStart w:id="77" w:name="_Ref150251354"/>
      <w:r w:rsidRPr="00743512">
        <w:t xml:space="preserve">The resubmission assumed a relative dose intensity (RDI) of 94.2% for sacituzumab govitecan (SG), based on the pivotal study (ASCENT). When the SG submission was reviewed, the PBAC considered that the RDI of 94.2% was likely overestimated, given the relatively high rates of patients who experienced an AE leading to a treatment interruption (62.8% of patients in the SG arm) and dose reductions due to AEs (21.7% of patients in the SG arm). In the absence of more reliable information, the PBAC considered that a RDI of 70% to 80% may be reasonable in the context of an early resolution resubmission (para 7.15, sacituzumab govitecan PSD, November 2021 PBAC meeting). The application of a lower RDI to the mean SG dose per administration (to account for dose reductions) did not affect the treatment cost, as the number vials required per infusion would remain the same as the resubmission’s base case (4 x 180 mg vials). However, as AE-related dose interruptions occurred in more patients than dose reductions (62.8% vs. 21.7%), the evaluation’s alternative base case assumed a treatment duration of 5.6 months (compared with 6.6 months in the resubmission’s base case, </w:t>
      </w:r>
      <w:r w:rsidR="00F4781C" w:rsidRPr="00743512">
        <w:t xml:space="preserve">a </w:t>
      </w:r>
      <w:r w:rsidRPr="00743512">
        <w:t xml:space="preserve">decrease </w:t>
      </w:r>
      <w:r w:rsidR="00F4781C" w:rsidRPr="00743512">
        <w:t>of</w:t>
      </w:r>
      <w:r w:rsidRPr="00743512">
        <w:t xml:space="preserve"> 15%) to account for dose interruptions</w:t>
      </w:r>
      <w:r w:rsidR="00157B92" w:rsidRPr="00743512">
        <w:t xml:space="preserve">. </w:t>
      </w:r>
      <w:r w:rsidR="003874D5" w:rsidRPr="00743512">
        <w:t>The model was not sensitive to this change (</w:t>
      </w:r>
      <w:r w:rsidR="003874D5" w:rsidRPr="00743512">
        <w:fldChar w:fldCharType="begin"/>
      </w:r>
      <w:r w:rsidR="003874D5" w:rsidRPr="00743512">
        <w:instrText xml:space="preserve"> REF _Ref124154495 \h </w:instrText>
      </w:r>
      <w:r w:rsidR="003874D5" w:rsidRPr="00743512">
        <w:fldChar w:fldCharType="separate"/>
      </w:r>
      <w:r w:rsidR="00D2565D" w:rsidRPr="00743512">
        <w:t xml:space="preserve">Table </w:t>
      </w:r>
      <w:r w:rsidR="00D2565D">
        <w:rPr>
          <w:noProof/>
        </w:rPr>
        <w:t>15</w:t>
      </w:r>
      <w:r w:rsidR="003874D5" w:rsidRPr="00743512">
        <w:fldChar w:fldCharType="end"/>
      </w:r>
      <w:r w:rsidR="003874D5" w:rsidRPr="00743512">
        <w:t>)</w:t>
      </w:r>
      <w:bookmarkEnd w:id="76"/>
      <w:r w:rsidR="00157B92" w:rsidRPr="00743512">
        <w:t xml:space="preserve">. </w:t>
      </w:r>
      <w:r w:rsidR="005A5F28" w:rsidRPr="00743512">
        <w:t>The pre-PBAC response accepted a treatment duration of sacituzumab govitecan of 5.6 months.</w:t>
      </w:r>
      <w:bookmarkEnd w:id="77"/>
    </w:p>
    <w:p w14:paraId="4F84347B" w14:textId="247D3FC3" w:rsidR="00BF3070" w:rsidRPr="00743512" w:rsidRDefault="00BF3070" w:rsidP="00BF3070">
      <w:pPr>
        <w:pStyle w:val="3-BodyText"/>
        <w:rPr>
          <w:iCs/>
        </w:rPr>
      </w:pPr>
      <w:r w:rsidRPr="00743512">
        <w:rPr>
          <w:iCs/>
        </w:rPr>
        <w:t xml:space="preserve">The key drivers of the model are summarised in </w:t>
      </w:r>
      <w:r w:rsidRPr="00743512">
        <w:rPr>
          <w:iCs/>
        </w:rPr>
        <w:fldChar w:fldCharType="begin"/>
      </w:r>
      <w:r w:rsidRPr="00743512">
        <w:rPr>
          <w:iCs/>
        </w:rPr>
        <w:instrText xml:space="preserve"> REF _Ref143874015 \h </w:instrText>
      </w:r>
      <w:r w:rsidRPr="00743512">
        <w:rPr>
          <w:iCs/>
        </w:rPr>
      </w:r>
      <w:r w:rsidRPr="00743512">
        <w:rPr>
          <w:iCs/>
        </w:rPr>
        <w:fldChar w:fldCharType="separate"/>
      </w:r>
      <w:r w:rsidR="00D2565D" w:rsidRPr="00743512">
        <w:t xml:space="preserve">Table </w:t>
      </w:r>
      <w:r w:rsidR="00D2565D">
        <w:rPr>
          <w:noProof/>
        </w:rPr>
        <w:t>12</w:t>
      </w:r>
      <w:r w:rsidRPr="00743512">
        <w:rPr>
          <w:iCs/>
        </w:rPr>
        <w:fldChar w:fldCharType="end"/>
      </w:r>
      <w:r w:rsidR="00157B92" w:rsidRPr="00743512">
        <w:rPr>
          <w:iCs/>
        </w:rPr>
        <w:t xml:space="preserve">. </w:t>
      </w:r>
    </w:p>
    <w:p w14:paraId="1DDE37EA" w14:textId="2812FEDB" w:rsidR="00BF3070" w:rsidRPr="00743512" w:rsidRDefault="00BF3070" w:rsidP="009F499B">
      <w:pPr>
        <w:pStyle w:val="Caption"/>
      </w:pPr>
      <w:bookmarkStart w:id="78" w:name="_Ref143874015"/>
      <w:r w:rsidRPr="00743512">
        <w:t xml:space="preserve">Table </w:t>
      </w:r>
      <w:r w:rsidR="00D2565D">
        <w:fldChar w:fldCharType="begin"/>
      </w:r>
      <w:r w:rsidR="00D2565D">
        <w:instrText xml:space="preserve"> SEQ Table \* ARABIC </w:instrText>
      </w:r>
      <w:r w:rsidR="00D2565D">
        <w:fldChar w:fldCharType="separate"/>
      </w:r>
      <w:r w:rsidR="00D2565D">
        <w:rPr>
          <w:noProof/>
        </w:rPr>
        <w:t>12</w:t>
      </w:r>
      <w:r w:rsidR="00D2565D">
        <w:rPr>
          <w:noProof/>
        </w:rPr>
        <w:fldChar w:fldCharType="end"/>
      </w:r>
      <w:bookmarkEnd w:id="78"/>
      <w:r w:rsidRPr="00743512">
        <w:t>: Key drivers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drivers of the economic evaluation"/>
      </w:tblPr>
      <w:tblGrid>
        <w:gridCol w:w="1414"/>
        <w:gridCol w:w="4252"/>
        <w:gridCol w:w="3351"/>
      </w:tblGrid>
      <w:tr w:rsidR="00BF3070" w:rsidRPr="002D5411" w14:paraId="60CFB8BA" w14:textId="77777777" w:rsidTr="004F5B47">
        <w:trPr>
          <w:tblHeader/>
        </w:trPr>
        <w:tc>
          <w:tcPr>
            <w:tcW w:w="784" w:type="pct"/>
            <w:tcBorders>
              <w:top w:val="single" w:sz="4" w:space="0" w:color="auto"/>
              <w:left w:val="single" w:sz="4" w:space="0" w:color="auto"/>
              <w:bottom w:val="single" w:sz="4" w:space="0" w:color="auto"/>
              <w:right w:val="single" w:sz="4" w:space="0" w:color="auto"/>
            </w:tcBorders>
            <w:vAlign w:val="center"/>
            <w:hideMark/>
          </w:tcPr>
          <w:p w14:paraId="7113CEB1" w14:textId="77777777" w:rsidR="00BF3070" w:rsidRPr="002D5411" w:rsidRDefault="00BF3070" w:rsidP="009F499B">
            <w:pPr>
              <w:pStyle w:val="In-tableHeading"/>
              <w:widowControl w:val="0"/>
              <w:jc w:val="center"/>
              <w:rPr>
                <w:lang w:val="en-AU"/>
              </w:rPr>
            </w:pPr>
            <w:r w:rsidRPr="002D5411">
              <w:rPr>
                <w:lang w:val="en-AU"/>
              </w:rPr>
              <w:t>Description</w:t>
            </w:r>
          </w:p>
        </w:tc>
        <w:tc>
          <w:tcPr>
            <w:tcW w:w="2358" w:type="pct"/>
            <w:tcBorders>
              <w:top w:val="single" w:sz="4" w:space="0" w:color="auto"/>
              <w:left w:val="single" w:sz="4" w:space="0" w:color="auto"/>
              <w:bottom w:val="single" w:sz="4" w:space="0" w:color="auto"/>
              <w:right w:val="single" w:sz="4" w:space="0" w:color="auto"/>
            </w:tcBorders>
            <w:vAlign w:val="center"/>
            <w:hideMark/>
          </w:tcPr>
          <w:p w14:paraId="1FED4F78" w14:textId="77777777" w:rsidR="00BF3070" w:rsidRPr="002D5411" w:rsidRDefault="00BF3070" w:rsidP="009F499B">
            <w:pPr>
              <w:pStyle w:val="In-tableHeading"/>
              <w:jc w:val="center"/>
              <w:rPr>
                <w:lang w:val="en-AU"/>
              </w:rPr>
            </w:pPr>
            <w:r w:rsidRPr="002D5411">
              <w:rPr>
                <w:lang w:val="en-AU"/>
              </w:rPr>
              <w:t>Method/Value</w:t>
            </w:r>
          </w:p>
        </w:tc>
        <w:tc>
          <w:tcPr>
            <w:tcW w:w="1858" w:type="pct"/>
            <w:tcBorders>
              <w:top w:val="single" w:sz="4" w:space="0" w:color="auto"/>
              <w:left w:val="single" w:sz="4" w:space="0" w:color="auto"/>
              <w:bottom w:val="single" w:sz="4" w:space="0" w:color="auto"/>
              <w:right w:val="single" w:sz="4" w:space="0" w:color="auto"/>
            </w:tcBorders>
            <w:vAlign w:val="center"/>
            <w:hideMark/>
          </w:tcPr>
          <w:p w14:paraId="6E0E691C" w14:textId="77777777" w:rsidR="00BF3070" w:rsidRPr="002D5411" w:rsidRDefault="00BF3070" w:rsidP="009F499B">
            <w:pPr>
              <w:pStyle w:val="In-tableHeading"/>
              <w:jc w:val="center"/>
              <w:rPr>
                <w:lang w:val="en-AU"/>
              </w:rPr>
            </w:pPr>
            <w:r w:rsidRPr="002D5411">
              <w:rPr>
                <w:lang w:val="en-AU"/>
              </w:rPr>
              <w:t>Impact</w:t>
            </w:r>
          </w:p>
          <w:p w14:paraId="39E3520E" w14:textId="36724134" w:rsidR="00BF3070" w:rsidRPr="002D5411" w:rsidRDefault="00BF3070" w:rsidP="009F499B">
            <w:pPr>
              <w:pStyle w:val="In-tableHeading"/>
              <w:jc w:val="center"/>
              <w:rPr>
                <w:lang w:val="en-AU"/>
              </w:rPr>
            </w:pPr>
            <w:r w:rsidRPr="002D5411">
              <w:rPr>
                <w:lang w:val="en-AU"/>
              </w:rPr>
              <w:t>Base case ICER</w:t>
            </w:r>
            <w:r w:rsidR="00F32823" w:rsidRPr="002D5411">
              <w:rPr>
                <w:lang w:val="en-AU"/>
              </w:rPr>
              <w:t xml:space="preserve"> </w:t>
            </w:r>
            <w:r w:rsidR="00632DCB" w:rsidRPr="002D5411">
              <w:rPr>
                <w:color w:val="000000"/>
                <w:spacing w:val="78"/>
                <w:shd w:val="solid" w:color="000000" w:fill="000000"/>
                <w:fitText w:val="170" w:id="-1032088819"/>
                <w:lang w:val="en-AU"/>
                <w14:textFill>
                  <w14:solidFill>
                    <w14:srgbClr w14:val="000000">
                      <w14:alpha w14:val="100000"/>
                    </w14:srgbClr>
                  </w14:solidFill>
                </w14:textFill>
              </w:rPr>
              <w:t>|</w:t>
            </w:r>
            <w:r w:rsidR="00632DCB" w:rsidRPr="002D5411">
              <w:rPr>
                <w:color w:val="000000"/>
                <w:spacing w:val="1"/>
                <w:shd w:val="solid" w:color="000000" w:fill="000000"/>
                <w:fitText w:val="170" w:id="-1032088819"/>
                <w:lang w:val="en-AU"/>
                <w14:textFill>
                  <w14:solidFill>
                    <w14:srgbClr w14:val="000000">
                      <w14:alpha w14:val="100000"/>
                    </w14:srgbClr>
                  </w14:solidFill>
                </w14:textFill>
              </w:rPr>
              <w:t>|</w:t>
            </w:r>
            <w:r w:rsidR="006148AE" w:rsidRPr="002D5411">
              <w:rPr>
                <w:vertAlign w:val="superscript"/>
                <w:lang w:val="en-AU"/>
              </w:rPr>
              <w:t>1</w:t>
            </w:r>
            <w:r w:rsidRPr="002D5411">
              <w:rPr>
                <w:lang w:val="en-AU"/>
              </w:rPr>
              <w:t>/QALY gained</w:t>
            </w:r>
          </w:p>
        </w:tc>
      </w:tr>
      <w:tr w:rsidR="00BF3070" w:rsidRPr="002D5411" w14:paraId="4C2345A7" w14:textId="77777777" w:rsidTr="004F5B47">
        <w:tc>
          <w:tcPr>
            <w:tcW w:w="784" w:type="pct"/>
            <w:tcBorders>
              <w:top w:val="single" w:sz="4" w:space="0" w:color="auto"/>
              <w:left w:val="single" w:sz="4" w:space="0" w:color="auto"/>
              <w:bottom w:val="single" w:sz="4" w:space="0" w:color="auto"/>
              <w:right w:val="single" w:sz="4" w:space="0" w:color="auto"/>
            </w:tcBorders>
            <w:vAlign w:val="center"/>
            <w:hideMark/>
          </w:tcPr>
          <w:p w14:paraId="1BEEA904" w14:textId="77777777" w:rsidR="00BF3070" w:rsidRPr="002D5411" w:rsidRDefault="00BF3070" w:rsidP="009F499B">
            <w:pPr>
              <w:pStyle w:val="TableText0"/>
              <w:widowControl w:val="0"/>
            </w:pPr>
            <w:r w:rsidRPr="002D5411">
              <w:t>Truncation point for observed data</w:t>
            </w:r>
          </w:p>
        </w:tc>
        <w:tc>
          <w:tcPr>
            <w:tcW w:w="2358" w:type="pct"/>
            <w:tcBorders>
              <w:top w:val="single" w:sz="4" w:space="0" w:color="auto"/>
              <w:left w:val="single" w:sz="4" w:space="0" w:color="auto"/>
              <w:bottom w:val="single" w:sz="4" w:space="0" w:color="auto"/>
              <w:right w:val="single" w:sz="4" w:space="0" w:color="auto"/>
            </w:tcBorders>
            <w:vAlign w:val="center"/>
            <w:hideMark/>
          </w:tcPr>
          <w:p w14:paraId="2DD6B215" w14:textId="00E45605" w:rsidR="00BF3070" w:rsidRPr="002D5411" w:rsidRDefault="00BF3070" w:rsidP="009F499B">
            <w:pPr>
              <w:pStyle w:val="TableText0"/>
              <w:rPr>
                <w:i/>
                <w:iCs/>
              </w:rPr>
            </w:pPr>
            <w:r w:rsidRPr="002D5411">
              <w:t>The model used observed data up to 48 months for the IDFS curve. The was not consistent with previous PBAC advice (truncation time point of 60 months)</w:t>
            </w:r>
            <w:r w:rsidR="00F4781C" w:rsidRPr="002D5411">
              <w:t xml:space="preserve"> which noted that at 60 months there were adequate data available to extend the truncation point (&gt; 100 patients remaining at risk in each treatment arm)</w:t>
            </w:r>
            <w:r w:rsidRPr="002D5411">
              <w:t xml:space="preserve">. </w:t>
            </w:r>
          </w:p>
        </w:tc>
        <w:tc>
          <w:tcPr>
            <w:tcW w:w="1858" w:type="pct"/>
            <w:tcBorders>
              <w:top w:val="single" w:sz="4" w:space="0" w:color="auto"/>
              <w:left w:val="single" w:sz="4" w:space="0" w:color="auto"/>
              <w:bottom w:val="single" w:sz="4" w:space="0" w:color="auto"/>
              <w:right w:val="single" w:sz="4" w:space="0" w:color="auto"/>
            </w:tcBorders>
            <w:vAlign w:val="center"/>
            <w:hideMark/>
          </w:tcPr>
          <w:p w14:paraId="207A88E0" w14:textId="77777777" w:rsidR="00BF3070" w:rsidRPr="002D5411" w:rsidRDefault="00BF3070" w:rsidP="009F499B">
            <w:pPr>
              <w:pStyle w:val="TableText0"/>
            </w:pPr>
            <w:r w:rsidRPr="002D5411">
              <w:t>High, favours olaparib.</w:t>
            </w:r>
          </w:p>
          <w:p w14:paraId="17E1CA86" w14:textId="669FE2A5" w:rsidR="00BF3070" w:rsidRPr="002D5411" w:rsidRDefault="00BF3070" w:rsidP="009F499B">
            <w:pPr>
              <w:pStyle w:val="TableText0"/>
            </w:pPr>
            <w:r w:rsidRPr="002D5411">
              <w:t>Applying a data truncation point of 60 months for the IDFS curve increased the ICER by</w:t>
            </w:r>
            <w:r w:rsidR="00F32823" w:rsidRPr="002D5411">
              <w:t xml:space="preserve"> </w:t>
            </w:r>
            <w:r w:rsidR="00632DCB" w:rsidRPr="002D5411">
              <w:rPr>
                <w:color w:val="000000"/>
                <w:spacing w:val="53"/>
                <w:shd w:val="solid" w:color="000000" w:fill="000000"/>
                <w:fitText w:val="330" w:id="-1032088818"/>
                <w14:textFill>
                  <w14:solidFill>
                    <w14:srgbClr w14:val="000000">
                      <w14:alpha w14:val="100000"/>
                    </w14:srgbClr>
                  </w14:solidFill>
                </w14:textFill>
              </w:rPr>
              <w:t>|||</w:t>
            </w:r>
            <w:r w:rsidR="00632DCB" w:rsidRPr="002D5411">
              <w:rPr>
                <w:color w:val="000000"/>
                <w:spacing w:val="1"/>
                <w:shd w:val="solid" w:color="000000" w:fill="000000"/>
                <w:fitText w:val="330" w:id="-1032088818"/>
                <w14:textFill>
                  <w14:solidFill>
                    <w14:srgbClr w14:val="000000">
                      <w14:alpha w14:val="100000"/>
                    </w14:srgbClr>
                  </w14:solidFill>
                </w14:textFill>
              </w:rPr>
              <w:t>|</w:t>
            </w:r>
            <w:r w:rsidRPr="002D5411">
              <w:t>% to</w:t>
            </w:r>
            <w:r w:rsidR="00F32823" w:rsidRPr="002D5411">
              <w:t xml:space="preserve"> </w:t>
            </w:r>
            <w:r w:rsidR="00632DCB" w:rsidRPr="002D5411">
              <w:rPr>
                <w:color w:val="000000"/>
                <w:spacing w:val="53"/>
                <w:shd w:val="solid" w:color="000000" w:fill="000000"/>
                <w:fitText w:val="330" w:id="-1032088817"/>
                <w14:textFill>
                  <w14:solidFill>
                    <w14:srgbClr w14:val="000000">
                      <w14:alpha w14:val="100000"/>
                    </w14:srgbClr>
                  </w14:solidFill>
                </w14:textFill>
              </w:rPr>
              <w:t>|||</w:t>
            </w:r>
            <w:r w:rsidR="00632DCB" w:rsidRPr="002D5411">
              <w:rPr>
                <w:color w:val="000000"/>
                <w:spacing w:val="1"/>
                <w:shd w:val="solid" w:color="000000" w:fill="000000"/>
                <w:fitText w:val="330" w:id="-1032088817"/>
                <w14:textFill>
                  <w14:solidFill>
                    <w14:srgbClr w14:val="000000">
                      <w14:alpha w14:val="100000"/>
                    </w14:srgbClr>
                  </w14:solidFill>
                </w14:textFill>
              </w:rPr>
              <w:t>|</w:t>
            </w:r>
            <w:r w:rsidR="006148AE" w:rsidRPr="002D5411">
              <w:rPr>
                <w:vertAlign w:val="superscript"/>
              </w:rPr>
              <w:t>3</w:t>
            </w:r>
            <w:r w:rsidRPr="002D5411">
              <w:t>/QALY gained.</w:t>
            </w:r>
          </w:p>
        </w:tc>
      </w:tr>
      <w:tr w:rsidR="00BF3070" w:rsidRPr="002D5411" w14:paraId="48D12DDE" w14:textId="77777777" w:rsidTr="004F5B47">
        <w:tc>
          <w:tcPr>
            <w:tcW w:w="784" w:type="pct"/>
            <w:tcBorders>
              <w:top w:val="single" w:sz="4" w:space="0" w:color="auto"/>
              <w:left w:val="single" w:sz="4" w:space="0" w:color="auto"/>
              <w:bottom w:val="single" w:sz="4" w:space="0" w:color="auto"/>
              <w:right w:val="single" w:sz="4" w:space="0" w:color="auto"/>
            </w:tcBorders>
            <w:vAlign w:val="center"/>
          </w:tcPr>
          <w:p w14:paraId="003402BF" w14:textId="77777777" w:rsidR="00BF3070" w:rsidRPr="002D5411" w:rsidRDefault="00BF3070" w:rsidP="004F5B47">
            <w:pPr>
              <w:pStyle w:val="TableText0"/>
              <w:keepNext w:val="0"/>
              <w:widowControl w:val="0"/>
            </w:pPr>
            <w:r w:rsidRPr="002D5411">
              <w:t>Time horizon</w:t>
            </w:r>
          </w:p>
        </w:tc>
        <w:tc>
          <w:tcPr>
            <w:tcW w:w="2358" w:type="pct"/>
            <w:tcBorders>
              <w:top w:val="single" w:sz="4" w:space="0" w:color="auto"/>
              <w:left w:val="single" w:sz="4" w:space="0" w:color="auto"/>
              <w:bottom w:val="single" w:sz="4" w:space="0" w:color="auto"/>
              <w:right w:val="single" w:sz="4" w:space="0" w:color="auto"/>
            </w:tcBorders>
            <w:vAlign w:val="center"/>
          </w:tcPr>
          <w:p w14:paraId="6659FC27" w14:textId="52C4A215" w:rsidR="00BF3070" w:rsidRPr="002D5411" w:rsidRDefault="00BF3070" w:rsidP="004F5B47">
            <w:pPr>
              <w:pStyle w:val="TableText0"/>
              <w:rPr>
                <w:i/>
                <w:iCs/>
              </w:rPr>
            </w:pPr>
            <w:r w:rsidRPr="002D5411">
              <w:t>The resubmission adopted a time horizon of 40 years. This was not consistent with previous PBAC advice (time horizon of 30 years)</w:t>
            </w:r>
            <w:r w:rsidR="00F4781C" w:rsidRPr="002D5411">
              <w:t>.</w:t>
            </w:r>
            <w:r w:rsidRPr="002D5411">
              <w:t xml:space="preserve"> </w:t>
            </w:r>
          </w:p>
        </w:tc>
        <w:tc>
          <w:tcPr>
            <w:tcW w:w="1858" w:type="pct"/>
            <w:tcBorders>
              <w:top w:val="single" w:sz="4" w:space="0" w:color="auto"/>
              <w:left w:val="single" w:sz="4" w:space="0" w:color="auto"/>
              <w:bottom w:val="single" w:sz="4" w:space="0" w:color="auto"/>
              <w:right w:val="single" w:sz="4" w:space="0" w:color="auto"/>
            </w:tcBorders>
            <w:vAlign w:val="center"/>
          </w:tcPr>
          <w:p w14:paraId="252B48CD" w14:textId="77777777" w:rsidR="00BF3070" w:rsidRPr="002D5411" w:rsidRDefault="00BF3070" w:rsidP="004F5B47">
            <w:pPr>
              <w:pStyle w:val="TableText0"/>
            </w:pPr>
            <w:r w:rsidRPr="002D5411">
              <w:t>Moderate, favours olaparib.</w:t>
            </w:r>
          </w:p>
          <w:p w14:paraId="0894A02A" w14:textId="2AC291B8" w:rsidR="00BF3070" w:rsidRPr="002D5411" w:rsidRDefault="00BF3070" w:rsidP="004F5B47">
            <w:pPr>
              <w:pStyle w:val="TableText0"/>
            </w:pPr>
            <w:r w:rsidRPr="002D5411">
              <w:t xml:space="preserve">Using a 30-year time horizon increased the ICER by </w:t>
            </w:r>
            <w:r w:rsidR="00DD2A63" w:rsidRPr="002D5411">
              <w:t xml:space="preserve"> </w:t>
            </w:r>
            <w:r w:rsidR="00DD2A63" w:rsidRPr="002D5411">
              <w:rPr>
                <w:color w:val="000000"/>
                <w:spacing w:val="52"/>
                <w:shd w:val="solid" w:color="000000" w:fill="000000"/>
                <w:fitText w:val="330" w:id="-1026323968"/>
                <w14:textFill>
                  <w14:solidFill>
                    <w14:srgbClr w14:val="000000">
                      <w14:alpha w14:val="100000"/>
                    </w14:srgbClr>
                  </w14:solidFill>
                </w14:textFill>
              </w:rPr>
              <w:t>|||</w:t>
            </w:r>
            <w:r w:rsidR="00DD2A63" w:rsidRPr="002D5411">
              <w:rPr>
                <w:color w:val="000000"/>
                <w:spacing w:val="2"/>
                <w:shd w:val="solid" w:color="000000" w:fill="000000"/>
                <w:fitText w:val="330" w:id="-1026323968"/>
                <w14:textFill>
                  <w14:solidFill>
                    <w14:srgbClr w14:val="000000">
                      <w14:alpha w14:val="100000"/>
                    </w14:srgbClr>
                  </w14:solidFill>
                </w14:textFill>
              </w:rPr>
              <w:t>|</w:t>
            </w:r>
            <w:r w:rsidRPr="002D5411">
              <w:t>% to</w:t>
            </w:r>
            <w:r w:rsidR="00F32823" w:rsidRPr="002D5411">
              <w:t xml:space="preserve"> </w:t>
            </w:r>
            <w:r w:rsidR="00632DCB" w:rsidRPr="002D5411">
              <w:rPr>
                <w:color w:val="000000"/>
                <w:spacing w:val="52"/>
                <w:shd w:val="solid" w:color="000000" w:fill="000000"/>
                <w:fitText w:val="330" w:id="-1032088816"/>
                <w14:textFill>
                  <w14:solidFill>
                    <w14:srgbClr w14:val="000000">
                      <w14:alpha w14:val="100000"/>
                    </w14:srgbClr>
                  </w14:solidFill>
                </w14:textFill>
              </w:rPr>
              <w:t>|||</w:t>
            </w:r>
            <w:r w:rsidR="00632DCB" w:rsidRPr="002D5411">
              <w:rPr>
                <w:color w:val="000000"/>
                <w:spacing w:val="2"/>
                <w:shd w:val="solid" w:color="000000" w:fill="000000"/>
                <w:fitText w:val="330" w:id="-1032088816"/>
                <w14:textFill>
                  <w14:solidFill>
                    <w14:srgbClr w14:val="000000">
                      <w14:alpha w14:val="100000"/>
                    </w14:srgbClr>
                  </w14:solidFill>
                </w14:textFill>
              </w:rPr>
              <w:t>|</w:t>
            </w:r>
            <w:r w:rsidR="006148AE" w:rsidRPr="002D5411">
              <w:rPr>
                <w:vertAlign w:val="superscript"/>
              </w:rPr>
              <w:t>3</w:t>
            </w:r>
            <w:r w:rsidRPr="002D5411">
              <w:t>/QALY gained.</w:t>
            </w:r>
          </w:p>
        </w:tc>
      </w:tr>
      <w:tr w:rsidR="00BF3070" w:rsidRPr="002D5411" w14:paraId="1A004428" w14:textId="77777777" w:rsidTr="004F5B47">
        <w:tc>
          <w:tcPr>
            <w:tcW w:w="784" w:type="pct"/>
            <w:tcBorders>
              <w:top w:val="single" w:sz="4" w:space="0" w:color="auto"/>
              <w:left w:val="single" w:sz="4" w:space="0" w:color="auto"/>
              <w:bottom w:val="single" w:sz="4" w:space="0" w:color="auto"/>
              <w:right w:val="single" w:sz="4" w:space="0" w:color="auto"/>
            </w:tcBorders>
            <w:vAlign w:val="center"/>
          </w:tcPr>
          <w:p w14:paraId="1BD989D9" w14:textId="5C8AD62C" w:rsidR="00BF3070" w:rsidRPr="002D5411" w:rsidRDefault="00F4781C" w:rsidP="004F5B47">
            <w:pPr>
              <w:pStyle w:val="TableText0"/>
              <w:keepNext w:val="0"/>
              <w:widowControl w:val="0"/>
            </w:pPr>
            <w:r w:rsidRPr="002D5411">
              <w:t>R</w:t>
            </w:r>
            <w:r w:rsidR="00BF3070" w:rsidRPr="002D5411">
              <w:t>ecurrence risk in the olaparib arm</w:t>
            </w:r>
          </w:p>
        </w:tc>
        <w:tc>
          <w:tcPr>
            <w:tcW w:w="2358" w:type="pct"/>
            <w:tcBorders>
              <w:top w:val="single" w:sz="4" w:space="0" w:color="auto"/>
              <w:left w:val="single" w:sz="4" w:space="0" w:color="auto"/>
              <w:bottom w:val="single" w:sz="4" w:space="0" w:color="auto"/>
              <w:right w:val="single" w:sz="4" w:space="0" w:color="auto"/>
            </w:tcBorders>
            <w:vAlign w:val="center"/>
          </w:tcPr>
          <w:p w14:paraId="038A0867" w14:textId="77777777" w:rsidR="00BF3070" w:rsidRPr="002D5411" w:rsidRDefault="00BF3070" w:rsidP="004F5B47">
            <w:pPr>
              <w:pStyle w:val="TableText0"/>
            </w:pPr>
            <w:r w:rsidRPr="002D5411">
              <w:t>The resubmission assumed the same risk of recurrence across the arms beyond 5 years, an annual recurrence rate of 1% from Year 5 to Year 10 and thereafter 0%. The validity of this assumption is difficult to test. If olaparib both avoids and delays recurrence, it may not be reasonable to assume the same time point for reduced recurrence risk between the two arms. This issue was noted previously by the PBAC.</w:t>
            </w:r>
          </w:p>
        </w:tc>
        <w:tc>
          <w:tcPr>
            <w:tcW w:w="1858" w:type="pct"/>
            <w:tcBorders>
              <w:top w:val="single" w:sz="4" w:space="0" w:color="auto"/>
              <w:left w:val="single" w:sz="4" w:space="0" w:color="auto"/>
              <w:bottom w:val="single" w:sz="4" w:space="0" w:color="auto"/>
              <w:right w:val="single" w:sz="4" w:space="0" w:color="auto"/>
            </w:tcBorders>
            <w:vAlign w:val="center"/>
          </w:tcPr>
          <w:p w14:paraId="6170FE3B" w14:textId="77777777" w:rsidR="00BF3070" w:rsidRPr="002D5411" w:rsidRDefault="00BF3070" w:rsidP="004F5B47">
            <w:pPr>
              <w:pStyle w:val="TableText0"/>
            </w:pPr>
            <w:r w:rsidRPr="002D5411">
              <w:t>High, favours olaparib.</w:t>
            </w:r>
          </w:p>
          <w:p w14:paraId="46D5FAB8" w14:textId="7B96DE3F" w:rsidR="00BF3070" w:rsidRPr="002D5411" w:rsidRDefault="00BF3070" w:rsidP="004F5B47">
            <w:pPr>
              <w:pStyle w:val="TableText0"/>
            </w:pPr>
            <w:r w:rsidRPr="002D5411">
              <w:t xml:space="preserve">Delaying the application of reduced recurrence risk for olaparib by 1 year (i.e. 1% per year from Year 6 to Year 11 and 0% risk thereafter) increased the ICER by </w:t>
            </w:r>
            <w:r w:rsidR="00DD2A63" w:rsidRPr="002D5411">
              <w:t xml:space="preserve"> </w:t>
            </w:r>
            <w:r w:rsidR="00DD2A63" w:rsidRPr="002D5411">
              <w:rPr>
                <w:color w:val="000000"/>
                <w:spacing w:val="52"/>
                <w:shd w:val="solid" w:color="000000" w:fill="000000"/>
                <w:fitText w:val="330" w:id="-1026323967"/>
                <w14:textFill>
                  <w14:solidFill>
                    <w14:srgbClr w14:val="000000">
                      <w14:alpha w14:val="100000"/>
                    </w14:srgbClr>
                  </w14:solidFill>
                </w14:textFill>
              </w:rPr>
              <w:t>|||</w:t>
            </w:r>
            <w:r w:rsidR="00DD2A63" w:rsidRPr="002D5411">
              <w:rPr>
                <w:color w:val="000000"/>
                <w:spacing w:val="2"/>
                <w:shd w:val="solid" w:color="000000" w:fill="000000"/>
                <w:fitText w:val="330" w:id="-1026323967"/>
                <w14:textFill>
                  <w14:solidFill>
                    <w14:srgbClr w14:val="000000">
                      <w14:alpha w14:val="100000"/>
                    </w14:srgbClr>
                  </w14:solidFill>
                </w14:textFill>
              </w:rPr>
              <w:t>|</w:t>
            </w:r>
            <w:r w:rsidRPr="002D5411">
              <w:t>% to</w:t>
            </w:r>
            <w:r w:rsidR="00F32823" w:rsidRPr="002D5411">
              <w:t xml:space="preserve"> </w:t>
            </w:r>
            <w:r w:rsidR="00632DCB" w:rsidRPr="002D5411">
              <w:rPr>
                <w:color w:val="000000"/>
                <w:spacing w:val="52"/>
                <w:shd w:val="solid" w:color="000000" w:fill="000000"/>
                <w:fitText w:val="330" w:id="-1032088832"/>
                <w14:textFill>
                  <w14:solidFill>
                    <w14:srgbClr w14:val="000000">
                      <w14:alpha w14:val="100000"/>
                    </w14:srgbClr>
                  </w14:solidFill>
                </w14:textFill>
              </w:rPr>
              <w:t>|||</w:t>
            </w:r>
            <w:r w:rsidR="00632DCB" w:rsidRPr="002D5411">
              <w:rPr>
                <w:color w:val="000000"/>
                <w:spacing w:val="2"/>
                <w:shd w:val="solid" w:color="000000" w:fill="000000"/>
                <w:fitText w:val="330" w:id="-1032088832"/>
                <w14:textFill>
                  <w14:solidFill>
                    <w14:srgbClr w14:val="000000">
                      <w14:alpha w14:val="100000"/>
                    </w14:srgbClr>
                  </w14:solidFill>
                </w14:textFill>
              </w:rPr>
              <w:t>|</w:t>
            </w:r>
            <w:r w:rsidR="006148AE" w:rsidRPr="002D5411">
              <w:rPr>
                <w:vertAlign w:val="superscript"/>
              </w:rPr>
              <w:t>3</w:t>
            </w:r>
            <w:r w:rsidRPr="002D5411">
              <w:t xml:space="preserve">/QALY gained. </w:t>
            </w:r>
          </w:p>
        </w:tc>
      </w:tr>
      <w:tr w:rsidR="00BF3070" w:rsidRPr="00743512" w14:paraId="476A566E" w14:textId="77777777" w:rsidTr="004F5B47">
        <w:tc>
          <w:tcPr>
            <w:tcW w:w="784" w:type="pct"/>
            <w:tcBorders>
              <w:top w:val="single" w:sz="4" w:space="0" w:color="auto"/>
              <w:left w:val="single" w:sz="4" w:space="0" w:color="auto"/>
              <w:bottom w:val="single" w:sz="4" w:space="0" w:color="auto"/>
              <w:right w:val="single" w:sz="4" w:space="0" w:color="auto"/>
            </w:tcBorders>
            <w:vAlign w:val="center"/>
          </w:tcPr>
          <w:p w14:paraId="069D22B1" w14:textId="62B3B3FC" w:rsidR="00BF3070" w:rsidRPr="002D5411" w:rsidRDefault="00BF3070" w:rsidP="004F5B47">
            <w:pPr>
              <w:pStyle w:val="TableText0"/>
              <w:keepNext w:val="0"/>
              <w:widowControl w:val="0"/>
            </w:pPr>
            <w:r w:rsidRPr="002D5411">
              <w:t>g</w:t>
            </w:r>
            <w:r w:rsidR="00CD50D4" w:rsidRPr="002D5411">
              <w:rPr>
                <w:i/>
              </w:rPr>
              <w:t>BRCA</w:t>
            </w:r>
            <w:r w:rsidRPr="002D5411">
              <w:t xml:space="preserve"> testing cost</w:t>
            </w:r>
          </w:p>
        </w:tc>
        <w:tc>
          <w:tcPr>
            <w:tcW w:w="2358" w:type="pct"/>
            <w:tcBorders>
              <w:top w:val="single" w:sz="4" w:space="0" w:color="auto"/>
              <w:left w:val="single" w:sz="4" w:space="0" w:color="auto"/>
              <w:bottom w:val="single" w:sz="4" w:space="0" w:color="auto"/>
              <w:right w:val="single" w:sz="4" w:space="0" w:color="auto"/>
            </w:tcBorders>
            <w:vAlign w:val="center"/>
          </w:tcPr>
          <w:p w14:paraId="55488204" w14:textId="182EF7B4" w:rsidR="00BF3070" w:rsidRPr="002D5411" w:rsidRDefault="00BF3070" w:rsidP="004F5B47">
            <w:pPr>
              <w:pStyle w:val="TableText0"/>
            </w:pPr>
            <w:r w:rsidRPr="002D5411">
              <w:t xml:space="preserve">In estimating the number of patients needed to be tested to identify one patient </w:t>
            </w:r>
            <w:r w:rsidR="00F4781C" w:rsidRPr="002D5411">
              <w:t xml:space="preserve">who was eligible for </w:t>
            </w:r>
            <w:r w:rsidRPr="002D5411">
              <w:t>treat</w:t>
            </w:r>
            <w:r w:rsidR="00F4781C" w:rsidRPr="002D5411">
              <w:t>ment</w:t>
            </w:r>
            <w:r w:rsidRPr="002D5411">
              <w:t xml:space="preserve"> with olaparib, the resubmission assumed that 100% patients who undergo testing and test positive for g</w:t>
            </w:r>
            <w:r w:rsidR="00CD50D4" w:rsidRPr="002D5411">
              <w:rPr>
                <w:i/>
              </w:rPr>
              <w:t>BRCA</w:t>
            </w:r>
            <w:r w:rsidRPr="002D5411">
              <w:t xml:space="preserve"> mutation at initial diagnosis would have a high risk of recurrence and thus, be eligible for adjuvant olaparib therapy, despite the broader eligibility criterion for g</w:t>
            </w:r>
            <w:r w:rsidR="00CD50D4" w:rsidRPr="002D5411">
              <w:rPr>
                <w:i/>
              </w:rPr>
              <w:t>BRCA</w:t>
            </w:r>
            <w:r w:rsidRPr="002D5411">
              <w:t xml:space="preserve"> testing than that for olaparib therapy.</w:t>
            </w:r>
          </w:p>
        </w:tc>
        <w:tc>
          <w:tcPr>
            <w:tcW w:w="1858" w:type="pct"/>
            <w:tcBorders>
              <w:top w:val="single" w:sz="4" w:space="0" w:color="auto"/>
              <w:left w:val="single" w:sz="4" w:space="0" w:color="auto"/>
              <w:bottom w:val="single" w:sz="4" w:space="0" w:color="auto"/>
              <w:right w:val="single" w:sz="4" w:space="0" w:color="auto"/>
            </w:tcBorders>
            <w:vAlign w:val="center"/>
          </w:tcPr>
          <w:p w14:paraId="59B0C99D" w14:textId="77777777" w:rsidR="00BF3070" w:rsidRPr="002D5411" w:rsidRDefault="00BF3070" w:rsidP="004F5B47">
            <w:pPr>
              <w:pStyle w:val="TableText0"/>
            </w:pPr>
            <w:r w:rsidRPr="002D5411">
              <w:t xml:space="preserve">Moderate to high, favours olaparib. </w:t>
            </w:r>
          </w:p>
          <w:p w14:paraId="6E337708" w14:textId="47DE2322" w:rsidR="00BF3070" w:rsidRPr="00743512" w:rsidRDefault="00BF3070" w:rsidP="004F5B47">
            <w:pPr>
              <w:pStyle w:val="TableText0"/>
            </w:pPr>
            <w:r w:rsidRPr="002D5411">
              <w:t>Doubling the incremental testing cost between the two treatment arms increased the ICER by</w:t>
            </w:r>
            <w:r w:rsidR="00F32823" w:rsidRPr="002D5411">
              <w:t xml:space="preserve"> </w:t>
            </w:r>
            <w:r w:rsidR="00632DCB" w:rsidRPr="002D5411">
              <w:rPr>
                <w:color w:val="000000"/>
                <w:spacing w:val="52"/>
                <w:shd w:val="solid" w:color="000000" w:fill="000000"/>
                <w:fitText w:val="330" w:id="-1032088831"/>
                <w14:textFill>
                  <w14:solidFill>
                    <w14:srgbClr w14:val="000000">
                      <w14:alpha w14:val="100000"/>
                    </w14:srgbClr>
                  </w14:solidFill>
                </w14:textFill>
              </w:rPr>
              <w:t>|||</w:t>
            </w:r>
            <w:r w:rsidR="00632DCB" w:rsidRPr="002D5411">
              <w:rPr>
                <w:color w:val="000000"/>
                <w:spacing w:val="2"/>
                <w:shd w:val="solid" w:color="000000" w:fill="000000"/>
                <w:fitText w:val="330" w:id="-1032088831"/>
                <w14:textFill>
                  <w14:solidFill>
                    <w14:srgbClr w14:val="000000">
                      <w14:alpha w14:val="100000"/>
                    </w14:srgbClr>
                  </w14:solidFill>
                </w14:textFill>
              </w:rPr>
              <w:t>|</w:t>
            </w:r>
            <w:r w:rsidRPr="002D5411">
              <w:t>% to</w:t>
            </w:r>
            <w:r w:rsidR="00F32823" w:rsidRPr="002D5411">
              <w:t xml:space="preserve"> </w:t>
            </w:r>
            <w:r w:rsidR="00632DCB" w:rsidRPr="002D5411">
              <w:rPr>
                <w:color w:val="000000"/>
                <w:spacing w:val="52"/>
                <w:shd w:val="solid" w:color="000000" w:fill="000000"/>
                <w:fitText w:val="330" w:id="-1032088830"/>
                <w14:textFill>
                  <w14:solidFill>
                    <w14:srgbClr w14:val="000000">
                      <w14:alpha w14:val="100000"/>
                    </w14:srgbClr>
                  </w14:solidFill>
                </w14:textFill>
              </w:rPr>
              <w:t>|||</w:t>
            </w:r>
            <w:r w:rsidR="00632DCB" w:rsidRPr="002D5411">
              <w:rPr>
                <w:color w:val="000000"/>
                <w:spacing w:val="2"/>
                <w:shd w:val="solid" w:color="000000" w:fill="000000"/>
                <w:fitText w:val="330" w:id="-1032088830"/>
                <w14:textFill>
                  <w14:solidFill>
                    <w14:srgbClr w14:val="000000">
                      <w14:alpha w14:val="100000"/>
                    </w14:srgbClr>
                  </w14:solidFill>
                </w14:textFill>
              </w:rPr>
              <w:t>|</w:t>
            </w:r>
            <w:r w:rsidR="006148AE" w:rsidRPr="002D5411">
              <w:rPr>
                <w:vertAlign w:val="superscript"/>
              </w:rPr>
              <w:t>3</w:t>
            </w:r>
            <w:r w:rsidRPr="002D5411">
              <w:t>/QALY.</w:t>
            </w:r>
            <w:r w:rsidRPr="00743512">
              <w:t xml:space="preserve"> </w:t>
            </w:r>
          </w:p>
        </w:tc>
      </w:tr>
    </w:tbl>
    <w:p w14:paraId="5582A2C9" w14:textId="77777777" w:rsidR="00BF3070" w:rsidRPr="00743512" w:rsidRDefault="00BF3070" w:rsidP="00BF3070">
      <w:pPr>
        <w:pStyle w:val="TableFigureFooter"/>
      </w:pPr>
      <w:r w:rsidRPr="00743512">
        <w:t xml:space="preserve">Source: Compiled during evaluation, based on Section 3.9 of the resubmission and additional sensitivity analyses performed during the evaluation. </w:t>
      </w:r>
    </w:p>
    <w:p w14:paraId="0FABD748" w14:textId="1E66EE54" w:rsidR="00BF3070" w:rsidRDefault="00BF3070" w:rsidP="00BF3070">
      <w:pPr>
        <w:pStyle w:val="TableFigureFooter"/>
      </w:pPr>
      <w:r w:rsidRPr="00743512">
        <w:t>g</w:t>
      </w:r>
      <w:r w:rsidR="00CD50D4" w:rsidRPr="00743512">
        <w:rPr>
          <w:i/>
        </w:rPr>
        <w:t>BRCA</w:t>
      </w:r>
      <w:r w:rsidRPr="00743512">
        <w:t xml:space="preserve"> = germline breast cancer gene; ICER = incremental cost-effectiveness ratio; IDFS = invasive disease-free survival; QALY = quality-adjusted life years.</w:t>
      </w:r>
    </w:p>
    <w:p w14:paraId="2C870CAB" w14:textId="28963AE5" w:rsidR="006148AE" w:rsidRDefault="006148AE" w:rsidP="006148AE">
      <w:pPr>
        <w:pStyle w:val="TableFigureFooter"/>
        <w:rPr>
          <w:i/>
        </w:rPr>
      </w:pPr>
      <w:bookmarkStart w:id="79" w:name="_Hlk156373468"/>
      <w:r w:rsidRPr="006148AE">
        <w:rPr>
          <w:i/>
        </w:rPr>
        <w:t xml:space="preserve">The redacted values correspond to the following ranges: </w:t>
      </w:r>
    </w:p>
    <w:p w14:paraId="706F7829" w14:textId="4ACB58F0" w:rsidR="006148AE" w:rsidRDefault="006148AE" w:rsidP="006148AE">
      <w:pPr>
        <w:pStyle w:val="TableFigureFooter"/>
        <w:rPr>
          <w:i/>
        </w:rPr>
      </w:pPr>
      <w:r w:rsidRPr="002D5411">
        <w:rPr>
          <w:i/>
          <w:vertAlign w:val="superscript"/>
        </w:rPr>
        <w:t xml:space="preserve">1 </w:t>
      </w:r>
      <w:r w:rsidRPr="006148AE">
        <w:rPr>
          <w:i/>
        </w:rPr>
        <w:t>$35,000 to &lt; $45,000</w:t>
      </w:r>
    </w:p>
    <w:p w14:paraId="522EC66A" w14:textId="2F4CF6BD" w:rsidR="006148AE" w:rsidRPr="006148AE" w:rsidRDefault="006148AE" w:rsidP="006148AE">
      <w:pPr>
        <w:pStyle w:val="TableFigureFooter"/>
        <w:rPr>
          <w:i/>
        </w:rPr>
      </w:pPr>
      <w:r w:rsidRPr="006148AE">
        <w:rPr>
          <w:i/>
          <w:vertAlign w:val="superscript"/>
        </w:rPr>
        <w:t>2</w:t>
      </w:r>
      <w:r>
        <w:rPr>
          <w:i/>
        </w:rPr>
        <w:t xml:space="preserve"> &lt; 500</w:t>
      </w:r>
    </w:p>
    <w:p w14:paraId="6DD1D545" w14:textId="109028B8" w:rsidR="006148AE" w:rsidRPr="00F32823" w:rsidRDefault="006148AE" w:rsidP="00BF3070">
      <w:pPr>
        <w:pStyle w:val="TableFigureFooter"/>
        <w:rPr>
          <w:i/>
        </w:rPr>
      </w:pPr>
      <w:r w:rsidRPr="006148AE">
        <w:rPr>
          <w:i/>
          <w:vertAlign w:val="superscript"/>
        </w:rPr>
        <w:t>3</w:t>
      </w:r>
      <w:r>
        <w:rPr>
          <w:i/>
        </w:rPr>
        <w:t xml:space="preserve"> </w:t>
      </w:r>
      <w:r w:rsidRPr="006148AE">
        <w:rPr>
          <w:i/>
        </w:rPr>
        <w:t>$45,000 to &lt; $55,000</w:t>
      </w:r>
      <w:bookmarkEnd w:id="79"/>
    </w:p>
    <w:p w14:paraId="06C7EF29" w14:textId="69A6287D" w:rsidR="00BF3070" w:rsidRPr="00743512" w:rsidRDefault="00BF3070" w:rsidP="00BF3070">
      <w:pPr>
        <w:pStyle w:val="3-BodyText"/>
      </w:pPr>
      <w:r w:rsidRPr="00743512">
        <w:t xml:space="preserve">The </w:t>
      </w:r>
      <w:r w:rsidRPr="006C1A23">
        <w:t xml:space="preserve">results of stepped economic evaluation are presented in </w:t>
      </w:r>
      <w:r w:rsidRPr="006C1A23">
        <w:fldChar w:fldCharType="begin"/>
      </w:r>
      <w:r w:rsidRPr="006C1A23">
        <w:instrText xml:space="preserve"> REF _Ref143879544 \h </w:instrText>
      </w:r>
      <w:r w:rsidR="006C1A23">
        <w:instrText xml:space="preserve"> \* MERGEFORMAT </w:instrText>
      </w:r>
      <w:r w:rsidRPr="006C1A23">
        <w:fldChar w:fldCharType="separate"/>
      </w:r>
      <w:r w:rsidR="00D2565D" w:rsidRPr="00743512">
        <w:t xml:space="preserve">Table </w:t>
      </w:r>
      <w:r w:rsidR="00D2565D">
        <w:t>13</w:t>
      </w:r>
      <w:r w:rsidRPr="006C1A23">
        <w:fldChar w:fldCharType="end"/>
      </w:r>
      <w:r w:rsidRPr="006C1A23">
        <w:t xml:space="preserve">. In the trial-based analysis (Step 1), </w:t>
      </w:r>
      <w:bookmarkStart w:id="80" w:name="_Hlk145325485"/>
      <w:r w:rsidRPr="006C1A23">
        <w:t xml:space="preserve">the cost for </w:t>
      </w:r>
      <w:r w:rsidR="00CD50D4" w:rsidRPr="006C1A23">
        <w:rPr>
          <w:i/>
        </w:rPr>
        <w:t>BRCA</w:t>
      </w:r>
      <w:r w:rsidRPr="006C1A23">
        <w:t xml:space="preserve"> testing was calculated as the unit cost (i.e. $1,000), multiplied by the testing rate in the proposed scenario (95%) for the olaparib arm and by the testing rate in the HR+, HER2- patients in the current scenario (20%) for the placebo arm. The resubmission effectively assumed that, for each patient treated with adjuvant olaparib or placebo, 95% in the proposed scenario and 20% in the current scenario would need to be tested for </w:t>
      </w:r>
      <w:r w:rsidR="00CD50D4" w:rsidRPr="006C1A23">
        <w:rPr>
          <w:i/>
        </w:rPr>
        <w:t>BRCA</w:t>
      </w:r>
      <w:r w:rsidRPr="006C1A23">
        <w:t xml:space="preserve"> status. This was unreasonable and</w:t>
      </w:r>
      <w:bookmarkEnd w:id="80"/>
      <w:r w:rsidRPr="006C1A23">
        <w:t xml:space="preserve"> has been revised during the evaluation. The cost per recurrence</w:t>
      </w:r>
      <w:r w:rsidRPr="00743512">
        <w:t xml:space="preserve"> avoided in the trial-based analysis was also calculated during the evaluation. </w:t>
      </w:r>
    </w:p>
    <w:p w14:paraId="3F2EB5DC" w14:textId="53C05F2A" w:rsidR="00BF3070" w:rsidRPr="00743512" w:rsidRDefault="00BF3070" w:rsidP="00BF3070">
      <w:pPr>
        <w:pStyle w:val="3-BodyText"/>
      </w:pPr>
      <w:r w:rsidRPr="00743512">
        <w:t>In the resubmission, the costs and outcomes in the modelled economic evaluations (Steps 2 and 3) related to the testing population, based on the co-dependent technology model. Therefore, the costs were ‘diluted’ by the large number of non-</w:t>
      </w:r>
      <w:r w:rsidR="00CD50D4" w:rsidRPr="00743512">
        <w:rPr>
          <w:i/>
        </w:rPr>
        <w:t>BRCA</w:t>
      </w:r>
      <w:r w:rsidRPr="00743512">
        <w:t>m patients within the model. The inclusion of non-</w:t>
      </w:r>
      <w:r w:rsidR="00CD50D4" w:rsidRPr="00743512">
        <w:rPr>
          <w:i/>
        </w:rPr>
        <w:t>BRCA</w:t>
      </w:r>
      <w:r w:rsidRPr="00743512">
        <w:t>m patients had no impact on the model, as the costs and health outcomes associated with these patients would cancel out in the proposed scenario (95% testing rate + olaparib therapy if g</w:t>
      </w:r>
      <w:r w:rsidR="00CD50D4" w:rsidRPr="00743512">
        <w:rPr>
          <w:i/>
        </w:rPr>
        <w:t>BRCA</w:t>
      </w:r>
      <w:r w:rsidRPr="00743512">
        <w:t xml:space="preserve">m+) and in the comparator scenario (74% testing rate for TNBC and 20% testing rate for HR+, HER2-), apart from the </w:t>
      </w:r>
      <w:r w:rsidR="00CD50D4" w:rsidRPr="00743512">
        <w:rPr>
          <w:i/>
        </w:rPr>
        <w:t>BRCA</w:t>
      </w:r>
      <w:r w:rsidRPr="00743512">
        <w:t xml:space="preserve"> testing costs. The resubmission’s economic model could be simplified to a trial (treated) population, which does not include patients without g</w:t>
      </w:r>
      <w:r w:rsidR="00CD50D4" w:rsidRPr="00743512">
        <w:rPr>
          <w:i/>
        </w:rPr>
        <w:t>BRCA</w:t>
      </w:r>
      <w:r w:rsidRPr="00743512">
        <w:t xml:space="preserve">m, but takes into account the incremental </w:t>
      </w:r>
      <w:r w:rsidR="00CD50D4" w:rsidRPr="00743512">
        <w:rPr>
          <w:i/>
        </w:rPr>
        <w:t>BRCA</w:t>
      </w:r>
      <w:r w:rsidRPr="00743512">
        <w:t xml:space="preserve"> testing costs between the current and proposed scenarios per treated patient. </w:t>
      </w:r>
      <w:r w:rsidR="00DF248B" w:rsidRPr="00743512">
        <w:t xml:space="preserve">The </w:t>
      </w:r>
      <w:r w:rsidRPr="00743512">
        <w:t xml:space="preserve">ICER from this simplified model was the same as that from the resubmission’s co-dependent model. For ease of interpretation and comparison with the trial-based analysis results, the costs and health outcomes presented in the modelled analyses in </w:t>
      </w:r>
      <w:r w:rsidRPr="00743512">
        <w:fldChar w:fldCharType="begin"/>
      </w:r>
      <w:r w:rsidRPr="00743512">
        <w:instrText xml:space="preserve"> REF _Ref143879544 \h  \* MERGEFORMAT </w:instrText>
      </w:r>
      <w:r w:rsidRPr="00743512">
        <w:fldChar w:fldCharType="separate"/>
      </w:r>
      <w:r w:rsidR="00D2565D" w:rsidRPr="00743512">
        <w:t xml:space="preserve">Table </w:t>
      </w:r>
      <w:r w:rsidR="00D2565D">
        <w:t>13</w:t>
      </w:r>
      <w:r w:rsidRPr="00743512">
        <w:fldChar w:fldCharType="end"/>
      </w:r>
      <w:r w:rsidRPr="00743512">
        <w:t xml:space="preserve"> relate to the treated population from the simplified co-dependent model.</w:t>
      </w:r>
    </w:p>
    <w:p w14:paraId="30DC2AD5" w14:textId="009FB2B6" w:rsidR="005A5F28" w:rsidRPr="00743512" w:rsidRDefault="005A5F28" w:rsidP="008768F4">
      <w:pPr>
        <w:widowControl w:val="0"/>
        <w:numPr>
          <w:ilvl w:val="1"/>
          <w:numId w:val="1"/>
        </w:numPr>
        <w:spacing w:after="120"/>
      </w:pPr>
      <w:bookmarkStart w:id="81" w:name="_Ref150773237"/>
      <w:r w:rsidRPr="00743512">
        <w:t xml:space="preserve">The pre-PBAC response provided a revised base case which applied an effective DPMQ of </w:t>
      </w:r>
      <w:r w:rsidR="00F32823" w:rsidRPr="00F32823">
        <w:t>$</w:t>
      </w:r>
      <w:r w:rsidR="00632DCB" w:rsidRPr="00D2565D">
        <w:rPr>
          <w:color w:val="000000"/>
          <w:w w:val="15"/>
          <w:shd w:val="solid" w:color="000000" w:fill="000000"/>
          <w:fitText w:val="-20" w:id="-1032088829"/>
          <w14:textFill>
            <w14:solidFill>
              <w14:srgbClr w14:val="000000">
                <w14:alpha w14:val="100000"/>
              </w14:srgbClr>
            </w14:solidFill>
          </w14:textFill>
        </w:rPr>
        <w:t>|</w:t>
      </w:r>
      <w:r w:rsidR="00F32823" w:rsidRPr="00D2565D">
        <w:rPr>
          <w:color w:val="000000"/>
          <w:w w:val="15"/>
          <w:shd w:val="solid" w:color="000000" w:fill="000000"/>
          <w:fitText w:val="-20" w:id="-1032088829"/>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9"/>
          <w14:textFill>
            <w14:solidFill>
              <w14:srgbClr w14:val="000000">
                <w14:alpha w14:val="100000"/>
              </w14:srgbClr>
            </w14:solidFill>
          </w14:textFill>
        </w:rPr>
        <w:t>|</w:t>
      </w:r>
      <w:r w:rsidRPr="00743512">
        <w:t xml:space="preserve"> (reduced from </w:t>
      </w:r>
      <w:r w:rsidR="00F32823" w:rsidRPr="00F32823">
        <w:t>$</w:t>
      </w:r>
      <w:r w:rsidR="00632DCB" w:rsidRPr="00D2565D">
        <w:rPr>
          <w:color w:val="000000"/>
          <w:w w:val="15"/>
          <w:shd w:val="solid" w:color="000000" w:fill="000000"/>
          <w:fitText w:val="-20" w:id="-1032088828"/>
          <w14:textFill>
            <w14:solidFill>
              <w14:srgbClr w14:val="000000">
                <w14:alpha w14:val="100000"/>
              </w14:srgbClr>
            </w14:solidFill>
          </w14:textFill>
        </w:rPr>
        <w:t>|</w:t>
      </w:r>
      <w:r w:rsidR="00F32823" w:rsidRPr="00D2565D">
        <w:rPr>
          <w:color w:val="000000"/>
          <w:w w:val="15"/>
          <w:shd w:val="solid" w:color="000000" w:fill="000000"/>
          <w:fitText w:val="-20" w:id="-1032088828"/>
          <w14:textFill>
            <w14:solidFill>
              <w14:srgbClr w14:val="000000">
                <w14:alpha w14:val="100000"/>
              </w14:srgbClr>
            </w14:solidFill>
          </w14:textFill>
        </w:rPr>
        <w:t xml:space="preserve"> </w:t>
      </w:r>
      <w:r w:rsidR="00632DCB" w:rsidRPr="00D2565D">
        <w:rPr>
          <w:color w:val="000000"/>
          <w:spacing w:val="-61"/>
          <w:w w:val="15"/>
          <w:shd w:val="solid" w:color="000000" w:fill="000000"/>
          <w:fitText w:val="-20" w:id="-1032088828"/>
          <w14:textFill>
            <w14:solidFill>
              <w14:srgbClr w14:val="000000">
                <w14:alpha w14:val="100000"/>
              </w14:srgbClr>
            </w14:solidFill>
          </w14:textFill>
        </w:rPr>
        <w:t>|</w:t>
      </w:r>
      <w:r w:rsidRPr="00743512">
        <w:t>), assumed a truncation point of 54 months (rather than 42 months), excluded costs for echocardiograms (rather than included</w:t>
      </w:r>
      <w:r w:rsidR="007A67F9" w:rsidRPr="00743512">
        <w:t>; consistent with the advice from the evaluation</w:t>
      </w:r>
      <w:r w:rsidRPr="00743512">
        <w:t>) and assumed a duration of sacituzumab govitecan treatment of 5.6 months (reduced from 6.6 months</w:t>
      </w:r>
      <w:r w:rsidR="008768F4" w:rsidRPr="00743512">
        <w:t>; consistent with the advice from the evaluation</w:t>
      </w:r>
      <w:r w:rsidRPr="00743512">
        <w:t>).</w:t>
      </w:r>
      <w:r w:rsidR="008768F4" w:rsidRPr="00743512">
        <w:rPr>
          <w:rFonts w:asciiTheme="minorHAnsi" w:hAnsiTheme="minorHAnsi"/>
          <w:snapToGrid w:val="0"/>
        </w:rPr>
        <w:t xml:space="preserve"> The changes in the pre-PBAC response increased the base case ICER from $</w:t>
      </w:r>
      <w:r w:rsidR="00963FE0" w:rsidRPr="00963FE0">
        <w:rPr>
          <w:rFonts w:asciiTheme="minorHAnsi" w:hAnsiTheme="minorHAnsi"/>
          <w:snapToGrid w:val="0"/>
        </w:rPr>
        <w:t>35,000 to &lt; $45,000</w:t>
      </w:r>
      <w:r w:rsidR="00F32823" w:rsidRPr="00F32823">
        <w:rPr>
          <w:rFonts w:asciiTheme="minorHAnsi" w:hAnsiTheme="minorHAnsi"/>
          <w:snapToGrid w:val="0"/>
        </w:rPr>
        <w:t xml:space="preserve"> </w:t>
      </w:r>
      <w:r w:rsidR="008768F4" w:rsidRPr="00743512">
        <w:rPr>
          <w:rFonts w:asciiTheme="minorHAnsi" w:hAnsiTheme="minorHAnsi"/>
          <w:snapToGrid w:val="0"/>
        </w:rPr>
        <w:t>per QALY in the resubmission to $</w:t>
      </w:r>
      <w:r w:rsidR="00963FE0" w:rsidRPr="00963FE0">
        <w:rPr>
          <w:rFonts w:asciiTheme="minorHAnsi" w:hAnsiTheme="minorHAnsi"/>
          <w:snapToGrid w:val="0"/>
        </w:rPr>
        <w:t>45,000 to &lt; $55,000</w:t>
      </w:r>
      <w:r w:rsidR="00F32823" w:rsidRPr="00F32823">
        <w:rPr>
          <w:rFonts w:asciiTheme="minorHAnsi" w:hAnsiTheme="minorHAnsi"/>
          <w:snapToGrid w:val="0"/>
        </w:rPr>
        <w:t xml:space="preserve"> </w:t>
      </w:r>
      <w:r w:rsidR="008768F4" w:rsidRPr="00743512">
        <w:rPr>
          <w:rFonts w:asciiTheme="minorHAnsi" w:hAnsiTheme="minorHAnsi"/>
          <w:snapToGrid w:val="0"/>
        </w:rPr>
        <w:t xml:space="preserve">per QALY. The pre-PBAC response proposed to reduce the effective ex-manufacturer price of olaparib from </w:t>
      </w:r>
      <w:r w:rsidR="00F32823" w:rsidRPr="00F32823">
        <w:rPr>
          <w:rFonts w:asciiTheme="minorHAnsi" w:hAnsiTheme="minorHAnsi"/>
          <w:snapToGrid w:val="0"/>
        </w:rPr>
        <w:t>$</w:t>
      </w:r>
      <w:r w:rsidR="00632DCB" w:rsidRPr="00D2565D">
        <w:rPr>
          <w:rFonts w:asciiTheme="minorHAnsi" w:hAnsiTheme="minorHAnsi"/>
          <w:snapToGrid w:val="0"/>
          <w:color w:val="000000"/>
          <w:w w:val="15"/>
          <w:shd w:val="solid" w:color="000000" w:fill="000000"/>
          <w:fitText w:val="-20" w:id="-1032088827"/>
          <w14:textFill>
            <w14:solidFill>
              <w14:srgbClr w14:val="000000">
                <w14:alpha w14:val="100000"/>
              </w14:srgbClr>
            </w14:solidFill>
          </w14:textFill>
        </w:rPr>
        <w:t>|</w:t>
      </w:r>
      <w:r w:rsidR="00F32823" w:rsidRPr="00D2565D">
        <w:rPr>
          <w:rFonts w:asciiTheme="minorHAnsi" w:hAnsiTheme="minorHAnsi"/>
          <w:snapToGrid w:val="0"/>
          <w:color w:val="000000"/>
          <w:w w:val="15"/>
          <w:shd w:val="solid" w:color="000000" w:fill="000000"/>
          <w:fitText w:val="-20" w:id="-1032088827"/>
          <w14:textFill>
            <w14:solidFill>
              <w14:srgbClr w14:val="000000">
                <w14:alpha w14:val="100000"/>
              </w14:srgbClr>
            </w14:solidFill>
          </w14:textFill>
        </w:rPr>
        <w:t xml:space="preserve"> </w:t>
      </w:r>
      <w:r w:rsidR="00632DCB" w:rsidRPr="00D2565D">
        <w:rPr>
          <w:rFonts w:asciiTheme="minorHAnsi" w:hAnsiTheme="minorHAnsi"/>
          <w:snapToGrid w:val="0"/>
          <w:color w:val="000000"/>
          <w:spacing w:val="-61"/>
          <w:w w:val="15"/>
          <w:shd w:val="solid" w:color="000000" w:fill="000000"/>
          <w:fitText w:val="-20" w:id="-1032088827"/>
          <w14:textFill>
            <w14:solidFill>
              <w14:srgbClr w14:val="000000">
                <w14:alpha w14:val="100000"/>
              </w14:srgbClr>
            </w14:solidFill>
          </w14:textFill>
        </w:rPr>
        <w:t>|</w:t>
      </w:r>
      <w:r w:rsidR="008768F4" w:rsidRPr="00743512">
        <w:rPr>
          <w:rFonts w:asciiTheme="minorHAnsi" w:hAnsiTheme="minorHAnsi"/>
          <w:snapToGrid w:val="0"/>
        </w:rPr>
        <w:t xml:space="preserve"> to </w:t>
      </w:r>
      <w:r w:rsidR="00F32823" w:rsidRPr="00F32823">
        <w:rPr>
          <w:rFonts w:asciiTheme="minorHAnsi" w:hAnsiTheme="minorHAnsi"/>
          <w:snapToGrid w:val="0"/>
        </w:rPr>
        <w:t>$</w:t>
      </w:r>
      <w:r w:rsidR="00632DCB" w:rsidRPr="00D2565D">
        <w:rPr>
          <w:rFonts w:asciiTheme="minorHAnsi" w:hAnsiTheme="minorHAnsi"/>
          <w:snapToGrid w:val="0"/>
          <w:color w:val="000000"/>
          <w:w w:val="15"/>
          <w:shd w:val="solid" w:color="000000" w:fill="000000"/>
          <w:fitText w:val="-20" w:id="-1032088826"/>
          <w14:textFill>
            <w14:solidFill>
              <w14:srgbClr w14:val="000000">
                <w14:alpha w14:val="100000"/>
              </w14:srgbClr>
            </w14:solidFill>
          </w14:textFill>
        </w:rPr>
        <w:t>|</w:t>
      </w:r>
      <w:r w:rsidR="00F32823" w:rsidRPr="00D2565D">
        <w:rPr>
          <w:rFonts w:asciiTheme="minorHAnsi" w:hAnsiTheme="minorHAnsi"/>
          <w:snapToGrid w:val="0"/>
          <w:color w:val="000000"/>
          <w:w w:val="15"/>
          <w:shd w:val="solid" w:color="000000" w:fill="000000"/>
          <w:fitText w:val="-20" w:id="-1032088826"/>
          <w14:textFill>
            <w14:solidFill>
              <w14:srgbClr w14:val="000000">
                <w14:alpha w14:val="100000"/>
              </w14:srgbClr>
            </w14:solidFill>
          </w14:textFill>
        </w:rPr>
        <w:t xml:space="preserve"> </w:t>
      </w:r>
      <w:r w:rsidR="00632DCB" w:rsidRPr="00D2565D">
        <w:rPr>
          <w:rFonts w:asciiTheme="minorHAnsi" w:hAnsiTheme="minorHAnsi"/>
          <w:snapToGrid w:val="0"/>
          <w:color w:val="000000"/>
          <w:spacing w:val="-61"/>
          <w:w w:val="15"/>
          <w:shd w:val="solid" w:color="000000" w:fill="000000"/>
          <w:fitText w:val="-20" w:id="-1032088826"/>
          <w14:textFill>
            <w14:solidFill>
              <w14:srgbClr w14:val="000000">
                <w14:alpha w14:val="100000"/>
              </w14:srgbClr>
            </w14:solidFill>
          </w14:textFill>
        </w:rPr>
        <w:t>|</w:t>
      </w:r>
      <w:r w:rsidR="008768F4" w:rsidRPr="00743512">
        <w:rPr>
          <w:rFonts w:asciiTheme="minorHAnsi" w:hAnsiTheme="minorHAnsi"/>
          <w:snapToGrid w:val="0"/>
        </w:rPr>
        <w:t xml:space="preserve"> to achieve an ICER of $</w:t>
      </w:r>
      <w:r w:rsidR="00963FE0" w:rsidRPr="00963FE0">
        <w:rPr>
          <w:rFonts w:asciiTheme="minorHAnsi" w:hAnsiTheme="minorHAnsi"/>
          <w:snapToGrid w:val="0"/>
        </w:rPr>
        <w:t>35,000 to &lt; $45,000</w:t>
      </w:r>
      <w:r w:rsidR="00F32823" w:rsidRPr="00F32823">
        <w:rPr>
          <w:rFonts w:asciiTheme="minorHAnsi" w:hAnsiTheme="minorHAnsi"/>
          <w:snapToGrid w:val="0"/>
        </w:rPr>
        <w:t xml:space="preserve"> </w:t>
      </w:r>
      <w:r w:rsidR="008768F4" w:rsidRPr="00743512">
        <w:rPr>
          <w:rFonts w:asciiTheme="minorHAnsi" w:hAnsiTheme="minorHAnsi"/>
          <w:snapToGrid w:val="0"/>
        </w:rPr>
        <w:t>per QALY (</w:t>
      </w:r>
      <w:r w:rsidR="00945F0F" w:rsidRPr="00743512">
        <w:fldChar w:fldCharType="begin"/>
      </w:r>
      <w:r w:rsidR="00945F0F" w:rsidRPr="00743512">
        <w:instrText xml:space="preserve"> REF _Ref143879544 \h </w:instrText>
      </w:r>
      <w:r w:rsidR="00945F0F" w:rsidRPr="00743512">
        <w:fldChar w:fldCharType="separate"/>
      </w:r>
      <w:r w:rsidR="00D2565D" w:rsidRPr="00743512">
        <w:t xml:space="preserve">Table </w:t>
      </w:r>
      <w:r w:rsidR="00D2565D">
        <w:rPr>
          <w:noProof/>
        </w:rPr>
        <w:t>13</w:t>
      </w:r>
      <w:r w:rsidR="00945F0F" w:rsidRPr="00743512">
        <w:fldChar w:fldCharType="end"/>
      </w:r>
      <w:r w:rsidR="00945F0F" w:rsidRPr="00743512">
        <w:t>)</w:t>
      </w:r>
      <w:r w:rsidR="00157B92" w:rsidRPr="00743512">
        <w:t xml:space="preserve">. </w:t>
      </w:r>
      <w:r w:rsidR="00AD40AF" w:rsidRPr="00743512">
        <w:t xml:space="preserve">A summary of the changes proposed by PSCR, ESC and the pre-PBAC response is provided in </w:t>
      </w:r>
      <w:r w:rsidR="00AD40AF" w:rsidRPr="00743512">
        <w:fldChar w:fldCharType="begin"/>
      </w:r>
      <w:r w:rsidR="00AD40AF" w:rsidRPr="00743512">
        <w:instrText xml:space="preserve"> REF _Ref147928542 \h </w:instrText>
      </w:r>
      <w:r w:rsidR="00AD40AF" w:rsidRPr="00743512">
        <w:fldChar w:fldCharType="separate"/>
      </w:r>
      <w:r w:rsidR="00D2565D" w:rsidRPr="00743512">
        <w:t xml:space="preserve">Table </w:t>
      </w:r>
      <w:r w:rsidR="00D2565D">
        <w:rPr>
          <w:noProof/>
        </w:rPr>
        <w:t>16</w:t>
      </w:r>
      <w:r w:rsidR="00AD40AF" w:rsidRPr="00743512">
        <w:fldChar w:fldCharType="end"/>
      </w:r>
      <w:r w:rsidR="00AD40AF" w:rsidRPr="00743512">
        <w:t>.</w:t>
      </w:r>
      <w:bookmarkEnd w:id="81"/>
    </w:p>
    <w:p w14:paraId="7E039B13" w14:textId="48EE974C" w:rsidR="00BF3070" w:rsidRPr="00743512" w:rsidRDefault="00BF3070" w:rsidP="00BF3070">
      <w:pPr>
        <w:pStyle w:val="Caption"/>
      </w:pPr>
      <w:bookmarkStart w:id="82" w:name="_Ref143879544"/>
      <w:r w:rsidRPr="00743512">
        <w:t xml:space="preserve">Table </w:t>
      </w:r>
      <w:r w:rsidR="00D2565D">
        <w:fldChar w:fldCharType="begin"/>
      </w:r>
      <w:r w:rsidR="00D2565D">
        <w:instrText xml:space="preserve"> SEQ Table \* ARABIC </w:instrText>
      </w:r>
      <w:r w:rsidR="00D2565D">
        <w:fldChar w:fldCharType="separate"/>
      </w:r>
      <w:r w:rsidR="00D2565D">
        <w:rPr>
          <w:noProof/>
        </w:rPr>
        <w:t>13</w:t>
      </w:r>
      <w:r w:rsidR="00D2565D">
        <w:rPr>
          <w:noProof/>
        </w:rPr>
        <w:fldChar w:fldCharType="end"/>
      </w:r>
      <w:bookmarkEnd w:id="82"/>
      <w:r w:rsidRPr="00743512">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BF3070" w:rsidRPr="00743512" w14:paraId="3FE5C43E" w14:textId="77777777" w:rsidTr="004F5B47">
        <w:trPr>
          <w:cantSplit/>
          <w:trHeight w:val="178"/>
          <w:tblHeader/>
        </w:trPr>
        <w:tc>
          <w:tcPr>
            <w:tcW w:w="1529" w:type="pct"/>
            <w:vAlign w:val="center"/>
          </w:tcPr>
          <w:p w14:paraId="6B612627" w14:textId="77777777" w:rsidR="00BF3070" w:rsidRPr="00743512" w:rsidRDefault="00BF3070" w:rsidP="004F5B47">
            <w:pPr>
              <w:pStyle w:val="In-tableHeading"/>
              <w:rPr>
                <w:rFonts w:cs="Arial"/>
                <w:szCs w:val="20"/>
                <w:lang w:val="en-AU"/>
              </w:rPr>
            </w:pPr>
            <w:r w:rsidRPr="00743512">
              <w:rPr>
                <w:rFonts w:cs="Arial"/>
                <w:szCs w:val="20"/>
                <w:lang w:val="en-AU"/>
              </w:rPr>
              <w:t>Step and component</w:t>
            </w:r>
          </w:p>
        </w:tc>
        <w:tc>
          <w:tcPr>
            <w:tcW w:w="1359" w:type="pct"/>
            <w:vAlign w:val="center"/>
          </w:tcPr>
          <w:p w14:paraId="0901A8EC" w14:textId="77777777" w:rsidR="00BF3070" w:rsidRPr="00743512" w:rsidRDefault="00BF3070" w:rsidP="004F5B47">
            <w:pPr>
              <w:pStyle w:val="In-tableHeading"/>
              <w:jc w:val="center"/>
              <w:rPr>
                <w:rFonts w:cs="Arial"/>
                <w:szCs w:val="20"/>
                <w:lang w:val="en-AU"/>
              </w:rPr>
            </w:pPr>
            <w:r w:rsidRPr="00743512">
              <w:rPr>
                <w:rFonts w:cs="Arial"/>
                <w:szCs w:val="20"/>
                <w:lang w:val="en-AU"/>
              </w:rPr>
              <w:t xml:space="preserve">Olaparib </w:t>
            </w:r>
          </w:p>
        </w:tc>
        <w:tc>
          <w:tcPr>
            <w:tcW w:w="1274" w:type="pct"/>
            <w:vAlign w:val="center"/>
          </w:tcPr>
          <w:p w14:paraId="1FBA17DD" w14:textId="77777777" w:rsidR="00BF3070" w:rsidRPr="00743512" w:rsidRDefault="00BF3070" w:rsidP="004F5B47">
            <w:pPr>
              <w:pStyle w:val="In-tableHeading"/>
              <w:jc w:val="center"/>
              <w:rPr>
                <w:rFonts w:cs="Arial"/>
                <w:szCs w:val="20"/>
                <w:lang w:val="en-AU"/>
              </w:rPr>
            </w:pPr>
            <w:r w:rsidRPr="00743512">
              <w:rPr>
                <w:rFonts w:cs="Arial"/>
                <w:szCs w:val="20"/>
                <w:lang w:val="en-AU"/>
              </w:rPr>
              <w:t>Placebo</w:t>
            </w:r>
          </w:p>
        </w:tc>
        <w:tc>
          <w:tcPr>
            <w:tcW w:w="838" w:type="pct"/>
            <w:vAlign w:val="center"/>
          </w:tcPr>
          <w:p w14:paraId="4132409E" w14:textId="77777777" w:rsidR="00BF3070" w:rsidRPr="00743512" w:rsidRDefault="00BF3070" w:rsidP="004F5B47">
            <w:pPr>
              <w:pStyle w:val="In-tableHeading"/>
              <w:jc w:val="center"/>
              <w:rPr>
                <w:rFonts w:cs="Arial"/>
                <w:szCs w:val="20"/>
                <w:lang w:val="en-AU"/>
              </w:rPr>
            </w:pPr>
            <w:r w:rsidRPr="00743512">
              <w:rPr>
                <w:rFonts w:cs="Arial"/>
                <w:szCs w:val="20"/>
                <w:lang w:val="en-AU"/>
              </w:rPr>
              <w:t>Increment</w:t>
            </w:r>
          </w:p>
        </w:tc>
      </w:tr>
      <w:tr w:rsidR="00BF3070" w:rsidRPr="00743512" w14:paraId="41D87924" w14:textId="77777777" w:rsidTr="004F5B47">
        <w:trPr>
          <w:cantSplit/>
        </w:trPr>
        <w:tc>
          <w:tcPr>
            <w:tcW w:w="5000" w:type="pct"/>
            <w:gridSpan w:val="4"/>
            <w:tcBorders>
              <w:bottom w:val="single" w:sz="4" w:space="0" w:color="auto"/>
            </w:tcBorders>
            <w:vAlign w:val="center"/>
          </w:tcPr>
          <w:p w14:paraId="6CA64601" w14:textId="7E59BEE2" w:rsidR="00BF3070" w:rsidRPr="00743512" w:rsidRDefault="00BF3070" w:rsidP="004F5B47">
            <w:pPr>
              <w:pStyle w:val="In-tableHeading"/>
              <w:rPr>
                <w:rFonts w:cs="Arial"/>
                <w:szCs w:val="20"/>
                <w:lang w:val="en-AU"/>
              </w:rPr>
            </w:pPr>
            <w:r w:rsidRPr="00743512">
              <w:rPr>
                <w:rFonts w:cs="Arial"/>
                <w:szCs w:val="20"/>
                <w:lang w:val="en-AU"/>
              </w:rPr>
              <w:t xml:space="preserve">Step 1: Trial-based analysis, including </w:t>
            </w:r>
            <w:r w:rsidR="00CD50D4" w:rsidRPr="00743512">
              <w:rPr>
                <w:rFonts w:cs="Arial"/>
                <w:i/>
                <w:szCs w:val="20"/>
                <w:lang w:val="en-AU"/>
              </w:rPr>
              <w:t>BRCA</w:t>
            </w:r>
            <w:r w:rsidRPr="00743512">
              <w:rPr>
                <w:rFonts w:cs="Arial"/>
                <w:szCs w:val="20"/>
                <w:lang w:val="en-AU"/>
              </w:rPr>
              <w:t xml:space="preserve"> test cost, olaparib drug cost and cost for treatment of AEs, over 79 months (duration of follow-up of IDFS in the OlympiA trial)</w:t>
            </w:r>
          </w:p>
        </w:tc>
      </w:tr>
      <w:tr w:rsidR="00BF3070" w:rsidRPr="00743512" w14:paraId="2FF60ABA" w14:textId="77777777" w:rsidTr="004F5B47">
        <w:trPr>
          <w:cantSplit/>
        </w:trPr>
        <w:tc>
          <w:tcPr>
            <w:tcW w:w="1529" w:type="pct"/>
            <w:tcBorders>
              <w:bottom w:val="nil"/>
            </w:tcBorders>
            <w:vAlign w:val="center"/>
          </w:tcPr>
          <w:p w14:paraId="28AC3FC2" w14:textId="77777777" w:rsidR="00BF3070" w:rsidRPr="00743512" w:rsidRDefault="00BF3070" w:rsidP="004F5B47">
            <w:pPr>
              <w:pStyle w:val="TableText0"/>
              <w:rPr>
                <w:rFonts w:cs="Arial"/>
                <w:szCs w:val="20"/>
              </w:rPr>
            </w:pPr>
            <w:r w:rsidRPr="00743512">
              <w:rPr>
                <w:rFonts w:cs="Arial"/>
                <w:szCs w:val="20"/>
              </w:rPr>
              <w:t>Costs</w:t>
            </w:r>
          </w:p>
        </w:tc>
        <w:tc>
          <w:tcPr>
            <w:tcW w:w="1359" w:type="pct"/>
            <w:tcBorders>
              <w:bottom w:val="nil"/>
            </w:tcBorders>
          </w:tcPr>
          <w:p w14:paraId="7316BB9B" w14:textId="77391084"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c>
          <w:tcPr>
            <w:tcW w:w="1274" w:type="pct"/>
            <w:tcBorders>
              <w:bottom w:val="nil"/>
            </w:tcBorders>
          </w:tcPr>
          <w:p w14:paraId="4A282A1C" w14:textId="77777777" w:rsidR="00BF3070" w:rsidRPr="00CC6E26" w:rsidRDefault="00BF3070" w:rsidP="004F5B47">
            <w:pPr>
              <w:pStyle w:val="TableText0"/>
              <w:jc w:val="center"/>
              <w:rPr>
                <w:rFonts w:cs="Arial"/>
                <w:szCs w:val="20"/>
              </w:rPr>
            </w:pPr>
            <w:r w:rsidRPr="00CC6E26">
              <w:rPr>
                <w:rFonts w:cs="Arial"/>
                <w:szCs w:val="20"/>
              </w:rPr>
              <w:t>$1,046</w:t>
            </w:r>
          </w:p>
        </w:tc>
        <w:tc>
          <w:tcPr>
            <w:tcW w:w="838" w:type="pct"/>
            <w:tcBorders>
              <w:bottom w:val="nil"/>
            </w:tcBorders>
          </w:tcPr>
          <w:p w14:paraId="01E4574E" w14:textId="2902DE6A"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r>
      <w:tr w:rsidR="00BF3070" w:rsidRPr="00743512" w14:paraId="58A157F0" w14:textId="77777777" w:rsidTr="004F5B47">
        <w:trPr>
          <w:cantSplit/>
        </w:trPr>
        <w:tc>
          <w:tcPr>
            <w:tcW w:w="1529" w:type="pct"/>
            <w:tcBorders>
              <w:top w:val="nil"/>
            </w:tcBorders>
            <w:vAlign w:val="center"/>
          </w:tcPr>
          <w:p w14:paraId="0D064EAD" w14:textId="09D61FE2" w:rsidR="00BF3070" w:rsidRPr="00743512" w:rsidRDefault="00F32823" w:rsidP="004F5B47">
            <w:pPr>
              <w:pStyle w:val="TableText0"/>
              <w:rPr>
                <w:rFonts w:cs="Arial"/>
                <w:i/>
                <w:iCs/>
                <w:szCs w:val="20"/>
                <w:vertAlign w:val="superscript"/>
              </w:rPr>
            </w:pPr>
            <w:r w:rsidRPr="00F32823">
              <w:rPr>
                <w:rFonts w:cs="Arial"/>
                <w:szCs w:val="20"/>
              </w:rPr>
              <w:t xml:space="preserve">   </w:t>
            </w:r>
            <w:r w:rsidR="00BF3070" w:rsidRPr="00743512">
              <w:rPr>
                <w:rFonts w:cs="Arial"/>
                <w:szCs w:val="20"/>
              </w:rPr>
              <w:t>Revised</w:t>
            </w:r>
            <w:r w:rsidR="00BF3070" w:rsidRPr="00743512">
              <w:rPr>
                <w:rFonts w:cs="Arial"/>
                <w:szCs w:val="20"/>
                <w:vertAlign w:val="superscript"/>
              </w:rPr>
              <w:t>a</w:t>
            </w:r>
          </w:p>
        </w:tc>
        <w:tc>
          <w:tcPr>
            <w:tcW w:w="1359" w:type="pct"/>
            <w:tcBorders>
              <w:top w:val="nil"/>
            </w:tcBorders>
          </w:tcPr>
          <w:p w14:paraId="460509CE" w14:textId="0D390EF6" w:rsidR="00BF3070" w:rsidRPr="00963FE0" w:rsidRDefault="00632DCB" w:rsidP="004F5B47">
            <w:pPr>
              <w:pStyle w:val="TableText0"/>
              <w:jc w:val="center"/>
              <w:rPr>
                <w:rFonts w:cs="Arial"/>
                <w:i/>
                <w:iCs/>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c>
          <w:tcPr>
            <w:tcW w:w="1274" w:type="pct"/>
            <w:tcBorders>
              <w:top w:val="nil"/>
            </w:tcBorders>
          </w:tcPr>
          <w:p w14:paraId="4A55FE33" w14:textId="77777777" w:rsidR="00BF3070" w:rsidRPr="00CC6E26" w:rsidRDefault="00BF3070" w:rsidP="004F5B47">
            <w:pPr>
              <w:pStyle w:val="TableText0"/>
              <w:jc w:val="center"/>
              <w:rPr>
                <w:rFonts w:cs="Arial"/>
                <w:i/>
                <w:iCs/>
                <w:szCs w:val="20"/>
              </w:rPr>
            </w:pPr>
            <w:r w:rsidRPr="00CC6E26">
              <w:rPr>
                <w:rFonts w:cs="Arial"/>
                <w:szCs w:val="20"/>
              </w:rPr>
              <w:t>$8,328</w:t>
            </w:r>
          </w:p>
        </w:tc>
        <w:tc>
          <w:tcPr>
            <w:tcW w:w="838" w:type="pct"/>
            <w:tcBorders>
              <w:top w:val="nil"/>
            </w:tcBorders>
          </w:tcPr>
          <w:p w14:paraId="6005C69D" w14:textId="7F62D0D7"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r>
      <w:tr w:rsidR="00BF3070" w:rsidRPr="00743512" w14:paraId="15341A10" w14:textId="77777777" w:rsidTr="004F5B47">
        <w:trPr>
          <w:cantSplit/>
        </w:trPr>
        <w:tc>
          <w:tcPr>
            <w:tcW w:w="1529" w:type="pct"/>
            <w:tcBorders>
              <w:bottom w:val="single" w:sz="4" w:space="0" w:color="auto"/>
            </w:tcBorders>
            <w:vAlign w:val="center"/>
          </w:tcPr>
          <w:p w14:paraId="40B78966" w14:textId="77777777" w:rsidR="00BF3070" w:rsidRPr="00743512" w:rsidRDefault="00BF3070" w:rsidP="004F5B47">
            <w:pPr>
              <w:pStyle w:val="TableText0"/>
              <w:rPr>
                <w:rFonts w:cs="Arial"/>
                <w:szCs w:val="20"/>
              </w:rPr>
            </w:pPr>
            <w:r w:rsidRPr="00743512">
              <w:rPr>
                <w:rFonts w:cs="Arial"/>
                <w:szCs w:val="20"/>
              </w:rPr>
              <w:t>Invasive disease-free years gained</w:t>
            </w:r>
          </w:p>
        </w:tc>
        <w:tc>
          <w:tcPr>
            <w:tcW w:w="1359" w:type="pct"/>
            <w:tcBorders>
              <w:bottom w:val="single" w:sz="4" w:space="0" w:color="auto"/>
            </w:tcBorders>
          </w:tcPr>
          <w:p w14:paraId="5C1EE785" w14:textId="77777777" w:rsidR="00BF3070" w:rsidRPr="00743512" w:rsidRDefault="00BF3070" w:rsidP="004F5B47">
            <w:pPr>
              <w:pStyle w:val="TableText0"/>
              <w:jc w:val="center"/>
              <w:rPr>
                <w:rFonts w:cs="Arial"/>
                <w:szCs w:val="20"/>
              </w:rPr>
            </w:pPr>
            <w:r w:rsidRPr="00743512">
              <w:rPr>
                <w:rFonts w:cs="Arial"/>
                <w:szCs w:val="20"/>
              </w:rPr>
              <w:t>5.71</w:t>
            </w:r>
          </w:p>
        </w:tc>
        <w:tc>
          <w:tcPr>
            <w:tcW w:w="1274" w:type="pct"/>
            <w:tcBorders>
              <w:bottom w:val="single" w:sz="4" w:space="0" w:color="auto"/>
            </w:tcBorders>
          </w:tcPr>
          <w:p w14:paraId="28A4AE83" w14:textId="77777777" w:rsidR="00BF3070" w:rsidRPr="00743512" w:rsidRDefault="00BF3070" w:rsidP="004F5B47">
            <w:pPr>
              <w:pStyle w:val="TableText0"/>
              <w:jc w:val="center"/>
              <w:rPr>
                <w:rFonts w:cs="Arial"/>
                <w:szCs w:val="20"/>
              </w:rPr>
            </w:pPr>
            <w:r w:rsidRPr="00743512">
              <w:rPr>
                <w:rFonts w:cs="Arial"/>
                <w:szCs w:val="20"/>
              </w:rPr>
              <w:t>5.24</w:t>
            </w:r>
          </w:p>
        </w:tc>
        <w:tc>
          <w:tcPr>
            <w:tcW w:w="838" w:type="pct"/>
            <w:tcBorders>
              <w:bottom w:val="single" w:sz="4" w:space="0" w:color="auto"/>
            </w:tcBorders>
          </w:tcPr>
          <w:p w14:paraId="50C79F38" w14:textId="77777777" w:rsidR="00BF3070" w:rsidRPr="00743512" w:rsidRDefault="00BF3070" w:rsidP="004F5B47">
            <w:pPr>
              <w:pStyle w:val="TableText0"/>
              <w:jc w:val="center"/>
              <w:rPr>
                <w:rFonts w:cs="Arial"/>
                <w:szCs w:val="20"/>
              </w:rPr>
            </w:pPr>
            <w:r w:rsidRPr="00743512">
              <w:rPr>
                <w:rFonts w:cs="Arial"/>
                <w:szCs w:val="20"/>
              </w:rPr>
              <w:t>0.47</w:t>
            </w:r>
          </w:p>
        </w:tc>
      </w:tr>
      <w:tr w:rsidR="00BF3070" w:rsidRPr="00743512" w14:paraId="50F05674" w14:textId="77777777" w:rsidTr="004F5B47">
        <w:trPr>
          <w:cantSplit/>
        </w:trPr>
        <w:tc>
          <w:tcPr>
            <w:tcW w:w="1529" w:type="pct"/>
            <w:tcBorders>
              <w:bottom w:val="single" w:sz="4" w:space="0" w:color="auto"/>
            </w:tcBorders>
            <w:vAlign w:val="center"/>
          </w:tcPr>
          <w:p w14:paraId="0AD88ED0" w14:textId="77777777" w:rsidR="00BF3070" w:rsidRPr="00743512" w:rsidRDefault="00BF3070" w:rsidP="004F5B47">
            <w:pPr>
              <w:pStyle w:val="TableText0"/>
              <w:rPr>
                <w:rFonts w:cs="Arial"/>
                <w:szCs w:val="20"/>
              </w:rPr>
            </w:pPr>
            <w:r w:rsidRPr="00743512">
              <w:rPr>
                <w:rFonts w:cs="Arial"/>
                <w:szCs w:val="20"/>
              </w:rPr>
              <w:t>Recurrence-free rate (per modelled data)</w:t>
            </w:r>
          </w:p>
        </w:tc>
        <w:tc>
          <w:tcPr>
            <w:tcW w:w="1359" w:type="pct"/>
            <w:tcBorders>
              <w:top w:val="single" w:sz="4" w:space="0" w:color="auto"/>
              <w:left w:val="nil"/>
              <w:bottom w:val="single" w:sz="4" w:space="0" w:color="auto"/>
              <w:right w:val="single" w:sz="4" w:space="0" w:color="auto"/>
            </w:tcBorders>
            <w:shd w:val="clear" w:color="auto" w:fill="auto"/>
            <w:vAlign w:val="center"/>
          </w:tcPr>
          <w:p w14:paraId="30EB817A" w14:textId="77777777" w:rsidR="00BF3070" w:rsidRPr="00D42289" w:rsidRDefault="00BF3070" w:rsidP="004F5B47">
            <w:pPr>
              <w:pStyle w:val="TableText0"/>
              <w:jc w:val="center"/>
              <w:rPr>
                <w:rFonts w:cs="Arial"/>
                <w:i/>
                <w:iCs/>
                <w:szCs w:val="20"/>
              </w:rPr>
            </w:pPr>
            <w:r w:rsidRPr="00D42289">
              <w:rPr>
                <w:rFonts w:cs="Arial"/>
                <w:color w:val="000000"/>
                <w:szCs w:val="20"/>
              </w:rPr>
              <w:t>77.7%</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55D2FCD6" w14:textId="77777777" w:rsidR="00BF3070" w:rsidRPr="00D42289" w:rsidRDefault="00BF3070" w:rsidP="004F5B47">
            <w:pPr>
              <w:pStyle w:val="TableText0"/>
              <w:jc w:val="center"/>
              <w:rPr>
                <w:rFonts w:cs="Arial"/>
                <w:i/>
                <w:iCs/>
                <w:szCs w:val="20"/>
              </w:rPr>
            </w:pPr>
            <w:r w:rsidRPr="00D42289">
              <w:rPr>
                <w:rFonts w:cs="Arial"/>
                <w:color w:val="000000"/>
                <w:szCs w:val="20"/>
              </w:rPr>
              <w:t>70.5%</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A3A7D94" w14:textId="77777777" w:rsidR="00BF3070" w:rsidRPr="00D42289" w:rsidRDefault="00BF3070" w:rsidP="004F5B47">
            <w:pPr>
              <w:pStyle w:val="TableText0"/>
              <w:jc w:val="center"/>
              <w:rPr>
                <w:rFonts w:cs="Arial"/>
                <w:szCs w:val="20"/>
              </w:rPr>
            </w:pPr>
            <w:r w:rsidRPr="00D42289">
              <w:rPr>
                <w:rFonts w:cs="Arial"/>
                <w:color w:val="000000"/>
                <w:szCs w:val="20"/>
              </w:rPr>
              <w:t>7.2%</w:t>
            </w:r>
          </w:p>
        </w:tc>
      </w:tr>
      <w:tr w:rsidR="00BF3070" w:rsidRPr="00743512" w14:paraId="57902FDC" w14:textId="77777777" w:rsidTr="004F5B47">
        <w:trPr>
          <w:cantSplit/>
        </w:trPr>
        <w:tc>
          <w:tcPr>
            <w:tcW w:w="4162" w:type="pct"/>
            <w:gridSpan w:val="3"/>
            <w:tcBorders>
              <w:bottom w:val="nil"/>
            </w:tcBorders>
            <w:vAlign w:val="center"/>
          </w:tcPr>
          <w:p w14:paraId="2F31891E" w14:textId="77777777" w:rsidR="00BF3070" w:rsidRPr="00743512" w:rsidRDefault="00BF3070" w:rsidP="004F5B47">
            <w:pPr>
              <w:pStyle w:val="TableText0"/>
              <w:rPr>
                <w:rFonts w:cs="Arial"/>
                <w:szCs w:val="20"/>
              </w:rPr>
            </w:pPr>
            <w:r w:rsidRPr="00743512">
              <w:rPr>
                <w:rFonts w:cs="Arial"/>
                <w:szCs w:val="20"/>
              </w:rPr>
              <w:t>Incremental cost/invasive disease-free year gained</w:t>
            </w:r>
          </w:p>
        </w:tc>
        <w:tc>
          <w:tcPr>
            <w:tcW w:w="838" w:type="pct"/>
            <w:tcBorders>
              <w:bottom w:val="nil"/>
            </w:tcBorders>
            <w:vAlign w:val="center"/>
          </w:tcPr>
          <w:p w14:paraId="1A6609BC" w14:textId="5AE3F597"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r w:rsidR="00CC6E26" w:rsidRPr="00CC6E26">
              <w:rPr>
                <w:rFonts w:cs="Arial"/>
                <w:szCs w:val="20"/>
                <w:vertAlign w:val="superscript"/>
              </w:rPr>
              <w:t>1</w:t>
            </w:r>
          </w:p>
        </w:tc>
      </w:tr>
      <w:tr w:rsidR="00BF3070" w:rsidRPr="00743512" w14:paraId="2809017B" w14:textId="77777777" w:rsidTr="004F5B47">
        <w:trPr>
          <w:cantSplit/>
        </w:trPr>
        <w:tc>
          <w:tcPr>
            <w:tcW w:w="4162" w:type="pct"/>
            <w:gridSpan w:val="3"/>
            <w:tcBorders>
              <w:top w:val="nil"/>
            </w:tcBorders>
            <w:vAlign w:val="center"/>
          </w:tcPr>
          <w:p w14:paraId="5188FE76" w14:textId="7F92E5EA" w:rsidR="00BF3070" w:rsidRPr="00743512" w:rsidRDefault="00F32823" w:rsidP="004F5B47">
            <w:pPr>
              <w:pStyle w:val="TableText0"/>
              <w:rPr>
                <w:rFonts w:cs="Arial"/>
                <w:i/>
                <w:iCs/>
                <w:szCs w:val="20"/>
              </w:rPr>
            </w:pPr>
            <w:r w:rsidRPr="00F32823">
              <w:rPr>
                <w:rFonts w:cs="Arial"/>
                <w:szCs w:val="20"/>
              </w:rPr>
              <w:t xml:space="preserve">  </w:t>
            </w:r>
            <w:r w:rsidR="00BF3070" w:rsidRPr="00743512">
              <w:rPr>
                <w:rFonts w:cs="Arial"/>
                <w:szCs w:val="20"/>
              </w:rPr>
              <w:t xml:space="preserve"> Revised</w:t>
            </w:r>
            <w:r w:rsidR="00BF3070" w:rsidRPr="00743512">
              <w:rPr>
                <w:rFonts w:cs="Arial"/>
                <w:szCs w:val="20"/>
                <w:vertAlign w:val="superscript"/>
              </w:rPr>
              <w:t>a</w:t>
            </w:r>
            <w:r w:rsidR="00BF3070" w:rsidRPr="00743512">
              <w:rPr>
                <w:rFonts w:cs="Arial"/>
                <w:szCs w:val="20"/>
              </w:rPr>
              <w:t xml:space="preserve"> </w:t>
            </w:r>
          </w:p>
        </w:tc>
        <w:tc>
          <w:tcPr>
            <w:tcW w:w="838" w:type="pct"/>
            <w:tcBorders>
              <w:top w:val="nil"/>
            </w:tcBorders>
            <w:vAlign w:val="center"/>
          </w:tcPr>
          <w:p w14:paraId="0F96D228" w14:textId="16169F9B"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r w:rsidR="00CC6E26" w:rsidRPr="00CC6E26">
              <w:rPr>
                <w:rFonts w:cs="Arial"/>
                <w:szCs w:val="20"/>
                <w:vertAlign w:val="superscript"/>
              </w:rPr>
              <w:t>2</w:t>
            </w:r>
          </w:p>
        </w:tc>
      </w:tr>
      <w:tr w:rsidR="00BF3070" w:rsidRPr="00743512" w14:paraId="61A49697" w14:textId="77777777" w:rsidTr="004F5B47">
        <w:trPr>
          <w:cantSplit/>
        </w:trPr>
        <w:tc>
          <w:tcPr>
            <w:tcW w:w="4162" w:type="pct"/>
            <w:gridSpan w:val="3"/>
            <w:tcBorders>
              <w:top w:val="nil"/>
            </w:tcBorders>
            <w:vAlign w:val="center"/>
          </w:tcPr>
          <w:p w14:paraId="7C8A80F4" w14:textId="77777777" w:rsidR="00BF3070" w:rsidRPr="00743512" w:rsidRDefault="00BF3070" w:rsidP="004F5B47">
            <w:pPr>
              <w:pStyle w:val="TableText0"/>
              <w:rPr>
                <w:rFonts w:cs="Arial"/>
                <w:i/>
                <w:iCs/>
                <w:szCs w:val="20"/>
                <w:vertAlign w:val="superscript"/>
              </w:rPr>
            </w:pPr>
            <w:r w:rsidRPr="00743512">
              <w:rPr>
                <w:rFonts w:cs="Arial"/>
                <w:szCs w:val="20"/>
              </w:rPr>
              <w:t>Incremental cost/recurrence avoided</w:t>
            </w:r>
            <w:r w:rsidRPr="00743512">
              <w:rPr>
                <w:rFonts w:cs="Arial"/>
                <w:szCs w:val="20"/>
                <w:vertAlign w:val="superscript"/>
              </w:rPr>
              <w:t>a,b</w:t>
            </w:r>
          </w:p>
        </w:tc>
        <w:tc>
          <w:tcPr>
            <w:tcW w:w="838" w:type="pct"/>
            <w:tcBorders>
              <w:top w:val="nil"/>
            </w:tcBorders>
            <w:vAlign w:val="center"/>
          </w:tcPr>
          <w:p w14:paraId="68821676" w14:textId="3C6D42B8" w:rsidR="00BF3070" w:rsidRPr="00743512" w:rsidRDefault="00632DCB" w:rsidP="004F5B47">
            <w:pPr>
              <w:pStyle w:val="TableText0"/>
              <w:jc w:val="center"/>
              <w:rPr>
                <w:rFonts w:cs="Arial"/>
                <w:szCs w:val="20"/>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r w:rsidR="00CC6E26" w:rsidRPr="00CC6E26">
              <w:rPr>
                <w:rFonts w:cs="Arial"/>
                <w:szCs w:val="20"/>
                <w:vertAlign w:val="superscript"/>
              </w:rPr>
              <w:t>3</w:t>
            </w:r>
          </w:p>
        </w:tc>
      </w:tr>
      <w:tr w:rsidR="00BF3070" w:rsidRPr="00743512" w14:paraId="53D0A2CF" w14:textId="77777777" w:rsidTr="004F5B47">
        <w:trPr>
          <w:cantSplit/>
        </w:trPr>
        <w:tc>
          <w:tcPr>
            <w:tcW w:w="5000" w:type="pct"/>
            <w:gridSpan w:val="4"/>
            <w:vAlign w:val="center"/>
          </w:tcPr>
          <w:p w14:paraId="02320403" w14:textId="77777777" w:rsidR="00BF3070" w:rsidRPr="00743512" w:rsidRDefault="00BF3070" w:rsidP="004F5B47">
            <w:pPr>
              <w:pStyle w:val="In-tableHeading"/>
              <w:rPr>
                <w:rFonts w:cs="Arial"/>
                <w:szCs w:val="20"/>
                <w:lang w:val="en-AU"/>
              </w:rPr>
            </w:pPr>
            <w:r w:rsidRPr="00743512">
              <w:rPr>
                <w:rFonts w:cs="Arial"/>
                <w:szCs w:val="20"/>
                <w:lang w:val="en-AU"/>
              </w:rPr>
              <w:t>Step 2: Modelled analysis (LYs)</w:t>
            </w:r>
            <w:r w:rsidRPr="00743512">
              <w:rPr>
                <w:rFonts w:cs="Arial"/>
                <w:szCs w:val="20"/>
                <w:vertAlign w:val="superscript"/>
                <w:lang w:val="en-AU"/>
              </w:rPr>
              <w:t>c</w:t>
            </w:r>
            <w:r w:rsidRPr="00743512">
              <w:rPr>
                <w:rFonts w:cs="Arial"/>
                <w:szCs w:val="20"/>
                <w:lang w:val="en-AU"/>
              </w:rPr>
              <w:t>, as above plus costs for genetic counselling, disease monitoring, subsequent therapies, and terminal care, with time horizon extended to 40 years</w:t>
            </w:r>
          </w:p>
        </w:tc>
      </w:tr>
      <w:tr w:rsidR="00BF3070" w:rsidRPr="00743512" w14:paraId="17007734" w14:textId="77777777" w:rsidTr="004F5B47">
        <w:trPr>
          <w:cantSplit/>
        </w:trPr>
        <w:tc>
          <w:tcPr>
            <w:tcW w:w="1529" w:type="pct"/>
            <w:vAlign w:val="center"/>
          </w:tcPr>
          <w:p w14:paraId="0602B021" w14:textId="77777777" w:rsidR="00BF3070" w:rsidRPr="00743512" w:rsidRDefault="00BF3070" w:rsidP="004F5B47">
            <w:pPr>
              <w:pStyle w:val="TableText0"/>
              <w:rPr>
                <w:rFonts w:cs="Arial"/>
                <w:szCs w:val="20"/>
              </w:rPr>
            </w:pPr>
            <w:r w:rsidRPr="00743512">
              <w:rPr>
                <w:rFonts w:cs="Arial"/>
                <w:szCs w:val="20"/>
              </w:rPr>
              <w:t>Costs</w:t>
            </w:r>
          </w:p>
        </w:tc>
        <w:tc>
          <w:tcPr>
            <w:tcW w:w="1359" w:type="pct"/>
            <w:vAlign w:val="center"/>
          </w:tcPr>
          <w:p w14:paraId="302B8CB3" w14:textId="071E09F4"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c>
          <w:tcPr>
            <w:tcW w:w="1274" w:type="pct"/>
            <w:vAlign w:val="center"/>
          </w:tcPr>
          <w:p w14:paraId="11C17709" w14:textId="77777777" w:rsidR="00BF3070" w:rsidRPr="00CC6E26" w:rsidRDefault="00BF3070" w:rsidP="004F5B47">
            <w:pPr>
              <w:pStyle w:val="TableText0"/>
              <w:jc w:val="center"/>
              <w:rPr>
                <w:rFonts w:cs="Arial"/>
                <w:szCs w:val="20"/>
              </w:rPr>
            </w:pPr>
            <w:r w:rsidRPr="00CC6E26">
              <w:rPr>
                <w:rFonts w:cs="Arial"/>
                <w:szCs w:val="20"/>
              </w:rPr>
              <w:t>$34,051</w:t>
            </w:r>
          </w:p>
        </w:tc>
        <w:tc>
          <w:tcPr>
            <w:tcW w:w="838" w:type="pct"/>
            <w:vAlign w:val="center"/>
          </w:tcPr>
          <w:p w14:paraId="46005D1A" w14:textId="07D9F3B6"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r>
      <w:tr w:rsidR="00BF3070" w:rsidRPr="00743512" w14:paraId="3C7A25EB" w14:textId="77777777" w:rsidTr="004F5B47">
        <w:trPr>
          <w:cantSplit/>
        </w:trPr>
        <w:tc>
          <w:tcPr>
            <w:tcW w:w="1529" w:type="pct"/>
            <w:vAlign w:val="center"/>
          </w:tcPr>
          <w:p w14:paraId="07E9C7AE" w14:textId="77777777" w:rsidR="00BF3070" w:rsidRPr="00743512" w:rsidRDefault="00BF3070" w:rsidP="004F5B47">
            <w:pPr>
              <w:pStyle w:val="TableText0"/>
              <w:rPr>
                <w:rFonts w:cs="Arial"/>
                <w:szCs w:val="20"/>
              </w:rPr>
            </w:pPr>
            <w:r w:rsidRPr="00743512">
              <w:rPr>
                <w:rFonts w:cs="Arial"/>
                <w:szCs w:val="20"/>
              </w:rPr>
              <w:t>LYs</w:t>
            </w:r>
          </w:p>
        </w:tc>
        <w:tc>
          <w:tcPr>
            <w:tcW w:w="1359" w:type="pct"/>
            <w:vAlign w:val="center"/>
          </w:tcPr>
          <w:p w14:paraId="2E9E241F" w14:textId="77777777" w:rsidR="00BF3070" w:rsidRPr="00743512" w:rsidRDefault="00BF3070" w:rsidP="004F5B47">
            <w:pPr>
              <w:pStyle w:val="TableText0"/>
              <w:jc w:val="center"/>
              <w:rPr>
                <w:rFonts w:cs="Arial"/>
                <w:szCs w:val="20"/>
              </w:rPr>
            </w:pPr>
            <w:r w:rsidRPr="00743512">
              <w:rPr>
                <w:rFonts w:cs="Arial"/>
                <w:szCs w:val="20"/>
              </w:rPr>
              <w:t>14.22</w:t>
            </w:r>
          </w:p>
        </w:tc>
        <w:tc>
          <w:tcPr>
            <w:tcW w:w="1274" w:type="pct"/>
            <w:vAlign w:val="center"/>
          </w:tcPr>
          <w:p w14:paraId="03DC7ECD" w14:textId="77777777" w:rsidR="00BF3070" w:rsidRPr="00CC6E26" w:rsidRDefault="00BF3070" w:rsidP="004F5B47">
            <w:pPr>
              <w:pStyle w:val="TableText0"/>
              <w:jc w:val="center"/>
              <w:rPr>
                <w:rFonts w:cs="Arial"/>
                <w:szCs w:val="20"/>
              </w:rPr>
            </w:pPr>
            <w:r w:rsidRPr="00CC6E26">
              <w:rPr>
                <w:rFonts w:cs="Arial"/>
                <w:szCs w:val="20"/>
              </w:rPr>
              <w:t>13.19</w:t>
            </w:r>
          </w:p>
        </w:tc>
        <w:tc>
          <w:tcPr>
            <w:tcW w:w="838" w:type="pct"/>
            <w:vAlign w:val="center"/>
          </w:tcPr>
          <w:p w14:paraId="3CF9212A" w14:textId="77777777" w:rsidR="00BF3070" w:rsidRPr="00743512" w:rsidRDefault="00BF3070" w:rsidP="004F5B47">
            <w:pPr>
              <w:pStyle w:val="TableText0"/>
              <w:jc w:val="center"/>
              <w:rPr>
                <w:rFonts w:cs="Arial"/>
                <w:szCs w:val="20"/>
              </w:rPr>
            </w:pPr>
            <w:r w:rsidRPr="00743512">
              <w:rPr>
                <w:rFonts w:cs="Arial"/>
                <w:szCs w:val="20"/>
              </w:rPr>
              <w:t>1.03</w:t>
            </w:r>
          </w:p>
        </w:tc>
      </w:tr>
      <w:tr w:rsidR="00BF3070" w:rsidRPr="00743512" w14:paraId="5E02686E" w14:textId="77777777" w:rsidTr="004F5B47">
        <w:trPr>
          <w:cantSplit/>
        </w:trPr>
        <w:tc>
          <w:tcPr>
            <w:tcW w:w="4162" w:type="pct"/>
            <w:gridSpan w:val="3"/>
            <w:vAlign w:val="center"/>
          </w:tcPr>
          <w:p w14:paraId="350D8429" w14:textId="77777777" w:rsidR="00BF3070" w:rsidRPr="00743512" w:rsidRDefault="00BF3070" w:rsidP="004F5B47">
            <w:pPr>
              <w:pStyle w:val="TableText0"/>
              <w:rPr>
                <w:rFonts w:cs="Arial"/>
                <w:szCs w:val="20"/>
              </w:rPr>
            </w:pPr>
            <w:r w:rsidRPr="00743512">
              <w:rPr>
                <w:rFonts w:cs="Arial"/>
                <w:szCs w:val="20"/>
              </w:rPr>
              <w:t>Incremental cost/LY gained</w:t>
            </w:r>
          </w:p>
        </w:tc>
        <w:tc>
          <w:tcPr>
            <w:tcW w:w="838" w:type="pct"/>
            <w:vAlign w:val="center"/>
          </w:tcPr>
          <w:p w14:paraId="6293DFED" w14:textId="46A5505B" w:rsidR="00BF3070" w:rsidRPr="00743512" w:rsidRDefault="00632DCB" w:rsidP="004F5B47">
            <w:pPr>
              <w:pStyle w:val="TableText0"/>
              <w:jc w:val="center"/>
              <w:rPr>
                <w:rFonts w:cs="Arial"/>
                <w:szCs w:val="20"/>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r w:rsidR="00CC6E26" w:rsidRPr="00CC6E26">
              <w:rPr>
                <w:rFonts w:cs="Arial"/>
                <w:szCs w:val="20"/>
                <w:vertAlign w:val="superscript"/>
              </w:rPr>
              <w:t>4</w:t>
            </w:r>
          </w:p>
        </w:tc>
      </w:tr>
      <w:tr w:rsidR="00BF3070" w:rsidRPr="00743512" w14:paraId="7DD53660" w14:textId="77777777" w:rsidTr="004F5B47">
        <w:trPr>
          <w:cantSplit/>
        </w:trPr>
        <w:tc>
          <w:tcPr>
            <w:tcW w:w="5000" w:type="pct"/>
            <w:gridSpan w:val="4"/>
            <w:vAlign w:val="center"/>
          </w:tcPr>
          <w:p w14:paraId="1D6D1BEE" w14:textId="77777777" w:rsidR="00BF3070" w:rsidRPr="00743512" w:rsidRDefault="00BF3070" w:rsidP="004F5B47">
            <w:pPr>
              <w:pStyle w:val="In-tableHeading"/>
              <w:rPr>
                <w:rFonts w:cs="Arial"/>
                <w:szCs w:val="20"/>
                <w:lang w:val="en-AU"/>
              </w:rPr>
            </w:pPr>
            <w:r w:rsidRPr="00743512">
              <w:rPr>
                <w:rFonts w:cs="Arial"/>
                <w:szCs w:val="20"/>
                <w:lang w:val="en-AU"/>
              </w:rPr>
              <w:t>Step 3: Modelled analysis (QALYs)</w:t>
            </w:r>
            <w:r w:rsidRPr="00743512">
              <w:rPr>
                <w:rFonts w:cs="Arial"/>
                <w:szCs w:val="20"/>
                <w:vertAlign w:val="superscript"/>
                <w:lang w:val="en-AU"/>
              </w:rPr>
              <w:t>c</w:t>
            </w:r>
            <w:r w:rsidRPr="00743512">
              <w:rPr>
                <w:rFonts w:cs="Arial"/>
                <w:szCs w:val="20"/>
                <w:lang w:val="en-AU"/>
              </w:rPr>
              <w:t xml:space="preserve">, </w:t>
            </w:r>
            <w:bookmarkStart w:id="83" w:name="_Hlk144116937"/>
            <w:r w:rsidRPr="00743512">
              <w:rPr>
                <w:rFonts w:cs="Arial"/>
                <w:szCs w:val="20"/>
                <w:lang w:val="en-AU"/>
              </w:rPr>
              <w:t xml:space="preserve">as above incorporating utility values </w:t>
            </w:r>
            <w:bookmarkEnd w:id="83"/>
          </w:p>
        </w:tc>
      </w:tr>
      <w:tr w:rsidR="00BF3070" w:rsidRPr="00743512" w14:paraId="74723E4B" w14:textId="77777777" w:rsidTr="004F5B47">
        <w:trPr>
          <w:cantSplit/>
        </w:trPr>
        <w:tc>
          <w:tcPr>
            <w:tcW w:w="1529" w:type="pct"/>
            <w:vAlign w:val="center"/>
          </w:tcPr>
          <w:p w14:paraId="7793F490" w14:textId="77777777" w:rsidR="00BF3070" w:rsidRPr="00743512" w:rsidRDefault="00BF3070" w:rsidP="004F5B47">
            <w:pPr>
              <w:pStyle w:val="TableText0"/>
              <w:rPr>
                <w:rFonts w:cs="Arial"/>
                <w:szCs w:val="20"/>
              </w:rPr>
            </w:pPr>
            <w:r w:rsidRPr="00743512">
              <w:rPr>
                <w:rFonts w:cs="Arial"/>
                <w:szCs w:val="20"/>
              </w:rPr>
              <w:t>Costs</w:t>
            </w:r>
          </w:p>
        </w:tc>
        <w:tc>
          <w:tcPr>
            <w:tcW w:w="1359" w:type="pct"/>
          </w:tcPr>
          <w:p w14:paraId="021A238A" w14:textId="5A546243"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c>
          <w:tcPr>
            <w:tcW w:w="1274" w:type="pct"/>
          </w:tcPr>
          <w:p w14:paraId="3FD215E9" w14:textId="77777777" w:rsidR="00BF3070" w:rsidRPr="00963FE0" w:rsidRDefault="00BF3070" w:rsidP="004F5B47">
            <w:pPr>
              <w:pStyle w:val="TableText0"/>
              <w:jc w:val="center"/>
              <w:rPr>
                <w:rFonts w:cs="Arial"/>
                <w:szCs w:val="20"/>
                <w:highlight w:val="darkGray"/>
              </w:rPr>
            </w:pPr>
            <w:r w:rsidRPr="00CC6E26">
              <w:rPr>
                <w:rFonts w:cs="Arial"/>
                <w:szCs w:val="20"/>
              </w:rPr>
              <w:t>$34,051</w:t>
            </w:r>
          </w:p>
        </w:tc>
        <w:tc>
          <w:tcPr>
            <w:tcW w:w="838" w:type="pct"/>
          </w:tcPr>
          <w:p w14:paraId="799F6F00" w14:textId="2F8148D7"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r>
      <w:tr w:rsidR="00BF3070" w:rsidRPr="00743512" w14:paraId="7D7E9173" w14:textId="77777777" w:rsidTr="004F5B47">
        <w:trPr>
          <w:cantSplit/>
        </w:trPr>
        <w:tc>
          <w:tcPr>
            <w:tcW w:w="1529" w:type="pct"/>
            <w:vAlign w:val="center"/>
          </w:tcPr>
          <w:p w14:paraId="5DCCC7A5" w14:textId="77777777" w:rsidR="00BF3070" w:rsidRPr="00743512" w:rsidRDefault="00BF3070" w:rsidP="004F5B47">
            <w:pPr>
              <w:pStyle w:val="TableText0"/>
              <w:rPr>
                <w:rFonts w:cs="Arial"/>
                <w:szCs w:val="20"/>
              </w:rPr>
            </w:pPr>
            <w:r w:rsidRPr="00743512">
              <w:rPr>
                <w:rFonts w:cs="Arial"/>
                <w:szCs w:val="20"/>
              </w:rPr>
              <w:t>QALYs</w:t>
            </w:r>
          </w:p>
        </w:tc>
        <w:tc>
          <w:tcPr>
            <w:tcW w:w="1359" w:type="pct"/>
            <w:vAlign w:val="center"/>
          </w:tcPr>
          <w:p w14:paraId="1413DD49" w14:textId="77777777" w:rsidR="00BF3070" w:rsidRPr="00743512" w:rsidRDefault="00BF3070" w:rsidP="004F5B47">
            <w:pPr>
              <w:pStyle w:val="TableText0"/>
              <w:jc w:val="center"/>
              <w:rPr>
                <w:rFonts w:cs="Arial"/>
                <w:szCs w:val="20"/>
              </w:rPr>
            </w:pPr>
            <w:r w:rsidRPr="00743512">
              <w:rPr>
                <w:rFonts w:cs="Arial"/>
                <w:szCs w:val="20"/>
              </w:rPr>
              <w:t>12.27</w:t>
            </w:r>
          </w:p>
        </w:tc>
        <w:tc>
          <w:tcPr>
            <w:tcW w:w="1274" w:type="pct"/>
            <w:vAlign w:val="center"/>
          </w:tcPr>
          <w:p w14:paraId="591CF2EA" w14:textId="77777777" w:rsidR="00BF3070" w:rsidRPr="00743512" w:rsidRDefault="00BF3070" w:rsidP="004F5B47">
            <w:pPr>
              <w:pStyle w:val="TableText0"/>
              <w:jc w:val="center"/>
              <w:rPr>
                <w:rFonts w:cs="Arial"/>
                <w:szCs w:val="20"/>
              </w:rPr>
            </w:pPr>
            <w:r w:rsidRPr="00743512">
              <w:rPr>
                <w:rFonts w:cs="Arial"/>
                <w:szCs w:val="20"/>
              </w:rPr>
              <w:t>11.36</w:t>
            </w:r>
          </w:p>
        </w:tc>
        <w:tc>
          <w:tcPr>
            <w:tcW w:w="838" w:type="pct"/>
            <w:vAlign w:val="center"/>
          </w:tcPr>
          <w:p w14:paraId="469FDA17" w14:textId="77777777" w:rsidR="00BF3070" w:rsidRPr="00743512" w:rsidRDefault="00BF3070" w:rsidP="004F5B47">
            <w:pPr>
              <w:pStyle w:val="TableText0"/>
              <w:jc w:val="center"/>
              <w:rPr>
                <w:rFonts w:cs="Arial"/>
                <w:szCs w:val="20"/>
              </w:rPr>
            </w:pPr>
            <w:r w:rsidRPr="00743512">
              <w:rPr>
                <w:rFonts w:cs="Arial"/>
                <w:szCs w:val="20"/>
              </w:rPr>
              <w:t>0.91</w:t>
            </w:r>
          </w:p>
        </w:tc>
      </w:tr>
      <w:tr w:rsidR="00BF3070" w:rsidRPr="00743512" w14:paraId="471226A2" w14:textId="77777777" w:rsidTr="004F5B47">
        <w:trPr>
          <w:cantSplit/>
        </w:trPr>
        <w:tc>
          <w:tcPr>
            <w:tcW w:w="4162" w:type="pct"/>
            <w:gridSpan w:val="3"/>
            <w:tcBorders>
              <w:bottom w:val="single" w:sz="4" w:space="0" w:color="auto"/>
            </w:tcBorders>
            <w:vAlign w:val="center"/>
          </w:tcPr>
          <w:p w14:paraId="7B9ED499" w14:textId="77777777" w:rsidR="00BF3070" w:rsidRPr="00743512" w:rsidRDefault="00BF3070" w:rsidP="004F5B47">
            <w:pPr>
              <w:pStyle w:val="TableText0"/>
              <w:rPr>
                <w:rFonts w:cs="Arial"/>
                <w:szCs w:val="20"/>
              </w:rPr>
            </w:pPr>
            <w:r w:rsidRPr="00743512">
              <w:rPr>
                <w:rFonts w:cs="Arial"/>
                <w:szCs w:val="20"/>
              </w:rPr>
              <w:t>Incremental cost/QALY gained</w:t>
            </w:r>
          </w:p>
        </w:tc>
        <w:tc>
          <w:tcPr>
            <w:tcW w:w="838" w:type="pct"/>
            <w:tcBorders>
              <w:bottom w:val="single" w:sz="4" w:space="0" w:color="auto"/>
            </w:tcBorders>
            <w:vAlign w:val="center"/>
          </w:tcPr>
          <w:p w14:paraId="174EDA1C" w14:textId="37D2D89C" w:rsidR="00BF3070" w:rsidRPr="00743512" w:rsidRDefault="00632DCB" w:rsidP="004F5B47">
            <w:pPr>
              <w:pStyle w:val="TableText0"/>
              <w:jc w:val="center"/>
              <w:rPr>
                <w:rFonts w:cs="Arial"/>
                <w:b/>
                <w:bCs w:val="0"/>
                <w:szCs w:val="20"/>
              </w:rPr>
            </w:pPr>
            <w:r>
              <w:rPr>
                <w:rFonts w:cs="Arial"/>
                <w:b/>
                <w:bCs w:val="0"/>
                <w:szCs w:val="20"/>
              </w:rPr>
              <w:t xml:space="preserve"> </w:t>
            </w:r>
            <w:r w:rsidRPr="00632DCB">
              <w:rPr>
                <w:rFonts w:cs="Arial"/>
                <w:b/>
                <w:bCs w:val="0"/>
                <w:color w:val="000000"/>
                <w:szCs w:val="20"/>
                <w:shd w:val="solid" w:color="000000" w:fill="000000"/>
                <w14:textFill>
                  <w14:solidFill>
                    <w14:srgbClr w14:val="000000">
                      <w14:alpha w14:val="100000"/>
                    </w14:srgbClr>
                  </w14:solidFill>
                </w14:textFill>
              </w:rPr>
              <w:t>|</w:t>
            </w:r>
            <w:r w:rsidR="00CC6E26" w:rsidRPr="00CC6E26">
              <w:rPr>
                <w:rFonts w:cs="Arial"/>
                <w:b/>
                <w:bCs w:val="0"/>
                <w:szCs w:val="20"/>
                <w:vertAlign w:val="superscript"/>
              </w:rPr>
              <w:t>4</w:t>
            </w:r>
          </w:p>
        </w:tc>
      </w:tr>
      <w:tr w:rsidR="000B78F4" w:rsidRPr="00743512" w14:paraId="089665FD" w14:textId="77777777" w:rsidTr="005A5F28">
        <w:trPr>
          <w:cantSplit/>
        </w:trPr>
        <w:tc>
          <w:tcPr>
            <w:tcW w:w="5000" w:type="pct"/>
            <w:gridSpan w:val="4"/>
            <w:vAlign w:val="center"/>
          </w:tcPr>
          <w:p w14:paraId="67B623F3" w14:textId="5CC263E7" w:rsidR="005A5F28" w:rsidRPr="00743512" w:rsidRDefault="005A5F28" w:rsidP="005A5F28">
            <w:pPr>
              <w:pStyle w:val="In-tableHeading"/>
              <w:rPr>
                <w:rFonts w:cs="Arial"/>
                <w:szCs w:val="20"/>
                <w:lang w:val="en-AU"/>
              </w:rPr>
            </w:pPr>
            <w:r w:rsidRPr="00743512">
              <w:rPr>
                <w:rFonts w:cs="Arial"/>
                <w:szCs w:val="20"/>
                <w:lang w:val="en-AU"/>
              </w:rPr>
              <w:t>Pre-PBAC revised base case</w:t>
            </w:r>
          </w:p>
        </w:tc>
      </w:tr>
      <w:tr w:rsidR="000B78F4" w:rsidRPr="00743512" w14:paraId="593DE4F5" w14:textId="77777777" w:rsidTr="004F5B47">
        <w:trPr>
          <w:cantSplit/>
        </w:trPr>
        <w:tc>
          <w:tcPr>
            <w:tcW w:w="1529" w:type="pct"/>
            <w:vAlign w:val="center"/>
          </w:tcPr>
          <w:p w14:paraId="500132E5" w14:textId="77777777" w:rsidR="00D3237D" w:rsidRPr="00743512" w:rsidRDefault="00D3237D" w:rsidP="00D3237D">
            <w:pPr>
              <w:pStyle w:val="TableText0"/>
              <w:rPr>
                <w:rFonts w:cs="Arial"/>
                <w:szCs w:val="20"/>
              </w:rPr>
            </w:pPr>
            <w:r w:rsidRPr="00743512">
              <w:rPr>
                <w:rFonts w:cs="Arial"/>
                <w:szCs w:val="20"/>
              </w:rPr>
              <w:t>Costs</w:t>
            </w:r>
          </w:p>
        </w:tc>
        <w:tc>
          <w:tcPr>
            <w:tcW w:w="1359" w:type="pct"/>
          </w:tcPr>
          <w:p w14:paraId="590A66B6" w14:textId="11715C28" w:rsidR="00D3237D" w:rsidRPr="00963FE0" w:rsidRDefault="00632DCB" w:rsidP="00D3237D">
            <w:pPr>
              <w:pStyle w:val="TableText0"/>
              <w:jc w:val="center"/>
              <w:rPr>
                <w:rFonts w:cs="Arial"/>
                <w:szCs w:val="20"/>
                <w:highlight w:val="darkGray"/>
              </w:rPr>
            </w:pPr>
            <w:r>
              <w:t xml:space="preserve"> </w:t>
            </w:r>
            <w:r w:rsidRPr="00632DCB">
              <w:rPr>
                <w:color w:val="000000"/>
                <w:shd w:val="solid" w:color="000000" w:fill="000000"/>
                <w14:textFill>
                  <w14:solidFill>
                    <w14:srgbClr w14:val="000000">
                      <w14:alpha w14:val="100000"/>
                    </w14:srgbClr>
                  </w14:solidFill>
                </w14:textFill>
              </w:rPr>
              <w:t>|</w:t>
            </w:r>
          </w:p>
        </w:tc>
        <w:tc>
          <w:tcPr>
            <w:tcW w:w="1274" w:type="pct"/>
          </w:tcPr>
          <w:p w14:paraId="7F13470E" w14:textId="4B2C5947" w:rsidR="00D3237D" w:rsidRPr="00963FE0" w:rsidRDefault="00D3237D" w:rsidP="00D3237D">
            <w:pPr>
              <w:pStyle w:val="TableText0"/>
              <w:jc w:val="center"/>
              <w:rPr>
                <w:rFonts w:cs="Arial"/>
                <w:szCs w:val="20"/>
                <w:highlight w:val="darkGray"/>
              </w:rPr>
            </w:pPr>
            <w:r w:rsidRPr="00CC6E26">
              <w:t>$32,449</w:t>
            </w:r>
          </w:p>
        </w:tc>
        <w:tc>
          <w:tcPr>
            <w:tcW w:w="838" w:type="pct"/>
          </w:tcPr>
          <w:p w14:paraId="2199D65B" w14:textId="4669FFB9" w:rsidR="00D3237D" w:rsidRPr="00743512" w:rsidRDefault="00632DCB" w:rsidP="00D3237D">
            <w:pPr>
              <w:pStyle w:val="TableText0"/>
              <w:jc w:val="center"/>
              <w:rPr>
                <w:rFonts w:cs="Arial"/>
                <w:szCs w:val="20"/>
              </w:rPr>
            </w:pPr>
            <w:r>
              <w:t xml:space="preserve"> </w:t>
            </w:r>
            <w:r w:rsidRPr="00632DCB">
              <w:rPr>
                <w:color w:val="000000"/>
                <w:shd w:val="solid" w:color="000000" w:fill="000000"/>
                <w14:textFill>
                  <w14:solidFill>
                    <w14:srgbClr w14:val="000000">
                      <w14:alpha w14:val="100000"/>
                    </w14:srgbClr>
                  </w14:solidFill>
                </w14:textFill>
              </w:rPr>
              <w:t>|</w:t>
            </w:r>
          </w:p>
        </w:tc>
      </w:tr>
      <w:tr w:rsidR="000B78F4" w:rsidRPr="00743512" w14:paraId="4166C8ED" w14:textId="77777777" w:rsidTr="00D3237D">
        <w:trPr>
          <w:cantSplit/>
        </w:trPr>
        <w:tc>
          <w:tcPr>
            <w:tcW w:w="1529" w:type="pct"/>
            <w:vAlign w:val="center"/>
          </w:tcPr>
          <w:p w14:paraId="7B435D2E" w14:textId="77777777" w:rsidR="00D3237D" w:rsidRPr="00743512" w:rsidRDefault="00D3237D" w:rsidP="00D3237D">
            <w:pPr>
              <w:pStyle w:val="TableText0"/>
              <w:rPr>
                <w:rFonts w:cs="Arial"/>
                <w:szCs w:val="20"/>
              </w:rPr>
            </w:pPr>
            <w:r w:rsidRPr="00743512">
              <w:rPr>
                <w:rFonts w:cs="Arial"/>
                <w:szCs w:val="20"/>
              </w:rPr>
              <w:t>QALYs</w:t>
            </w:r>
          </w:p>
        </w:tc>
        <w:tc>
          <w:tcPr>
            <w:tcW w:w="1359" w:type="pct"/>
            <w:tcBorders>
              <w:top w:val="nil"/>
              <w:left w:val="nil"/>
              <w:bottom w:val="nil"/>
              <w:right w:val="nil"/>
            </w:tcBorders>
            <w:shd w:val="clear" w:color="auto" w:fill="auto"/>
            <w:vAlign w:val="bottom"/>
          </w:tcPr>
          <w:p w14:paraId="625AA538" w14:textId="505BB096" w:rsidR="00D3237D" w:rsidRPr="00743512" w:rsidRDefault="00D3237D" w:rsidP="00D3237D">
            <w:pPr>
              <w:pStyle w:val="TableText0"/>
              <w:jc w:val="center"/>
              <w:rPr>
                <w:rFonts w:cs="Arial"/>
                <w:szCs w:val="20"/>
              </w:rPr>
            </w:pPr>
            <w:r w:rsidRPr="00743512">
              <w:t>12.28</w:t>
            </w:r>
          </w:p>
        </w:tc>
        <w:tc>
          <w:tcPr>
            <w:tcW w:w="1274" w:type="pct"/>
            <w:tcBorders>
              <w:top w:val="nil"/>
              <w:left w:val="nil"/>
              <w:bottom w:val="nil"/>
              <w:right w:val="nil"/>
            </w:tcBorders>
            <w:shd w:val="clear" w:color="auto" w:fill="auto"/>
            <w:vAlign w:val="bottom"/>
          </w:tcPr>
          <w:p w14:paraId="4A814AC2" w14:textId="689249E0" w:rsidR="00D3237D" w:rsidRPr="00743512" w:rsidRDefault="00D3237D" w:rsidP="00D3237D">
            <w:pPr>
              <w:pStyle w:val="TableText0"/>
              <w:jc w:val="center"/>
            </w:pPr>
            <w:r w:rsidRPr="00743512">
              <w:t>11.39</w:t>
            </w:r>
          </w:p>
        </w:tc>
        <w:tc>
          <w:tcPr>
            <w:tcW w:w="838" w:type="pct"/>
            <w:tcBorders>
              <w:top w:val="nil"/>
              <w:left w:val="nil"/>
              <w:bottom w:val="nil"/>
              <w:right w:val="nil"/>
            </w:tcBorders>
            <w:shd w:val="clear" w:color="auto" w:fill="auto"/>
            <w:vAlign w:val="bottom"/>
          </w:tcPr>
          <w:p w14:paraId="5D1DC027" w14:textId="4F28F8FB" w:rsidR="00D3237D" w:rsidRPr="00743512" w:rsidRDefault="00D3237D" w:rsidP="00D3237D">
            <w:pPr>
              <w:pStyle w:val="TableText0"/>
              <w:jc w:val="center"/>
            </w:pPr>
            <w:r w:rsidRPr="00743512">
              <w:t>0.891</w:t>
            </w:r>
          </w:p>
        </w:tc>
      </w:tr>
      <w:tr w:rsidR="000B78F4" w:rsidRPr="00743512" w14:paraId="3AB5597D" w14:textId="77777777" w:rsidTr="004F5B47">
        <w:trPr>
          <w:cantSplit/>
        </w:trPr>
        <w:tc>
          <w:tcPr>
            <w:tcW w:w="4162" w:type="pct"/>
            <w:gridSpan w:val="3"/>
            <w:tcBorders>
              <w:bottom w:val="single" w:sz="4" w:space="0" w:color="auto"/>
            </w:tcBorders>
            <w:vAlign w:val="center"/>
          </w:tcPr>
          <w:p w14:paraId="0D002A24" w14:textId="77777777" w:rsidR="005A5F28" w:rsidRPr="00743512" w:rsidRDefault="005A5F28" w:rsidP="004F5B47">
            <w:pPr>
              <w:pStyle w:val="TableText0"/>
              <w:rPr>
                <w:rFonts w:cs="Arial"/>
                <w:szCs w:val="20"/>
              </w:rPr>
            </w:pPr>
            <w:r w:rsidRPr="00743512">
              <w:rPr>
                <w:rFonts w:cs="Arial"/>
                <w:szCs w:val="20"/>
              </w:rPr>
              <w:t>Incremental cost/QALY gained</w:t>
            </w:r>
          </w:p>
        </w:tc>
        <w:tc>
          <w:tcPr>
            <w:tcW w:w="838" w:type="pct"/>
            <w:tcBorders>
              <w:bottom w:val="single" w:sz="4" w:space="0" w:color="auto"/>
            </w:tcBorders>
            <w:vAlign w:val="center"/>
          </w:tcPr>
          <w:p w14:paraId="5A5D54DC" w14:textId="2ECCA6F9" w:rsidR="005A5F28" w:rsidRPr="00743512" w:rsidRDefault="00632DCB" w:rsidP="004F5B47">
            <w:pPr>
              <w:pStyle w:val="TableText0"/>
              <w:jc w:val="center"/>
              <w:rPr>
                <w:rFonts w:cs="Arial"/>
                <w:b/>
                <w:bCs w:val="0"/>
                <w:szCs w:val="20"/>
              </w:rPr>
            </w:pPr>
            <w:r>
              <w:rPr>
                <w:rFonts w:cs="Arial"/>
                <w:b/>
                <w:bCs w:val="0"/>
                <w:szCs w:val="20"/>
              </w:rPr>
              <w:t xml:space="preserve"> </w:t>
            </w:r>
            <w:r w:rsidRPr="00632DCB">
              <w:rPr>
                <w:rFonts w:cs="Arial"/>
                <w:b/>
                <w:bCs w:val="0"/>
                <w:color w:val="000000"/>
                <w:szCs w:val="20"/>
                <w:shd w:val="solid" w:color="000000" w:fill="000000"/>
                <w14:textFill>
                  <w14:solidFill>
                    <w14:srgbClr w14:val="000000">
                      <w14:alpha w14:val="100000"/>
                    </w14:srgbClr>
                  </w14:solidFill>
                </w14:textFill>
              </w:rPr>
              <w:t>|</w:t>
            </w:r>
            <w:r w:rsidR="00CC6E26" w:rsidRPr="00CC6E26">
              <w:rPr>
                <w:rFonts w:cs="Arial"/>
                <w:b/>
                <w:bCs w:val="0"/>
                <w:szCs w:val="20"/>
                <w:vertAlign w:val="superscript"/>
              </w:rPr>
              <w:t>4</w:t>
            </w:r>
          </w:p>
        </w:tc>
      </w:tr>
      <w:tr w:rsidR="00BF3070" w:rsidRPr="00743512" w14:paraId="085B6659" w14:textId="77777777" w:rsidTr="004F5B47">
        <w:trPr>
          <w:cantSplit/>
        </w:trPr>
        <w:tc>
          <w:tcPr>
            <w:tcW w:w="5000" w:type="pct"/>
            <w:gridSpan w:val="4"/>
            <w:shd w:val="clear" w:color="auto" w:fill="C6D9F1" w:themeFill="text2" w:themeFillTint="33"/>
            <w:vAlign w:val="center"/>
          </w:tcPr>
          <w:p w14:paraId="1E60F31D" w14:textId="77777777" w:rsidR="00BF3070" w:rsidRPr="00743512" w:rsidRDefault="00BF3070" w:rsidP="004F5B47">
            <w:pPr>
              <w:pStyle w:val="In-tableHeading"/>
              <w:rPr>
                <w:rFonts w:cs="Arial"/>
                <w:szCs w:val="20"/>
                <w:lang w:val="en-AU"/>
              </w:rPr>
            </w:pPr>
            <w:r w:rsidRPr="00743512">
              <w:rPr>
                <w:rFonts w:cs="Arial"/>
                <w:szCs w:val="20"/>
                <w:lang w:val="en-AU"/>
              </w:rPr>
              <w:t>Results of modelled economic evaluation in the March 2023 submission</w:t>
            </w:r>
          </w:p>
        </w:tc>
      </w:tr>
      <w:tr w:rsidR="00BF3070" w:rsidRPr="00743512" w14:paraId="50FD3062" w14:textId="77777777" w:rsidTr="004F5B47">
        <w:trPr>
          <w:cantSplit/>
        </w:trPr>
        <w:tc>
          <w:tcPr>
            <w:tcW w:w="1529" w:type="pct"/>
            <w:shd w:val="clear" w:color="auto" w:fill="C6D9F1" w:themeFill="text2" w:themeFillTint="33"/>
            <w:vAlign w:val="center"/>
          </w:tcPr>
          <w:p w14:paraId="35720A66" w14:textId="77777777" w:rsidR="00BF3070" w:rsidRPr="00743512" w:rsidRDefault="00BF3070" w:rsidP="004F5B47">
            <w:pPr>
              <w:pStyle w:val="TableText0"/>
              <w:rPr>
                <w:rFonts w:cs="Arial"/>
                <w:szCs w:val="20"/>
                <w:highlight w:val="cyan"/>
              </w:rPr>
            </w:pPr>
            <w:r w:rsidRPr="00743512">
              <w:rPr>
                <w:rFonts w:cs="Arial"/>
                <w:szCs w:val="20"/>
              </w:rPr>
              <w:t>Costs</w:t>
            </w:r>
          </w:p>
        </w:tc>
        <w:tc>
          <w:tcPr>
            <w:tcW w:w="1359" w:type="pct"/>
            <w:shd w:val="clear" w:color="auto" w:fill="C6D9F1" w:themeFill="text2" w:themeFillTint="33"/>
          </w:tcPr>
          <w:p w14:paraId="7305A905" w14:textId="129C47F4"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c>
          <w:tcPr>
            <w:tcW w:w="1274" w:type="pct"/>
            <w:shd w:val="clear" w:color="auto" w:fill="C6D9F1" w:themeFill="text2" w:themeFillTint="33"/>
          </w:tcPr>
          <w:p w14:paraId="3B3206F9" w14:textId="77777777" w:rsidR="00BF3070" w:rsidRPr="00963FE0" w:rsidRDefault="00BF3070" w:rsidP="004F5B47">
            <w:pPr>
              <w:pStyle w:val="TableText0"/>
              <w:jc w:val="center"/>
              <w:rPr>
                <w:rFonts w:cs="Arial"/>
                <w:szCs w:val="20"/>
                <w:highlight w:val="darkGray"/>
              </w:rPr>
            </w:pPr>
            <w:r w:rsidRPr="00CC6E26">
              <w:rPr>
                <w:rFonts w:cs="Arial"/>
                <w:szCs w:val="20"/>
              </w:rPr>
              <w:t>$37,929</w:t>
            </w:r>
          </w:p>
        </w:tc>
        <w:tc>
          <w:tcPr>
            <w:tcW w:w="838" w:type="pct"/>
            <w:shd w:val="clear" w:color="auto" w:fill="C6D9F1" w:themeFill="text2" w:themeFillTint="33"/>
          </w:tcPr>
          <w:p w14:paraId="09425680" w14:textId="1312F2C5" w:rsidR="00BF3070" w:rsidRPr="00963FE0" w:rsidRDefault="00632DCB" w:rsidP="004F5B47">
            <w:pPr>
              <w:pStyle w:val="TableText0"/>
              <w:jc w:val="center"/>
              <w:rPr>
                <w:rFonts w:cs="Arial"/>
                <w:szCs w:val="20"/>
                <w:highlight w:val="darkGray"/>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p>
        </w:tc>
      </w:tr>
      <w:tr w:rsidR="00BF3070" w:rsidRPr="00743512" w14:paraId="609563F5" w14:textId="77777777" w:rsidTr="004F5B47">
        <w:trPr>
          <w:cantSplit/>
        </w:trPr>
        <w:tc>
          <w:tcPr>
            <w:tcW w:w="1529" w:type="pct"/>
            <w:shd w:val="clear" w:color="auto" w:fill="C6D9F1" w:themeFill="text2" w:themeFillTint="33"/>
            <w:vAlign w:val="center"/>
          </w:tcPr>
          <w:p w14:paraId="1C360F2C" w14:textId="77777777" w:rsidR="00BF3070" w:rsidRPr="00743512" w:rsidRDefault="00BF3070" w:rsidP="004F5B47">
            <w:pPr>
              <w:pStyle w:val="TableText0"/>
              <w:rPr>
                <w:rFonts w:cs="Arial"/>
                <w:szCs w:val="20"/>
                <w:highlight w:val="cyan"/>
              </w:rPr>
            </w:pPr>
            <w:r w:rsidRPr="00743512">
              <w:rPr>
                <w:rFonts w:cs="Arial"/>
                <w:szCs w:val="20"/>
              </w:rPr>
              <w:t>QALYs</w:t>
            </w:r>
          </w:p>
        </w:tc>
        <w:tc>
          <w:tcPr>
            <w:tcW w:w="1359" w:type="pct"/>
            <w:shd w:val="clear" w:color="auto" w:fill="C6D9F1" w:themeFill="text2" w:themeFillTint="33"/>
          </w:tcPr>
          <w:p w14:paraId="60F0D037" w14:textId="77777777" w:rsidR="00BF3070" w:rsidRPr="00743512" w:rsidRDefault="00BF3070" w:rsidP="004F5B47">
            <w:pPr>
              <w:pStyle w:val="TableText0"/>
              <w:jc w:val="center"/>
              <w:rPr>
                <w:rFonts w:cs="Arial"/>
                <w:szCs w:val="20"/>
                <w:highlight w:val="cyan"/>
              </w:rPr>
            </w:pPr>
            <w:r w:rsidRPr="00743512">
              <w:rPr>
                <w:rFonts w:cs="Arial"/>
                <w:szCs w:val="20"/>
              </w:rPr>
              <w:t>12.36</w:t>
            </w:r>
          </w:p>
        </w:tc>
        <w:tc>
          <w:tcPr>
            <w:tcW w:w="1274" w:type="pct"/>
            <w:shd w:val="clear" w:color="auto" w:fill="C6D9F1" w:themeFill="text2" w:themeFillTint="33"/>
          </w:tcPr>
          <w:p w14:paraId="1170C7E4" w14:textId="77777777" w:rsidR="00BF3070" w:rsidRPr="00743512" w:rsidRDefault="00BF3070" w:rsidP="004F5B47">
            <w:pPr>
              <w:pStyle w:val="TableText0"/>
              <w:jc w:val="center"/>
              <w:rPr>
                <w:rFonts w:cs="Arial"/>
                <w:szCs w:val="20"/>
                <w:highlight w:val="cyan"/>
              </w:rPr>
            </w:pPr>
            <w:r w:rsidRPr="00743512">
              <w:rPr>
                <w:rFonts w:cs="Arial"/>
                <w:szCs w:val="20"/>
              </w:rPr>
              <w:t>11.32</w:t>
            </w:r>
          </w:p>
        </w:tc>
        <w:tc>
          <w:tcPr>
            <w:tcW w:w="838" w:type="pct"/>
            <w:shd w:val="clear" w:color="auto" w:fill="C6D9F1" w:themeFill="text2" w:themeFillTint="33"/>
          </w:tcPr>
          <w:p w14:paraId="2EB13D9C" w14:textId="77777777" w:rsidR="00BF3070" w:rsidRPr="00743512" w:rsidRDefault="00BF3070" w:rsidP="004F5B47">
            <w:pPr>
              <w:pStyle w:val="TableText0"/>
              <w:jc w:val="center"/>
              <w:rPr>
                <w:rFonts w:cs="Arial"/>
                <w:szCs w:val="20"/>
                <w:highlight w:val="cyan"/>
              </w:rPr>
            </w:pPr>
            <w:r w:rsidRPr="00743512">
              <w:rPr>
                <w:rFonts w:cs="Arial"/>
                <w:szCs w:val="20"/>
              </w:rPr>
              <w:t>1.04</w:t>
            </w:r>
          </w:p>
        </w:tc>
      </w:tr>
      <w:tr w:rsidR="00BF3070" w:rsidRPr="00743512" w14:paraId="2B996660" w14:textId="77777777" w:rsidTr="004F5B47">
        <w:trPr>
          <w:cantSplit/>
        </w:trPr>
        <w:tc>
          <w:tcPr>
            <w:tcW w:w="4162" w:type="pct"/>
            <w:gridSpan w:val="3"/>
            <w:shd w:val="clear" w:color="auto" w:fill="C6D9F1" w:themeFill="text2" w:themeFillTint="33"/>
            <w:vAlign w:val="center"/>
          </w:tcPr>
          <w:p w14:paraId="5E28A97C" w14:textId="77777777" w:rsidR="00BF3070" w:rsidRPr="00743512" w:rsidRDefault="00BF3070" w:rsidP="004F5B47">
            <w:pPr>
              <w:pStyle w:val="TableText0"/>
              <w:rPr>
                <w:rFonts w:cs="Arial"/>
                <w:szCs w:val="20"/>
                <w:highlight w:val="cyan"/>
              </w:rPr>
            </w:pPr>
            <w:r w:rsidRPr="00743512">
              <w:rPr>
                <w:rFonts w:cs="Arial"/>
                <w:szCs w:val="20"/>
              </w:rPr>
              <w:t>Incremental cost/QALY gained</w:t>
            </w:r>
          </w:p>
        </w:tc>
        <w:tc>
          <w:tcPr>
            <w:tcW w:w="838" w:type="pct"/>
            <w:shd w:val="clear" w:color="auto" w:fill="C6D9F1" w:themeFill="text2" w:themeFillTint="33"/>
            <w:vAlign w:val="center"/>
          </w:tcPr>
          <w:p w14:paraId="58FAE112" w14:textId="7C2E712D" w:rsidR="00BF3070" w:rsidRPr="00743512" w:rsidRDefault="00632DCB" w:rsidP="004F5B47">
            <w:pPr>
              <w:pStyle w:val="TableText0"/>
              <w:jc w:val="center"/>
              <w:rPr>
                <w:rFonts w:cs="Arial"/>
                <w:szCs w:val="20"/>
              </w:rPr>
            </w:pPr>
            <w:r>
              <w:rPr>
                <w:rFonts w:cs="Arial"/>
                <w:szCs w:val="20"/>
              </w:rPr>
              <w:t xml:space="preserve"> </w:t>
            </w:r>
            <w:r w:rsidRPr="00632DCB">
              <w:rPr>
                <w:rFonts w:cs="Arial"/>
                <w:color w:val="000000"/>
                <w:szCs w:val="20"/>
                <w:shd w:val="solid" w:color="000000" w:fill="000000"/>
                <w14:textFill>
                  <w14:solidFill>
                    <w14:srgbClr w14:val="000000">
                      <w14:alpha w14:val="100000"/>
                    </w14:srgbClr>
                  </w14:solidFill>
                </w14:textFill>
              </w:rPr>
              <w:t>|</w:t>
            </w:r>
            <w:r w:rsidR="00D83734" w:rsidRPr="00D83734">
              <w:rPr>
                <w:rFonts w:cs="Arial"/>
                <w:szCs w:val="20"/>
                <w:vertAlign w:val="superscript"/>
              </w:rPr>
              <w:t>5</w:t>
            </w:r>
          </w:p>
        </w:tc>
      </w:tr>
    </w:tbl>
    <w:p w14:paraId="36F94DDD" w14:textId="77777777" w:rsidR="00BF3070" w:rsidRPr="00743512" w:rsidRDefault="00BF3070" w:rsidP="00BF3070">
      <w:pPr>
        <w:pStyle w:val="TableFooter"/>
        <w:rPr>
          <w:sz w:val="20"/>
        </w:rPr>
      </w:pPr>
      <w:r w:rsidRPr="00743512">
        <w:t xml:space="preserve">Source: Table compiled during the evaluation, based on Table 3.45 to Table 3.47, p258 of the resubmission; “OlympiA Economic Evaluation” Excel workbook; and the March 2023 olaparib submission. </w:t>
      </w:r>
    </w:p>
    <w:p w14:paraId="152CDAB9" w14:textId="2656C6F4" w:rsidR="00BF3070" w:rsidRPr="00743512" w:rsidRDefault="00BF3070" w:rsidP="00BF3070">
      <w:pPr>
        <w:pStyle w:val="TableFooter"/>
      </w:pPr>
      <w:r w:rsidRPr="00743512">
        <w:t xml:space="preserve">AEs = adverse events; </w:t>
      </w:r>
      <w:r w:rsidR="00CD50D4" w:rsidRPr="00743512">
        <w:rPr>
          <w:i/>
        </w:rPr>
        <w:t>BRCA</w:t>
      </w:r>
      <w:r w:rsidRPr="00743512">
        <w:t xml:space="preserve"> = breast cancer gene; HER2 = human epidermal growth factor receptor 2; HR = hormone receptor; IDFS = invasive disease-free survival; ICER = incremental cost-effectiveness ratio; LYs = life years; QALYs = quality-adjusted life years.</w:t>
      </w:r>
    </w:p>
    <w:p w14:paraId="74CFB0F6" w14:textId="44D45C79" w:rsidR="00BF3070" w:rsidRPr="00743512" w:rsidRDefault="00BF3070" w:rsidP="00BF3070">
      <w:pPr>
        <w:pStyle w:val="TableFooter"/>
      </w:pPr>
      <w:r w:rsidRPr="00743512">
        <w:rPr>
          <w:vertAlign w:val="superscript"/>
        </w:rPr>
        <w:t>a</w:t>
      </w:r>
      <w:r w:rsidRPr="00743512">
        <w:t xml:space="preserve"> In estimating the </w:t>
      </w:r>
      <w:r w:rsidR="00CD50D4" w:rsidRPr="00743512">
        <w:rPr>
          <w:i/>
        </w:rPr>
        <w:t>BRCA</w:t>
      </w:r>
      <w:r w:rsidRPr="00743512">
        <w:t xml:space="preserve"> testing cost in the trial-based analysis, the resubmission multiplied the unit cost </w:t>
      </w:r>
      <w:r w:rsidRPr="00D42289">
        <w:t>(i.e. $1,000)</w:t>
      </w:r>
      <w:r w:rsidRPr="00743512">
        <w:t xml:space="preserve"> with the testing rate in the proposed scenario (95%) for the olaparib arm and with the testing rate in the HR+, HER2- patients in the current scenario (20%) for the placebo arm. This was inappropriate. The cost of </w:t>
      </w:r>
      <w:r w:rsidR="00CD50D4" w:rsidRPr="00743512">
        <w:rPr>
          <w:i/>
        </w:rPr>
        <w:t>BRCA</w:t>
      </w:r>
      <w:r w:rsidRPr="00743512">
        <w:t xml:space="preserve"> testing to identify one treated patient in the trial-based scenario is expected to be the same as that in the modelled analysis less genetic counselling cost. This has been revised during the evaluation.</w:t>
      </w:r>
    </w:p>
    <w:p w14:paraId="5EC4D1B0" w14:textId="77777777" w:rsidR="00BF3070" w:rsidRPr="00743512" w:rsidRDefault="00BF3070" w:rsidP="00BF3070">
      <w:pPr>
        <w:pStyle w:val="TableFooter"/>
      </w:pPr>
      <w:r w:rsidRPr="00743512">
        <w:rPr>
          <w:vertAlign w:val="superscript"/>
        </w:rPr>
        <w:t xml:space="preserve">b </w:t>
      </w:r>
      <w:r w:rsidRPr="00743512">
        <w:t xml:space="preserve">Additional analysis performed during the evaluation. </w:t>
      </w:r>
    </w:p>
    <w:p w14:paraId="3FAD44C0" w14:textId="041D7CE2" w:rsidR="00BF3070" w:rsidRPr="00743512" w:rsidRDefault="00BF3070" w:rsidP="00BF3070">
      <w:pPr>
        <w:pStyle w:val="TableFooter"/>
      </w:pPr>
      <w:r w:rsidRPr="00743512">
        <w:rPr>
          <w:vertAlign w:val="superscript"/>
        </w:rPr>
        <w:t>c</w:t>
      </w:r>
      <w:r w:rsidRPr="00743512">
        <w:t xml:space="preserve"> Modelled costs and outcomes are for the ‘trial population’ and do not include patients without </w:t>
      </w:r>
      <w:r w:rsidR="00CD50D4" w:rsidRPr="00743512">
        <w:rPr>
          <w:i/>
        </w:rPr>
        <w:t>BRCA</w:t>
      </w:r>
      <w:r w:rsidRPr="00743512">
        <w:t xml:space="preserve"> mutations. This has been done so that the costs relate to a full course of olaparib per patient vs. a full course of placebo per patient. The cost per patient in the testing population relates to only 7.1% of the cost of olaparib. The ICER remains the same as the benefits are also only 7.1% of the whole population. However, the numbers are not intuitive.</w:t>
      </w:r>
    </w:p>
    <w:p w14:paraId="75333E3B" w14:textId="3597E2FA" w:rsidR="00BF3070" w:rsidRDefault="00BF3070" w:rsidP="00BF3070">
      <w:pPr>
        <w:pStyle w:val="TableFooter"/>
      </w:pPr>
      <w:r w:rsidRPr="00743512">
        <w:rPr>
          <w:shd w:val="clear" w:color="auto" w:fill="B8CCE4" w:themeFill="accent1" w:themeFillTint="66"/>
        </w:rPr>
        <w:t>Blue</w:t>
      </w:r>
      <w:r w:rsidRPr="00743512">
        <w:t xml:space="preserve"> shading indicates results previously seen by the PBAC</w:t>
      </w:r>
      <w:r w:rsidR="00157B92" w:rsidRPr="00743512">
        <w:t xml:space="preserve">. </w:t>
      </w:r>
    </w:p>
    <w:p w14:paraId="145B69DD" w14:textId="77777777" w:rsidR="00CC6E26" w:rsidRPr="002D5411" w:rsidRDefault="00CC6E26" w:rsidP="00CC6E26">
      <w:pPr>
        <w:pStyle w:val="TableFooter"/>
        <w:rPr>
          <w:i/>
        </w:rPr>
      </w:pPr>
      <w:r w:rsidRPr="002D5411">
        <w:rPr>
          <w:i/>
        </w:rPr>
        <w:t xml:space="preserve">The redacted values correspond to the following ranges: </w:t>
      </w:r>
    </w:p>
    <w:p w14:paraId="5F93E02A" w14:textId="5CF0E4C0" w:rsidR="00CC6E26" w:rsidRPr="002D5411" w:rsidRDefault="00CC6E26" w:rsidP="00CC6E26">
      <w:pPr>
        <w:pStyle w:val="TableFooter"/>
        <w:rPr>
          <w:i/>
        </w:rPr>
      </w:pPr>
      <w:r w:rsidRPr="002D5411">
        <w:rPr>
          <w:i/>
          <w:vertAlign w:val="superscript"/>
        </w:rPr>
        <w:t>1</w:t>
      </w:r>
      <w:r w:rsidRPr="002D5411">
        <w:rPr>
          <w:i/>
        </w:rPr>
        <w:t xml:space="preserve"> $75,000 to &lt; $95,000</w:t>
      </w:r>
    </w:p>
    <w:p w14:paraId="470B9B47" w14:textId="41A7BB04" w:rsidR="00CC6E26" w:rsidRPr="002D5411" w:rsidRDefault="00CC6E26" w:rsidP="00CC6E26">
      <w:pPr>
        <w:pStyle w:val="TableFooter"/>
        <w:rPr>
          <w:i/>
        </w:rPr>
      </w:pPr>
      <w:r w:rsidRPr="002D5411">
        <w:rPr>
          <w:i/>
          <w:vertAlign w:val="superscript"/>
        </w:rPr>
        <w:t>2</w:t>
      </w:r>
      <w:r w:rsidRPr="002D5411">
        <w:rPr>
          <w:i/>
        </w:rPr>
        <w:t xml:space="preserve"> $95,000 to &lt; $115,000 </w:t>
      </w:r>
    </w:p>
    <w:p w14:paraId="74601009" w14:textId="43603211" w:rsidR="00CC6E26" w:rsidRPr="002D5411" w:rsidRDefault="00CC6E26" w:rsidP="00CC6E26">
      <w:pPr>
        <w:pStyle w:val="TableFooter"/>
        <w:rPr>
          <w:i/>
        </w:rPr>
      </w:pPr>
      <w:r w:rsidRPr="002D5411">
        <w:rPr>
          <w:i/>
          <w:vertAlign w:val="superscript"/>
        </w:rPr>
        <w:t>3</w:t>
      </w:r>
      <w:r w:rsidRPr="002D5411">
        <w:rPr>
          <w:i/>
        </w:rPr>
        <w:t xml:space="preserve"> $555,000 to &lt; $655,000</w:t>
      </w:r>
    </w:p>
    <w:p w14:paraId="67B1E934" w14:textId="77777777" w:rsidR="00CC6E26" w:rsidRPr="002D5411" w:rsidRDefault="00CC6E26" w:rsidP="00CC6E26">
      <w:pPr>
        <w:pStyle w:val="TableFooter"/>
        <w:rPr>
          <w:i/>
        </w:rPr>
      </w:pPr>
      <w:r w:rsidRPr="002D5411">
        <w:rPr>
          <w:i/>
          <w:vertAlign w:val="superscript"/>
        </w:rPr>
        <w:t>4</w:t>
      </w:r>
      <w:r w:rsidRPr="002D5411">
        <w:rPr>
          <w:i/>
        </w:rPr>
        <w:t xml:space="preserve"> $35,000 to &lt; $45,000</w:t>
      </w:r>
    </w:p>
    <w:p w14:paraId="6A80B972" w14:textId="7736726D" w:rsidR="00D83734" w:rsidRPr="002D5411" w:rsidRDefault="00D83734" w:rsidP="00D83734">
      <w:pPr>
        <w:pStyle w:val="TableFooter"/>
        <w:rPr>
          <w:i/>
        </w:rPr>
      </w:pPr>
      <w:r w:rsidRPr="002D5411">
        <w:rPr>
          <w:i/>
          <w:vertAlign w:val="superscript"/>
        </w:rPr>
        <w:t xml:space="preserve">5 </w:t>
      </w:r>
      <w:r w:rsidRPr="002D5411">
        <w:rPr>
          <w:i/>
        </w:rPr>
        <w:t>$45,000 to &lt; $55,000</w:t>
      </w:r>
    </w:p>
    <w:p w14:paraId="5ABE625E" w14:textId="77777777" w:rsidR="00CC6E26" w:rsidRPr="00CC6E26" w:rsidRDefault="00CC6E26" w:rsidP="00CC6E26">
      <w:pPr>
        <w:pStyle w:val="TableFooter"/>
      </w:pPr>
    </w:p>
    <w:p w14:paraId="49E75E63" w14:textId="77777777" w:rsidR="00BF3070" w:rsidRPr="00743512" w:rsidRDefault="00BF3070" w:rsidP="00BF3070"/>
    <w:p w14:paraId="4C1CC6AB" w14:textId="2C06B053" w:rsidR="00BF3070" w:rsidRPr="00743512" w:rsidRDefault="00BF3070" w:rsidP="00BF3070">
      <w:pPr>
        <w:pStyle w:val="3-BodyText"/>
      </w:pPr>
      <w:r w:rsidRPr="00743512">
        <w:t>The disaggregated summary of health outcomes (</w:t>
      </w:r>
      <w:r w:rsidRPr="00743512">
        <w:fldChar w:fldCharType="begin"/>
      </w:r>
      <w:r w:rsidRPr="00743512">
        <w:instrText xml:space="preserve"> REF _Ref143881348 \h  \* MERGEFORMAT </w:instrText>
      </w:r>
      <w:r w:rsidRPr="00743512">
        <w:fldChar w:fldCharType="separate"/>
      </w:r>
      <w:r w:rsidR="00D2565D" w:rsidRPr="00743512">
        <w:t xml:space="preserve">Table </w:t>
      </w:r>
      <w:r w:rsidR="00D2565D">
        <w:t>14</w:t>
      </w:r>
      <w:r w:rsidRPr="00743512">
        <w:fldChar w:fldCharType="end"/>
      </w:r>
      <w:r w:rsidRPr="00743512">
        <w:t>) suggests that the life years (LYs) were predominantly accrued in the IDFS health state, with a reduction in incremental benefits related to early</w:t>
      </w:r>
      <w:r w:rsidR="00F4781C" w:rsidRPr="00743512">
        <w:t xml:space="preserve"> </w:t>
      </w:r>
      <w:r w:rsidRPr="00743512">
        <w:t>onset mBC and non-mBC. The LYs gained in the late</w:t>
      </w:r>
      <w:r w:rsidR="00F4781C" w:rsidRPr="00743512">
        <w:t xml:space="preserve"> </w:t>
      </w:r>
      <w:r w:rsidRPr="00743512">
        <w:t xml:space="preserve">onset mBC </w:t>
      </w:r>
      <w:r w:rsidR="00F4781C" w:rsidRPr="00743512">
        <w:t xml:space="preserve">population </w:t>
      </w:r>
      <w:r w:rsidRPr="00743512">
        <w:t xml:space="preserve">were essentially the same between the two treatment arms. The majority (87%) of the LYs gained (undiscounted) with olaparib were accrued </w:t>
      </w:r>
      <w:r w:rsidR="00F4781C" w:rsidRPr="00743512">
        <w:t>in the extrapolated period</w:t>
      </w:r>
      <w:r w:rsidRPr="00743512">
        <w:t xml:space="preserve"> (79 months). The undiscounted LYs gained were accrued reasonably linearly over time. This contrasted with the incremental costs over time, which were the largest at the start of the model due to the front-loaded drug acquisition cost and cost </w:t>
      </w:r>
      <w:r w:rsidR="00F4781C" w:rsidRPr="00743512">
        <w:t xml:space="preserve">of </w:t>
      </w:r>
      <w:r w:rsidR="00CD50D4" w:rsidRPr="00743512">
        <w:rPr>
          <w:i/>
        </w:rPr>
        <w:t>BRCA</w:t>
      </w:r>
      <w:r w:rsidRPr="00743512">
        <w:t xml:space="preserve"> testing. The difference in cumulative costs between olaparib and placebo decreased slightly over time as a result of a higher proportion of patients receiving subsequent treatments for recurren</w:t>
      </w:r>
      <w:r w:rsidR="00F4781C" w:rsidRPr="00743512">
        <w:t>t</w:t>
      </w:r>
      <w:r w:rsidRPr="00743512">
        <w:t xml:space="preserve"> disease in the placebo arm. </w:t>
      </w:r>
    </w:p>
    <w:p w14:paraId="06FE6BA3" w14:textId="5CD157E9" w:rsidR="00BF3070" w:rsidRPr="00743512" w:rsidRDefault="00BF3070" w:rsidP="00BF3070">
      <w:pPr>
        <w:pStyle w:val="Caption"/>
      </w:pPr>
      <w:bookmarkStart w:id="84" w:name="_Ref143881348"/>
      <w:r w:rsidRPr="00743512">
        <w:t xml:space="preserve">Table </w:t>
      </w:r>
      <w:r w:rsidR="00D2565D">
        <w:fldChar w:fldCharType="begin"/>
      </w:r>
      <w:r w:rsidR="00D2565D">
        <w:instrText xml:space="preserve"> SEQ Table \* ARABIC </w:instrText>
      </w:r>
      <w:r w:rsidR="00D2565D">
        <w:fldChar w:fldCharType="separate"/>
      </w:r>
      <w:r w:rsidR="00D2565D">
        <w:rPr>
          <w:noProof/>
        </w:rPr>
        <w:t>14</w:t>
      </w:r>
      <w:r w:rsidR="00D2565D">
        <w:rPr>
          <w:noProof/>
        </w:rPr>
        <w:fldChar w:fldCharType="end"/>
      </w:r>
      <w:bookmarkEnd w:id="84"/>
      <w:r w:rsidRPr="00743512">
        <w:t>: Disaggregated summary of health outcomes (in terms of LYs) included in the economic evaluation of the trial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Disaggregated summary of health outcomes (in terms of LYs) included in the economic evaluation of the trial population"/>
      </w:tblPr>
      <w:tblGrid>
        <w:gridCol w:w="1530"/>
        <w:gridCol w:w="1910"/>
        <w:gridCol w:w="1910"/>
        <w:gridCol w:w="1617"/>
        <w:gridCol w:w="2050"/>
      </w:tblGrid>
      <w:tr w:rsidR="00BF3070" w:rsidRPr="00743512" w14:paraId="28E9D6D7" w14:textId="77777777" w:rsidTr="004F5B4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73F3B3" w14:textId="77777777" w:rsidR="00BF3070" w:rsidRPr="00743512" w:rsidRDefault="00BF3070" w:rsidP="004F5B47">
            <w:pPr>
              <w:pStyle w:val="In-tableHeading"/>
              <w:rPr>
                <w:lang w:val="en-AU"/>
              </w:rPr>
            </w:pPr>
            <w:r w:rsidRPr="00743512">
              <w:rPr>
                <w:lang w:val="en-AU"/>
              </w:rPr>
              <w:t>Outcome</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590FAB" w14:textId="77777777" w:rsidR="00BF3070" w:rsidRPr="00743512" w:rsidRDefault="00BF3070" w:rsidP="004F5B47">
            <w:pPr>
              <w:pStyle w:val="In-tableHeading"/>
              <w:jc w:val="center"/>
              <w:rPr>
                <w:lang w:val="en-AU"/>
              </w:rPr>
            </w:pPr>
            <w:r w:rsidRPr="00743512">
              <w:rPr>
                <w:lang w:val="en-AU"/>
              </w:rPr>
              <w:t>Olaparib</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BACD58" w14:textId="77777777" w:rsidR="00BF3070" w:rsidRPr="00743512" w:rsidRDefault="00BF3070" w:rsidP="004F5B47">
            <w:pPr>
              <w:pStyle w:val="In-tableHeading"/>
              <w:jc w:val="center"/>
              <w:rPr>
                <w:lang w:val="en-AU"/>
              </w:rPr>
            </w:pPr>
            <w:r w:rsidRPr="00743512">
              <w:rPr>
                <w:lang w:val="en-AU"/>
              </w:rPr>
              <w:t>Placebo</w:t>
            </w:r>
          </w:p>
        </w:tc>
        <w:tc>
          <w:tcPr>
            <w:tcW w:w="1617" w:type="dxa"/>
            <w:tcBorders>
              <w:top w:val="single" w:sz="4" w:space="0" w:color="auto"/>
              <w:left w:val="single" w:sz="4" w:space="0" w:color="auto"/>
              <w:bottom w:val="single" w:sz="4" w:space="0" w:color="auto"/>
              <w:right w:val="single" w:sz="4" w:space="0" w:color="auto"/>
            </w:tcBorders>
            <w:vAlign w:val="center"/>
          </w:tcPr>
          <w:p w14:paraId="0064619E" w14:textId="77777777" w:rsidR="00BF3070" w:rsidRPr="00743512" w:rsidRDefault="00BF3070" w:rsidP="004F5B47">
            <w:pPr>
              <w:pStyle w:val="In-tableHeading"/>
              <w:jc w:val="center"/>
              <w:rPr>
                <w:lang w:val="en-AU"/>
              </w:rPr>
            </w:pPr>
            <w:r w:rsidRPr="00743512">
              <w:rPr>
                <w:lang w:val="en-AU"/>
              </w:rPr>
              <w:t xml:space="preserve">Increment </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01AA2A" w14:textId="77777777" w:rsidR="00BF3070" w:rsidRPr="00743512" w:rsidRDefault="00BF3070" w:rsidP="004F5B47">
            <w:pPr>
              <w:pStyle w:val="In-tableHeading"/>
              <w:jc w:val="center"/>
              <w:rPr>
                <w:lang w:val="en-AU"/>
              </w:rPr>
            </w:pPr>
            <w:r w:rsidRPr="00743512">
              <w:rPr>
                <w:lang w:val="en-AU"/>
              </w:rPr>
              <w:t>% of total increment</w:t>
            </w:r>
          </w:p>
        </w:tc>
      </w:tr>
      <w:tr w:rsidR="00BF3070" w:rsidRPr="00743512" w14:paraId="7FE0B376" w14:textId="77777777" w:rsidTr="004F5B47">
        <w:trPr>
          <w:cantSplit/>
        </w:trPr>
        <w:tc>
          <w:tcPr>
            <w:tcW w:w="9017"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7EDC92" w14:textId="77777777" w:rsidR="00BF3070" w:rsidRPr="00743512" w:rsidRDefault="00BF3070" w:rsidP="004F5B47">
            <w:pPr>
              <w:pStyle w:val="In-tableHeading"/>
              <w:rPr>
                <w:lang w:val="en-AU"/>
              </w:rPr>
            </w:pPr>
            <w:r w:rsidRPr="00743512">
              <w:rPr>
                <w:lang w:val="en-AU"/>
              </w:rPr>
              <w:t>Discounted</w:t>
            </w:r>
          </w:p>
        </w:tc>
      </w:tr>
      <w:tr w:rsidR="00BF3070" w:rsidRPr="00743512" w14:paraId="021EECE9" w14:textId="77777777" w:rsidTr="004F5B4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51C1AE" w14:textId="77777777" w:rsidR="00BF3070" w:rsidRPr="00743512" w:rsidRDefault="00BF3070" w:rsidP="004F5B47">
            <w:pPr>
              <w:pStyle w:val="TableText0"/>
            </w:pPr>
            <w:r w:rsidRPr="00743512">
              <w:t>IDFS</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802E50" w14:textId="77777777" w:rsidR="00BF3070" w:rsidRPr="00743512" w:rsidRDefault="00BF3070" w:rsidP="004F5B47">
            <w:pPr>
              <w:pStyle w:val="Tabletext"/>
              <w:keepNext/>
              <w:jc w:val="center"/>
            </w:pPr>
            <w:r w:rsidRPr="00743512">
              <w:t>13.56</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7DA7CE" w14:textId="77777777" w:rsidR="00BF3070" w:rsidRPr="00743512" w:rsidRDefault="00BF3070" w:rsidP="004F5B47">
            <w:pPr>
              <w:pStyle w:val="Tabletext"/>
              <w:keepNext/>
              <w:jc w:val="center"/>
            </w:pPr>
            <w:r w:rsidRPr="00743512">
              <w:t>12.38</w:t>
            </w:r>
          </w:p>
        </w:tc>
        <w:tc>
          <w:tcPr>
            <w:tcW w:w="1617" w:type="dxa"/>
            <w:tcBorders>
              <w:top w:val="single" w:sz="4" w:space="0" w:color="auto"/>
              <w:left w:val="single" w:sz="4" w:space="0" w:color="auto"/>
              <w:bottom w:val="single" w:sz="4" w:space="0" w:color="auto"/>
              <w:right w:val="single" w:sz="4" w:space="0" w:color="auto"/>
            </w:tcBorders>
            <w:vAlign w:val="center"/>
          </w:tcPr>
          <w:p w14:paraId="049B3D2A" w14:textId="77777777" w:rsidR="00BF3070" w:rsidRPr="00743512" w:rsidRDefault="00BF3070" w:rsidP="004F5B47">
            <w:pPr>
              <w:pStyle w:val="Tabletext"/>
              <w:keepNext/>
              <w:jc w:val="center"/>
            </w:pPr>
            <w:r w:rsidRPr="00743512">
              <w:t>1.19</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28637FE" w14:textId="77777777" w:rsidR="00BF3070" w:rsidRPr="00743512" w:rsidRDefault="00BF3070" w:rsidP="004F5B47">
            <w:pPr>
              <w:pStyle w:val="Tabletext"/>
              <w:keepNext/>
              <w:jc w:val="center"/>
            </w:pPr>
            <w:r w:rsidRPr="00743512">
              <w:t>115.4%</w:t>
            </w:r>
          </w:p>
        </w:tc>
      </w:tr>
      <w:tr w:rsidR="00BF3070" w:rsidRPr="00743512" w14:paraId="14023665" w14:textId="77777777" w:rsidTr="004F5B4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34DC1" w14:textId="77777777" w:rsidR="00BF3070" w:rsidRPr="00743512" w:rsidRDefault="00BF3070" w:rsidP="004F5B47">
            <w:pPr>
              <w:pStyle w:val="TableText0"/>
            </w:pPr>
            <w:r w:rsidRPr="00743512">
              <w:t>Non-mBC</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7ADE47" w14:textId="77777777" w:rsidR="00BF3070" w:rsidRPr="00743512" w:rsidRDefault="00BF3070" w:rsidP="004F5B47">
            <w:pPr>
              <w:pStyle w:val="Tabletext"/>
              <w:keepNext/>
              <w:jc w:val="center"/>
            </w:pPr>
            <w:r w:rsidRPr="00743512">
              <w:t>0.37</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AE0943" w14:textId="77777777" w:rsidR="00BF3070" w:rsidRPr="00743512" w:rsidRDefault="00BF3070" w:rsidP="004F5B47">
            <w:pPr>
              <w:pStyle w:val="Tabletext"/>
              <w:keepNext/>
              <w:jc w:val="center"/>
            </w:pPr>
            <w:r w:rsidRPr="00743512">
              <w:t>0.42</w:t>
            </w:r>
          </w:p>
        </w:tc>
        <w:tc>
          <w:tcPr>
            <w:tcW w:w="1617" w:type="dxa"/>
            <w:tcBorders>
              <w:top w:val="single" w:sz="4" w:space="0" w:color="auto"/>
              <w:left w:val="single" w:sz="4" w:space="0" w:color="auto"/>
              <w:bottom w:val="single" w:sz="4" w:space="0" w:color="auto"/>
              <w:right w:val="single" w:sz="4" w:space="0" w:color="auto"/>
            </w:tcBorders>
            <w:vAlign w:val="center"/>
          </w:tcPr>
          <w:p w14:paraId="68A5FD0B" w14:textId="77777777" w:rsidR="00BF3070" w:rsidRPr="00743512" w:rsidRDefault="00BF3070" w:rsidP="004F5B47">
            <w:pPr>
              <w:pStyle w:val="Tabletext"/>
              <w:keepNext/>
              <w:jc w:val="center"/>
            </w:pPr>
            <w:r w:rsidRPr="00743512">
              <w:t>-0.05</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2E9878E" w14:textId="77777777" w:rsidR="00BF3070" w:rsidRPr="00743512" w:rsidRDefault="00BF3070" w:rsidP="004F5B47">
            <w:pPr>
              <w:pStyle w:val="Tabletext"/>
              <w:keepNext/>
              <w:jc w:val="center"/>
            </w:pPr>
            <w:r w:rsidRPr="00743512">
              <w:t>-5.3%</w:t>
            </w:r>
          </w:p>
        </w:tc>
      </w:tr>
      <w:tr w:rsidR="00BF3070" w:rsidRPr="00743512" w14:paraId="468AC36F" w14:textId="77777777" w:rsidTr="004F5B4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ED7212" w14:textId="77777777" w:rsidR="00BF3070" w:rsidRPr="00743512" w:rsidRDefault="00BF3070" w:rsidP="004F5B47">
            <w:pPr>
              <w:pStyle w:val="TableText0"/>
            </w:pPr>
            <w:r w:rsidRPr="00743512">
              <w:t>Early-onset mBC</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3DEAEA" w14:textId="77777777" w:rsidR="00BF3070" w:rsidRPr="00743512" w:rsidRDefault="00BF3070" w:rsidP="004F5B47">
            <w:pPr>
              <w:pStyle w:val="Tabletext"/>
              <w:keepNext/>
              <w:jc w:val="center"/>
            </w:pPr>
            <w:r w:rsidRPr="00743512">
              <w:t>0.08</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69ECB2" w14:textId="77777777" w:rsidR="00BF3070" w:rsidRPr="00743512" w:rsidRDefault="00BF3070" w:rsidP="004F5B47">
            <w:pPr>
              <w:pStyle w:val="Tabletext"/>
              <w:keepNext/>
              <w:jc w:val="center"/>
            </w:pPr>
            <w:r w:rsidRPr="00743512">
              <w:t>0.19</w:t>
            </w:r>
          </w:p>
        </w:tc>
        <w:tc>
          <w:tcPr>
            <w:tcW w:w="1617" w:type="dxa"/>
            <w:tcBorders>
              <w:top w:val="single" w:sz="4" w:space="0" w:color="auto"/>
              <w:left w:val="single" w:sz="4" w:space="0" w:color="auto"/>
              <w:bottom w:val="single" w:sz="4" w:space="0" w:color="auto"/>
              <w:right w:val="single" w:sz="4" w:space="0" w:color="auto"/>
            </w:tcBorders>
            <w:vAlign w:val="center"/>
          </w:tcPr>
          <w:p w14:paraId="43AA52C3" w14:textId="77777777" w:rsidR="00BF3070" w:rsidRPr="00743512" w:rsidRDefault="00BF3070" w:rsidP="004F5B47">
            <w:pPr>
              <w:pStyle w:val="Tabletext"/>
              <w:keepNext/>
              <w:jc w:val="center"/>
            </w:pPr>
            <w:r w:rsidRPr="00743512">
              <w:t>-0.10</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835E478" w14:textId="77777777" w:rsidR="00BF3070" w:rsidRPr="00743512" w:rsidRDefault="00BF3070" w:rsidP="004F5B47">
            <w:pPr>
              <w:pStyle w:val="Tabletext"/>
              <w:keepNext/>
              <w:jc w:val="center"/>
            </w:pPr>
            <w:r w:rsidRPr="00743512">
              <w:t>-10.0%</w:t>
            </w:r>
          </w:p>
        </w:tc>
      </w:tr>
      <w:tr w:rsidR="00BF3070" w:rsidRPr="00743512" w14:paraId="199FBF7F" w14:textId="77777777" w:rsidTr="004F5B4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4784C45" w14:textId="77777777" w:rsidR="00BF3070" w:rsidRPr="00743512" w:rsidRDefault="00BF3070" w:rsidP="004F5B47">
            <w:pPr>
              <w:pStyle w:val="TableText0"/>
            </w:pPr>
            <w:r w:rsidRPr="00743512">
              <w:t>Late-onset mBC</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612CFD4" w14:textId="77777777" w:rsidR="00BF3070" w:rsidRPr="00743512" w:rsidRDefault="00BF3070" w:rsidP="004F5B47">
            <w:pPr>
              <w:pStyle w:val="Tabletext"/>
              <w:keepNext/>
              <w:jc w:val="center"/>
            </w:pPr>
            <w:r w:rsidRPr="00743512">
              <w:t>0.20</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ABBCCE9" w14:textId="77777777" w:rsidR="00BF3070" w:rsidRPr="00743512" w:rsidRDefault="00BF3070" w:rsidP="004F5B47">
            <w:pPr>
              <w:pStyle w:val="Tabletext"/>
              <w:keepNext/>
              <w:jc w:val="center"/>
            </w:pPr>
            <w:r w:rsidRPr="00743512">
              <w:t>0.20</w:t>
            </w:r>
          </w:p>
        </w:tc>
        <w:tc>
          <w:tcPr>
            <w:tcW w:w="1617" w:type="dxa"/>
            <w:tcBorders>
              <w:top w:val="single" w:sz="4" w:space="0" w:color="auto"/>
              <w:left w:val="single" w:sz="4" w:space="0" w:color="auto"/>
              <w:bottom w:val="single" w:sz="4" w:space="0" w:color="auto"/>
              <w:right w:val="single" w:sz="4" w:space="0" w:color="auto"/>
            </w:tcBorders>
            <w:vAlign w:val="center"/>
          </w:tcPr>
          <w:p w14:paraId="51B0D8C4" w14:textId="77777777" w:rsidR="00BF3070" w:rsidRPr="00743512" w:rsidRDefault="00BF3070" w:rsidP="004F5B47">
            <w:pPr>
              <w:pStyle w:val="Tabletext"/>
              <w:keepNext/>
              <w:jc w:val="center"/>
            </w:pPr>
            <w:r w:rsidRPr="00743512">
              <w:t>0.00</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878B40B" w14:textId="77777777" w:rsidR="00BF3070" w:rsidRPr="00743512" w:rsidRDefault="00BF3070" w:rsidP="004F5B47">
            <w:pPr>
              <w:pStyle w:val="Tabletext"/>
              <w:keepNext/>
              <w:jc w:val="center"/>
            </w:pPr>
            <w:r w:rsidRPr="00743512">
              <w:t>-0.1%</w:t>
            </w:r>
          </w:p>
        </w:tc>
      </w:tr>
      <w:tr w:rsidR="00BF3070" w:rsidRPr="00743512" w14:paraId="4D6C1D3B" w14:textId="77777777" w:rsidTr="004F5B4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823924" w14:textId="77777777" w:rsidR="00BF3070" w:rsidRPr="00743512" w:rsidRDefault="00BF3070" w:rsidP="004F5B47">
            <w:pPr>
              <w:pStyle w:val="TableText0"/>
              <w:rPr>
                <w:b/>
                <w:bCs w:val="0"/>
              </w:rPr>
            </w:pPr>
            <w:r w:rsidRPr="00743512">
              <w:rPr>
                <w:b/>
                <w:bCs w:val="0"/>
              </w:rPr>
              <w:t>Total LYs</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D6D0ED" w14:textId="77777777" w:rsidR="00BF3070" w:rsidRPr="00743512" w:rsidRDefault="00BF3070" w:rsidP="004F5B47">
            <w:pPr>
              <w:pStyle w:val="Tabletext"/>
              <w:keepNext/>
              <w:jc w:val="center"/>
              <w:rPr>
                <w:b/>
              </w:rPr>
            </w:pPr>
            <w:r w:rsidRPr="00743512">
              <w:rPr>
                <w:b/>
              </w:rPr>
              <w:t>14.22</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19EC70" w14:textId="77777777" w:rsidR="00BF3070" w:rsidRPr="00743512" w:rsidRDefault="00BF3070" w:rsidP="004F5B47">
            <w:pPr>
              <w:pStyle w:val="Tabletext"/>
              <w:keepNext/>
              <w:jc w:val="center"/>
              <w:rPr>
                <w:b/>
                <w:bCs/>
              </w:rPr>
            </w:pPr>
            <w:r w:rsidRPr="00743512">
              <w:rPr>
                <w:b/>
                <w:bCs/>
              </w:rPr>
              <w:t>13.19</w:t>
            </w:r>
          </w:p>
        </w:tc>
        <w:tc>
          <w:tcPr>
            <w:tcW w:w="1617" w:type="dxa"/>
            <w:tcBorders>
              <w:top w:val="single" w:sz="4" w:space="0" w:color="auto"/>
              <w:left w:val="single" w:sz="4" w:space="0" w:color="auto"/>
              <w:bottom w:val="single" w:sz="4" w:space="0" w:color="auto"/>
              <w:right w:val="single" w:sz="4" w:space="0" w:color="auto"/>
            </w:tcBorders>
            <w:vAlign w:val="center"/>
          </w:tcPr>
          <w:p w14:paraId="47906472" w14:textId="77777777" w:rsidR="00BF3070" w:rsidRPr="00743512" w:rsidRDefault="00BF3070" w:rsidP="004F5B47">
            <w:pPr>
              <w:pStyle w:val="Tabletext"/>
              <w:keepNext/>
              <w:jc w:val="center"/>
              <w:rPr>
                <w:b/>
                <w:bCs/>
              </w:rPr>
            </w:pPr>
            <w:r w:rsidRPr="00743512">
              <w:rPr>
                <w:b/>
                <w:bCs/>
              </w:rPr>
              <w:t>1.03</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96A4880" w14:textId="77777777" w:rsidR="00BF3070" w:rsidRPr="00743512" w:rsidRDefault="00BF3070" w:rsidP="004F5B47">
            <w:pPr>
              <w:pStyle w:val="Tabletext"/>
              <w:keepNext/>
              <w:jc w:val="center"/>
              <w:rPr>
                <w:b/>
                <w:bCs/>
              </w:rPr>
            </w:pPr>
            <w:r w:rsidRPr="00743512">
              <w:rPr>
                <w:b/>
                <w:bCs/>
              </w:rPr>
              <w:t>100.0%</w:t>
            </w:r>
          </w:p>
        </w:tc>
      </w:tr>
    </w:tbl>
    <w:p w14:paraId="6B3C4210" w14:textId="3DB375C8" w:rsidR="00BF3070" w:rsidRPr="00743512" w:rsidRDefault="00BF3070" w:rsidP="00F32823">
      <w:pPr>
        <w:pStyle w:val="TableFooter"/>
        <w:spacing w:after="120"/>
      </w:pPr>
      <w:r w:rsidRPr="00743512">
        <w:t>Source: Table generated during the evaluation, based on the “OlympiA Economic Evaluation” Excel workbook.</w:t>
      </w:r>
    </w:p>
    <w:p w14:paraId="01BF4199" w14:textId="2352678D" w:rsidR="00BF3070" w:rsidRPr="00743512" w:rsidRDefault="00BF3070" w:rsidP="00BF3070">
      <w:pPr>
        <w:pStyle w:val="3-BodyText"/>
      </w:pPr>
      <w:r w:rsidRPr="00743512">
        <w:t xml:space="preserve">Based on previous PBAC advice and the concerns raised during the evaluation, the Commentary proposed an alternative base case which is presented in </w:t>
      </w:r>
      <w:r w:rsidRPr="00743512">
        <w:fldChar w:fldCharType="begin"/>
      </w:r>
      <w:r w:rsidRPr="00743512">
        <w:instrText xml:space="preserve"> REF _Ref124154495 \h  \* MERGEFORMAT </w:instrText>
      </w:r>
      <w:r w:rsidRPr="00743512">
        <w:fldChar w:fldCharType="separate"/>
      </w:r>
      <w:r w:rsidR="00D2565D" w:rsidRPr="00743512">
        <w:t xml:space="preserve">Table </w:t>
      </w:r>
      <w:r w:rsidR="00D2565D">
        <w:t>15</w:t>
      </w:r>
      <w:r w:rsidRPr="00743512">
        <w:fldChar w:fldCharType="end"/>
      </w:r>
      <w:r w:rsidRPr="00743512">
        <w:t>. The ICER from the alternative base case was estimated to be $</w:t>
      </w:r>
      <w:r w:rsidR="00963FE0" w:rsidRPr="00963FE0">
        <w:t xml:space="preserve">55,000 to &lt; $75,000 </w:t>
      </w:r>
      <w:r w:rsidRPr="00743512">
        <w:t>/QALY gained</w:t>
      </w:r>
      <w:r w:rsidRPr="00D42289">
        <w:t>, 57% higher</w:t>
      </w:r>
      <w:r w:rsidRPr="00743512">
        <w:t xml:space="preserve"> than the resubmission’s base case. Of note, when the original olaparib submission was reviewed, the PBAC considered that olaparib could be considered cost-effective if the changes to the economic model were made as described in the PBAC respecified base case and the ICER was approximately $35,000/QALY (para 7.12, olaparib PSD, March 2023 PBAC meeting). </w:t>
      </w:r>
    </w:p>
    <w:p w14:paraId="21443FB5" w14:textId="151037C6" w:rsidR="00BF3070" w:rsidRPr="00743512" w:rsidRDefault="00BF3070" w:rsidP="00BF3070">
      <w:pPr>
        <w:pStyle w:val="Caption"/>
      </w:pPr>
      <w:bookmarkStart w:id="85" w:name="_Ref124154495"/>
      <w:r w:rsidRPr="00743512">
        <w:t xml:space="preserve">Table </w:t>
      </w:r>
      <w:r w:rsidR="00D2565D">
        <w:fldChar w:fldCharType="begin"/>
      </w:r>
      <w:r w:rsidR="00D2565D">
        <w:instrText xml:space="preserve"> SEQ Table \* ARABIC </w:instrText>
      </w:r>
      <w:r w:rsidR="00D2565D">
        <w:fldChar w:fldCharType="separate"/>
      </w:r>
      <w:r w:rsidR="00D2565D">
        <w:rPr>
          <w:noProof/>
        </w:rPr>
        <w:t>15</w:t>
      </w:r>
      <w:r w:rsidR="00D2565D">
        <w:rPr>
          <w:noProof/>
        </w:rPr>
        <w:fldChar w:fldCharType="end"/>
      </w:r>
      <w:bookmarkEnd w:id="85"/>
      <w:r w:rsidRPr="00743512">
        <w:t>: Stepwise multivariate sensitivity analyses to generate the Evaluation’s alternative base case</w:t>
      </w:r>
    </w:p>
    <w:tbl>
      <w:tblPr>
        <w:tblStyle w:val="TableGrid"/>
        <w:tblW w:w="9031" w:type="dxa"/>
        <w:tblLook w:val="04A0" w:firstRow="1" w:lastRow="0" w:firstColumn="1" w:lastColumn="0" w:noHBand="0" w:noVBand="1"/>
        <w:tblCaption w:val="Table 15: Stepwise multivariate sensitivity analyses to generate the Evaluation’s alternative base case"/>
      </w:tblPr>
      <w:tblGrid>
        <w:gridCol w:w="308"/>
        <w:gridCol w:w="2807"/>
        <w:gridCol w:w="2160"/>
        <w:gridCol w:w="1560"/>
        <w:gridCol w:w="1199"/>
        <w:gridCol w:w="997"/>
      </w:tblGrid>
      <w:tr w:rsidR="002346DF" w:rsidRPr="00743512" w14:paraId="165F1165" w14:textId="77777777" w:rsidTr="00F4781C">
        <w:trPr>
          <w:tblHeader/>
        </w:trPr>
        <w:tc>
          <w:tcPr>
            <w:tcW w:w="0" w:type="auto"/>
            <w:tcBorders>
              <w:bottom w:val="single" w:sz="4" w:space="0" w:color="auto"/>
            </w:tcBorders>
            <w:vAlign w:val="center"/>
          </w:tcPr>
          <w:p w14:paraId="66BC11EA" w14:textId="77777777" w:rsidR="002346DF" w:rsidRPr="00743512" w:rsidRDefault="002346DF" w:rsidP="002346DF">
            <w:pPr>
              <w:pStyle w:val="TableText0"/>
              <w:rPr>
                <w:b/>
                <w:bCs w:val="0"/>
              </w:rPr>
            </w:pPr>
          </w:p>
        </w:tc>
        <w:tc>
          <w:tcPr>
            <w:tcW w:w="2807" w:type="dxa"/>
            <w:tcBorders>
              <w:bottom w:val="single" w:sz="4" w:space="0" w:color="auto"/>
            </w:tcBorders>
          </w:tcPr>
          <w:p w14:paraId="524CD447" w14:textId="19E7EB55" w:rsidR="002346DF" w:rsidRPr="00743512" w:rsidRDefault="002346DF" w:rsidP="002346DF">
            <w:pPr>
              <w:pStyle w:val="TableText0"/>
              <w:rPr>
                <w:b/>
                <w:bCs w:val="0"/>
                <w:i/>
                <w:iCs/>
              </w:rPr>
            </w:pPr>
            <w:r w:rsidRPr="00743512">
              <w:rPr>
                <w:b/>
                <w:bCs w:val="0"/>
              </w:rPr>
              <w:t>Description of change</w:t>
            </w:r>
          </w:p>
        </w:tc>
        <w:tc>
          <w:tcPr>
            <w:tcW w:w="2160" w:type="dxa"/>
            <w:tcBorders>
              <w:bottom w:val="single" w:sz="4" w:space="0" w:color="auto"/>
            </w:tcBorders>
          </w:tcPr>
          <w:p w14:paraId="68788A3F" w14:textId="77777777" w:rsidR="002346DF" w:rsidRPr="00743512" w:rsidRDefault="002346DF" w:rsidP="002346DF">
            <w:pPr>
              <w:pStyle w:val="TableText0"/>
              <w:rPr>
                <w:b/>
                <w:bCs w:val="0"/>
                <w:i/>
                <w:iCs/>
              </w:rPr>
            </w:pPr>
            <w:r w:rsidRPr="00743512">
              <w:rPr>
                <w:b/>
                <w:bCs w:val="0"/>
              </w:rPr>
              <w:t>Base case value</w:t>
            </w:r>
          </w:p>
        </w:tc>
        <w:tc>
          <w:tcPr>
            <w:tcW w:w="1560" w:type="dxa"/>
            <w:tcBorders>
              <w:bottom w:val="single" w:sz="4" w:space="0" w:color="auto"/>
            </w:tcBorders>
          </w:tcPr>
          <w:p w14:paraId="735C86A6" w14:textId="77777777" w:rsidR="002346DF" w:rsidRPr="00743512" w:rsidRDefault="002346DF" w:rsidP="002346DF">
            <w:pPr>
              <w:pStyle w:val="TableText0"/>
              <w:rPr>
                <w:b/>
                <w:bCs w:val="0"/>
                <w:i/>
                <w:iCs/>
              </w:rPr>
            </w:pPr>
            <w:r w:rsidRPr="00743512">
              <w:rPr>
                <w:b/>
                <w:bCs w:val="0"/>
              </w:rPr>
              <w:t>Alternative value</w:t>
            </w:r>
          </w:p>
        </w:tc>
        <w:tc>
          <w:tcPr>
            <w:tcW w:w="1199" w:type="dxa"/>
            <w:tcBorders>
              <w:bottom w:val="single" w:sz="4" w:space="0" w:color="auto"/>
            </w:tcBorders>
          </w:tcPr>
          <w:p w14:paraId="3FA6807F" w14:textId="77777777" w:rsidR="002346DF" w:rsidRPr="00743512" w:rsidRDefault="002346DF" w:rsidP="002346DF">
            <w:pPr>
              <w:pStyle w:val="TableText0"/>
              <w:jc w:val="center"/>
              <w:rPr>
                <w:b/>
                <w:bCs w:val="0"/>
                <w:i/>
                <w:iCs/>
              </w:rPr>
            </w:pPr>
            <w:r w:rsidRPr="00743512">
              <w:rPr>
                <w:b/>
                <w:bCs w:val="0"/>
              </w:rPr>
              <w:t>ICER (cumulative)</w:t>
            </w:r>
          </w:p>
        </w:tc>
        <w:tc>
          <w:tcPr>
            <w:tcW w:w="0" w:type="auto"/>
            <w:tcBorders>
              <w:bottom w:val="single" w:sz="4" w:space="0" w:color="auto"/>
            </w:tcBorders>
          </w:tcPr>
          <w:p w14:paraId="719C5B14" w14:textId="77777777" w:rsidR="002346DF" w:rsidRPr="00743512" w:rsidRDefault="002346DF" w:rsidP="002346DF">
            <w:pPr>
              <w:pStyle w:val="TableText0"/>
              <w:jc w:val="center"/>
              <w:rPr>
                <w:b/>
                <w:bCs w:val="0"/>
              </w:rPr>
            </w:pPr>
            <w:r w:rsidRPr="00743512">
              <w:rPr>
                <w:b/>
                <w:bCs w:val="0"/>
              </w:rPr>
              <w:t>Change in ICER</w:t>
            </w:r>
          </w:p>
        </w:tc>
      </w:tr>
      <w:tr w:rsidR="002346DF" w:rsidRPr="00743512" w14:paraId="0C2ABDE1" w14:textId="77777777" w:rsidTr="00F4781C">
        <w:tc>
          <w:tcPr>
            <w:tcW w:w="0" w:type="auto"/>
            <w:shd w:val="clear" w:color="auto" w:fill="FFFFFF" w:themeFill="background1"/>
            <w:vAlign w:val="center"/>
          </w:tcPr>
          <w:p w14:paraId="4D2B079A" w14:textId="330BF0E4" w:rsidR="002346DF" w:rsidRPr="00743512" w:rsidRDefault="002346DF" w:rsidP="002346DF">
            <w:pPr>
              <w:pStyle w:val="TableText0"/>
              <w:rPr>
                <w:b/>
                <w:bCs w:val="0"/>
              </w:rPr>
            </w:pPr>
          </w:p>
        </w:tc>
        <w:tc>
          <w:tcPr>
            <w:tcW w:w="2807" w:type="dxa"/>
            <w:shd w:val="clear" w:color="auto" w:fill="FFFFFF" w:themeFill="background1"/>
          </w:tcPr>
          <w:p w14:paraId="582AFE5F" w14:textId="214EE80C" w:rsidR="002346DF" w:rsidRPr="00743512" w:rsidRDefault="002346DF" w:rsidP="002346DF">
            <w:pPr>
              <w:pStyle w:val="TableText0"/>
              <w:rPr>
                <w:b/>
                <w:bCs w:val="0"/>
                <w:i/>
                <w:iCs/>
              </w:rPr>
            </w:pPr>
            <w:r w:rsidRPr="00743512">
              <w:rPr>
                <w:b/>
                <w:bCs w:val="0"/>
              </w:rPr>
              <w:t>Base case</w:t>
            </w:r>
          </w:p>
        </w:tc>
        <w:tc>
          <w:tcPr>
            <w:tcW w:w="2160" w:type="dxa"/>
            <w:shd w:val="clear" w:color="auto" w:fill="FFFFFF" w:themeFill="background1"/>
          </w:tcPr>
          <w:p w14:paraId="046D6293" w14:textId="77777777" w:rsidR="002346DF" w:rsidRPr="00743512" w:rsidRDefault="002346DF" w:rsidP="002346DF">
            <w:pPr>
              <w:pStyle w:val="TableText0"/>
              <w:rPr>
                <w:b/>
                <w:bCs w:val="0"/>
              </w:rPr>
            </w:pPr>
          </w:p>
        </w:tc>
        <w:tc>
          <w:tcPr>
            <w:tcW w:w="1560" w:type="dxa"/>
            <w:shd w:val="clear" w:color="auto" w:fill="FFFFFF" w:themeFill="background1"/>
          </w:tcPr>
          <w:p w14:paraId="736B4FA1" w14:textId="77777777" w:rsidR="002346DF" w:rsidRPr="00743512" w:rsidRDefault="002346DF" w:rsidP="002346DF">
            <w:pPr>
              <w:pStyle w:val="TableText0"/>
              <w:rPr>
                <w:b/>
                <w:bCs w:val="0"/>
                <w:i/>
                <w:iCs/>
              </w:rPr>
            </w:pPr>
            <w:r w:rsidRPr="00743512">
              <w:rPr>
                <w:b/>
                <w:bCs w:val="0"/>
              </w:rPr>
              <w:t>–</w:t>
            </w:r>
          </w:p>
        </w:tc>
        <w:tc>
          <w:tcPr>
            <w:tcW w:w="1199" w:type="dxa"/>
            <w:shd w:val="clear" w:color="auto" w:fill="FFFFFF" w:themeFill="background1"/>
          </w:tcPr>
          <w:p w14:paraId="76DAD676" w14:textId="35361C1F" w:rsidR="002346DF" w:rsidRPr="00172D2B" w:rsidRDefault="00632DCB" w:rsidP="002346DF">
            <w:pPr>
              <w:pStyle w:val="TableText0"/>
              <w:jc w:val="center"/>
              <w:rPr>
                <w:b/>
                <w:bCs w:val="0"/>
                <w:i/>
                <w:iCs/>
                <w:highlight w:val="darkGray"/>
              </w:rPr>
            </w:pPr>
            <w:r>
              <w:rPr>
                <w:b/>
                <w:bCs w:val="0"/>
              </w:rPr>
              <w:t xml:space="preserve"> </w:t>
            </w:r>
            <w:r w:rsidRPr="00632DCB">
              <w:rPr>
                <w:rFonts w:hint="eastAsia"/>
                <w:b/>
                <w:bCs w:val="0"/>
                <w:color w:val="000000"/>
                <w:w w:val="33"/>
                <w:shd w:val="solid" w:color="000000" w:fill="000000"/>
                <w:fitText w:val="150" w:id="-1032088576"/>
                <w14:textFill>
                  <w14:solidFill>
                    <w14:srgbClr w14:val="000000">
                      <w14:alpha w14:val="100000"/>
                    </w14:srgbClr>
                  </w14:solidFill>
                </w14:textFill>
              </w:rPr>
              <w:t xml:space="preserve">　</w:t>
            </w:r>
            <w:r w:rsidRPr="00632DCB">
              <w:rPr>
                <w:b/>
                <w:bCs w:val="0"/>
                <w:color w:val="000000"/>
                <w:w w:val="33"/>
                <w:shd w:val="solid" w:color="000000" w:fill="000000"/>
                <w:fitText w:val="150" w:id="-1032088576"/>
                <w14:textFill>
                  <w14:solidFill>
                    <w14:srgbClr w14:val="000000">
                      <w14:alpha w14:val="100000"/>
                    </w14:srgbClr>
                  </w14:solidFill>
                </w14:textFill>
              </w:rPr>
              <w:t>|</w:t>
            </w:r>
            <w:r w:rsidRPr="00632DCB">
              <w:rPr>
                <w:rFonts w:hint="eastAsia"/>
                <w:b/>
                <w:bCs w:val="0"/>
                <w:color w:val="000000"/>
                <w:spacing w:val="3"/>
                <w:w w:val="33"/>
                <w:shd w:val="solid" w:color="000000" w:fill="000000"/>
                <w:fitText w:val="150" w:id="-1032088576"/>
                <w14:textFill>
                  <w14:solidFill>
                    <w14:srgbClr w14:val="000000">
                      <w14:alpha w14:val="100000"/>
                    </w14:srgbClr>
                  </w14:solidFill>
                </w14:textFill>
              </w:rPr>
              <w:t xml:space="preserve">　</w:t>
            </w:r>
            <w:r w:rsidR="00172D2B" w:rsidRPr="00172D2B">
              <w:rPr>
                <w:b/>
                <w:bCs w:val="0"/>
                <w:vertAlign w:val="superscript"/>
              </w:rPr>
              <w:t>1</w:t>
            </w:r>
          </w:p>
        </w:tc>
        <w:tc>
          <w:tcPr>
            <w:tcW w:w="0" w:type="auto"/>
            <w:shd w:val="clear" w:color="auto" w:fill="FFFFFF" w:themeFill="background1"/>
          </w:tcPr>
          <w:p w14:paraId="44625A30" w14:textId="527B8EB3" w:rsidR="002346DF" w:rsidRPr="00B01269" w:rsidRDefault="00632DCB" w:rsidP="002346DF">
            <w:pPr>
              <w:pStyle w:val="TableText0"/>
              <w:jc w:val="center"/>
              <w:rPr>
                <w:b/>
                <w:bCs w:val="0"/>
              </w:rPr>
            </w:pPr>
            <w:r>
              <w:rPr>
                <w:b/>
                <w:bCs w:val="0"/>
              </w:rPr>
              <w:t xml:space="preserve"> </w:t>
            </w:r>
            <w:r w:rsidRPr="00632DCB">
              <w:rPr>
                <w:b/>
                <w:bCs w:val="0"/>
                <w:color w:val="000000"/>
                <w:spacing w:val="208"/>
                <w:shd w:val="solid" w:color="000000" w:fill="000000"/>
                <w:fitText w:val="300" w:id="-1032088575"/>
                <w14:textFill>
                  <w14:solidFill>
                    <w14:srgbClr w14:val="000000">
                      <w14:alpha w14:val="100000"/>
                    </w14:srgbClr>
                  </w14:solidFill>
                </w14:textFill>
              </w:rPr>
              <w:t>|</w:t>
            </w:r>
            <w:r w:rsidRPr="00632DCB">
              <w:rPr>
                <w:b/>
                <w:bCs w:val="0"/>
                <w:color w:val="000000"/>
                <w:spacing w:val="1"/>
                <w:shd w:val="solid" w:color="000000" w:fill="000000"/>
                <w:fitText w:val="300" w:id="-1032088575"/>
                <w14:textFill>
                  <w14:solidFill>
                    <w14:srgbClr w14:val="000000">
                      <w14:alpha w14:val="100000"/>
                    </w14:srgbClr>
                  </w14:solidFill>
                </w14:textFill>
              </w:rPr>
              <w:t>|</w:t>
            </w:r>
            <w:r w:rsidR="002346DF" w:rsidRPr="00B01269">
              <w:rPr>
                <w:b/>
                <w:bCs w:val="0"/>
              </w:rPr>
              <w:t>%</w:t>
            </w:r>
          </w:p>
        </w:tc>
      </w:tr>
      <w:tr w:rsidR="002346DF" w:rsidRPr="00743512" w14:paraId="58523590" w14:textId="77777777" w:rsidTr="00F4781C">
        <w:tc>
          <w:tcPr>
            <w:tcW w:w="0" w:type="auto"/>
          </w:tcPr>
          <w:p w14:paraId="6167BC88" w14:textId="4CB3CE9F" w:rsidR="002346DF" w:rsidRPr="00743512" w:rsidRDefault="002346DF" w:rsidP="00F4781C">
            <w:pPr>
              <w:pStyle w:val="TableText0"/>
            </w:pPr>
            <w:r w:rsidRPr="00743512">
              <w:t>1</w:t>
            </w:r>
          </w:p>
        </w:tc>
        <w:tc>
          <w:tcPr>
            <w:tcW w:w="2807" w:type="dxa"/>
            <w:vAlign w:val="center"/>
          </w:tcPr>
          <w:p w14:paraId="5EC31D6E" w14:textId="1A6401EE" w:rsidR="002346DF" w:rsidRPr="00743512" w:rsidRDefault="002346DF" w:rsidP="002346DF">
            <w:pPr>
              <w:pStyle w:val="TableText0"/>
              <w:rPr>
                <w:i/>
                <w:iCs/>
              </w:rPr>
            </w:pPr>
            <w:r w:rsidRPr="00743512">
              <w:t>Observed data truncation point</w:t>
            </w:r>
          </w:p>
        </w:tc>
        <w:tc>
          <w:tcPr>
            <w:tcW w:w="2160" w:type="dxa"/>
          </w:tcPr>
          <w:p w14:paraId="7E4CE3BE" w14:textId="77777777" w:rsidR="002346DF" w:rsidRPr="00743512" w:rsidRDefault="002346DF" w:rsidP="002346DF">
            <w:pPr>
              <w:pStyle w:val="TableText0"/>
              <w:rPr>
                <w:i/>
                <w:iCs/>
              </w:rPr>
            </w:pPr>
            <w:r w:rsidRPr="00743512">
              <w:t>48 months</w:t>
            </w:r>
          </w:p>
        </w:tc>
        <w:tc>
          <w:tcPr>
            <w:tcW w:w="1560" w:type="dxa"/>
          </w:tcPr>
          <w:p w14:paraId="66C9E79B" w14:textId="77777777" w:rsidR="002346DF" w:rsidRPr="00743512" w:rsidRDefault="002346DF" w:rsidP="002346DF">
            <w:pPr>
              <w:pStyle w:val="TableText0"/>
              <w:rPr>
                <w:i/>
                <w:iCs/>
              </w:rPr>
            </w:pPr>
            <w:r w:rsidRPr="00743512">
              <w:t>60 months</w:t>
            </w:r>
          </w:p>
        </w:tc>
        <w:tc>
          <w:tcPr>
            <w:tcW w:w="1199" w:type="dxa"/>
            <w:vAlign w:val="center"/>
          </w:tcPr>
          <w:p w14:paraId="6AC7219D" w14:textId="4CF99929" w:rsidR="002346DF" w:rsidRPr="00172D2B" w:rsidRDefault="00632DCB" w:rsidP="002346DF">
            <w:pPr>
              <w:pStyle w:val="TableText0"/>
              <w:jc w:val="center"/>
              <w:rPr>
                <w:i/>
                <w:iCs/>
                <w:highlight w:val="darkGray"/>
              </w:rPr>
            </w:pPr>
            <w:r>
              <w:t xml:space="preserve"> </w:t>
            </w:r>
            <w:r w:rsidRPr="00632DCB">
              <w:rPr>
                <w:rFonts w:hint="eastAsia"/>
                <w:color w:val="000000"/>
                <w:w w:val="22"/>
                <w:shd w:val="solid" w:color="000000" w:fill="000000"/>
                <w:fitText w:val="100" w:id="-1032088574"/>
                <w14:textFill>
                  <w14:solidFill>
                    <w14:srgbClr w14:val="000000">
                      <w14:alpha w14:val="100000"/>
                    </w14:srgbClr>
                  </w14:solidFill>
                </w14:textFill>
              </w:rPr>
              <w:t xml:space="preserve">　</w:t>
            </w:r>
            <w:r w:rsidRPr="00632DCB">
              <w:rPr>
                <w:color w:val="000000"/>
                <w:w w:val="22"/>
                <w:shd w:val="solid" w:color="000000" w:fill="000000"/>
                <w:fitText w:val="100" w:id="-1032088574"/>
                <w14:textFill>
                  <w14:solidFill>
                    <w14:srgbClr w14:val="000000">
                      <w14:alpha w14:val="100000"/>
                    </w14:srgbClr>
                  </w14:solidFill>
                </w14:textFill>
              </w:rPr>
              <w:t>|</w:t>
            </w:r>
            <w:r w:rsidRPr="00632DCB">
              <w:rPr>
                <w:rFonts w:hint="eastAsia"/>
                <w:color w:val="000000"/>
                <w:spacing w:val="3"/>
                <w:w w:val="22"/>
                <w:shd w:val="solid" w:color="000000" w:fill="000000"/>
                <w:fitText w:val="100" w:id="-1032088574"/>
                <w14:textFill>
                  <w14:solidFill>
                    <w14:srgbClr w14:val="000000">
                      <w14:alpha w14:val="100000"/>
                    </w14:srgbClr>
                  </w14:solidFill>
                </w14:textFill>
              </w:rPr>
              <w:t xml:space="preserve">　</w:t>
            </w:r>
            <w:r w:rsidR="00172D2B" w:rsidRPr="00172D2B">
              <w:rPr>
                <w:vertAlign w:val="superscript"/>
              </w:rPr>
              <w:t>2</w:t>
            </w:r>
          </w:p>
        </w:tc>
        <w:tc>
          <w:tcPr>
            <w:tcW w:w="0" w:type="auto"/>
            <w:vAlign w:val="center"/>
          </w:tcPr>
          <w:p w14:paraId="74616AFC" w14:textId="3C215019" w:rsidR="002346DF" w:rsidRPr="00B01269" w:rsidRDefault="00632DCB" w:rsidP="002346DF">
            <w:pPr>
              <w:pStyle w:val="TableText0"/>
              <w:jc w:val="center"/>
            </w:pPr>
            <w:r>
              <w:t xml:space="preserve"> </w:t>
            </w:r>
            <w:r w:rsidRPr="00632DCB">
              <w:rPr>
                <w:color w:val="000000"/>
                <w:spacing w:val="164"/>
                <w:shd w:val="solid" w:color="000000" w:fill="000000"/>
                <w:fitText w:val="250" w:id="-1032088573"/>
                <w14:textFill>
                  <w14:solidFill>
                    <w14:srgbClr w14:val="000000">
                      <w14:alpha w14:val="100000"/>
                    </w14:srgbClr>
                  </w14:solidFill>
                </w14:textFill>
              </w:rPr>
              <w:t>|</w:t>
            </w:r>
            <w:r w:rsidRPr="00632DCB">
              <w:rPr>
                <w:color w:val="000000"/>
                <w:spacing w:val="1"/>
                <w:shd w:val="solid" w:color="000000" w:fill="000000"/>
                <w:fitText w:val="250" w:id="-1032088573"/>
                <w14:textFill>
                  <w14:solidFill>
                    <w14:srgbClr w14:val="000000">
                      <w14:alpha w14:val="100000"/>
                    </w14:srgbClr>
                  </w14:solidFill>
                </w14:textFill>
              </w:rPr>
              <w:t>|</w:t>
            </w:r>
            <w:r w:rsidR="002346DF" w:rsidRPr="00B01269">
              <w:t>%</w:t>
            </w:r>
          </w:p>
        </w:tc>
      </w:tr>
      <w:tr w:rsidR="002346DF" w:rsidRPr="00743512" w14:paraId="0DDCC28A" w14:textId="77777777" w:rsidTr="00F4781C">
        <w:tc>
          <w:tcPr>
            <w:tcW w:w="0" w:type="auto"/>
          </w:tcPr>
          <w:p w14:paraId="3E481296" w14:textId="290A8BEB" w:rsidR="002346DF" w:rsidRPr="00743512" w:rsidRDefault="002346DF" w:rsidP="00F4781C">
            <w:pPr>
              <w:pStyle w:val="TableText0"/>
            </w:pPr>
            <w:bookmarkStart w:id="86" w:name="_Hlk150353211"/>
            <w:r w:rsidRPr="00743512">
              <w:t>2</w:t>
            </w:r>
          </w:p>
        </w:tc>
        <w:tc>
          <w:tcPr>
            <w:tcW w:w="2807" w:type="dxa"/>
          </w:tcPr>
          <w:p w14:paraId="64DDC46E" w14:textId="760BD845" w:rsidR="002346DF" w:rsidRPr="00743512" w:rsidRDefault="002346DF" w:rsidP="00F4781C">
            <w:pPr>
              <w:pStyle w:val="TableText0"/>
              <w:rPr>
                <w:i/>
                <w:iCs/>
              </w:rPr>
            </w:pPr>
            <w:r w:rsidRPr="00743512">
              <w:t>Proportion of recurrences that are non-metastatic vs. metastatic</w:t>
            </w:r>
          </w:p>
        </w:tc>
        <w:tc>
          <w:tcPr>
            <w:tcW w:w="2160" w:type="dxa"/>
          </w:tcPr>
          <w:p w14:paraId="2AC5981D" w14:textId="77777777" w:rsidR="002346DF" w:rsidRPr="00743512" w:rsidRDefault="002346DF" w:rsidP="002346DF">
            <w:pPr>
              <w:pStyle w:val="TableText0"/>
            </w:pPr>
            <w:r w:rsidRPr="00743512">
              <w:t>Treatment-specific:</w:t>
            </w:r>
          </w:p>
          <w:p w14:paraId="79695671" w14:textId="77777777" w:rsidR="002346DF" w:rsidRPr="00743512" w:rsidRDefault="002346DF" w:rsidP="002346DF">
            <w:pPr>
              <w:pStyle w:val="TableText0"/>
            </w:pPr>
            <w:r w:rsidRPr="00743512">
              <w:t xml:space="preserve">Olaparib: 25.0% vs. 75.0% </w:t>
            </w:r>
          </w:p>
          <w:p w14:paraId="592618F2" w14:textId="77777777" w:rsidR="002346DF" w:rsidRPr="00743512" w:rsidRDefault="002346DF" w:rsidP="002346DF">
            <w:pPr>
              <w:pStyle w:val="TableText0"/>
              <w:rPr>
                <w:i/>
                <w:iCs/>
              </w:rPr>
            </w:pPr>
            <w:r w:rsidRPr="00743512">
              <w:t>Placebo: 23.2% vs. 76.8%</w:t>
            </w:r>
          </w:p>
        </w:tc>
        <w:tc>
          <w:tcPr>
            <w:tcW w:w="1560" w:type="dxa"/>
          </w:tcPr>
          <w:p w14:paraId="502BF98A" w14:textId="0DE72536" w:rsidR="002346DF" w:rsidRPr="00743512" w:rsidRDefault="002346DF" w:rsidP="002346DF">
            <w:pPr>
              <w:pStyle w:val="TableText0"/>
              <w:rPr>
                <w:i/>
                <w:iCs/>
              </w:rPr>
            </w:pPr>
            <w:r w:rsidRPr="00743512">
              <w:t>Equal across arms:</w:t>
            </w:r>
            <w:r w:rsidR="00F4781C" w:rsidRPr="00743512">
              <w:t xml:space="preserve"> </w:t>
            </w:r>
            <w:r w:rsidRPr="00743512">
              <w:t>23.9 vs. 76.1% in both arms</w:t>
            </w:r>
          </w:p>
        </w:tc>
        <w:tc>
          <w:tcPr>
            <w:tcW w:w="1199" w:type="dxa"/>
          </w:tcPr>
          <w:p w14:paraId="4210FEEC" w14:textId="57737561" w:rsidR="002346DF" w:rsidRPr="00172D2B" w:rsidRDefault="00632DCB" w:rsidP="00F4781C">
            <w:pPr>
              <w:pStyle w:val="TableText0"/>
              <w:jc w:val="center"/>
              <w:rPr>
                <w:i/>
                <w:iCs/>
                <w:highlight w:val="darkGray"/>
              </w:rPr>
            </w:pPr>
            <w:r>
              <w:t xml:space="preserve"> </w:t>
            </w:r>
            <w:r w:rsidRPr="00632DCB">
              <w:rPr>
                <w:rFonts w:hint="eastAsia"/>
                <w:color w:val="000000"/>
                <w:w w:val="22"/>
                <w:shd w:val="solid" w:color="000000" w:fill="000000"/>
                <w:fitText w:val="100" w:id="-1032088572"/>
                <w14:textFill>
                  <w14:solidFill>
                    <w14:srgbClr w14:val="000000">
                      <w14:alpha w14:val="100000"/>
                    </w14:srgbClr>
                  </w14:solidFill>
                </w14:textFill>
              </w:rPr>
              <w:t xml:space="preserve">　</w:t>
            </w:r>
            <w:r w:rsidRPr="00632DCB">
              <w:rPr>
                <w:color w:val="000000"/>
                <w:w w:val="22"/>
                <w:shd w:val="solid" w:color="000000" w:fill="000000"/>
                <w:fitText w:val="100" w:id="-1032088572"/>
                <w14:textFill>
                  <w14:solidFill>
                    <w14:srgbClr w14:val="000000">
                      <w14:alpha w14:val="100000"/>
                    </w14:srgbClr>
                  </w14:solidFill>
                </w14:textFill>
              </w:rPr>
              <w:t>|</w:t>
            </w:r>
            <w:r w:rsidRPr="00632DCB">
              <w:rPr>
                <w:rFonts w:hint="eastAsia"/>
                <w:color w:val="000000"/>
                <w:spacing w:val="3"/>
                <w:w w:val="22"/>
                <w:shd w:val="solid" w:color="000000" w:fill="000000"/>
                <w:fitText w:val="100" w:id="-1032088572"/>
                <w14:textFill>
                  <w14:solidFill>
                    <w14:srgbClr w14:val="000000">
                      <w14:alpha w14:val="100000"/>
                    </w14:srgbClr>
                  </w14:solidFill>
                </w14:textFill>
              </w:rPr>
              <w:t xml:space="preserve">　</w:t>
            </w:r>
            <w:r w:rsidR="00172D2B" w:rsidRPr="00172D2B">
              <w:rPr>
                <w:vertAlign w:val="superscript"/>
              </w:rPr>
              <w:t>2</w:t>
            </w:r>
          </w:p>
        </w:tc>
        <w:tc>
          <w:tcPr>
            <w:tcW w:w="0" w:type="auto"/>
          </w:tcPr>
          <w:p w14:paraId="21106AC5" w14:textId="6D19F98E" w:rsidR="002346DF" w:rsidRPr="00B01269" w:rsidRDefault="00632DCB" w:rsidP="00F4781C">
            <w:pPr>
              <w:pStyle w:val="TableText0"/>
              <w:jc w:val="center"/>
            </w:pPr>
            <w:r>
              <w:t xml:space="preserve"> </w:t>
            </w:r>
            <w:r w:rsidRPr="00632DCB">
              <w:rPr>
                <w:color w:val="000000"/>
                <w:spacing w:val="164"/>
                <w:shd w:val="solid" w:color="000000" w:fill="000000"/>
                <w:fitText w:val="250" w:id="-1032088571"/>
                <w14:textFill>
                  <w14:solidFill>
                    <w14:srgbClr w14:val="000000">
                      <w14:alpha w14:val="100000"/>
                    </w14:srgbClr>
                  </w14:solidFill>
                </w14:textFill>
              </w:rPr>
              <w:t>|</w:t>
            </w:r>
            <w:r w:rsidRPr="00632DCB">
              <w:rPr>
                <w:color w:val="000000"/>
                <w:spacing w:val="1"/>
                <w:shd w:val="solid" w:color="000000" w:fill="000000"/>
                <w:fitText w:val="250" w:id="-1032088571"/>
                <w14:textFill>
                  <w14:solidFill>
                    <w14:srgbClr w14:val="000000">
                      <w14:alpha w14:val="100000"/>
                    </w14:srgbClr>
                  </w14:solidFill>
                </w14:textFill>
              </w:rPr>
              <w:t>|</w:t>
            </w:r>
            <w:r w:rsidR="002346DF" w:rsidRPr="00B01269">
              <w:t>%</w:t>
            </w:r>
          </w:p>
        </w:tc>
      </w:tr>
      <w:bookmarkEnd w:id="86"/>
      <w:tr w:rsidR="002346DF" w:rsidRPr="00743512" w14:paraId="632C4BC3" w14:textId="77777777" w:rsidTr="00F4781C">
        <w:tc>
          <w:tcPr>
            <w:tcW w:w="0" w:type="auto"/>
          </w:tcPr>
          <w:p w14:paraId="3F4CF44B" w14:textId="14A68E44" w:rsidR="002346DF" w:rsidRPr="00743512" w:rsidRDefault="002346DF" w:rsidP="00F4781C">
            <w:pPr>
              <w:pStyle w:val="TableText0"/>
            </w:pPr>
            <w:r w:rsidRPr="00743512">
              <w:t>3</w:t>
            </w:r>
          </w:p>
        </w:tc>
        <w:tc>
          <w:tcPr>
            <w:tcW w:w="2807" w:type="dxa"/>
          </w:tcPr>
          <w:p w14:paraId="691FD9BC" w14:textId="66923FEE" w:rsidR="002346DF" w:rsidRPr="00743512" w:rsidRDefault="002346DF" w:rsidP="00F4781C">
            <w:pPr>
              <w:pStyle w:val="TableText0"/>
              <w:rPr>
                <w:i/>
                <w:iCs/>
              </w:rPr>
            </w:pPr>
            <w:r w:rsidRPr="00743512">
              <w:t>Increase background mortality for g</w:t>
            </w:r>
            <w:r w:rsidR="00CD50D4" w:rsidRPr="00743512">
              <w:rPr>
                <w:i/>
              </w:rPr>
              <w:t>BRCA</w:t>
            </w:r>
            <w:r w:rsidRPr="00743512">
              <w:t xml:space="preserve"> mutated patients to account for other cancer deaths</w:t>
            </w:r>
          </w:p>
        </w:tc>
        <w:tc>
          <w:tcPr>
            <w:tcW w:w="2160" w:type="dxa"/>
          </w:tcPr>
          <w:p w14:paraId="05F0E495" w14:textId="77777777" w:rsidR="002346DF" w:rsidRPr="00743512" w:rsidRDefault="002346DF" w:rsidP="00F4781C">
            <w:pPr>
              <w:pStyle w:val="TableText0"/>
              <w:rPr>
                <w:i/>
                <w:iCs/>
              </w:rPr>
            </w:pPr>
            <w:r w:rsidRPr="00743512">
              <w:t>1.61</w:t>
            </w:r>
          </w:p>
        </w:tc>
        <w:tc>
          <w:tcPr>
            <w:tcW w:w="1560" w:type="dxa"/>
          </w:tcPr>
          <w:p w14:paraId="057DCF18" w14:textId="77777777" w:rsidR="002346DF" w:rsidRPr="00743512" w:rsidRDefault="002346DF" w:rsidP="00F4781C">
            <w:pPr>
              <w:pStyle w:val="TableText0"/>
              <w:rPr>
                <w:i/>
                <w:iCs/>
              </w:rPr>
            </w:pPr>
            <w:r w:rsidRPr="00743512">
              <w:t>2</w:t>
            </w:r>
          </w:p>
        </w:tc>
        <w:tc>
          <w:tcPr>
            <w:tcW w:w="1199" w:type="dxa"/>
          </w:tcPr>
          <w:p w14:paraId="467E9094" w14:textId="131FEB72" w:rsidR="002346DF" w:rsidRPr="00172D2B" w:rsidRDefault="00632DCB" w:rsidP="00F4781C">
            <w:pPr>
              <w:pStyle w:val="TableText0"/>
              <w:jc w:val="center"/>
              <w:rPr>
                <w:i/>
                <w:iCs/>
                <w:highlight w:val="darkGray"/>
              </w:rPr>
            </w:pPr>
            <w:r>
              <w:t xml:space="preserve"> </w:t>
            </w:r>
            <w:r w:rsidRPr="00632DCB">
              <w:rPr>
                <w:rFonts w:hint="eastAsia"/>
                <w:color w:val="000000"/>
                <w:w w:val="22"/>
                <w:shd w:val="solid" w:color="000000" w:fill="000000"/>
                <w:fitText w:val="100" w:id="-1032088570"/>
                <w14:textFill>
                  <w14:solidFill>
                    <w14:srgbClr w14:val="000000">
                      <w14:alpha w14:val="100000"/>
                    </w14:srgbClr>
                  </w14:solidFill>
                </w14:textFill>
              </w:rPr>
              <w:t xml:space="preserve">　</w:t>
            </w:r>
            <w:r w:rsidRPr="00632DCB">
              <w:rPr>
                <w:color w:val="000000"/>
                <w:w w:val="22"/>
                <w:shd w:val="solid" w:color="000000" w:fill="000000"/>
                <w:fitText w:val="100" w:id="-1032088570"/>
                <w14:textFill>
                  <w14:solidFill>
                    <w14:srgbClr w14:val="000000">
                      <w14:alpha w14:val="100000"/>
                    </w14:srgbClr>
                  </w14:solidFill>
                </w14:textFill>
              </w:rPr>
              <w:t>|</w:t>
            </w:r>
            <w:r w:rsidRPr="00632DCB">
              <w:rPr>
                <w:rFonts w:hint="eastAsia"/>
                <w:color w:val="000000"/>
                <w:spacing w:val="3"/>
                <w:w w:val="22"/>
                <w:shd w:val="solid" w:color="000000" w:fill="000000"/>
                <w:fitText w:val="100" w:id="-1032088570"/>
                <w14:textFill>
                  <w14:solidFill>
                    <w14:srgbClr w14:val="000000">
                      <w14:alpha w14:val="100000"/>
                    </w14:srgbClr>
                  </w14:solidFill>
                </w14:textFill>
              </w:rPr>
              <w:t xml:space="preserve">　</w:t>
            </w:r>
            <w:r w:rsidR="00172D2B" w:rsidRPr="00172D2B">
              <w:rPr>
                <w:vertAlign w:val="superscript"/>
              </w:rPr>
              <w:t>2</w:t>
            </w:r>
          </w:p>
        </w:tc>
        <w:tc>
          <w:tcPr>
            <w:tcW w:w="0" w:type="auto"/>
          </w:tcPr>
          <w:p w14:paraId="007D54D6" w14:textId="2EF49C27" w:rsidR="002346DF" w:rsidRPr="00B01269" w:rsidRDefault="00632DCB" w:rsidP="00F4781C">
            <w:pPr>
              <w:pStyle w:val="TableText0"/>
              <w:jc w:val="center"/>
            </w:pPr>
            <w:r>
              <w:t xml:space="preserve"> </w:t>
            </w:r>
            <w:r w:rsidRPr="00632DCB">
              <w:rPr>
                <w:color w:val="000000"/>
                <w:spacing w:val="164"/>
                <w:shd w:val="solid" w:color="000000" w:fill="000000"/>
                <w:fitText w:val="250" w:id="-1032088569"/>
                <w14:textFill>
                  <w14:solidFill>
                    <w14:srgbClr w14:val="000000">
                      <w14:alpha w14:val="100000"/>
                    </w14:srgbClr>
                  </w14:solidFill>
                </w14:textFill>
              </w:rPr>
              <w:t>|</w:t>
            </w:r>
            <w:r w:rsidRPr="00632DCB">
              <w:rPr>
                <w:color w:val="000000"/>
                <w:spacing w:val="1"/>
                <w:shd w:val="solid" w:color="000000" w:fill="000000"/>
                <w:fitText w:val="250" w:id="-1032088569"/>
                <w14:textFill>
                  <w14:solidFill>
                    <w14:srgbClr w14:val="000000">
                      <w14:alpha w14:val="100000"/>
                    </w14:srgbClr>
                  </w14:solidFill>
                </w14:textFill>
              </w:rPr>
              <w:t>|</w:t>
            </w:r>
            <w:r w:rsidR="002346DF" w:rsidRPr="00B01269">
              <w:t>%</w:t>
            </w:r>
          </w:p>
        </w:tc>
      </w:tr>
      <w:tr w:rsidR="002346DF" w:rsidRPr="00743512" w14:paraId="4F9DEB6C" w14:textId="77777777" w:rsidTr="00F4781C">
        <w:tc>
          <w:tcPr>
            <w:tcW w:w="0" w:type="auto"/>
          </w:tcPr>
          <w:p w14:paraId="147C9BAB" w14:textId="54AC7CA7" w:rsidR="002346DF" w:rsidRPr="00743512" w:rsidRDefault="002346DF" w:rsidP="00F4781C">
            <w:pPr>
              <w:pStyle w:val="TableText0"/>
            </w:pPr>
            <w:r w:rsidRPr="00743512">
              <w:t>4</w:t>
            </w:r>
          </w:p>
        </w:tc>
        <w:tc>
          <w:tcPr>
            <w:tcW w:w="2807" w:type="dxa"/>
          </w:tcPr>
          <w:p w14:paraId="3563769F" w14:textId="4716E936" w:rsidR="002346DF" w:rsidRPr="00743512" w:rsidRDefault="002346DF" w:rsidP="00F4781C">
            <w:pPr>
              <w:pStyle w:val="TableText0"/>
              <w:rPr>
                <w:i/>
                <w:iCs/>
              </w:rPr>
            </w:pPr>
            <w:r w:rsidRPr="00743512">
              <w:t>Proportion of patients with mBC who receive active treatments</w:t>
            </w:r>
          </w:p>
        </w:tc>
        <w:tc>
          <w:tcPr>
            <w:tcW w:w="2160" w:type="dxa"/>
          </w:tcPr>
          <w:p w14:paraId="43CA7D97" w14:textId="77777777" w:rsidR="002346DF" w:rsidRPr="00743512" w:rsidRDefault="002346DF" w:rsidP="00F4781C">
            <w:pPr>
              <w:pStyle w:val="TableText0"/>
              <w:rPr>
                <w:i/>
                <w:iCs/>
              </w:rPr>
            </w:pPr>
            <w:r w:rsidRPr="00743512">
              <w:t>80%</w:t>
            </w:r>
          </w:p>
        </w:tc>
        <w:tc>
          <w:tcPr>
            <w:tcW w:w="1560" w:type="dxa"/>
          </w:tcPr>
          <w:p w14:paraId="4A40DCCD" w14:textId="77777777" w:rsidR="002346DF" w:rsidRPr="00743512" w:rsidRDefault="002346DF" w:rsidP="00F4781C">
            <w:pPr>
              <w:pStyle w:val="TableText0"/>
              <w:rPr>
                <w:i/>
                <w:iCs/>
              </w:rPr>
            </w:pPr>
            <w:r w:rsidRPr="00743512">
              <w:t>70%</w:t>
            </w:r>
          </w:p>
        </w:tc>
        <w:tc>
          <w:tcPr>
            <w:tcW w:w="1199" w:type="dxa"/>
          </w:tcPr>
          <w:p w14:paraId="3563813C" w14:textId="543F8A6B" w:rsidR="002346DF" w:rsidRPr="00172D2B" w:rsidRDefault="00632DCB" w:rsidP="00F4781C">
            <w:pPr>
              <w:pStyle w:val="TableText0"/>
              <w:jc w:val="center"/>
              <w:rPr>
                <w:i/>
                <w:iCs/>
                <w:highlight w:val="darkGray"/>
              </w:rPr>
            </w:pPr>
            <w:r>
              <w:t xml:space="preserve"> </w:t>
            </w:r>
            <w:r w:rsidRPr="00632DCB">
              <w:rPr>
                <w:rFonts w:hint="eastAsia"/>
                <w:color w:val="000000"/>
                <w:w w:val="22"/>
                <w:shd w:val="solid" w:color="000000" w:fill="000000"/>
                <w:fitText w:val="100" w:id="-1032088568"/>
                <w14:textFill>
                  <w14:solidFill>
                    <w14:srgbClr w14:val="000000">
                      <w14:alpha w14:val="100000"/>
                    </w14:srgbClr>
                  </w14:solidFill>
                </w14:textFill>
              </w:rPr>
              <w:t xml:space="preserve">　</w:t>
            </w:r>
            <w:r w:rsidRPr="00632DCB">
              <w:rPr>
                <w:color w:val="000000"/>
                <w:w w:val="22"/>
                <w:shd w:val="solid" w:color="000000" w:fill="000000"/>
                <w:fitText w:val="100" w:id="-1032088568"/>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8"/>
                <w14:textFill>
                  <w14:solidFill>
                    <w14:srgbClr w14:val="000000">
                      <w14:alpha w14:val="100000"/>
                    </w14:srgbClr>
                  </w14:solidFill>
                </w14:textFill>
              </w:rPr>
              <w:t xml:space="preserve">　</w:t>
            </w:r>
            <w:r w:rsidR="00172D2B" w:rsidRPr="00172D2B">
              <w:rPr>
                <w:vertAlign w:val="superscript"/>
              </w:rPr>
              <w:t>2</w:t>
            </w:r>
          </w:p>
        </w:tc>
        <w:tc>
          <w:tcPr>
            <w:tcW w:w="0" w:type="auto"/>
          </w:tcPr>
          <w:p w14:paraId="4561AFB1" w14:textId="712B27C4" w:rsidR="002346DF" w:rsidRPr="00B01269" w:rsidRDefault="00632DCB" w:rsidP="00F4781C">
            <w:pPr>
              <w:pStyle w:val="TableText0"/>
              <w:jc w:val="center"/>
            </w:pPr>
            <w:r>
              <w:t xml:space="preserve"> </w:t>
            </w:r>
            <w:r w:rsidRPr="00632DCB">
              <w:rPr>
                <w:color w:val="000000"/>
                <w:spacing w:val="164"/>
                <w:shd w:val="solid" w:color="000000" w:fill="000000"/>
                <w:fitText w:val="250" w:id="-1032088567"/>
                <w14:textFill>
                  <w14:solidFill>
                    <w14:srgbClr w14:val="000000">
                      <w14:alpha w14:val="100000"/>
                    </w14:srgbClr>
                  </w14:solidFill>
                </w14:textFill>
              </w:rPr>
              <w:t>|</w:t>
            </w:r>
            <w:r w:rsidRPr="00632DCB">
              <w:rPr>
                <w:color w:val="000000"/>
                <w:spacing w:val="1"/>
                <w:shd w:val="solid" w:color="000000" w:fill="000000"/>
                <w:fitText w:val="250" w:id="-1032088567"/>
                <w14:textFill>
                  <w14:solidFill>
                    <w14:srgbClr w14:val="000000">
                      <w14:alpha w14:val="100000"/>
                    </w14:srgbClr>
                  </w14:solidFill>
                </w14:textFill>
              </w:rPr>
              <w:t>|</w:t>
            </w:r>
            <w:r w:rsidR="002346DF" w:rsidRPr="00B01269">
              <w:t>%</w:t>
            </w:r>
          </w:p>
        </w:tc>
      </w:tr>
      <w:tr w:rsidR="002346DF" w:rsidRPr="00743512" w14:paraId="4AC05742" w14:textId="77777777" w:rsidTr="00F4781C">
        <w:tc>
          <w:tcPr>
            <w:tcW w:w="0" w:type="auto"/>
          </w:tcPr>
          <w:p w14:paraId="643BBB82" w14:textId="7836E41D" w:rsidR="002346DF" w:rsidRPr="00743512" w:rsidRDefault="002346DF" w:rsidP="00F4781C">
            <w:pPr>
              <w:pStyle w:val="TableText0"/>
            </w:pPr>
            <w:r w:rsidRPr="00743512">
              <w:t>5</w:t>
            </w:r>
          </w:p>
        </w:tc>
        <w:tc>
          <w:tcPr>
            <w:tcW w:w="2807" w:type="dxa"/>
          </w:tcPr>
          <w:p w14:paraId="785D6B11" w14:textId="207BECED" w:rsidR="002346DF" w:rsidRPr="00743512" w:rsidRDefault="002346DF" w:rsidP="00F4781C">
            <w:pPr>
              <w:pStyle w:val="TableText0"/>
              <w:rPr>
                <w:i/>
                <w:iCs/>
              </w:rPr>
            </w:pPr>
            <w:r w:rsidRPr="00743512">
              <w:t>Adjustment for increased PARP use for non-mBC and mBC</w:t>
            </w:r>
          </w:p>
        </w:tc>
        <w:tc>
          <w:tcPr>
            <w:tcW w:w="2160" w:type="dxa"/>
          </w:tcPr>
          <w:p w14:paraId="32E16D67" w14:textId="77777777" w:rsidR="002346DF" w:rsidRPr="00743512" w:rsidRDefault="002346DF" w:rsidP="00F4781C">
            <w:pPr>
              <w:pStyle w:val="TableText0"/>
              <w:rPr>
                <w:i/>
                <w:iCs/>
              </w:rPr>
            </w:pPr>
            <w:r w:rsidRPr="00743512">
              <w:t>Included</w:t>
            </w:r>
          </w:p>
        </w:tc>
        <w:tc>
          <w:tcPr>
            <w:tcW w:w="1560" w:type="dxa"/>
          </w:tcPr>
          <w:p w14:paraId="0D2ED692" w14:textId="77777777" w:rsidR="002346DF" w:rsidRPr="00743512" w:rsidRDefault="002346DF" w:rsidP="00F4781C">
            <w:pPr>
              <w:pStyle w:val="TableText0"/>
              <w:rPr>
                <w:i/>
                <w:iCs/>
              </w:rPr>
            </w:pPr>
            <w:r w:rsidRPr="00743512">
              <w:t>Removed</w:t>
            </w:r>
          </w:p>
        </w:tc>
        <w:tc>
          <w:tcPr>
            <w:tcW w:w="1199" w:type="dxa"/>
          </w:tcPr>
          <w:p w14:paraId="58EA63D2" w14:textId="4DD8EB07" w:rsidR="002346DF" w:rsidRPr="00172D2B" w:rsidRDefault="00632DCB" w:rsidP="00F4781C">
            <w:pPr>
              <w:pStyle w:val="TableText0"/>
              <w:jc w:val="center"/>
              <w:rPr>
                <w:i/>
                <w:iCs/>
                <w:highlight w:val="darkGray"/>
              </w:rPr>
            </w:pPr>
            <w:r>
              <w:t xml:space="preserve"> </w:t>
            </w:r>
            <w:r w:rsidRPr="00632DCB">
              <w:rPr>
                <w:rFonts w:hint="eastAsia"/>
                <w:color w:val="000000"/>
                <w:w w:val="22"/>
                <w:shd w:val="solid" w:color="000000" w:fill="000000"/>
                <w:fitText w:val="100" w:id="-1032088566"/>
                <w14:textFill>
                  <w14:solidFill>
                    <w14:srgbClr w14:val="000000">
                      <w14:alpha w14:val="100000"/>
                    </w14:srgbClr>
                  </w14:solidFill>
                </w14:textFill>
              </w:rPr>
              <w:t xml:space="preserve">　</w:t>
            </w:r>
            <w:r w:rsidRPr="00632DCB">
              <w:rPr>
                <w:color w:val="000000"/>
                <w:w w:val="22"/>
                <w:shd w:val="solid" w:color="000000" w:fill="000000"/>
                <w:fitText w:val="100" w:id="-1032088566"/>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6"/>
                <w14:textFill>
                  <w14:solidFill>
                    <w14:srgbClr w14:val="000000">
                      <w14:alpha w14:val="100000"/>
                    </w14:srgbClr>
                  </w14:solidFill>
                </w14:textFill>
              </w:rPr>
              <w:t xml:space="preserve">　</w:t>
            </w:r>
            <w:r w:rsidR="00172D2B" w:rsidRPr="00172D2B">
              <w:rPr>
                <w:vertAlign w:val="superscript"/>
              </w:rPr>
              <w:t>2</w:t>
            </w:r>
          </w:p>
        </w:tc>
        <w:tc>
          <w:tcPr>
            <w:tcW w:w="0" w:type="auto"/>
          </w:tcPr>
          <w:p w14:paraId="330465C0" w14:textId="456AD6BA" w:rsidR="002346DF" w:rsidRPr="00B01269" w:rsidRDefault="00632DCB" w:rsidP="00F4781C">
            <w:pPr>
              <w:pStyle w:val="TableText0"/>
              <w:jc w:val="center"/>
            </w:pPr>
            <w:r>
              <w:t xml:space="preserve"> </w:t>
            </w:r>
            <w:r w:rsidRPr="00632DCB">
              <w:rPr>
                <w:color w:val="000000"/>
                <w:spacing w:val="164"/>
                <w:shd w:val="solid" w:color="000000" w:fill="000000"/>
                <w:fitText w:val="250" w:id="-1032088565"/>
                <w14:textFill>
                  <w14:solidFill>
                    <w14:srgbClr w14:val="000000">
                      <w14:alpha w14:val="100000"/>
                    </w14:srgbClr>
                  </w14:solidFill>
                </w14:textFill>
              </w:rPr>
              <w:t>|</w:t>
            </w:r>
            <w:r w:rsidRPr="00632DCB">
              <w:rPr>
                <w:color w:val="000000"/>
                <w:spacing w:val="1"/>
                <w:shd w:val="solid" w:color="000000" w:fill="000000"/>
                <w:fitText w:val="250" w:id="-1032088565"/>
                <w14:textFill>
                  <w14:solidFill>
                    <w14:srgbClr w14:val="000000">
                      <w14:alpha w14:val="100000"/>
                    </w14:srgbClr>
                  </w14:solidFill>
                </w14:textFill>
              </w:rPr>
              <w:t>|</w:t>
            </w:r>
            <w:r w:rsidR="002346DF" w:rsidRPr="00B01269">
              <w:t>%</w:t>
            </w:r>
          </w:p>
        </w:tc>
      </w:tr>
      <w:tr w:rsidR="002346DF" w:rsidRPr="00743512" w14:paraId="2505CEA2" w14:textId="77777777" w:rsidTr="00F4781C">
        <w:tc>
          <w:tcPr>
            <w:tcW w:w="0" w:type="auto"/>
          </w:tcPr>
          <w:p w14:paraId="14FEFF3A" w14:textId="6CDA1761" w:rsidR="002346DF" w:rsidRPr="00743512" w:rsidRDefault="002346DF" w:rsidP="00F4781C">
            <w:pPr>
              <w:pStyle w:val="TableText0"/>
            </w:pPr>
            <w:r w:rsidRPr="00743512">
              <w:t>6</w:t>
            </w:r>
          </w:p>
        </w:tc>
        <w:tc>
          <w:tcPr>
            <w:tcW w:w="2807" w:type="dxa"/>
          </w:tcPr>
          <w:p w14:paraId="4FE05704" w14:textId="3A0AD587" w:rsidR="002346DF" w:rsidRPr="00743512" w:rsidRDefault="002346DF" w:rsidP="00F4781C">
            <w:pPr>
              <w:pStyle w:val="TableText0"/>
              <w:rPr>
                <w:i/>
                <w:iCs/>
              </w:rPr>
            </w:pPr>
            <w:r w:rsidRPr="00743512">
              <w:t>Treatment duration of sacituzumab govitecan</w:t>
            </w:r>
          </w:p>
        </w:tc>
        <w:tc>
          <w:tcPr>
            <w:tcW w:w="2160" w:type="dxa"/>
          </w:tcPr>
          <w:p w14:paraId="6C771EB3" w14:textId="77777777" w:rsidR="002346DF" w:rsidRPr="00743512" w:rsidRDefault="002346DF" w:rsidP="00F4781C">
            <w:pPr>
              <w:pStyle w:val="TableText0"/>
              <w:rPr>
                <w:i/>
                <w:iCs/>
              </w:rPr>
            </w:pPr>
            <w:r w:rsidRPr="00743512">
              <w:t>6.6 months</w:t>
            </w:r>
          </w:p>
        </w:tc>
        <w:tc>
          <w:tcPr>
            <w:tcW w:w="1560" w:type="dxa"/>
          </w:tcPr>
          <w:p w14:paraId="30E1A899" w14:textId="77777777" w:rsidR="002346DF" w:rsidRPr="00743512" w:rsidRDefault="002346DF" w:rsidP="00F4781C">
            <w:pPr>
              <w:pStyle w:val="TableText0"/>
              <w:rPr>
                <w:i/>
                <w:iCs/>
              </w:rPr>
            </w:pPr>
            <w:r w:rsidRPr="00743512">
              <w:t>5.6 months, taking to account dose interruptions</w:t>
            </w:r>
          </w:p>
        </w:tc>
        <w:tc>
          <w:tcPr>
            <w:tcW w:w="1199" w:type="dxa"/>
          </w:tcPr>
          <w:p w14:paraId="5C0DBAE4" w14:textId="2741DF67" w:rsidR="002346DF" w:rsidRPr="00172D2B" w:rsidRDefault="00632DCB" w:rsidP="00F4781C">
            <w:pPr>
              <w:pStyle w:val="TableText0"/>
              <w:jc w:val="center"/>
              <w:rPr>
                <w:i/>
                <w:iCs/>
                <w:highlight w:val="darkGray"/>
              </w:rPr>
            </w:pPr>
            <w:r>
              <w:t xml:space="preserve"> </w:t>
            </w:r>
            <w:r w:rsidRPr="00632DCB">
              <w:rPr>
                <w:rFonts w:hint="eastAsia"/>
                <w:color w:val="000000"/>
                <w:w w:val="22"/>
                <w:shd w:val="solid" w:color="000000" w:fill="000000"/>
                <w:fitText w:val="100" w:id="-1032088564"/>
                <w14:textFill>
                  <w14:solidFill>
                    <w14:srgbClr w14:val="000000">
                      <w14:alpha w14:val="100000"/>
                    </w14:srgbClr>
                  </w14:solidFill>
                </w14:textFill>
              </w:rPr>
              <w:t xml:space="preserve">　</w:t>
            </w:r>
            <w:r w:rsidRPr="00632DCB">
              <w:rPr>
                <w:color w:val="000000"/>
                <w:w w:val="22"/>
                <w:shd w:val="solid" w:color="000000" w:fill="000000"/>
                <w:fitText w:val="100" w:id="-1032088564"/>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4"/>
                <w14:textFill>
                  <w14:solidFill>
                    <w14:srgbClr w14:val="000000">
                      <w14:alpha w14:val="100000"/>
                    </w14:srgbClr>
                  </w14:solidFill>
                </w14:textFill>
              </w:rPr>
              <w:t xml:space="preserve">　</w:t>
            </w:r>
            <w:r w:rsidR="00172D2B" w:rsidRPr="00172D2B">
              <w:rPr>
                <w:vertAlign w:val="superscript"/>
              </w:rPr>
              <w:t>2</w:t>
            </w:r>
          </w:p>
        </w:tc>
        <w:tc>
          <w:tcPr>
            <w:tcW w:w="0" w:type="auto"/>
          </w:tcPr>
          <w:p w14:paraId="15C79758" w14:textId="300894B3" w:rsidR="002346DF" w:rsidRPr="00B01269" w:rsidRDefault="00632DCB" w:rsidP="00F4781C">
            <w:pPr>
              <w:pStyle w:val="TableText0"/>
              <w:jc w:val="center"/>
            </w:pPr>
            <w:r>
              <w:t xml:space="preserve"> </w:t>
            </w:r>
            <w:r w:rsidRPr="00632DCB">
              <w:rPr>
                <w:color w:val="000000"/>
                <w:spacing w:val="164"/>
                <w:shd w:val="solid" w:color="000000" w:fill="000000"/>
                <w:fitText w:val="250" w:id="-1032088563"/>
                <w14:textFill>
                  <w14:solidFill>
                    <w14:srgbClr w14:val="000000">
                      <w14:alpha w14:val="100000"/>
                    </w14:srgbClr>
                  </w14:solidFill>
                </w14:textFill>
              </w:rPr>
              <w:t>|</w:t>
            </w:r>
            <w:r w:rsidRPr="00632DCB">
              <w:rPr>
                <w:color w:val="000000"/>
                <w:spacing w:val="1"/>
                <w:shd w:val="solid" w:color="000000" w:fill="000000"/>
                <w:fitText w:val="250" w:id="-1032088563"/>
                <w14:textFill>
                  <w14:solidFill>
                    <w14:srgbClr w14:val="000000">
                      <w14:alpha w14:val="100000"/>
                    </w14:srgbClr>
                  </w14:solidFill>
                </w14:textFill>
              </w:rPr>
              <w:t>|</w:t>
            </w:r>
            <w:r w:rsidR="002346DF" w:rsidRPr="00B01269">
              <w:t>%</w:t>
            </w:r>
          </w:p>
        </w:tc>
      </w:tr>
      <w:tr w:rsidR="002346DF" w:rsidRPr="00743512" w14:paraId="1BE0EF35" w14:textId="77777777" w:rsidTr="00F4781C">
        <w:tc>
          <w:tcPr>
            <w:tcW w:w="0" w:type="auto"/>
          </w:tcPr>
          <w:p w14:paraId="2134F522" w14:textId="05BFE558" w:rsidR="002346DF" w:rsidRPr="00743512" w:rsidRDefault="002346DF" w:rsidP="00F4781C">
            <w:pPr>
              <w:pStyle w:val="TableText0"/>
            </w:pPr>
            <w:r w:rsidRPr="00743512">
              <w:t>7</w:t>
            </w:r>
          </w:p>
        </w:tc>
        <w:tc>
          <w:tcPr>
            <w:tcW w:w="2807" w:type="dxa"/>
          </w:tcPr>
          <w:p w14:paraId="6AD4D126" w14:textId="35FC54BA" w:rsidR="002346DF" w:rsidRPr="00743512" w:rsidRDefault="00CD50D4" w:rsidP="00F4781C">
            <w:pPr>
              <w:pStyle w:val="TableText0"/>
              <w:rPr>
                <w:i/>
                <w:iCs/>
              </w:rPr>
            </w:pPr>
            <w:r w:rsidRPr="00743512">
              <w:rPr>
                <w:i/>
              </w:rPr>
              <w:t>BRCA</w:t>
            </w:r>
            <w:r w:rsidR="002346DF" w:rsidRPr="00743512">
              <w:t xml:space="preserve"> testing unit cost</w:t>
            </w:r>
          </w:p>
        </w:tc>
        <w:tc>
          <w:tcPr>
            <w:tcW w:w="2160" w:type="dxa"/>
          </w:tcPr>
          <w:p w14:paraId="016896C5" w14:textId="77777777" w:rsidR="002346DF" w:rsidRPr="00743512" w:rsidRDefault="002346DF" w:rsidP="00F4781C">
            <w:pPr>
              <w:pStyle w:val="TableText0"/>
              <w:rPr>
                <w:i/>
                <w:iCs/>
              </w:rPr>
            </w:pPr>
            <w:r w:rsidRPr="00B01269">
              <w:t>$1,000</w:t>
            </w:r>
          </w:p>
        </w:tc>
        <w:tc>
          <w:tcPr>
            <w:tcW w:w="1560" w:type="dxa"/>
          </w:tcPr>
          <w:p w14:paraId="246CAFB4" w14:textId="77777777" w:rsidR="002346DF" w:rsidRPr="00743512" w:rsidRDefault="002346DF" w:rsidP="00F4781C">
            <w:pPr>
              <w:pStyle w:val="TableText0"/>
              <w:rPr>
                <w:i/>
                <w:iCs/>
              </w:rPr>
            </w:pPr>
            <w:r w:rsidRPr="00743512">
              <w:t>$</w:t>
            </w:r>
            <w:r w:rsidRPr="00172D2B">
              <w:t>1,200</w:t>
            </w:r>
          </w:p>
        </w:tc>
        <w:tc>
          <w:tcPr>
            <w:tcW w:w="1199" w:type="dxa"/>
          </w:tcPr>
          <w:p w14:paraId="789D3F57" w14:textId="739A08FD" w:rsidR="002346DF" w:rsidRPr="00172D2B" w:rsidRDefault="00632DCB" w:rsidP="00F4781C">
            <w:pPr>
              <w:pStyle w:val="TableText0"/>
              <w:jc w:val="center"/>
              <w:rPr>
                <w:i/>
                <w:iCs/>
                <w:highlight w:val="darkGray"/>
              </w:rPr>
            </w:pPr>
            <w:r>
              <w:t xml:space="preserve"> </w:t>
            </w:r>
            <w:r w:rsidRPr="00632DCB">
              <w:rPr>
                <w:rFonts w:hint="eastAsia"/>
                <w:color w:val="000000"/>
                <w:w w:val="22"/>
                <w:shd w:val="solid" w:color="000000" w:fill="000000"/>
                <w:fitText w:val="100" w:id="-1032088562"/>
                <w14:textFill>
                  <w14:solidFill>
                    <w14:srgbClr w14:val="000000">
                      <w14:alpha w14:val="100000"/>
                    </w14:srgbClr>
                  </w14:solidFill>
                </w14:textFill>
              </w:rPr>
              <w:t xml:space="preserve">　</w:t>
            </w:r>
            <w:r w:rsidRPr="00632DCB">
              <w:rPr>
                <w:color w:val="000000"/>
                <w:w w:val="22"/>
                <w:shd w:val="solid" w:color="000000" w:fill="000000"/>
                <w:fitText w:val="100" w:id="-1032088562"/>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2"/>
                <w14:textFill>
                  <w14:solidFill>
                    <w14:srgbClr w14:val="000000">
                      <w14:alpha w14:val="100000"/>
                    </w14:srgbClr>
                  </w14:solidFill>
                </w14:textFill>
              </w:rPr>
              <w:t xml:space="preserve">　</w:t>
            </w:r>
            <w:r w:rsidR="00172D2B" w:rsidRPr="00172D2B">
              <w:rPr>
                <w:vertAlign w:val="superscript"/>
              </w:rPr>
              <w:t>2</w:t>
            </w:r>
          </w:p>
        </w:tc>
        <w:tc>
          <w:tcPr>
            <w:tcW w:w="0" w:type="auto"/>
          </w:tcPr>
          <w:p w14:paraId="4393E5BA" w14:textId="05A48B85" w:rsidR="002346DF" w:rsidRPr="00B01269" w:rsidRDefault="00632DCB" w:rsidP="00F4781C">
            <w:pPr>
              <w:pStyle w:val="TableText0"/>
              <w:jc w:val="center"/>
            </w:pPr>
            <w:r>
              <w:t xml:space="preserve"> </w:t>
            </w:r>
            <w:r w:rsidRPr="00632DCB">
              <w:rPr>
                <w:color w:val="000000"/>
                <w:spacing w:val="164"/>
                <w:shd w:val="solid" w:color="000000" w:fill="000000"/>
                <w:fitText w:val="250" w:id="-1032088561"/>
                <w14:textFill>
                  <w14:solidFill>
                    <w14:srgbClr w14:val="000000">
                      <w14:alpha w14:val="100000"/>
                    </w14:srgbClr>
                  </w14:solidFill>
                </w14:textFill>
              </w:rPr>
              <w:t>|</w:t>
            </w:r>
            <w:r w:rsidRPr="00632DCB">
              <w:rPr>
                <w:color w:val="000000"/>
                <w:spacing w:val="1"/>
                <w:shd w:val="solid" w:color="000000" w:fill="000000"/>
                <w:fitText w:val="250" w:id="-1032088561"/>
                <w14:textFill>
                  <w14:solidFill>
                    <w14:srgbClr w14:val="000000">
                      <w14:alpha w14:val="100000"/>
                    </w14:srgbClr>
                  </w14:solidFill>
                </w14:textFill>
              </w:rPr>
              <w:t>|</w:t>
            </w:r>
            <w:r w:rsidR="002346DF" w:rsidRPr="00B01269">
              <w:t>%</w:t>
            </w:r>
          </w:p>
        </w:tc>
      </w:tr>
      <w:tr w:rsidR="002346DF" w:rsidRPr="00743512" w14:paraId="5CFC4662" w14:textId="77777777" w:rsidTr="00F4781C">
        <w:tc>
          <w:tcPr>
            <w:tcW w:w="0" w:type="auto"/>
          </w:tcPr>
          <w:p w14:paraId="0D9C1746" w14:textId="2DCE133F" w:rsidR="002346DF" w:rsidRPr="00743512" w:rsidRDefault="002346DF" w:rsidP="00F4781C">
            <w:pPr>
              <w:pStyle w:val="TableText0"/>
              <w:keepNext w:val="0"/>
            </w:pPr>
            <w:r w:rsidRPr="00743512">
              <w:t>8</w:t>
            </w:r>
          </w:p>
        </w:tc>
        <w:tc>
          <w:tcPr>
            <w:tcW w:w="2807" w:type="dxa"/>
          </w:tcPr>
          <w:p w14:paraId="1F45878B" w14:textId="0DFF6451" w:rsidR="002346DF" w:rsidRPr="00743512" w:rsidRDefault="002346DF" w:rsidP="00F4781C">
            <w:pPr>
              <w:pStyle w:val="TableText0"/>
              <w:keepNext w:val="0"/>
              <w:rPr>
                <w:i/>
                <w:iCs/>
              </w:rPr>
            </w:pPr>
            <w:r w:rsidRPr="00743512">
              <w:t xml:space="preserve">Echocardiography </w:t>
            </w:r>
          </w:p>
        </w:tc>
        <w:tc>
          <w:tcPr>
            <w:tcW w:w="2160" w:type="dxa"/>
          </w:tcPr>
          <w:p w14:paraId="496D9751" w14:textId="77777777" w:rsidR="002346DF" w:rsidRPr="00743512" w:rsidRDefault="002346DF" w:rsidP="00F4781C">
            <w:pPr>
              <w:pStyle w:val="TableText0"/>
              <w:keepNext w:val="0"/>
              <w:rPr>
                <w:i/>
                <w:iCs/>
              </w:rPr>
            </w:pPr>
            <w:r w:rsidRPr="00743512">
              <w:t>Included in the mBC health state</w:t>
            </w:r>
          </w:p>
        </w:tc>
        <w:tc>
          <w:tcPr>
            <w:tcW w:w="1560" w:type="dxa"/>
          </w:tcPr>
          <w:p w14:paraId="0C52E4A2" w14:textId="77777777" w:rsidR="002346DF" w:rsidRPr="00743512" w:rsidRDefault="002346DF" w:rsidP="00F4781C">
            <w:pPr>
              <w:pStyle w:val="TableText0"/>
              <w:keepNext w:val="0"/>
              <w:rPr>
                <w:i/>
                <w:iCs/>
              </w:rPr>
            </w:pPr>
            <w:r w:rsidRPr="00743512">
              <w:t>Removed</w:t>
            </w:r>
          </w:p>
        </w:tc>
        <w:tc>
          <w:tcPr>
            <w:tcW w:w="1199" w:type="dxa"/>
          </w:tcPr>
          <w:p w14:paraId="6319C509" w14:textId="4612030D" w:rsidR="002346DF" w:rsidRPr="00172D2B" w:rsidRDefault="00632DCB" w:rsidP="00F4781C">
            <w:pPr>
              <w:pStyle w:val="TableText0"/>
              <w:keepNext w:val="0"/>
              <w:jc w:val="center"/>
              <w:rPr>
                <w:i/>
                <w:iCs/>
                <w:highlight w:val="darkGray"/>
              </w:rPr>
            </w:pPr>
            <w:r>
              <w:t xml:space="preserve"> </w:t>
            </w:r>
            <w:r w:rsidRPr="00632DCB">
              <w:rPr>
                <w:rFonts w:hint="eastAsia"/>
                <w:color w:val="000000"/>
                <w:w w:val="22"/>
                <w:shd w:val="solid" w:color="000000" w:fill="000000"/>
                <w:fitText w:val="100" w:id="-1032088560"/>
                <w14:textFill>
                  <w14:solidFill>
                    <w14:srgbClr w14:val="000000">
                      <w14:alpha w14:val="100000"/>
                    </w14:srgbClr>
                  </w14:solidFill>
                </w14:textFill>
              </w:rPr>
              <w:t xml:space="preserve">　</w:t>
            </w:r>
            <w:r w:rsidRPr="00632DCB">
              <w:rPr>
                <w:color w:val="000000"/>
                <w:w w:val="22"/>
                <w:shd w:val="solid" w:color="000000" w:fill="000000"/>
                <w:fitText w:val="100" w:id="-1032088560"/>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0"/>
                <w14:textFill>
                  <w14:solidFill>
                    <w14:srgbClr w14:val="000000">
                      <w14:alpha w14:val="100000"/>
                    </w14:srgbClr>
                  </w14:solidFill>
                </w14:textFill>
              </w:rPr>
              <w:t xml:space="preserve">　</w:t>
            </w:r>
            <w:r w:rsidR="00172D2B" w:rsidRPr="00172D2B">
              <w:rPr>
                <w:vertAlign w:val="superscript"/>
              </w:rPr>
              <w:t>2</w:t>
            </w:r>
          </w:p>
        </w:tc>
        <w:tc>
          <w:tcPr>
            <w:tcW w:w="0" w:type="auto"/>
          </w:tcPr>
          <w:p w14:paraId="6EA8CE39" w14:textId="0E6C321E" w:rsidR="002346DF" w:rsidRPr="00B01269" w:rsidRDefault="00632DCB" w:rsidP="00F4781C">
            <w:pPr>
              <w:pStyle w:val="TableText0"/>
              <w:keepNext w:val="0"/>
              <w:jc w:val="center"/>
            </w:pPr>
            <w:r>
              <w:t xml:space="preserve"> </w:t>
            </w:r>
            <w:r w:rsidRPr="00632DCB">
              <w:rPr>
                <w:color w:val="000000"/>
                <w:spacing w:val="164"/>
                <w:shd w:val="solid" w:color="000000" w:fill="000000"/>
                <w:fitText w:val="250" w:id="-1032088576"/>
                <w14:textFill>
                  <w14:solidFill>
                    <w14:srgbClr w14:val="000000">
                      <w14:alpha w14:val="100000"/>
                    </w14:srgbClr>
                  </w14:solidFill>
                </w14:textFill>
              </w:rPr>
              <w:t>|</w:t>
            </w:r>
            <w:r w:rsidRPr="00632DCB">
              <w:rPr>
                <w:color w:val="000000"/>
                <w:spacing w:val="1"/>
                <w:shd w:val="solid" w:color="000000" w:fill="000000"/>
                <w:fitText w:val="250" w:id="-1032088576"/>
                <w14:textFill>
                  <w14:solidFill>
                    <w14:srgbClr w14:val="000000">
                      <w14:alpha w14:val="100000"/>
                    </w14:srgbClr>
                  </w14:solidFill>
                </w14:textFill>
              </w:rPr>
              <w:t>|</w:t>
            </w:r>
            <w:r w:rsidR="002346DF" w:rsidRPr="00B01269">
              <w:t>%</w:t>
            </w:r>
          </w:p>
        </w:tc>
      </w:tr>
      <w:tr w:rsidR="002346DF" w:rsidRPr="00743512" w14:paraId="69FD1AF8" w14:textId="77777777" w:rsidTr="00F4781C">
        <w:tc>
          <w:tcPr>
            <w:tcW w:w="0" w:type="auto"/>
          </w:tcPr>
          <w:p w14:paraId="7A8146B9" w14:textId="55C52D27" w:rsidR="002346DF" w:rsidRPr="00743512" w:rsidRDefault="002346DF" w:rsidP="00F4781C">
            <w:pPr>
              <w:pStyle w:val="TableText0"/>
              <w:keepNext w:val="0"/>
            </w:pPr>
            <w:r w:rsidRPr="00743512">
              <w:t>9</w:t>
            </w:r>
          </w:p>
        </w:tc>
        <w:tc>
          <w:tcPr>
            <w:tcW w:w="2807" w:type="dxa"/>
            <w:vAlign w:val="center"/>
          </w:tcPr>
          <w:p w14:paraId="55250A2C" w14:textId="4ABFC12A" w:rsidR="002346DF" w:rsidRPr="00743512" w:rsidRDefault="002346DF" w:rsidP="002346DF">
            <w:pPr>
              <w:pStyle w:val="TableText0"/>
              <w:keepNext w:val="0"/>
              <w:rPr>
                <w:i/>
                <w:iCs/>
              </w:rPr>
            </w:pPr>
            <w:r w:rsidRPr="00743512">
              <w:t>Model time horizon</w:t>
            </w:r>
          </w:p>
        </w:tc>
        <w:tc>
          <w:tcPr>
            <w:tcW w:w="2160" w:type="dxa"/>
          </w:tcPr>
          <w:p w14:paraId="09041B65" w14:textId="77777777" w:rsidR="002346DF" w:rsidRPr="00743512" w:rsidRDefault="002346DF" w:rsidP="00F4781C">
            <w:pPr>
              <w:pStyle w:val="TableText0"/>
              <w:keepNext w:val="0"/>
              <w:rPr>
                <w:i/>
                <w:iCs/>
              </w:rPr>
            </w:pPr>
            <w:r w:rsidRPr="00743512">
              <w:t>40 years</w:t>
            </w:r>
          </w:p>
        </w:tc>
        <w:tc>
          <w:tcPr>
            <w:tcW w:w="1560" w:type="dxa"/>
          </w:tcPr>
          <w:p w14:paraId="7D9BAA42" w14:textId="77777777" w:rsidR="002346DF" w:rsidRPr="00743512" w:rsidRDefault="002346DF" w:rsidP="00F4781C">
            <w:pPr>
              <w:pStyle w:val="TableText0"/>
              <w:keepNext w:val="0"/>
              <w:rPr>
                <w:i/>
                <w:iCs/>
              </w:rPr>
            </w:pPr>
            <w:r w:rsidRPr="00743512">
              <w:t>30 years</w:t>
            </w:r>
          </w:p>
        </w:tc>
        <w:tc>
          <w:tcPr>
            <w:tcW w:w="1199" w:type="dxa"/>
          </w:tcPr>
          <w:p w14:paraId="57DFAB7F" w14:textId="29C05F33" w:rsidR="002346DF" w:rsidRPr="00743512" w:rsidRDefault="00632DCB" w:rsidP="00F4781C">
            <w:pPr>
              <w:pStyle w:val="TableText0"/>
              <w:keepNext w:val="0"/>
              <w:jc w:val="center"/>
              <w:rPr>
                <w:i/>
                <w:iCs/>
              </w:rPr>
            </w:pPr>
            <w:r>
              <w:t xml:space="preserve"> </w:t>
            </w:r>
            <w:r w:rsidRPr="00632DCB">
              <w:rPr>
                <w:rFonts w:hint="eastAsia"/>
                <w:color w:val="000000"/>
                <w:w w:val="29"/>
                <w:shd w:val="solid" w:color="000000" w:fill="000000"/>
                <w:fitText w:val="130" w:id="-1032088575"/>
                <w14:textFill>
                  <w14:solidFill>
                    <w14:srgbClr w14:val="000000">
                      <w14:alpha w14:val="100000"/>
                    </w14:srgbClr>
                  </w14:solidFill>
                </w14:textFill>
              </w:rPr>
              <w:t xml:space="preserve">　</w:t>
            </w:r>
            <w:r w:rsidRPr="00632DCB">
              <w:rPr>
                <w:color w:val="000000"/>
                <w:w w:val="29"/>
                <w:shd w:val="solid" w:color="000000" w:fill="000000"/>
                <w:fitText w:val="130" w:id="-1032088575"/>
                <w14:textFill>
                  <w14:solidFill>
                    <w14:srgbClr w14:val="000000">
                      <w14:alpha w14:val="100000"/>
                    </w14:srgbClr>
                  </w14:solidFill>
                </w14:textFill>
              </w:rPr>
              <w:t>|</w:t>
            </w:r>
            <w:r w:rsidRPr="00632DCB">
              <w:rPr>
                <w:rFonts w:hint="eastAsia"/>
                <w:color w:val="000000"/>
                <w:spacing w:val="2"/>
                <w:w w:val="29"/>
                <w:shd w:val="solid" w:color="000000" w:fill="000000"/>
                <w:fitText w:val="130" w:id="-1032088575"/>
                <w14:textFill>
                  <w14:solidFill>
                    <w14:srgbClr w14:val="000000">
                      <w14:alpha w14:val="100000"/>
                    </w14:srgbClr>
                  </w14:solidFill>
                </w14:textFill>
              </w:rPr>
              <w:t xml:space="preserve">　</w:t>
            </w:r>
            <w:r w:rsidR="00172D2B" w:rsidRPr="00172D2B">
              <w:rPr>
                <w:vertAlign w:val="superscript"/>
              </w:rPr>
              <w:t>2</w:t>
            </w:r>
          </w:p>
        </w:tc>
        <w:tc>
          <w:tcPr>
            <w:tcW w:w="0" w:type="auto"/>
          </w:tcPr>
          <w:p w14:paraId="3AC31B5A" w14:textId="6737C6ED" w:rsidR="002346DF" w:rsidRPr="00B01269" w:rsidRDefault="00632DCB" w:rsidP="00F4781C">
            <w:pPr>
              <w:pStyle w:val="TableText0"/>
              <w:keepNext w:val="0"/>
              <w:jc w:val="center"/>
            </w:pPr>
            <w:r>
              <w:t xml:space="preserve"> </w:t>
            </w:r>
            <w:r w:rsidRPr="00632DCB">
              <w:rPr>
                <w:color w:val="000000"/>
                <w:spacing w:val="164"/>
                <w:shd w:val="solid" w:color="000000" w:fill="000000"/>
                <w:fitText w:val="250" w:id="-1032088574"/>
                <w14:textFill>
                  <w14:solidFill>
                    <w14:srgbClr w14:val="000000">
                      <w14:alpha w14:val="100000"/>
                    </w14:srgbClr>
                  </w14:solidFill>
                </w14:textFill>
              </w:rPr>
              <w:t>|</w:t>
            </w:r>
            <w:r w:rsidRPr="00632DCB">
              <w:rPr>
                <w:color w:val="000000"/>
                <w:spacing w:val="1"/>
                <w:shd w:val="solid" w:color="000000" w:fill="000000"/>
                <w:fitText w:val="250" w:id="-1032088574"/>
                <w14:textFill>
                  <w14:solidFill>
                    <w14:srgbClr w14:val="000000">
                      <w14:alpha w14:val="100000"/>
                    </w14:srgbClr>
                  </w14:solidFill>
                </w14:textFill>
              </w:rPr>
              <w:t>|</w:t>
            </w:r>
            <w:r w:rsidR="002346DF" w:rsidRPr="00B01269">
              <w:t>%</w:t>
            </w:r>
          </w:p>
        </w:tc>
      </w:tr>
    </w:tbl>
    <w:p w14:paraId="50137707" w14:textId="77777777" w:rsidR="00BF3070" w:rsidRPr="00743512" w:rsidRDefault="00BF3070" w:rsidP="00BF3070">
      <w:pPr>
        <w:pStyle w:val="TableFigureFooter"/>
      </w:pPr>
      <w:r w:rsidRPr="00743512">
        <w:t>Source: Analyses performed during the evaluation.</w:t>
      </w:r>
    </w:p>
    <w:p w14:paraId="15CA2CD9" w14:textId="5AC2565F" w:rsidR="00BF3070" w:rsidRPr="00743512" w:rsidRDefault="00BF3070" w:rsidP="00BF3070">
      <w:pPr>
        <w:pStyle w:val="TableFigureFooter"/>
      </w:pPr>
      <w:r w:rsidRPr="00743512">
        <w:t>g</w:t>
      </w:r>
      <w:r w:rsidR="00CD50D4" w:rsidRPr="00743512">
        <w:rPr>
          <w:i/>
        </w:rPr>
        <w:t>BRCA</w:t>
      </w:r>
      <w:r w:rsidRPr="00743512">
        <w:t xml:space="preserve"> = germline breast cancer gene; </w:t>
      </w:r>
      <w:bookmarkStart w:id="87" w:name="_Hlk145335830"/>
      <w:r w:rsidRPr="00743512">
        <w:t xml:space="preserve">HR = hormone receptor; </w:t>
      </w:r>
      <w:bookmarkEnd w:id="87"/>
      <w:r w:rsidRPr="00743512">
        <w:t>ICER = incremental cost-effectiveness ratio; mBC = metastatic breast cancer recurrence; non-mBC = non-metastatic breast cancer recurrence; PARP = poly (adenosine diphosphate [ADP]-ribose) polymerase</w:t>
      </w:r>
      <w:bookmarkStart w:id="88" w:name="_Hlk145335843"/>
      <w:r w:rsidRPr="00743512">
        <w:t>; TNBC = triple negative breast cancer.</w:t>
      </w:r>
    </w:p>
    <w:p w14:paraId="08274A7E" w14:textId="580CC675" w:rsidR="00BF3070" w:rsidRDefault="00BF3070" w:rsidP="009E444E">
      <w:pPr>
        <w:pStyle w:val="TableFigureFooter"/>
        <w:spacing w:after="0"/>
      </w:pPr>
      <w:r w:rsidRPr="00743512">
        <w:rPr>
          <w:vertAlign w:val="superscript"/>
        </w:rPr>
        <w:t xml:space="preserve">a </w:t>
      </w:r>
      <w:r w:rsidRPr="00743512">
        <w:t xml:space="preserve">Additional changes include: 1) duration of olaparib therapy = 10.27 months (as used in the previous economic evaluation, based on the time to treatment discontinuation curve); 2) treatment duration for sacituzumab govitecan = 5 </w:t>
      </w:r>
      <w:r w:rsidRPr="00D83734">
        <w:t>months (≈25% reduction from the resubmission’s estimate); 3) % of TNBC = 12.1% (as assumed in the previous submission); 4) prevalence of g</w:t>
      </w:r>
      <w:r w:rsidR="00CD50D4" w:rsidRPr="00D83734">
        <w:rPr>
          <w:i/>
        </w:rPr>
        <w:t>BRCA</w:t>
      </w:r>
      <w:r w:rsidRPr="00D83734">
        <w:t xml:space="preserve"> mutations in HR+ patients = 13.25% (as assumed in the previous submission); and 5) weighted testing rate in the current scenario of 33.5% (</w:t>
      </w:r>
      <w:r w:rsidRPr="00743512">
        <w:t>as respecified in the PBAC base case).</w:t>
      </w:r>
      <w:bookmarkEnd w:id="88"/>
    </w:p>
    <w:p w14:paraId="636C08AB" w14:textId="77777777" w:rsidR="00172D2B" w:rsidRPr="00172D2B" w:rsidRDefault="00172D2B" w:rsidP="00172D2B">
      <w:pPr>
        <w:jc w:val="left"/>
        <w:rPr>
          <w:rFonts w:ascii="Arial Narrow" w:hAnsi="Arial Narrow"/>
          <w:i/>
          <w:sz w:val="18"/>
          <w:szCs w:val="18"/>
        </w:rPr>
      </w:pPr>
      <w:r w:rsidRPr="00172D2B">
        <w:rPr>
          <w:rFonts w:ascii="Arial Narrow" w:hAnsi="Arial Narrow"/>
          <w:i/>
          <w:sz w:val="18"/>
          <w:szCs w:val="18"/>
        </w:rPr>
        <w:t xml:space="preserve">The redacted values correspond to the following ranges: </w:t>
      </w:r>
    </w:p>
    <w:p w14:paraId="75FA5C2A" w14:textId="39E8239A" w:rsidR="00172D2B" w:rsidRPr="00172D2B" w:rsidRDefault="00172D2B" w:rsidP="00172D2B">
      <w:pPr>
        <w:jc w:val="left"/>
        <w:rPr>
          <w:rFonts w:ascii="Arial Narrow" w:hAnsi="Arial Narrow"/>
          <w:i/>
          <w:sz w:val="18"/>
          <w:szCs w:val="18"/>
        </w:rPr>
      </w:pPr>
      <w:r w:rsidRPr="00172D2B">
        <w:rPr>
          <w:rFonts w:ascii="Arial Narrow" w:hAnsi="Arial Narrow"/>
          <w:i/>
          <w:sz w:val="18"/>
          <w:szCs w:val="18"/>
          <w:vertAlign w:val="superscript"/>
        </w:rPr>
        <w:t>1</w:t>
      </w:r>
      <w:r>
        <w:rPr>
          <w:rFonts w:ascii="Arial Narrow" w:hAnsi="Arial Narrow"/>
          <w:i/>
          <w:sz w:val="18"/>
          <w:szCs w:val="18"/>
        </w:rPr>
        <w:t xml:space="preserve"> </w:t>
      </w:r>
      <w:r w:rsidRPr="00172D2B">
        <w:rPr>
          <w:rFonts w:ascii="Arial Narrow" w:hAnsi="Arial Narrow"/>
          <w:i/>
          <w:sz w:val="18"/>
          <w:szCs w:val="18"/>
        </w:rPr>
        <w:t>$35,000 to &lt; $45,000</w:t>
      </w:r>
    </w:p>
    <w:p w14:paraId="394F2C10" w14:textId="28BA5273" w:rsidR="00172D2B" w:rsidRPr="00172D2B" w:rsidRDefault="00172D2B" w:rsidP="00F32823">
      <w:pPr>
        <w:spacing w:after="120"/>
        <w:jc w:val="left"/>
        <w:rPr>
          <w:rFonts w:ascii="Arial Narrow" w:hAnsi="Arial Narrow"/>
          <w:i/>
          <w:sz w:val="18"/>
          <w:szCs w:val="18"/>
        </w:rPr>
      </w:pPr>
      <w:r w:rsidRPr="00172D2B">
        <w:rPr>
          <w:rFonts w:ascii="Arial Narrow" w:hAnsi="Arial Narrow"/>
          <w:i/>
          <w:sz w:val="18"/>
          <w:szCs w:val="18"/>
          <w:vertAlign w:val="superscript"/>
        </w:rPr>
        <w:t>2</w:t>
      </w:r>
      <w:r>
        <w:rPr>
          <w:rFonts w:ascii="Arial Narrow" w:hAnsi="Arial Narrow"/>
          <w:i/>
          <w:sz w:val="18"/>
          <w:szCs w:val="18"/>
        </w:rPr>
        <w:t xml:space="preserve"> </w:t>
      </w:r>
      <w:r w:rsidRPr="00172D2B">
        <w:rPr>
          <w:rFonts w:ascii="Arial Narrow" w:hAnsi="Arial Narrow"/>
          <w:i/>
          <w:sz w:val="18"/>
          <w:szCs w:val="18"/>
        </w:rPr>
        <w:t xml:space="preserve">$55,000 to &lt; $75,000 </w:t>
      </w:r>
    </w:p>
    <w:p w14:paraId="0958BDD5" w14:textId="0E487C51" w:rsidR="002346DF" w:rsidRPr="00743512" w:rsidRDefault="002346DF" w:rsidP="002346DF">
      <w:pPr>
        <w:pStyle w:val="3-BodyText"/>
      </w:pPr>
      <w:r w:rsidRPr="00743512">
        <w:t xml:space="preserve">As noted in </w:t>
      </w:r>
      <w:r w:rsidRPr="00743512">
        <w:fldChar w:fldCharType="begin"/>
      </w:r>
      <w:r w:rsidRPr="00743512">
        <w:instrText xml:space="preserve"> REF _Ref124154495 \h  \* MERGEFORMAT </w:instrText>
      </w:r>
      <w:r w:rsidRPr="00743512">
        <w:fldChar w:fldCharType="separate"/>
      </w:r>
      <w:r w:rsidR="00D2565D" w:rsidRPr="00743512">
        <w:t xml:space="preserve">Table </w:t>
      </w:r>
      <w:r w:rsidR="00D2565D">
        <w:t>15</w:t>
      </w:r>
      <w:r w:rsidRPr="00743512">
        <w:fldChar w:fldCharType="end"/>
      </w:r>
      <w:r w:rsidRPr="00743512">
        <w:t>, the commentary proposed nine changes to the resubmission’s base case based on previous PBAC advice and the concerns raised during the evaluation</w:t>
      </w:r>
      <w:r w:rsidR="00157B92" w:rsidRPr="00743512">
        <w:t xml:space="preserve">. </w:t>
      </w:r>
      <w:r w:rsidRPr="00743512">
        <w:t xml:space="preserve">The PSCR disagreed with six of the revisions in the </w:t>
      </w:r>
      <w:r w:rsidR="00874CF5" w:rsidRPr="00743512">
        <w:t xml:space="preserve">commentary’s </w:t>
      </w:r>
      <w:r w:rsidRPr="00743512">
        <w:t xml:space="preserve">alternative base case as outlined in </w:t>
      </w:r>
      <w:r w:rsidRPr="00743512">
        <w:fldChar w:fldCharType="begin"/>
      </w:r>
      <w:r w:rsidRPr="00743512">
        <w:instrText xml:space="preserve"> REF _Ref147928542 \h  \* MERGEFORMAT </w:instrText>
      </w:r>
      <w:r w:rsidRPr="00743512">
        <w:fldChar w:fldCharType="separate"/>
      </w:r>
      <w:r w:rsidR="00D2565D" w:rsidRPr="00743512">
        <w:t xml:space="preserve">Table </w:t>
      </w:r>
      <w:r w:rsidR="00D2565D">
        <w:t>16</w:t>
      </w:r>
      <w:r w:rsidRPr="00743512">
        <w:fldChar w:fldCharType="end"/>
      </w:r>
      <w:r w:rsidR="00157B92" w:rsidRPr="00743512">
        <w:t xml:space="preserve">. </w:t>
      </w:r>
    </w:p>
    <w:p w14:paraId="2C774250" w14:textId="431D057F" w:rsidR="002346DF" w:rsidRPr="00743512" w:rsidRDefault="002346DF" w:rsidP="002346DF">
      <w:pPr>
        <w:pStyle w:val="Caption"/>
        <w:rPr>
          <w:rStyle w:val="CommentReference"/>
          <w:b/>
          <w:szCs w:val="24"/>
        </w:rPr>
      </w:pPr>
      <w:bookmarkStart w:id="89" w:name="_Ref147928542"/>
      <w:r w:rsidRPr="00743512">
        <w:t xml:space="preserve">Table </w:t>
      </w:r>
      <w:r w:rsidR="00D2565D">
        <w:fldChar w:fldCharType="begin"/>
      </w:r>
      <w:r w:rsidR="00D2565D">
        <w:instrText xml:space="preserve"> SEQ Table \* ARABIC </w:instrText>
      </w:r>
      <w:r w:rsidR="00D2565D">
        <w:fldChar w:fldCharType="separate"/>
      </w:r>
      <w:r w:rsidR="00D2565D">
        <w:rPr>
          <w:noProof/>
        </w:rPr>
        <w:t>16</w:t>
      </w:r>
      <w:r w:rsidR="00D2565D">
        <w:rPr>
          <w:noProof/>
        </w:rPr>
        <w:fldChar w:fldCharType="end"/>
      </w:r>
      <w:bookmarkEnd w:id="89"/>
      <w:r w:rsidRPr="00743512">
        <w:t>:</w:t>
      </w:r>
      <w:r w:rsidRPr="00743512">
        <w:rPr>
          <w:rStyle w:val="CommentReference"/>
          <w:b/>
          <w:szCs w:val="24"/>
        </w:rPr>
        <w:t xml:space="preserve"> Changes proposed by PSCR</w:t>
      </w:r>
      <w:r w:rsidR="005A5F28" w:rsidRPr="00743512">
        <w:rPr>
          <w:rStyle w:val="CommentReference"/>
          <w:b/>
          <w:szCs w:val="24"/>
        </w:rPr>
        <w:t xml:space="preserve">, ESC and the pre-PBAC </w:t>
      </w:r>
      <w:r w:rsidRPr="00743512">
        <w:rPr>
          <w:rStyle w:val="CommentReference"/>
          <w:b/>
          <w:szCs w:val="24"/>
        </w:rPr>
        <w:t>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Changes proposed by PSCR, ESC and the pre-PBAC response"/>
      </w:tblPr>
      <w:tblGrid>
        <w:gridCol w:w="235"/>
        <w:gridCol w:w="1343"/>
        <w:gridCol w:w="3034"/>
        <w:gridCol w:w="4405"/>
      </w:tblGrid>
      <w:tr w:rsidR="00C940B2" w:rsidRPr="00743512" w14:paraId="723A9FE9" w14:textId="77777777" w:rsidTr="001074C6">
        <w:trPr>
          <w:cantSplit/>
          <w:tblHeader/>
          <w:jc w:val="center"/>
        </w:trPr>
        <w:tc>
          <w:tcPr>
            <w:tcW w:w="235" w:type="dxa"/>
            <w:shd w:val="clear" w:color="auto" w:fill="auto"/>
            <w:vAlign w:val="center"/>
          </w:tcPr>
          <w:p w14:paraId="7637B7CC" w14:textId="77777777" w:rsidR="002346DF" w:rsidRPr="00743512" w:rsidRDefault="002346DF" w:rsidP="004F5B47">
            <w:pPr>
              <w:pStyle w:val="TableText0"/>
              <w:rPr>
                <w:b/>
                <w:bCs w:val="0"/>
              </w:rPr>
            </w:pPr>
          </w:p>
        </w:tc>
        <w:tc>
          <w:tcPr>
            <w:tcW w:w="1343" w:type="dxa"/>
          </w:tcPr>
          <w:p w14:paraId="0632A333" w14:textId="0211C02C" w:rsidR="002346DF" w:rsidRPr="00743512" w:rsidRDefault="002346DF" w:rsidP="004F5B47">
            <w:pPr>
              <w:pStyle w:val="TableText0"/>
              <w:rPr>
                <w:b/>
                <w:bCs w:val="0"/>
              </w:rPr>
            </w:pPr>
            <w:r w:rsidRPr="00743512">
              <w:rPr>
                <w:b/>
                <w:bCs w:val="0"/>
              </w:rPr>
              <w:t>Topic</w:t>
            </w:r>
          </w:p>
        </w:tc>
        <w:tc>
          <w:tcPr>
            <w:tcW w:w="0" w:type="auto"/>
            <w:shd w:val="clear" w:color="auto" w:fill="auto"/>
            <w:vAlign w:val="center"/>
          </w:tcPr>
          <w:p w14:paraId="52930AEA" w14:textId="7F2D4164" w:rsidR="002346DF" w:rsidRPr="00743512" w:rsidRDefault="002346DF" w:rsidP="004F5B47">
            <w:pPr>
              <w:pStyle w:val="TableText0"/>
              <w:rPr>
                <w:b/>
                <w:bCs w:val="0"/>
              </w:rPr>
            </w:pPr>
            <w:r w:rsidRPr="00743512">
              <w:rPr>
                <w:b/>
                <w:bCs w:val="0"/>
              </w:rPr>
              <w:t>PSCR</w:t>
            </w:r>
          </w:p>
        </w:tc>
        <w:tc>
          <w:tcPr>
            <w:tcW w:w="0" w:type="auto"/>
            <w:shd w:val="clear" w:color="auto" w:fill="auto"/>
            <w:vAlign w:val="center"/>
          </w:tcPr>
          <w:p w14:paraId="6E168BF2" w14:textId="12C2C147" w:rsidR="002346DF" w:rsidRPr="00743512" w:rsidRDefault="002346DF" w:rsidP="004F5B47">
            <w:pPr>
              <w:pStyle w:val="TableText0"/>
              <w:rPr>
                <w:b/>
                <w:bCs w:val="0"/>
              </w:rPr>
            </w:pPr>
            <w:r w:rsidRPr="00743512">
              <w:rPr>
                <w:b/>
                <w:bCs w:val="0"/>
              </w:rPr>
              <w:t>ESC Advice</w:t>
            </w:r>
            <w:r w:rsidR="00874CF5" w:rsidRPr="00743512">
              <w:rPr>
                <w:b/>
                <w:bCs w:val="0"/>
              </w:rPr>
              <w:t xml:space="preserve"> </w:t>
            </w:r>
          </w:p>
        </w:tc>
      </w:tr>
      <w:tr w:rsidR="00C940B2" w:rsidRPr="00743512" w14:paraId="1E58CC6D" w14:textId="77777777" w:rsidTr="00F4781C">
        <w:trPr>
          <w:cantSplit/>
          <w:jc w:val="center"/>
        </w:trPr>
        <w:tc>
          <w:tcPr>
            <w:tcW w:w="235" w:type="dxa"/>
            <w:shd w:val="clear" w:color="auto" w:fill="auto"/>
          </w:tcPr>
          <w:p w14:paraId="131F61B8" w14:textId="77777777" w:rsidR="002346DF" w:rsidRPr="00743512" w:rsidRDefault="002346DF" w:rsidP="00F4781C">
            <w:pPr>
              <w:pStyle w:val="TableText0"/>
            </w:pPr>
            <w:r w:rsidRPr="00743512">
              <w:t>1</w:t>
            </w:r>
          </w:p>
        </w:tc>
        <w:tc>
          <w:tcPr>
            <w:tcW w:w="1343" w:type="dxa"/>
          </w:tcPr>
          <w:p w14:paraId="54DBDC8D" w14:textId="52EB58D5" w:rsidR="002346DF" w:rsidRPr="00743512" w:rsidRDefault="00E30505" w:rsidP="004F5B47">
            <w:pPr>
              <w:pStyle w:val="TableText0"/>
            </w:pPr>
            <w:r w:rsidRPr="00743512">
              <w:t>Observed data t</w:t>
            </w:r>
            <w:r w:rsidR="002346DF" w:rsidRPr="00743512">
              <w:t>runcation point</w:t>
            </w:r>
          </w:p>
        </w:tc>
        <w:tc>
          <w:tcPr>
            <w:tcW w:w="0" w:type="auto"/>
            <w:shd w:val="clear" w:color="auto" w:fill="auto"/>
          </w:tcPr>
          <w:p w14:paraId="35F48139" w14:textId="34B78CFA" w:rsidR="002346DF" w:rsidRPr="00743512" w:rsidRDefault="002346DF" w:rsidP="001074C6">
            <w:pPr>
              <w:pStyle w:val="TableText0"/>
            </w:pPr>
            <w:r w:rsidRPr="00743512">
              <w:t>The PSCR proposed that the truncation point should be no later than 54 months</w:t>
            </w:r>
            <w:r w:rsidR="00F4781C" w:rsidRPr="00743512">
              <w:t>.</w:t>
            </w:r>
          </w:p>
        </w:tc>
        <w:tc>
          <w:tcPr>
            <w:tcW w:w="0" w:type="auto"/>
            <w:shd w:val="clear" w:color="auto" w:fill="auto"/>
          </w:tcPr>
          <w:p w14:paraId="3C3D9D52" w14:textId="08C393CE" w:rsidR="007A67F9" w:rsidRPr="00743512" w:rsidRDefault="002346DF" w:rsidP="007A67F9">
            <w:pPr>
              <w:pStyle w:val="TableText0"/>
            </w:pPr>
            <w:r w:rsidRPr="00743512">
              <w:t>The ESC agreed with the commentary that 60 months is appropriate</w:t>
            </w:r>
            <w:r w:rsidR="00A72424" w:rsidRPr="00743512">
              <w:t>; h</w:t>
            </w:r>
            <w:r w:rsidRPr="00743512">
              <w:t>owever</w:t>
            </w:r>
            <w:r w:rsidR="005A5F28" w:rsidRPr="00743512">
              <w:t>,</w:t>
            </w:r>
            <w:r w:rsidRPr="00743512">
              <w:t xml:space="preserve"> 54 months could be considered in a sensitivity analysis.</w:t>
            </w:r>
            <w:r w:rsidR="005A5F28" w:rsidRPr="00743512">
              <w:t xml:space="preserve"> 54 months was applied in the pre-PBAC response revised base case</w:t>
            </w:r>
          </w:p>
        </w:tc>
      </w:tr>
      <w:tr w:rsidR="00C940B2" w:rsidRPr="00743512" w14:paraId="33539823" w14:textId="77777777" w:rsidTr="00F4781C">
        <w:trPr>
          <w:cantSplit/>
          <w:trHeight w:val="482"/>
          <w:jc w:val="center"/>
        </w:trPr>
        <w:tc>
          <w:tcPr>
            <w:tcW w:w="235" w:type="dxa"/>
            <w:shd w:val="clear" w:color="auto" w:fill="auto"/>
          </w:tcPr>
          <w:p w14:paraId="177201F3" w14:textId="77777777" w:rsidR="002346DF" w:rsidRPr="00743512" w:rsidRDefault="002346DF" w:rsidP="00F4781C">
            <w:pPr>
              <w:pStyle w:val="TableText0"/>
            </w:pPr>
            <w:r w:rsidRPr="00743512">
              <w:t>2</w:t>
            </w:r>
          </w:p>
        </w:tc>
        <w:tc>
          <w:tcPr>
            <w:tcW w:w="1343" w:type="dxa"/>
          </w:tcPr>
          <w:p w14:paraId="1775E555" w14:textId="7A5B830F" w:rsidR="002346DF" w:rsidRPr="00743512" w:rsidRDefault="00A72424" w:rsidP="004F5B47">
            <w:pPr>
              <w:pStyle w:val="TableText0"/>
            </w:pPr>
            <w:r w:rsidRPr="00743512">
              <w:t>Time horizon</w:t>
            </w:r>
          </w:p>
        </w:tc>
        <w:tc>
          <w:tcPr>
            <w:tcW w:w="0" w:type="auto"/>
            <w:shd w:val="clear" w:color="auto" w:fill="auto"/>
          </w:tcPr>
          <w:p w14:paraId="1CCABF08" w14:textId="6BF661E0" w:rsidR="00A72424" w:rsidRPr="00743512" w:rsidRDefault="00A72424" w:rsidP="001074C6">
            <w:pPr>
              <w:pStyle w:val="TableText0"/>
            </w:pPr>
            <w:r w:rsidRPr="00743512">
              <w:t xml:space="preserve">The PSCR maintained that a time </w:t>
            </w:r>
            <w:r w:rsidR="002346DF" w:rsidRPr="00743512">
              <w:t xml:space="preserve">horizon of </w:t>
            </w:r>
            <w:r w:rsidRPr="00743512">
              <w:t>4</w:t>
            </w:r>
            <w:r w:rsidR="002346DF" w:rsidRPr="00743512">
              <w:t xml:space="preserve">0 years </w:t>
            </w:r>
            <w:r w:rsidRPr="00743512">
              <w:t>was appropriate</w:t>
            </w:r>
            <w:r w:rsidR="00F4781C" w:rsidRPr="00743512">
              <w:t>.</w:t>
            </w:r>
          </w:p>
        </w:tc>
        <w:tc>
          <w:tcPr>
            <w:tcW w:w="0" w:type="auto"/>
            <w:shd w:val="clear" w:color="auto" w:fill="auto"/>
          </w:tcPr>
          <w:p w14:paraId="290F5C31" w14:textId="520A01ED" w:rsidR="002346DF" w:rsidRPr="00743512" w:rsidRDefault="002346DF" w:rsidP="001074C6">
            <w:pPr>
              <w:pStyle w:val="TableText0"/>
            </w:pPr>
            <w:r w:rsidRPr="00743512">
              <w:t xml:space="preserve">The ESC agreed with the commentary that </w:t>
            </w:r>
            <w:r w:rsidR="00A72424" w:rsidRPr="00743512">
              <w:t>3</w:t>
            </w:r>
            <w:r w:rsidRPr="00743512">
              <w:t>0 years is appropriate</w:t>
            </w:r>
            <w:r w:rsidR="00A72424" w:rsidRPr="00743512">
              <w:t>, consistent with previous PBAC advice</w:t>
            </w:r>
            <w:r w:rsidRPr="00743512">
              <w:t>.</w:t>
            </w:r>
            <w:r w:rsidR="005A5F28" w:rsidRPr="00743512">
              <w:t xml:space="preserve"> The pre-PBAC response again applied a time horizon of 40 years</w:t>
            </w:r>
          </w:p>
        </w:tc>
      </w:tr>
      <w:tr w:rsidR="00C940B2" w:rsidRPr="00743512" w14:paraId="6EAE91E7" w14:textId="77777777" w:rsidTr="00F4781C">
        <w:trPr>
          <w:cantSplit/>
          <w:jc w:val="center"/>
        </w:trPr>
        <w:tc>
          <w:tcPr>
            <w:tcW w:w="235" w:type="dxa"/>
            <w:shd w:val="clear" w:color="auto" w:fill="auto"/>
          </w:tcPr>
          <w:p w14:paraId="252A5761" w14:textId="77777777" w:rsidR="002346DF" w:rsidRPr="00743512" w:rsidRDefault="002346DF" w:rsidP="00F4781C">
            <w:pPr>
              <w:pStyle w:val="TableText0"/>
            </w:pPr>
            <w:r w:rsidRPr="00743512">
              <w:t>3</w:t>
            </w:r>
          </w:p>
        </w:tc>
        <w:tc>
          <w:tcPr>
            <w:tcW w:w="1343" w:type="dxa"/>
          </w:tcPr>
          <w:p w14:paraId="0C9F5A75" w14:textId="278AE530" w:rsidR="002346DF" w:rsidRPr="00743512" w:rsidRDefault="006E3C9C" w:rsidP="004F5B47">
            <w:pPr>
              <w:pStyle w:val="TableText0"/>
            </w:pPr>
            <w:r w:rsidRPr="00743512">
              <w:t>Proportion of recurrences that are metastatic (vs non-metastatic)</w:t>
            </w:r>
          </w:p>
        </w:tc>
        <w:tc>
          <w:tcPr>
            <w:tcW w:w="0" w:type="auto"/>
            <w:shd w:val="clear" w:color="auto" w:fill="auto"/>
          </w:tcPr>
          <w:p w14:paraId="0FCE775D" w14:textId="4F69F086" w:rsidR="002346DF" w:rsidRPr="00743512" w:rsidRDefault="00A72424" w:rsidP="001074C6">
            <w:pPr>
              <w:pStyle w:val="TableText0"/>
            </w:pPr>
            <w:r w:rsidRPr="00743512">
              <w:t>The PSCR maintained that treatment</w:t>
            </w:r>
            <w:r w:rsidRPr="00743512">
              <w:noBreakHyphen/>
              <w:t>specific inputs were appropriate for the proportion of recurrences that are non-metastatic vs metastatic</w:t>
            </w:r>
            <w:r w:rsidR="00F4781C" w:rsidRPr="00743512">
              <w:t>.</w:t>
            </w:r>
          </w:p>
          <w:p w14:paraId="2524A30C" w14:textId="77777777" w:rsidR="00A72424" w:rsidRPr="00743512" w:rsidRDefault="00A72424" w:rsidP="001074C6">
            <w:pPr>
              <w:pStyle w:val="TableText0"/>
            </w:pPr>
          </w:p>
          <w:p w14:paraId="6466DD68" w14:textId="77522364" w:rsidR="00A72424" w:rsidRPr="00743512" w:rsidRDefault="00A72424" w:rsidP="001074C6">
            <w:pPr>
              <w:pStyle w:val="TableText0"/>
            </w:pPr>
          </w:p>
        </w:tc>
        <w:tc>
          <w:tcPr>
            <w:tcW w:w="0" w:type="auto"/>
            <w:shd w:val="clear" w:color="auto" w:fill="auto"/>
          </w:tcPr>
          <w:p w14:paraId="7F333995" w14:textId="390AEE1D" w:rsidR="002346DF" w:rsidRPr="00743512" w:rsidRDefault="002346DF" w:rsidP="001074C6">
            <w:pPr>
              <w:pStyle w:val="TableText0"/>
            </w:pPr>
            <w:r w:rsidRPr="00743512">
              <w:t xml:space="preserve">The ESC noted that the Evaluation’s alternative base case was consistent with previous PBAC advice </w:t>
            </w:r>
            <w:r w:rsidR="00A72424" w:rsidRPr="00743512">
              <w:t xml:space="preserve">and was appropriate </w:t>
            </w:r>
            <w:r w:rsidRPr="00743512">
              <w:t xml:space="preserve">on the basis that a significant difference in rates had not been demonstrated between treatment groups and </w:t>
            </w:r>
            <w:r w:rsidR="00F4781C" w:rsidRPr="00743512">
              <w:t xml:space="preserve">as </w:t>
            </w:r>
            <w:r w:rsidRPr="00743512">
              <w:t>it was uncertain whether any difference would be maintained beyond the observed data.</w:t>
            </w:r>
            <w:r w:rsidR="00A72424" w:rsidRPr="00743512">
              <w:t xml:space="preserve"> </w:t>
            </w:r>
            <w:r w:rsidR="005A5F28" w:rsidRPr="00743512">
              <w:t>Unchanged in the pre-PBAC response revised base case</w:t>
            </w:r>
            <w:r w:rsidR="00157B92" w:rsidRPr="00743512">
              <w:t xml:space="preserve">. </w:t>
            </w:r>
          </w:p>
        </w:tc>
      </w:tr>
      <w:tr w:rsidR="00C940B2" w:rsidRPr="00743512" w14:paraId="6E42E50A" w14:textId="77777777" w:rsidTr="00F4781C">
        <w:trPr>
          <w:cantSplit/>
          <w:jc w:val="center"/>
        </w:trPr>
        <w:tc>
          <w:tcPr>
            <w:tcW w:w="235" w:type="dxa"/>
            <w:shd w:val="clear" w:color="auto" w:fill="auto"/>
          </w:tcPr>
          <w:p w14:paraId="6AB9EA62" w14:textId="77777777" w:rsidR="002346DF" w:rsidRPr="00743512" w:rsidRDefault="002346DF" w:rsidP="00F4781C">
            <w:pPr>
              <w:pStyle w:val="TableText0"/>
            </w:pPr>
            <w:r w:rsidRPr="00743512">
              <w:t>4</w:t>
            </w:r>
          </w:p>
        </w:tc>
        <w:tc>
          <w:tcPr>
            <w:tcW w:w="1343" w:type="dxa"/>
          </w:tcPr>
          <w:p w14:paraId="247FDEE1" w14:textId="7FBC4F11" w:rsidR="002346DF" w:rsidRPr="00743512" w:rsidRDefault="00A72424" w:rsidP="004F5B47">
            <w:pPr>
              <w:pStyle w:val="TableText0"/>
            </w:pPr>
            <w:r w:rsidRPr="00743512">
              <w:t>Background mortality</w:t>
            </w:r>
          </w:p>
        </w:tc>
        <w:tc>
          <w:tcPr>
            <w:tcW w:w="0" w:type="auto"/>
            <w:shd w:val="clear" w:color="auto" w:fill="auto"/>
          </w:tcPr>
          <w:p w14:paraId="3461F856" w14:textId="3102973E" w:rsidR="002346DF" w:rsidRPr="00743512" w:rsidRDefault="00A72424" w:rsidP="001074C6">
            <w:pPr>
              <w:pStyle w:val="TableText0"/>
            </w:pPr>
            <w:r w:rsidRPr="00743512">
              <w:t>The PSCR maintained that SMR of 1.61 was appropriate.</w:t>
            </w:r>
          </w:p>
        </w:tc>
        <w:tc>
          <w:tcPr>
            <w:tcW w:w="0" w:type="auto"/>
            <w:shd w:val="clear" w:color="auto" w:fill="auto"/>
          </w:tcPr>
          <w:p w14:paraId="2D80C965" w14:textId="65579E92" w:rsidR="002346DF" w:rsidRPr="00743512" w:rsidRDefault="002346DF" w:rsidP="007A67F9">
            <w:pPr>
              <w:pStyle w:val="TableText0"/>
            </w:pPr>
            <w:r w:rsidRPr="00743512">
              <w:t>The ESC agreed with the PSCR that a value of 1.61 was appropriate</w:t>
            </w:r>
            <w:r w:rsidR="00157B92" w:rsidRPr="00743512">
              <w:t xml:space="preserve">. </w:t>
            </w:r>
          </w:p>
        </w:tc>
      </w:tr>
      <w:tr w:rsidR="00C940B2" w:rsidRPr="00743512" w14:paraId="71B3C56B" w14:textId="77777777" w:rsidTr="00F4781C">
        <w:trPr>
          <w:cantSplit/>
          <w:trHeight w:val="662"/>
          <w:jc w:val="center"/>
        </w:trPr>
        <w:tc>
          <w:tcPr>
            <w:tcW w:w="235" w:type="dxa"/>
            <w:shd w:val="clear" w:color="auto" w:fill="auto"/>
          </w:tcPr>
          <w:p w14:paraId="5E0ED46B" w14:textId="77777777" w:rsidR="002346DF" w:rsidRPr="00743512" w:rsidRDefault="002346DF" w:rsidP="00F4781C">
            <w:pPr>
              <w:pStyle w:val="TableText0"/>
            </w:pPr>
            <w:r w:rsidRPr="00743512">
              <w:t>5</w:t>
            </w:r>
          </w:p>
        </w:tc>
        <w:tc>
          <w:tcPr>
            <w:tcW w:w="1343" w:type="dxa"/>
          </w:tcPr>
          <w:p w14:paraId="10C0356A" w14:textId="1262C944" w:rsidR="002346DF" w:rsidRPr="00743512" w:rsidRDefault="00A72424" w:rsidP="004F5B47">
            <w:pPr>
              <w:pStyle w:val="TableText0"/>
            </w:pPr>
            <w:r w:rsidRPr="00743512">
              <w:t>Treatment of mBC</w:t>
            </w:r>
          </w:p>
        </w:tc>
        <w:tc>
          <w:tcPr>
            <w:tcW w:w="0" w:type="auto"/>
            <w:shd w:val="clear" w:color="auto" w:fill="auto"/>
          </w:tcPr>
          <w:p w14:paraId="79F7ED60" w14:textId="41EC0356" w:rsidR="00A72424" w:rsidRPr="00743512" w:rsidRDefault="00A72424" w:rsidP="001074C6">
            <w:pPr>
              <w:pStyle w:val="TableText0"/>
            </w:pPr>
            <w:r w:rsidRPr="00743512">
              <w:t xml:space="preserve">The PSCR maintained it was appropriate to assume that 80% </w:t>
            </w:r>
            <w:r w:rsidR="002346DF" w:rsidRPr="00743512">
              <w:t xml:space="preserve">of patients </w:t>
            </w:r>
            <w:r w:rsidRPr="00743512">
              <w:t xml:space="preserve">are </w:t>
            </w:r>
            <w:r w:rsidR="002346DF" w:rsidRPr="00743512">
              <w:t>treated for metastatic recurrence</w:t>
            </w:r>
            <w:r w:rsidR="00F4781C" w:rsidRPr="00743512">
              <w:t>.</w:t>
            </w:r>
          </w:p>
        </w:tc>
        <w:tc>
          <w:tcPr>
            <w:tcW w:w="0" w:type="auto"/>
            <w:shd w:val="clear" w:color="auto" w:fill="auto"/>
          </w:tcPr>
          <w:p w14:paraId="375A7A48" w14:textId="17F91209" w:rsidR="00C01E6B" w:rsidRPr="00743512" w:rsidRDefault="002346DF" w:rsidP="001074C6">
            <w:pPr>
              <w:pStyle w:val="TableText0"/>
            </w:pPr>
            <w:r w:rsidRPr="00743512">
              <w:t>The ESC</w:t>
            </w:r>
            <w:r w:rsidR="00F4781C" w:rsidRPr="00743512">
              <w:t>,</w:t>
            </w:r>
            <w:r w:rsidRPr="00743512">
              <w:t xml:space="preserve"> not</w:t>
            </w:r>
            <w:r w:rsidR="00F4781C" w:rsidRPr="00743512">
              <w:t>ing</w:t>
            </w:r>
            <w:r w:rsidRPr="00743512">
              <w:t xml:space="preserve"> that this change would have a minimal impact on the analysis</w:t>
            </w:r>
            <w:r w:rsidR="00F4781C" w:rsidRPr="00743512">
              <w:t>,</w:t>
            </w:r>
            <w:r w:rsidR="00F32823" w:rsidRPr="00F32823">
              <w:t xml:space="preserve"> </w:t>
            </w:r>
            <w:r w:rsidRPr="00743512">
              <w:t>advised that a value of 70% was appropriate as described in the commentary</w:t>
            </w:r>
            <w:r w:rsidR="00157B92" w:rsidRPr="00743512">
              <w:t xml:space="preserve">. </w:t>
            </w:r>
            <w:r w:rsidR="005A5F28" w:rsidRPr="00743512">
              <w:t>The pre-PBAC response assumed 80% of patients were treated for metastatic recurrence.</w:t>
            </w:r>
            <w:r w:rsidR="00966814" w:rsidRPr="00743512">
              <w:t xml:space="preserve"> </w:t>
            </w:r>
          </w:p>
        </w:tc>
      </w:tr>
      <w:tr w:rsidR="00C940B2" w:rsidRPr="00743512" w14:paraId="61939D0C" w14:textId="77777777" w:rsidTr="00F4781C">
        <w:trPr>
          <w:cantSplit/>
          <w:jc w:val="center"/>
        </w:trPr>
        <w:tc>
          <w:tcPr>
            <w:tcW w:w="235" w:type="dxa"/>
            <w:shd w:val="clear" w:color="auto" w:fill="auto"/>
          </w:tcPr>
          <w:p w14:paraId="39CFAF13" w14:textId="77777777" w:rsidR="002346DF" w:rsidRPr="00743512" w:rsidRDefault="002346DF" w:rsidP="00F4781C">
            <w:pPr>
              <w:pStyle w:val="TableText0"/>
            </w:pPr>
            <w:r w:rsidRPr="00743512">
              <w:t>6</w:t>
            </w:r>
          </w:p>
        </w:tc>
        <w:tc>
          <w:tcPr>
            <w:tcW w:w="1343" w:type="dxa"/>
          </w:tcPr>
          <w:p w14:paraId="4B951507" w14:textId="35A34C25" w:rsidR="002346DF" w:rsidRPr="00743512" w:rsidRDefault="00C01E6B" w:rsidP="004F5B47">
            <w:pPr>
              <w:pStyle w:val="TableText0"/>
            </w:pPr>
            <w:r w:rsidRPr="00743512">
              <w:t>Adjustments for subsequent PARP inhibitor use in TP5 and TP6</w:t>
            </w:r>
          </w:p>
        </w:tc>
        <w:tc>
          <w:tcPr>
            <w:tcW w:w="0" w:type="auto"/>
            <w:shd w:val="clear" w:color="auto" w:fill="auto"/>
          </w:tcPr>
          <w:p w14:paraId="6F7C2D03" w14:textId="7097DE5B" w:rsidR="002346DF" w:rsidRPr="00743512" w:rsidRDefault="002346DF" w:rsidP="001074C6">
            <w:pPr>
              <w:pStyle w:val="TableText0"/>
            </w:pPr>
            <w:r w:rsidRPr="00743512">
              <w:t xml:space="preserve">The </w:t>
            </w:r>
            <w:r w:rsidR="00C01E6B" w:rsidRPr="00743512">
              <w:t xml:space="preserve">PSCR maintained that the resubmission’s </w:t>
            </w:r>
            <w:r w:rsidRPr="00743512">
              <w:t xml:space="preserve">adjustments for TPs from non-metastatic health state to death and from metastatic health state to death due </w:t>
            </w:r>
            <w:r w:rsidR="00C01E6B" w:rsidRPr="00743512">
              <w:t xml:space="preserve">were justified </w:t>
            </w:r>
            <w:r w:rsidR="00086F7A" w:rsidRPr="00743512">
              <w:t>for increased PARP inhibitor use</w:t>
            </w:r>
            <w:r w:rsidR="00F4781C" w:rsidRPr="00743512">
              <w:t>.</w:t>
            </w:r>
          </w:p>
        </w:tc>
        <w:tc>
          <w:tcPr>
            <w:tcW w:w="0" w:type="auto"/>
            <w:shd w:val="clear" w:color="auto" w:fill="auto"/>
          </w:tcPr>
          <w:p w14:paraId="09D7C660" w14:textId="1F04B831" w:rsidR="002346DF" w:rsidRPr="00743512" w:rsidRDefault="00086F7A" w:rsidP="001074C6">
            <w:pPr>
              <w:pStyle w:val="TableText0"/>
            </w:pPr>
            <w:r w:rsidRPr="00743512">
              <w:t>The ESC agreed with the commentary that the method of adjustment for PARP inhibitor use was not well justified and favoured olaparib.</w:t>
            </w:r>
            <w:r w:rsidR="005A5F28" w:rsidRPr="00743512">
              <w:t xml:space="preserve"> The method was unchanged in the pre-PBAC response revised base case</w:t>
            </w:r>
          </w:p>
        </w:tc>
      </w:tr>
    </w:tbl>
    <w:p w14:paraId="15EB826A" w14:textId="0EF9C29F" w:rsidR="00F4781C" w:rsidRPr="00743512" w:rsidRDefault="00F4781C" w:rsidP="00F32823">
      <w:pPr>
        <w:pStyle w:val="TableFooter"/>
        <w:spacing w:after="120"/>
      </w:pPr>
      <w:r w:rsidRPr="00743512">
        <w:t>mBC = metastatic breast cancer; PARP = poly (ADP-ribose) polymerase; SMR = standardised mortality ratio; TP = transition probability</w:t>
      </w:r>
    </w:p>
    <w:p w14:paraId="4196618A" w14:textId="1B464261" w:rsidR="00BF3070" w:rsidRPr="00743512" w:rsidRDefault="00BF3070" w:rsidP="00BF3070">
      <w:pPr>
        <w:pStyle w:val="3-BodyText"/>
      </w:pPr>
      <w:r w:rsidRPr="00743512">
        <w:t xml:space="preserve">Additional sensitivity analyses based on the evaluation’s alternative base case </w:t>
      </w:r>
      <w:r w:rsidR="00293D8C" w:rsidRPr="00743512">
        <w:t>and analyses proposed by the ESC</w:t>
      </w:r>
      <w:r w:rsidR="00293D8C" w:rsidRPr="00743512">
        <w:rPr>
          <w:i/>
          <w:iCs/>
        </w:rPr>
        <w:t xml:space="preserve"> </w:t>
      </w:r>
      <w:r w:rsidRPr="00743512">
        <w:t xml:space="preserve">are presented in </w:t>
      </w:r>
      <w:r w:rsidRPr="00743512">
        <w:fldChar w:fldCharType="begin"/>
      </w:r>
      <w:r w:rsidRPr="00743512">
        <w:instrText xml:space="preserve"> REF _Ref104804865 \h  \* MERGEFORMAT </w:instrText>
      </w:r>
      <w:r w:rsidRPr="00743512">
        <w:fldChar w:fldCharType="separate"/>
      </w:r>
      <w:r w:rsidR="00D2565D" w:rsidRPr="00743512">
        <w:t xml:space="preserve">Table </w:t>
      </w:r>
      <w:r w:rsidR="00D2565D">
        <w:t>17</w:t>
      </w:r>
      <w:r w:rsidRPr="00743512">
        <w:fldChar w:fldCharType="end"/>
      </w:r>
      <w:r w:rsidRPr="00743512">
        <w:t>.</w:t>
      </w:r>
    </w:p>
    <w:p w14:paraId="4128B52A" w14:textId="77777777" w:rsidR="00BF3070" w:rsidRPr="00743512" w:rsidRDefault="00BF3070" w:rsidP="00BF3070"/>
    <w:p w14:paraId="51BAD16A" w14:textId="03381B8A" w:rsidR="00BF3070" w:rsidRPr="00743512" w:rsidRDefault="00BF3070" w:rsidP="00BF3070">
      <w:pPr>
        <w:pStyle w:val="Caption"/>
        <w:rPr>
          <w:rStyle w:val="CommentReference"/>
          <w:b/>
          <w:szCs w:val="24"/>
        </w:rPr>
      </w:pPr>
      <w:bookmarkStart w:id="90" w:name="_Ref104804865"/>
      <w:r w:rsidRPr="00743512">
        <w:t xml:space="preserve">Table </w:t>
      </w:r>
      <w:r w:rsidR="00D2565D">
        <w:fldChar w:fldCharType="begin"/>
      </w:r>
      <w:r w:rsidR="00D2565D">
        <w:instrText xml:space="preserve"> SEQ Table \* ARABIC </w:instrText>
      </w:r>
      <w:r w:rsidR="00D2565D">
        <w:fldChar w:fldCharType="separate"/>
      </w:r>
      <w:r w:rsidR="00D2565D">
        <w:rPr>
          <w:noProof/>
        </w:rPr>
        <w:t>17</w:t>
      </w:r>
      <w:r w:rsidR="00D2565D">
        <w:rPr>
          <w:noProof/>
        </w:rPr>
        <w:fldChar w:fldCharType="end"/>
      </w:r>
      <w:bookmarkEnd w:id="90"/>
      <w:r w:rsidRPr="00743512">
        <w:t>:</w:t>
      </w:r>
      <w:r w:rsidRPr="00743512">
        <w:rPr>
          <w:rStyle w:val="CommentReference"/>
          <w:b/>
          <w:szCs w:val="24"/>
        </w:rPr>
        <w:t xml:space="preserve"> Sensitivity analyses</w:t>
      </w:r>
      <w:r w:rsidR="00293D8C" w:rsidRPr="00743512">
        <w:rPr>
          <w:rStyle w:val="CommentReference"/>
          <w:b/>
          <w:szCs w:val="24"/>
        </w:rPr>
        <w:t xml:space="preserve"> presented in the commentary and additional analyses proposed by the ESC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Sensitivity analyses presented in the commentary and additional analyses proposed by the ESC"/>
      </w:tblPr>
      <w:tblGrid>
        <w:gridCol w:w="4076"/>
        <w:gridCol w:w="1318"/>
        <w:gridCol w:w="1318"/>
        <w:gridCol w:w="1223"/>
        <w:gridCol w:w="1082"/>
      </w:tblGrid>
      <w:tr w:rsidR="00BF3070" w:rsidRPr="00743512" w14:paraId="46A5A60F" w14:textId="77777777" w:rsidTr="00F4781C">
        <w:trPr>
          <w:cantSplit/>
          <w:tblHeader/>
        </w:trPr>
        <w:tc>
          <w:tcPr>
            <w:tcW w:w="2260" w:type="pct"/>
          </w:tcPr>
          <w:p w14:paraId="0700C274" w14:textId="77777777" w:rsidR="00BF3070" w:rsidRPr="00743512" w:rsidRDefault="00BF3070" w:rsidP="004F5B47">
            <w:pPr>
              <w:pStyle w:val="In-tableHeading"/>
              <w:rPr>
                <w:i/>
                <w:iCs/>
                <w:lang w:val="en-AU"/>
              </w:rPr>
            </w:pPr>
            <w:r w:rsidRPr="00743512">
              <w:rPr>
                <w:lang w:val="en-AU"/>
              </w:rPr>
              <w:t>Analyses</w:t>
            </w:r>
          </w:p>
        </w:tc>
        <w:tc>
          <w:tcPr>
            <w:tcW w:w="731" w:type="pct"/>
          </w:tcPr>
          <w:p w14:paraId="433081AE" w14:textId="4777F3BC" w:rsidR="00BF3070" w:rsidRPr="00743512" w:rsidRDefault="00BF3070" w:rsidP="004F5B47">
            <w:pPr>
              <w:pStyle w:val="In-tableHeading"/>
              <w:jc w:val="center"/>
              <w:rPr>
                <w:i/>
                <w:iCs/>
                <w:lang w:val="en-AU"/>
              </w:rPr>
            </w:pPr>
            <w:r w:rsidRPr="00743512">
              <w:rPr>
                <w:lang w:val="en-AU"/>
              </w:rPr>
              <w:t>Incremental cost</w:t>
            </w:r>
            <w:r w:rsidR="00D83734">
              <w:rPr>
                <w:lang w:val="en-AU"/>
              </w:rPr>
              <w:t xml:space="preserve"> ($)</w:t>
            </w:r>
          </w:p>
        </w:tc>
        <w:tc>
          <w:tcPr>
            <w:tcW w:w="731" w:type="pct"/>
          </w:tcPr>
          <w:p w14:paraId="36EBCA20" w14:textId="77777777" w:rsidR="00BF3070" w:rsidRPr="00743512" w:rsidRDefault="00BF3070" w:rsidP="004F5B47">
            <w:pPr>
              <w:pStyle w:val="In-tableHeading"/>
              <w:jc w:val="center"/>
              <w:rPr>
                <w:i/>
                <w:iCs/>
                <w:lang w:val="en-AU"/>
              </w:rPr>
            </w:pPr>
            <w:r w:rsidRPr="00743512">
              <w:rPr>
                <w:lang w:val="en-AU"/>
              </w:rPr>
              <w:t>Incremental QALY</w:t>
            </w:r>
          </w:p>
        </w:tc>
        <w:tc>
          <w:tcPr>
            <w:tcW w:w="678" w:type="pct"/>
          </w:tcPr>
          <w:p w14:paraId="0EB60645" w14:textId="77777777" w:rsidR="00BF3070" w:rsidRPr="00743512" w:rsidRDefault="00BF3070" w:rsidP="004F5B47">
            <w:pPr>
              <w:pStyle w:val="In-tableHeading"/>
              <w:jc w:val="center"/>
              <w:rPr>
                <w:i/>
                <w:iCs/>
                <w:lang w:val="en-AU"/>
              </w:rPr>
            </w:pPr>
            <w:r w:rsidRPr="00743512">
              <w:rPr>
                <w:lang w:val="en-AU"/>
              </w:rPr>
              <w:t>ICER</w:t>
            </w:r>
          </w:p>
        </w:tc>
        <w:tc>
          <w:tcPr>
            <w:tcW w:w="600" w:type="pct"/>
          </w:tcPr>
          <w:p w14:paraId="781B33F8" w14:textId="77777777" w:rsidR="00BF3070" w:rsidRPr="00743512" w:rsidRDefault="00BF3070" w:rsidP="004F5B47">
            <w:pPr>
              <w:pStyle w:val="In-tableHeading"/>
              <w:jc w:val="center"/>
              <w:rPr>
                <w:lang w:val="en-AU"/>
              </w:rPr>
            </w:pPr>
            <w:r w:rsidRPr="00743512">
              <w:rPr>
                <w:lang w:val="en-AU"/>
              </w:rPr>
              <w:t>% change to ICER</w:t>
            </w:r>
          </w:p>
        </w:tc>
      </w:tr>
      <w:tr w:rsidR="00BF3070" w:rsidRPr="00743512" w14:paraId="08C8C469" w14:textId="77777777" w:rsidTr="00F4781C">
        <w:trPr>
          <w:cantSplit/>
        </w:trPr>
        <w:tc>
          <w:tcPr>
            <w:tcW w:w="2260" w:type="pct"/>
          </w:tcPr>
          <w:p w14:paraId="5BE055C1" w14:textId="77777777" w:rsidR="00BF3070" w:rsidRPr="00743512" w:rsidRDefault="00BF3070" w:rsidP="004F5B47">
            <w:pPr>
              <w:pStyle w:val="TableText0"/>
              <w:rPr>
                <w:b/>
                <w:i/>
                <w:iCs/>
              </w:rPr>
            </w:pPr>
            <w:r w:rsidRPr="00743512">
              <w:rPr>
                <w:b/>
              </w:rPr>
              <w:t>Evaluation’s alternative base case</w:t>
            </w:r>
          </w:p>
        </w:tc>
        <w:tc>
          <w:tcPr>
            <w:tcW w:w="731" w:type="pct"/>
          </w:tcPr>
          <w:p w14:paraId="4846B1D1" w14:textId="522D9A90" w:rsidR="00BF3070" w:rsidRPr="00743512" w:rsidRDefault="00632DCB" w:rsidP="004F5B47">
            <w:pPr>
              <w:pStyle w:val="TableText0"/>
              <w:jc w:val="center"/>
              <w:rPr>
                <w:b/>
                <w:bCs w:val="0"/>
                <w:i/>
                <w:iCs/>
                <w:highlight w:val="black"/>
              </w:rPr>
            </w:pPr>
            <w:r>
              <w:rPr>
                <w:b/>
                <w:bCs w:val="0"/>
              </w:rPr>
              <w:t xml:space="preserve"> </w:t>
            </w:r>
            <w:r w:rsidRPr="00632DCB">
              <w:rPr>
                <w:rFonts w:hint="eastAsia"/>
                <w:b/>
                <w:bCs w:val="0"/>
                <w:color w:val="000000"/>
                <w:w w:val="15"/>
                <w:shd w:val="solid" w:color="000000" w:fill="000000"/>
                <w:fitText w:val="60" w:id="-1032088573"/>
                <w14:textFill>
                  <w14:solidFill>
                    <w14:srgbClr w14:val="000000">
                      <w14:alpha w14:val="100000"/>
                    </w14:srgbClr>
                  </w14:solidFill>
                </w14:textFill>
              </w:rPr>
              <w:t xml:space="preserve">　</w:t>
            </w:r>
            <w:r w:rsidRPr="00632DCB">
              <w:rPr>
                <w:b/>
                <w:bCs w:val="0"/>
                <w:color w:val="000000"/>
                <w:w w:val="15"/>
                <w:shd w:val="solid" w:color="000000" w:fill="000000"/>
                <w:fitText w:val="60" w:id="-1032088573"/>
                <w14:textFill>
                  <w14:solidFill>
                    <w14:srgbClr w14:val="000000">
                      <w14:alpha w14:val="100000"/>
                    </w14:srgbClr>
                  </w14:solidFill>
                </w14:textFill>
              </w:rPr>
              <w:t>|</w:t>
            </w:r>
            <w:r w:rsidRPr="00632DCB">
              <w:rPr>
                <w:rFonts w:hint="eastAsia"/>
                <w:b/>
                <w:bCs w:val="0"/>
                <w:color w:val="000000"/>
                <w:spacing w:val="-6"/>
                <w:w w:val="15"/>
                <w:shd w:val="solid" w:color="000000" w:fill="000000"/>
                <w:fitText w:val="60" w:id="-1032088573"/>
                <w14:textFill>
                  <w14:solidFill>
                    <w14:srgbClr w14:val="000000">
                      <w14:alpha w14:val="100000"/>
                    </w14:srgbClr>
                  </w14:solidFill>
                </w14:textFill>
              </w:rPr>
              <w:t xml:space="preserve">　</w:t>
            </w:r>
          </w:p>
        </w:tc>
        <w:tc>
          <w:tcPr>
            <w:tcW w:w="731" w:type="pct"/>
          </w:tcPr>
          <w:p w14:paraId="5B207D8F" w14:textId="77777777" w:rsidR="00BF3070" w:rsidRPr="00743512" w:rsidRDefault="00BF3070" w:rsidP="004F5B47">
            <w:pPr>
              <w:pStyle w:val="TableText0"/>
              <w:jc w:val="center"/>
              <w:rPr>
                <w:b/>
                <w:bCs w:val="0"/>
                <w:i/>
                <w:iCs/>
              </w:rPr>
            </w:pPr>
            <w:r w:rsidRPr="00743512">
              <w:rPr>
                <w:b/>
                <w:bCs w:val="0"/>
              </w:rPr>
              <w:t>0.61</w:t>
            </w:r>
          </w:p>
        </w:tc>
        <w:tc>
          <w:tcPr>
            <w:tcW w:w="678" w:type="pct"/>
          </w:tcPr>
          <w:p w14:paraId="087DC09A" w14:textId="56E97C11" w:rsidR="00BF3070" w:rsidRPr="00743512" w:rsidRDefault="00632DCB" w:rsidP="004F5B47">
            <w:pPr>
              <w:pStyle w:val="TableText0"/>
              <w:jc w:val="center"/>
              <w:rPr>
                <w:b/>
                <w:bCs w:val="0"/>
                <w:i/>
                <w:iCs/>
                <w:highlight w:val="black"/>
              </w:rPr>
            </w:pPr>
            <w:r>
              <w:rPr>
                <w:b/>
                <w:bCs w:val="0"/>
              </w:rPr>
              <w:t xml:space="preserve"> </w:t>
            </w:r>
            <w:r w:rsidRPr="00632DCB">
              <w:rPr>
                <w:rFonts w:hint="eastAsia"/>
                <w:b/>
                <w:bCs w:val="0"/>
                <w:color w:val="000000"/>
                <w:w w:val="31"/>
                <w:shd w:val="solid" w:color="000000" w:fill="000000"/>
                <w:fitText w:val="140" w:id="-1032088572"/>
                <w14:textFill>
                  <w14:solidFill>
                    <w14:srgbClr w14:val="000000">
                      <w14:alpha w14:val="100000"/>
                    </w14:srgbClr>
                  </w14:solidFill>
                </w14:textFill>
              </w:rPr>
              <w:t xml:space="preserve">　</w:t>
            </w:r>
            <w:r w:rsidRPr="00632DCB">
              <w:rPr>
                <w:b/>
                <w:bCs w:val="0"/>
                <w:color w:val="000000"/>
                <w:w w:val="31"/>
                <w:shd w:val="solid" w:color="000000" w:fill="000000"/>
                <w:fitText w:val="140" w:id="-1032088572"/>
                <w14:textFill>
                  <w14:solidFill>
                    <w14:srgbClr w14:val="000000">
                      <w14:alpha w14:val="100000"/>
                    </w14:srgbClr>
                  </w14:solidFill>
                </w14:textFill>
              </w:rPr>
              <w:t>|</w:t>
            </w:r>
            <w:r w:rsidRPr="00632DCB">
              <w:rPr>
                <w:rFonts w:hint="eastAsia"/>
                <w:b/>
                <w:bCs w:val="0"/>
                <w:color w:val="000000"/>
                <w:spacing w:val="3"/>
                <w:w w:val="31"/>
                <w:shd w:val="solid" w:color="000000" w:fill="000000"/>
                <w:fitText w:val="140" w:id="-1032088572"/>
                <w14:textFill>
                  <w14:solidFill>
                    <w14:srgbClr w14:val="000000">
                      <w14:alpha w14:val="100000"/>
                    </w14:srgbClr>
                  </w14:solidFill>
                </w14:textFill>
              </w:rPr>
              <w:t xml:space="preserve">　</w:t>
            </w:r>
            <w:r w:rsidR="00595625" w:rsidRPr="00595625">
              <w:rPr>
                <w:b/>
                <w:vertAlign w:val="superscript"/>
              </w:rPr>
              <w:t>1</w:t>
            </w:r>
          </w:p>
        </w:tc>
        <w:tc>
          <w:tcPr>
            <w:tcW w:w="600" w:type="pct"/>
          </w:tcPr>
          <w:p w14:paraId="5B528BC4" w14:textId="77777777" w:rsidR="00BF3070" w:rsidRPr="00743512" w:rsidRDefault="00BF3070" w:rsidP="004F5B47">
            <w:pPr>
              <w:pStyle w:val="TableText0"/>
              <w:jc w:val="center"/>
              <w:rPr>
                <w:rFonts w:eastAsia="Calibri"/>
                <w:b/>
                <w:bCs w:val="0"/>
                <w:szCs w:val="20"/>
              </w:rPr>
            </w:pPr>
            <w:r w:rsidRPr="00743512">
              <w:rPr>
                <w:rFonts w:eastAsia="Calibri"/>
                <w:b/>
                <w:bCs w:val="0"/>
                <w:szCs w:val="20"/>
              </w:rPr>
              <w:t>–</w:t>
            </w:r>
          </w:p>
        </w:tc>
      </w:tr>
      <w:tr w:rsidR="00F4781C" w:rsidRPr="00743512" w14:paraId="27221D46" w14:textId="77777777" w:rsidTr="00F4781C">
        <w:trPr>
          <w:cantSplit/>
        </w:trPr>
        <w:tc>
          <w:tcPr>
            <w:tcW w:w="5000" w:type="pct"/>
            <w:gridSpan w:val="5"/>
          </w:tcPr>
          <w:p w14:paraId="05E46C79" w14:textId="6B0FB06F" w:rsidR="00F4781C" w:rsidRPr="00743512" w:rsidRDefault="00F4781C" w:rsidP="004F5B47">
            <w:pPr>
              <w:pStyle w:val="TableText0"/>
            </w:pPr>
            <w:r w:rsidRPr="00743512">
              <w:t>Time horizon (base case: 30 years)</w:t>
            </w:r>
          </w:p>
        </w:tc>
      </w:tr>
      <w:tr w:rsidR="00BF3070" w:rsidRPr="00743512" w14:paraId="02575846" w14:textId="77777777" w:rsidTr="00F4781C">
        <w:trPr>
          <w:cantSplit/>
        </w:trPr>
        <w:tc>
          <w:tcPr>
            <w:tcW w:w="2260" w:type="pct"/>
          </w:tcPr>
          <w:p w14:paraId="62C9CC90" w14:textId="77777777" w:rsidR="00BF3070" w:rsidRPr="00743512" w:rsidRDefault="00BF3070" w:rsidP="004F5B47">
            <w:pPr>
              <w:pStyle w:val="TableText0"/>
              <w:rPr>
                <w:i/>
                <w:iCs/>
              </w:rPr>
            </w:pPr>
            <w:r w:rsidRPr="00743512">
              <w:t>40 years</w:t>
            </w:r>
          </w:p>
        </w:tc>
        <w:tc>
          <w:tcPr>
            <w:tcW w:w="731" w:type="pct"/>
          </w:tcPr>
          <w:p w14:paraId="72B98AC0" w14:textId="5F0B9C43" w:rsidR="00BF3070" w:rsidRPr="00743512" w:rsidRDefault="00632DCB" w:rsidP="004F5B47">
            <w:pPr>
              <w:pStyle w:val="TableText0"/>
              <w:jc w:val="center"/>
              <w:rPr>
                <w:i/>
                <w:iCs/>
                <w:highlight w:val="black"/>
              </w:rPr>
            </w:pPr>
            <w:r>
              <w:t xml:space="preserve"> </w:t>
            </w:r>
            <w:r w:rsidRPr="00D2565D">
              <w:rPr>
                <w:rFonts w:hint="eastAsia"/>
                <w:color w:val="000000"/>
                <w:w w:val="15"/>
                <w:shd w:val="solid" w:color="000000" w:fill="000000"/>
                <w:fitText w:val="20" w:id="-1032088571"/>
                <w14:textFill>
                  <w14:solidFill>
                    <w14:srgbClr w14:val="000000">
                      <w14:alpha w14:val="100000"/>
                    </w14:srgbClr>
                  </w14:solidFill>
                </w14:textFill>
              </w:rPr>
              <w:t xml:space="preserve">　</w:t>
            </w:r>
            <w:r w:rsidRPr="00D2565D">
              <w:rPr>
                <w:color w:val="000000"/>
                <w:w w:val="15"/>
                <w:shd w:val="solid" w:color="000000" w:fill="000000"/>
                <w:fitText w:val="20" w:id="-1032088571"/>
                <w14:textFill>
                  <w14:solidFill>
                    <w14:srgbClr w14:val="000000">
                      <w14:alpha w14:val="100000"/>
                    </w14:srgbClr>
                  </w14:solidFill>
                </w14:textFill>
              </w:rPr>
              <w:t>|</w:t>
            </w:r>
            <w:r w:rsidRPr="00D2565D">
              <w:rPr>
                <w:rFonts w:hint="eastAsia"/>
                <w:color w:val="000000"/>
                <w:spacing w:val="-45"/>
                <w:w w:val="15"/>
                <w:shd w:val="solid" w:color="000000" w:fill="000000"/>
                <w:fitText w:val="20" w:id="-1032088571"/>
                <w14:textFill>
                  <w14:solidFill>
                    <w14:srgbClr w14:val="000000">
                      <w14:alpha w14:val="100000"/>
                    </w14:srgbClr>
                  </w14:solidFill>
                </w14:textFill>
              </w:rPr>
              <w:t xml:space="preserve">　</w:t>
            </w:r>
          </w:p>
        </w:tc>
        <w:tc>
          <w:tcPr>
            <w:tcW w:w="731" w:type="pct"/>
          </w:tcPr>
          <w:p w14:paraId="530CCACE" w14:textId="77777777" w:rsidR="00BF3070" w:rsidRPr="00743512" w:rsidRDefault="00BF3070" w:rsidP="004F5B47">
            <w:pPr>
              <w:pStyle w:val="TableText0"/>
              <w:jc w:val="center"/>
              <w:rPr>
                <w:i/>
                <w:iCs/>
              </w:rPr>
            </w:pPr>
            <w:r w:rsidRPr="00743512">
              <w:t>0.67</w:t>
            </w:r>
          </w:p>
        </w:tc>
        <w:tc>
          <w:tcPr>
            <w:tcW w:w="678" w:type="pct"/>
          </w:tcPr>
          <w:p w14:paraId="2CCD1FC6" w14:textId="3F01D954" w:rsidR="00BF3070" w:rsidRPr="00743512" w:rsidRDefault="00F32823" w:rsidP="004F5B47">
            <w:pPr>
              <w:pStyle w:val="TableText0"/>
              <w:jc w:val="center"/>
              <w:rPr>
                <w:i/>
                <w:iCs/>
                <w:highlight w:val="black"/>
              </w:rPr>
            </w:pPr>
            <w:r w:rsidRPr="00F32823">
              <w:t xml:space="preserve"> </w:t>
            </w:r>
            <w:r w:rsidR="00632DCB" w:rsidRPr="002D5411">
              <w:rPr>
                <w:rFonts w:hint="eastAsia"/>
                <w:color w:val="000000"/>
                <w:w w:val="31"/>
                <w:shd w:val="solid" w:color="000000" w:fill="000000"/>
                <w:fitText w:val="140" w:id="-1032088570"/>
                <w14:textFill>
                  <w14:solidFill>
                    <w14:srgbClr w14:val="000000">
                      <w14:alpha w14:val="100000"/>
                    </w14:srgbClr>
                  </w14:solidFill>
                </w14:textFill>
              </w:rPr>
              <w:t xml:space="preserve">　</w:t>
            </w:r>
            <w:r w:rsidR="00632DCB" w:rsidRPr="002D5411">
              <w:rPr>
                <w:color w:val="000000"/>
                <w:w w:val="31"/>
                <w:shd w:val="solid" w:color="000000" w:fill="000000"/>
                <w:fitText w:val="140" w:id="-1032088570"/>
                <w14:textFill>
                  <w14:solidFill>
                    <w14:srgbClr w14:val="000000">
                      <w14:alpha w14:val="100000"/>
                    </w14:srgbClr>
                  </w14:solidFill>
                </w14:textFill>
              </w:rPr>
              <w:t>|</w:t>
            </w:r>
            <w:r w:rsidR="00632DCB" w:rsidRPr="002D5411">
              <w:rPr>
                <w:rFonts w:hint="eastAsia"/>
                <w:color w:val="000000"/>
                <w:w w:val="31"/>
                <w:shd w:val="solid" w:color="000000" w:fill="000000"/>
                <w:fitText w:val="140" w:id="-1032088570"/>
                <w14:textFill>
                  <w14:solidFill>
                    <w14:srgbClr w14:val="000000">
                      <w14:alpha w14:val="100000"/>
                    </w14:srgbClr>
                  </w14:solidFill>
                </w14:textFill>
              </w:rPr>
              <w:t xml:space="preserve">　</w:t>
            </w:r>
            <w:r w:rsidR="00595625" w:rsidRPr="00595625">
              <w:rPr>
                <w:b/>
                <w:vertAlign w:val="superscript"/>
              </w:rPr>
              <w:t>1</w:t>
            </w:r>
          </w:p>
        </w:tc>
        <w:tc>
          <w:tcPr>
            <w:tcW w:w="600" w:type="pct"/>
          </w:tcPr>
          <w:p w14:paraId="5448A7B9" w14:textId="2FA0EBC9" w:rsidR="00BF3070" w:rsidRPr="00743512" w:rsidRDefault="00BF3070" w:rsidP="004F5B47">
            <w:pPr>
              <w:pStyle w:val="TableText0"/>
              <w:jc w:val="center"/>
              <w:rPr>
                <w:rFonts w:eastAsia="Calibri"/>
                <w:szCs w:val="20"/>
              </w:rPr>
            </w:pPr>
            <w:r w:rsidRPr="00743512">
              <w:t>-</w:t>
            </w:r>
            <w:r w:rsidR="00632DCB">
              <w:t xml:space="preserve"> </w:t>
            </w:r>
            <w:r w:rsidR="00632DCB" w:rsidRPr="00632DCB">
              <w:rPr>
                <w:color w:val="000000"/>
                <w:spacing w:val="154"/>
                <w:shd w:val="solid" w:color="000000" w:fill="000000"/>
                <w:fitText w:val="240" w:id="-1032088569"/>
                <w14:textFill>
                  <w14:solidFill>
                    <w14:srgbClr w14:val="000000">
                      <w14:alpha w14:val="100000"/>
                    </w14:srgbClr>
                  </w14:solidFill>
                </w14:textFill>
              </w:rPr>
              <w:t>|</w:t>
            </w:r>
            <w:r w:rsidR="00632DCB" w:rsidRPr="00632DCB">
              <w:rPr>
                <w:color w:val="000000"/>
                <w:spacing w:val="1"/>
                <w:shd w:val="solid" w:color="000000" w:fill="000000"/>
                <w:fitText w:val="240" w:id="-1032088569"/>
                <w14:textFill>
                  <w14:solidFill>
                    <w14:srgbClr w14:val="000000">
                      <w14:alpha w14:val="100000"/>
                    </w14:srgbClr>
                  </w14:solidFill>
                </w14:textFill>
              </w:rPr>
              <w:t>|</w:t>
            </w:r>
            <w:r w:rsidRPr="00743512">
              <w:t>%</w:t>
            </w:r>
          </w:p>
        </w:tc>
      </w:tr>
      <w:tr w:rsidR="00BF3070" w:rsidRPr="00743512" w14:paraId="605BE607" w14:textId="77777777" w:rsidTr="004F5B47">
        <w:trPr>
          <w:cantSplit/>
        </w:trPr>
        <w:tc>
          <w:tcPr>
            <w:tcW w:w="5000" w:type="pct"/>
            <w:gridSpan w:val="5"/>
          </w:tcPr>
          <w:p w14:paraId="6BE236C4" w14:textId="77777777" w:rsidR="00BF3070" w:rsidRPr="00743512" w:rsidRDefault="00BF3070" w:rsidP="004F5B47">
            <w:pPr>
              <w:pStyle w:val="TableText0"/>
              <w:rPr>
                <w:rFonts w:eastAsia="Calibri"/>
                <w:szCs w:val="20"/>
              </w:rPr>
            </w:pPr>
            <w:r w:rsidRPr="00743512">
              <w:t>Discount rate (base case: 5%)</w:t>
            </w:r>
          </w:p>
        </w:tc>
      </w:tr>
      <w:tr w:rsidR="00BF3070" w:rsidRPr="00743512" w14:paraId="2B13537D" w14:textId="77777777" w:rsidTr="00F4781C">
        <w:trPr>
          <w:cantSplit/>
        </w:trPr>
        <w:tc>
          <w:tcPr>
            <w:tcW w:w="2260" w:type="pct"/>
          </w:tcPr>
          <w:p w14:paraId="40948FCE" w14:textId="77777777" w:rsidR="00BF3070" w:rsidRPr="00743512" w:rsidRDefault="00BF3070" w:rsidP="004F5B47">
            <w:pPr>
              <w:pStyle w:val="TableText0"/>
              <w:rPr>
                <w:i/>
                <w:iCs/>
              </w:rPr>
            </w:pPr>
            <w:r w:rsidRPr="00743512">
              <w:t>0%</w:t>
            </w:r>
          </w:p>
        </w:tc>
        <w:tc>
          <w:tcPr>
            <w:tcW w:w="731" w:type="pct"/>
          </w:tcPr>
          <w:p w14:paraId="1E5DB5F1" w14:textId="6FAE0222" w:rsidR="00BF3070" w:rsidRPr="00743512" w:rsidRDefault="00632DCB" w:rsidP="004F5B47">
            <w:pPr>
              <w:pStyle w:val="TableText0"/>
              <w:jc w:val="center"/>
              <w:rPr>
                <w:rFonts w:eastAsia="Calibri"/>
                <w:i/>
                <w:iCs/>
                <w:szCs w:val="20"/>
              </w:rPr>
            </w:pPr>
            <w:r>
              <w:t xml:space="preserve"> </w:t>
            </w:r>
            <w:r w:rsidRPr="00D2565D">
              <w:rPr>
                <w:rFonts w:hint="eastAsia"/>
                <w:color w:val="000000"/>
                <w:w w:val="15"/>
                <w:shd w:val="solid" w:color="000000" w:fill="000000"/>
                <w:fitText w:val="20" w:id="-1032088568"/>
                <w14:textFill>
                  <w14:solidFill>
                    <w14:srgbClr w14:val="000000">
                      <w14:alpha w14:val="100000"/>
                    </w14:srgbClr>
                  </w14:solidFill>
                </w14:textFill>
              </w:rPr>
              <w:t xml:space="preserve">　</w:t>
            </w:r>
            <w:r w:rsidRPr="00D2565D">
              <w:rPr>
                <w:color w:val="000000"/>
                <w:w w:val="15"/>
                <w:shd w:val="solid" w:color="000000" w:fill="000000"/>
                <w:fitText w:val="20" w:id="-1032088568"/>
                <w14:textFill>
                  <w14:solidFill>
                    <w14:srgbClr w14:val="000000">
                      <w14:alpha w14:val="100000"/>
                    </w14:srgbClr>
                  </w14:solidFill>
                </w14:textFill>
              </w:rPr>
              <w:t>|</w:t>
            </w:r>
            <w:r w:rsidRPr="00D2565D">
              <w:rPr>
                <w:rFonts w:hint="eastAsia"/>
                <w:color w:val="000000"/>
                <w:spacing w:val="-45"/>
                <w:w w:val="15"/>
                <w:shd w:val="solid" w:color="000000" w:fill="000000"/>
                <w:fitText w:val="20" w:id="-1032088568"/>
                <w14:textFill>
                  <w14:solidFill>
                    <w14:srgbClr w14:val="000000">
                      <w14:alpha w14:val="100000"/>
                    </w14:srgbClr>
                  </w14:solidFill>
                </w14:textFill>
              </w:rPr>
              <w:t xml:space="preserve">　</w:t>
            </w:r>
            <w:r w:rsidR="007C1BAB">
              <w:t xml:space="preserve"> </w:t>
            </w:r>
          </w:p>
        </w:tc>
        <w:tc>
          <w:tcPr>
            <w:tcW w:w="731" w:type="pct"/>
          </w:tcPr>
          <w:p w14:paraId="0C19ABCE" w14:textId="77777777" w:rsidR="00BF3070" w:rsidRPr="00743512" w:rsidRDefault="00BF3070" w:rsidP="004F5B47">
            <w:pPr>
              <w:pStyle w:val="TableText0"/>
              <w:jc w:val="center"/>
              <w:rPr>
                <w:rFonts w:eastAsia="Calibri"/>
                <w:i/>
                <w:iCs/>
                <w:szCs w:val="20"/>
              </w:rPr>
            </w:pPr>
            <w:r w:rsidRPr="00743512">
              <w:t>1.18</w:t>
            </w:r>
          </w:p>
        </w:tc>
        <w:tc>
          <w:tcPr>
            <w:tcW w:w="678" w:type="pct"/>
          </w:tcPr>
          <w:p w14:paraId="4FE0BBBA" w14:textId="38BCD345" w:rsidR="00BF3070" w:rsidRPr="00743512" w:rsidRDefault="00F32823" w:rsidP="004F5B47">
            <w:pPr>
              <w:pStyle w:val="TableText0"/>
              <w:jc w:val="center"/>
              <w:rPr>
                <w:rFonts w:eastAsia="Calibri"/>
                <w:i/>
                <w:iCs/>
                <w:szCs w:val="20"/>
              </w:rPr>
            </w:pPr>
            <w:r w:rsidRPr="00F32823">
              <w:t xml:space="preserve"> </w:t>
            </w:r>
            <w:r w:rsidR="00632DCB" w:rsidRPr="00F32823">
              <w:rPr>
                <w:rFonts w:hint="eastAsia"/>
                <w:color w:val="000000"/>
                <w:w w:val="31"/>
                <w:shd w:val="solid" w:color="000000" w:fill="000000"/>
                <w:fitText w:val="140" w:id="-1032088567"/>
                <w14:textFill>
                  <w14:solidFill>
                    <w14:srgbClr w14:val="000000">
                      <w14:alpha w14:val="100000"/>
                    </w14:srgbClr>
                  </w14:solidFill>
                </w14:textFill>
              </w:rPr>
              <w:t xml:space="preserve">　</w:t>
            </w:r>
            <w:r w:rsidR="00632DCB" w:rsidRPr="00F32823">
              <w:rPr>
                <w:color w:val="000000"/>
                <w:w w:val="31"/>
                <w:shd w:val="solid" w:color="000000" w:fill="000000"/>
                <w:fitText w:val="140" w:id="-1032088567"/>
                <w14:textFill>
                  <w14:solidFill>
                    <w14:srgbClr w14:val="000000">
                      <w14:alpha w14:val="100000"/>
                    </w14:srgbClr>
                  </w14:solidFill>
                </w14:textFill>
              </w:rPr>
              <w:t>|</w:t>
            </w:r>
            <w:r w:rsidR="00632DCB" w:rsidRPr="00F32823">
              <w:rPr>
                <w:rFonts w:hint="eastAsia"/>
                <w:color w:val="000000"/>
                <w:w w:val="31"/>
                <w:shd w:val="solid" w:color="000000" w:fill="000000"/>
                <w:fitText w:val="140" w:id="-1032088567"/>
                <w14:textFill>
                  <w14:solidFill>
                    <w14:srgbClr w14:val="000000">
                      <w14:alpha w14:val="100000"/>
                    </w14:srgbClr>
                  </w14:solidFill>
                </w14:textFill>
              </w:rPr>
              <w:t xml:space="preserve">　</w:t>
            </w:r>
            <w:r w:rsidR="007C1BAB" w:rsidRPr="007C1BAB">
              <w:rPr>
                <w:vertAlign w:val="superscript"/>
              </w:rPr>
              <w:t>1</w:t>
            </w:r>
          </w:p>
        </w:tc>
        <w:tc>
          <w:tcPr>
            <w:tcW w:w="600" w:type="pct"/>
          </w:tcPr>
          <w:p w14:paraId="7B8EA9C1" w14:textId="1EE1EED4" w:rsidR="00BF3070" w:rsidRPr="00743512" w:rsidRDefault="00BF3070" w:rsidP="004F5B47">
            <w:pPr>
              <w:pStyle w:val="TableText0"/>
              <w:jc w:val="center"/>
              <w:rPr>
                <w:rFonts w:eastAsia="Calibri"/>
                <w:szCs w:val="20"/>
              </w:rPr>
            </w:pPr>
            <w:r w:rsidRPr="00743512">
              <w:t>-</w:t>
            </w:r>
            <w:r w:rsidR="00632DCB">
              <w:t xml:space="preserve"> </w:t>
            </w:r>
            <w:r w:rsidR="00632DCB" w:rsidRPr="00632DCB">
              <w:rPr>
                <w:color w:val="000000"/>
                <w:spacing w:val="154"/>
                <w:shd w:val="solid" w:color="000000" w:fill="000000"/>
                <w:fitText w:val="240" w:id="-1032088566"/>
                <w14:textFill>
                  <w14:solidFill>
                    <w14:srgbClr w14:val="000000">
                      <w14:alpha w14:val="100000"/>
                    </w14:srgbClr>
                  </w14:solidFill>
                </w14:textFill>
              </w:rPr>
              <w:t>|</w:t>
            </w:r>
            <w:r w:rsidR="00632DCB" w:rsidRPr="00632DCB">
              <w:rPr>
                <w:color w:val="000000"/>
                <w:spacing w:val="1"/>
                <w:shd w:val="solid" w:color="000000" w:fill="000000"/>
                <w:fitText w:val="240" w:id="-1032088566"/>
                <w14:textFill>
                  <w14:solidFill>
                    <w14:srgbClr w14:val="000000">
                      <w14:alpha w14:val="100000"/>
                    </w14:srgbClr>
                  </w14:solidFill>
                </w14:textFill>
              </w:rPr>
              <w:t>|</w:t>
            </w:r>
            <w:r w:rsidRPr="00743512">
              <w:t>%</w:t>
            </w:r>
          </w:p>
        </w:tc>
      </w:tr>
      <w:tr w:rsidR="00BF3070" w:rsidRPr="00743512" w14:paraId="4F368DA2" w14:textId="77777777" w:rsidTr="00F4781C">
        <w:trPr>
          <w:cantSplit/>
        </w:trPr>
        <w:tc>
          <w:tcPr>
            <w:tcW w:w="2260" w:type="pct"/>
          </w:tcPr>
          <w:p w14:paraId="1F76BE59" w14:textId="77777777" w:rsidR="00BF3070" w:rsidRPr="00743512" w:rsidRDefault="00BF3070" w:rsidP="004F5B47">
            <w:pPr>
              <w:pStyle w:val="TableText0"/>
              <w:rPr>
                <w:i/>
                <w:iCs/>
              </w:rPr>
            </w:pPr>
            <w:r w:rsidRPr="00743512">
              <w:t>3.5%</w:t>
            </w:r>
          </w:p>
        </w:tc>
        <w:tc>
          <w:tcPr>
            <w:tcW w:w="731" w:type="pct"/>
          </w:tcPr>
          <w:p w14:paraId="2971314D" w14:textId="79CDF2B0" w:rsidR="00BF3070" w:rsidRPr="00743512" w:rsidRDefault="00632DCB" w:rsidP="004F5B47">
            <w:pPr>
              <w:pStyle w:val="TableText0"/>
              <w:jc w:val="center"/>
              <w:rPr>
                <w:rFonts w:eastAsia="Calibri"/>
                <w:i/>
                <w:iCs/>
                <w:szCs w:val="20"/>
              </w:rPr>
            </w:pPr>
            <w:r>
              <w:t xml:space="preserve"> </w:t>
            </w:r>
            <w:r w:rsidRPr="00D2565D">
              <w:rPr>
                <w:rFonts w:hint="eastAsia"/>
                <w:color w:val="000000"/>
                <w:w w:val="15"/>
                <w:shd w:val="solid" w:color="000000" w:fill="000000"/>
                <w:fitText w:val="20" w:id="-1032088565"/>
                <w14:textFill>
                  <w14:solidFill>
                    <w14:srgbClr w14:val="000000">
                      <w14:alpha w14:val="100000"/>
                    </w14:srgbClr>
                  </w14:solidFill>
                </w14:textFill>
              </w:rPr>
              <w:t xml:space="preserve">　</w:t>
            </w:r>
            <w:r w:rsidRPr="00D2565D">
              <w:rPr>
                <w:color w:val="000000"/>
                <w:w w:val="15"/>
                <w:shd w:val="solid" w:color="000000" w:fill="000000"/>
                <w:fitText w:val="20" w:id="-1032088565"/>
                <w14:textFill>
                  <w14:solidFill>
                    <w14:srgbClr w14:val="000000">
                      <w14:alpha w14:val="100000"/>
                    </w14:srgbClr>
                  </w14:solidFill>
                </w14:textFill>
              </w:rPr>
              <w:t>|</w:t>
            </w:r>
            <w:r w:rsidRPr="00D2565D">
              <w:rPr>
                <w:rFonts w:hint="eastAsia"/>
                <w:color w:val="000000"/>
                <w:spacing w:val="-45"/>
                <w:w w:val="15"/>
                <w:shd w:val="solid" w:color="000000" w:fill="000000"/>
                <w:fitText w:val="20" w:id="-1032088565"/>
                <w14:textFill>
                  <w14:solidFill>
                    <w14:srgbClr w14:val="000000">
                      <w14:alpha w14:val="100000"/>
                    </w14:srgbClr>
                  </w14:solidFill>
                </w14:textFill>
              </w:rPr>
              <w:t xml:space="preserve">　</w:t>
            </w:r>
            <w:r w:rsidR="007C1BAB">
              <w:t xml:space="preserve"> </w:t>
            </w:r>
          </w:p>
        </w:tc>
        <w:tc>
          <w:tcPr>
            <w:tcW w:w="731" w:type="pct"/>
          </w:tcPr>
          <w:p w14:paraId="767D300F" w14:textId="77777777" w:rsidR="00BF3070" w:rsidRPr="00743512" w:rsidRDefault="00BF3070" w:rsidP="004F5B47">
            <w:pPr>
              <w:pStyle w:val="TableText0"/>
              <w:jc w:val="center"/>
              <w:rPr>
                <w:rFonts w:eastAsia="Calibri"/>
                <w:i/>
                <w:iCs/>
                <w:szCs w:val="20"/>
              </w:rPr>
            </w:pPr>
            <w:r w:rsidRPr="00743512">
              <w:t>0.73</w:t>
            </w:r>
          </w:p>
        </w:tc>
        <w:tc>
          <w:tcPr>
            <w:tcW w:w="678" w:type="pct"/>
          </w:tcPr>
          <w:p w14:paraId="3BA9AE87" w14:textId="5B643C7E" w:rsidR="00BF3070" w:rsidRPr="001E5CEC" w:rsidRDefault="00632DCB" w:rsidP="004F5B47">
            <w:pPr>
              <w:pStyle w:val="TableText0"/>
              <w:jc w:val="center"/>
              <w:rPr>
                <w:rFonts w:eastAsia="Calibri"/>
                <w:i/>
                <w:iCs/>
                <w:szCs w:val="20"/>
                <w:highlight w:val="darkGray"/>
              </w:rPr>
            </w:pPr>
            <w:r>
              <w:t xml:space="preserve"> </w:t>
            </w:r>
            <w:r w:rsidRPr="00632DCB">
              <w:rPr>
                <w:rFonts w:hint="eastAsia"/>
                <w:color w:val="000000"/>
                <w:w w:val="22"/>
                <w:shd w:val="solid" w:color="000000" w:fill="000000"/>
                <w:fitText w:val="100" w:id="-1032088564"/>
                <w14:textFill>
                  <w14:solidFill>
                    <w14:srgbClr w14:val="000000">
                      <w14:alpha w14:val="100000"/>
                    </w14:srgbClr>
                  </w14:solidFill>
                </w14:textFill>
              </w:rPr>
              <w:t xml:space="preserve">　</w:t>
            </w:r>
            <w:r w:rsidRPr="00632DCB">
              <w:rPr>
                <w:color w:val="000000"/>
                <w:w w:val="22"/>
                <w:shd w:val="solid" w:color="000000" w:fill="000000"/>
                <w:fitText w:val="100" w:id="-1032088564"/>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4"/>
                <w14:textFill>
                  <w14:solidFill>
                    <w14:srgbClr w14:val="000000">
                      <w14:alpha w14:val="100000"/>
                    </w14:srgbClr>
                  </w14:solidFill>
                </w14:textFill>
              </w:rPr>
              <w:t xml:space="preserve">　</w:t>
            </w:r>
            <w:r w:rsidR="00595625" w:rsidRPr="002D5411">
              <w:rPr>
                <w:bCs w:val="0"/>
                <w:vertAlign w:val="superscript"/>
              </w:rPr>
              <w:t>1</w:t>
            </w:r>
          </w:p>
        </w:tc>
        <w:tc>
          <w:tcPr>
            <w:tcW w:w="600" w:type="pct"/>
          </w:tcPr>
          <w:p w14:paraId="77994D47" w14:textId="736980F7" w:rsidR="00BF3070" w:rsidRPr="00743512" w:rsidRDefault="00BF3070" w:rsidP="004F5B47">
            <w:pPr>
              <w:pStyle w:val="TableText0"/>
              <w:jc w:val="center"/>
              <w:rPr>
                <w:rFonts w:eastAsia="Calibri"/>
                <w:szCs w:val="20"/>
              </w:rPr>
            </w:pPr>
            <w:r w:rsidRPr="00743512">
              <w:t>-</w:t>
            </w:r>
            <w:r w:rsidR="00632DCB">
              <w:t xml:space="preserve"> </w:t>
            </w:r>
            <w:r w:rsidR="00632DCB" w:rsidRPr="00632DCB">
              <w:rPr>
                <w:color w:val="000000"/>
                <w:spacing w:val="154"/>
                <w:shd w:val="solid" w:color="000000" w:fill="000000"/>
                <w:fitText w:val="240" w:id="-1032088563"/>
                <w14:textFill>
                  <w14:solidFill>
                    <w14:srgbClr w14:val="000000">
                      <w14:alpha w14:val="100000"/>
                    </w14:srgbClr>
                  </w14:solidFill>
                </w14:textFill>
              </w:rPr>
              <w:t>|</w:t>
            </w:r>
            <w:r w:rsidR="00632DCB" w:rsidRPr="00632DCB">
              <w:rPr>
                <w:color w:val="000000"/>
                <w:spacing w:val="1"/>
                <w:shd w:val="solid" w:color="000000" w:fill="000000"/>
                <w:fitText w:val="240" w:id="-1032088563"/>
                <w14:textFill>
                  <w14:solidFill>
                    <w14:srgbClr w14:val="000000">
                      <w14:alpha w14:val="100000"/>
                    </w14:srgbClr>
                  </w14:solidFill>
                </w14:textFill>
              </w:rPr>
              <w:t>|</w:t>
            </w:r>
            <w:r w:rsidRPr="00743512">
              <w:t>%</w:t>
            </w:r>
          </w:p>
        </w:tc>
      </w:tr>
      <w:tr w:rsidR="00BF3070" w:rsidRPr="00743512" w14:paraId="2882083F" w14:textId="77777777" w:rsidTr="004F5B47">
        <w:trPr>
          <w:cantSplit/>
        </w:trPr>
        <w:tc>
          <w:tcPr>
            <w:tcW w:w="5000" w:type="pct"/>
            <w:gridSpan w:val="5"/>
          </w:tcPr>
          <w:p w14:paraId="7AE46EF8" w14:textId="77777777" w:rsidR="00BF3070" w:rsidRPr="00743512" w:rsidRDefault="00BF3070" w:rsidP="004F5B47">
            <w:pPr>
              <w:pStyle w:val="TableText0"/>
              <w:rPr>
                <w:rFonts w:eastAsia="Calibri"/>
                <w:szCs w:val="20"/>
              </w:rPr>
            </w:pPr>
            <w:r w:rsidRPr="00743512">
              <w:t>Assumption of reduced recurrence rate in the olaparib arm (base case: Years 5-10: 1% per year; Year 10+: 0%)</w:t>
            </w:r>
          </w:p>
        </w:tc>
      </w:tr>
      <w:tr w:rsidR="00BF3070" w:rsidRPr="00743512" w14:paraId="6E0983E6" w14:textId="77777777" w:rsidTr="00F4781C">
        <w:trPr>
          <w:cantSplit/>
        </w:trPr>
        <w:tc>
          <w:tcPr>
            <w:tcW w:w="2260" w:type="pct"/>
          </w:tcPr>
          <w:p w14:paraId="1F831EF2" w14:textId="77777777" w:rsidR="00BF3070" w:rsidRPr="00743512" w:rsidRDefault="00BF3070" w:rsidP="004F5B47">
            <w:pPr>
              <w:pStyle w:val="TableText0"/>
              <w:rPr>
                <w:i/>
                <w:iCs/>
              </w:rPr>
            </w:pPr>
            <w:r w:rsidRPr="00743512">
              <w:t>Delayed by 1 year, i.e. Years 6-11: 1% per year; Year 11+: 0%)</w:t>
            </w:r>
          </w:p>
        </w:tc>
        <w:tc>
          <w:tcPr>
            <w:tcW w:w="731" w:type="pct"/>
            <w:vAlign w:val="center"/>
          </w:tcPr>
          <w:p w14:paraId="0446FD63" w14:textId="4DB74B03" w:rsidR="00BF3070" w:rsidRPr="00743512" w:rsidRDefault="00632DCB" w:rsidP="004F5B47">
            <w:pPr>
              <w:pStyle w:val="TableText0"/>
              <w:jc w:val="center"/>
              <w:rPr>
                <w:rFonts w:eastAsia="Calibri"/>
                <w:i/>
                <w:iCs/>
                <w:szCs w:val="20"/>
              </w:rPr>
            </w:pPr>
            <w:r>
              <w:t xml:space="preserve"> </w:t>
            </w:r>
            <w:r w:rsidRPr="00D2565D">
              <w:rPr>
                <w:rFonts w:hint="eastAsia"/>
                <w:color w:val="000000"/>
                <w:w w:val="15"/>
                <w:shd w:val="solid" w:color="000000" w:fill="000000"/>
                <w:fitText w:val="20" w:id="-1032088562"/>
                <w14:textFill>
                  <w14:solidFill>
                    <w14:srgbClr w14:val="000000">
                      <w14:alpha w14:val="100000"/>
                    </w14:srgbClr>
                  </w14:solidFill>
                </w14:textFill>
              </w:rPr>
              <w:t xml:space="preserve">　</w:t>
            </w:r>
            <w:r w:rsidRPr="00D2565D">
              <w:rPr>
                <w:color w:val="000000"/>
                <w:w w:val="15"/>
                <w:shd w:val="solid" w:color="000000" w:fill="000000"/>
                <w:fitText w:val="20" w:id="-1032088562"/>
                <w14:textFill>
                  <w14:solidFill>
                    <w14:srgbClr w14:val="000000">
                      <w14:alpha w14:val="100000"/>
                    </w14:srgbClr>
                  </w14:solidFill>
                </w14:textFill>
              </w:rPr>
              <w:t>|</w:t>
            </w:r>
            <w:r w:rsidRPr="00D2565D">
              <w:rPr>
                <w:rFonts w:hint="eastAsia"/>
                <w:color w:val="000000"/>
                <w:spacing w:val="-45"/>
                <w:w w:val="15"/>
                <w:shd w:val="solid" w:color="000000" w:fill="000000"/>
                <w:fitText w:val="20" w:id="-1032088562"/>
                <w14:textFill>
                  <w14:solidFill>
                    <w14:srgbClr w14:val="000000">
                      <w14:alpha w14:val="100000"/>
                    </w14:srgbClr>
                  </w14:solidFill>
                </w14:textFill>
              </w:rPr>
              <w:t xml:space="preserve">　</w:t>
            </w:r>
            <w:r w:rsidR="007C1BAB">
              <w:t xml:space="preserve"> </w:t>
            </w:r>
          </w:p>
        </w:tc>
        <w:tc>
          <w:tcPr>
            <w:tcW w:w="731" w:type="pct"/>
            <w:vAlign w:val="center"/>
          </w:tcPr>
          <w:p w14:paraId="32737FC7" w14:textId="77777777" w:rsidR="00BF3070" w:rsidRPr="00743512" w:rsidRDefault="00BF3070" w:rsidP="004F5B47">
            <w:pPr>
              <w:pStyle w:val="TableText0"/>
              <w:jc w:val="center"/>
              <w:rPr>
                <w:rFonts w:eastAsia="Calibri"/>
                <w:i/>
                <w:iCs/>
                <w:szCs w:val="20"/>
              </w:rPr>
            </w:pPr>
            <w:r w:rsidRPr="00743512">
              <w:t>0.47</w:t>
            </w:r>
          </w:p>
        </w:tc>
        <w:tc>
          <w:tcPr>
            <w:tcW w:w="678" w:type="pct"/>
            <w:vAlign w:val="center"/>
          </w:tcPr>
          <w:p w14:paraId="13F9D3B5" w14:textId="44FB4E7F" w:rsidR="00BF3070" w:rsidRPr="00743512" w:rsidRDefault="00632DCB" w:rsidP="004F5B47">
            <w:pPr>
              <w:pStyle w:val="TableText0"/>
              <w:jc w:val="center"/>
              <w:rPr>
                <w:rFonts w:eastAsia="Calibri"/>
                <w:i/>
                <w:iCs/>
                <w:szCs w:val="20"/>
              </w:rPr>
            </w:pPr>
            <w:r>
              <w:t xml:space="preserve"> </w:t>
            </w:r>
            <w:r w:rsidRPr="002D5411">
              <w:rPr>
                <w:rFonts w:hint="eastAsia"/>
                <w:color w:val="000000"/>
                <w:w w:val="27"/>
                <w:shd w:val="solid" w:color="000000" w:fill="000000"/>
                <w:fitText w:val="120" w:id="-1032088561"/>
                <w14:textFill>
                  <w14:solidFill>
                    <w14:srgbClr w14:val="000000">
                      <w14:alpha w14:val="100000"/>
                    </w14:srgbClr>
                  </w14:solidFill>
                </w14:textFill>
              </w:rPr>
              <w:t xml:space="preserve">　</w:t>
            </w:r>
            <w:r w:rsidRPr="002D5411">
              <w:rPr>
                <w:color w:val="000000"/>
                <w:w w:val="27"/>
                <w:shd w:val="solid" w:color="000000" w:fill="000000"/>
                <w:fitText w:val="120" w:id="-1032088561"/>
                <w14:textFill>
                  <w14:solidFill>
                    <w14:srgbClr w14:val="000000">
                      <w14:alpha w14:val="100000"/>
                    </w14:srgbClr>
                  </w14:solidFill>
                </w14:textFill>
              </w:rPr>
              <w:t>|</w:t>
            </w:r>
            <w:r w:rsidRPr="002D5411">
              <w:rPr>
                <w:rFonts w:hint="eastAsia"/>
                <w:color w:val="000000"/>
                <w:w w:val="27"/>
                <w:shd w:val="solid" w:color="000000" w:fill="000000"/>
                <w:fitText w:val="120" w:id="-1032088561"/>
                <w14:textFill>
                  <w14:solidFill>
                    <w14:srgbClr w14:val="000000">
                      <w14:alpha w14:val="100000"/>
                    </w14:srgbClr>
                  </w14:solidFill>
                </w14:textFill>
              </w:rPr>
              <w:t xml:space="preserve">　</w:t>
            </w:r>
            <w:r w:rsidR="00595625" w:rsidRPr="00595625">
              <w:rPr>
                <w:vertAlign w:val="superscript"/>
              </w:rPr>
              <w:t>2</w:t>
            </w:r>
          </w:p>
        </w:tc>
        <w:tc>
          <w:tcPr>
            <w:tcW w:w="600" w:type="pct"/>
            <w:vAlign w:val="center"/>
          </w:tcPr>
          <w:p w14:paraId="723B7522" w14:textId="0EFEB54D" w:rsidR="00BF3070" w:rsidRPr="00743512" w:rsidRDefault="00632DCB" w:rsidP="004F5B47">
            <w:pPr>
              <w:pStyle w:val="TableText0"/>
              <w:jc w:val="center"/>
              <w:rPr>
                <w:rFonts w:eastAsia="Calibri"/>
                <w:szCs w:val="20"/>
              </w:rPr>
            </w:pPr>
            <w:r>
              <w:t xml:space="preserve"> </w:t>
            </w:r>
            <w:r w:rsidRPr="00632DCB">
              <w:rPr>
                <w:color w:val="000000"/>
                <w:spacing w:val="41"/>
                <w:shd w:val="solid" w:color="000000" w:fill="000000"/>
                <w:fitText w:val="210" w:id="-1032088560"/>
                <w14:textFill>
                  <w14:solidFill>
                    <w14:srgbClr w14:val="000000">
                      <w14:alpha w14:val="100000"/>
                    </w14:srgbClr>
                  </w14:solidFill>
                </w14:textFill>
              </w:rPr>
              <w:t>||</w:t>
            </w:r>
            <w:r w:rsidRPr="00632DCB">
              <w:rPr>
                <w:color w:val="000000"/>
                <w:spacing w:val="1"/>
                <w:shd w:val="solid" w:color="000000" w:fill="000000"/>
                <w:fitText w:val="210" w:id="-1032088560"/>
                <w14:textFill>
                  <w14:solidFill>
                    <w14:srgbClr w14:val="000000">
                      <w14:alpha w14:val="100000"/>
                    </w14:srgbClr>
                  </w14:solidFill>
                </w14:textFill>
              </w:rPr>
              <w:t>|</w:t>
            </w:r>
            <w:r w:rsidR="00BF3070" w:rsidRPr="00743512">
              <w:t>%</w:t>
            </w:r>
          </w:p>
        </w:tc>
      </w:tr>
      <w:tr w:rsidR="00BF3070" w:rsidRPr="00743512" w14:paraId="2B3628C8" w14:textId="77777777" w:rsidTr="004F5B47">
        <w:trPr>
          <w:cantSplit/>
        </w:trPr>
        <w:tc>
          <w:tcPr>
            <w:tcW w:w="5000" w:type="pct"/>
            <w:gridSpan w:val="5"/>
          </w:tcPr>
          <w:p w14:paraId="7E15F3C8" w14:textId="67AE6559" w:rsidR="00BF3070" w:rsidRPr="00743512" w:rsidRDefault="00BF3070" w:rsidP="004F5B47">
            <w:pPr>
              <w:pStyle w:val="TableText0"/>
              <w:rPr>
                <w:rFonts w:eastAsia="Calibri"/>
                <w:szCs w:val="20"/>
              </w:rPr>
            </w:pPr>
            <w:r w:rsidRPr="00743512">
              <w:rPr>
                <w:rFonts w:eastAsia="Calibri"/>
                <w:szCs w:val="20"/>
              </w:rPr>
              <w:t>g</w:t>
            </w:r>
            <w:r w:rsidR="00CD50D4" w:rsidRPr="00743512">
              <w:rPr>
                <w:rFonts w:eastAsia="Calibri"/>
                <w:i/>
                <w:szCs w:val="20"/>
              </w:rPr>
              <w:t>BRCA</w:t>
            </w:r>
            <w:r w:rsidRPr="00743512">
              <w:rPr>
                <w:rFonts w:eastAsia="Calibri"/>
                <w:szCs w:val="20"/>
              </w:rPr>
              <w:t xml:space="preserve"> testing cost (base case: unit cost of $1,200. Testing rate of 95% in the proposed scenario. To estimate the number needed to be tested to identify one patient treated with olaparib, it was assumed that 100% patients who undergo g</w:t>
            </w:r>
            <w:r w:rsidR="00CD50D4" w:rsidRPr="00743512">
              <w:rPr>
                <w:rFonts w:eastAsia="Calibri"/>
                <w:i/>
                <w:szCs w:val="20"/>
              </w:rPr>
              <w:t>BRCA</w:t>
            </w:r>
            <w:r w:rsidRPr="00743512">
              <w:rPr>
                <w:rFonts w:eastAsia="Calibri"/>
                <w:szCs w:val="20"/>
              </w:rPr>
              <w:t xml:space="preserve"> testing and are tested positive for g</w:t>
            </w:r>
            <w:r w:rsidR="00CD50D4" w:rsidRPr="00743512">
              <w:rPr>
                <w:rFonts w:eastAsia="Calibri"/>
                <w:i/>
                <w:szCs w:val="20"/>
              </w:rPr>
              <w:t>BRCA</w:t>
            </w:r>
            <w:r w:rsidRPr="00743512">
              <w:rPr>
                <w:rFonts w:eastAsia="Calibri"/>
                <w:szCs w:val="20"/>
              </w:rPr>
              <w:t xml:space="preserve"> mutation would receive olaparib therapy)</w:t>
            </w:r>
          </w:p>
        </w:tc>
      </w:tr>
      <w:tr w:rsidR="00BF3070" w:rsidRPr="00743512" w14:paraId="28BD1811" w14:textId="77777777" w:rsidTr="00F4781C">
        <w:trPr>
          <w:cantSplit/>
        </w:trPr>
        <w:tc>
          <w:tcPr>
            <w:tcW w:w="2260" w:type="pct"/>
          </w:tcPr>
          <w:p w14:paraId="57C75480" w14:textId="77777777" w:rsidR="00BF3070" w:rsidRPr="00743512" w:rsidRDefault="00BF3070" w:rsidP="004F5B47">
            <w:pPr>
              <w:pStyle w:val="TableText0"/>
              <w:rPr>
                <w:i/>
                <w:iCs/>
              </w:rPr>
            </w:pPr>
            <w:r w:rsidRPr="00743512">
              <w:t>Unit cost of $1,000</w:t>
            </w:r>
          </w:p>
        </w:tc>
        <w:tc>
          <w:tcPr>
            <w:tcW w:w="731" w:type="pct"/>
            <w:vAlign w:val="center"/>
          </w:tcPr>
          <w:p w14:paraId="15019628" w14:textId="37E3009C" w:rsidR="00BF3070" w:rsidRPr="00743512" w:rsidRDefault="00632DCB" w:rsidP="004F5B47">
            <w:pPr>
              <w:pStyle w:val="TableText0"/>
              <w:jc w:val="center"/>
              <w:rPr>
                <w:rFonts w:eastAsia="Calibri"/>
                <w:i/>
                <w:iCs/>
                <w:szCs w:val="20"/>
              </w:rPr>
            </w:pPr>
            <w:r>
              <w:t xml:space="preserve"> </w:t>
            </w:r>
            <w:r w:rsidRPr="00D2565D">
              <w:rPr>
                <w:rFonts w:hint="eastAsia"/>
                <w:color w:val="000000"/>
                <w:w w:val="15"/>
                <w:shd w:val="solid" w:color="000000" w:fill="000000"/>
                <w:fitText w:val="20" w:id="-1032088576"/>
                <w14:textFill>
                  <w14:solidFill>
                    <w14:srgbClr w14:val="000000">
                      <w14:alpha w14:val="100000"/>
                    </w14:srgbClr>
                  </w14:solidFill>
                </w14:textFill>
              </w:rPr>
              <w:t xml:space="preserve">　</w:t>
            </w:r>
            <w:r w:rsidRPr="00D2565D">
              <w:rPr>
                <w:color w:val="000000"/>
                <w:w w:val="15"/>
                <w:shd w:val="solid" w:color="000000" w:fill="000000"/>
                <w:fitText w:val="20" w:id="-1032088576"/>
                <w14:textFill>
                  <w14:solidFill>
                    <w14:srgbClr w14:val="000000">
                      <w14:alpha w14:val="100000"/>
                    </w14:srgbClr>
                  </w14:solidFill>
                </w14:textFill>
              </w:rPr>
              <w:t>|</w:t>
            </w:r>
            <w:r w:rsidRPr="00D2565D">
              <w:rPr>
                <w:rFonts w:hint="eastAsia"/>
                <w:color w:val="000000"/>
                <w:spacing w:val="-45"/>
                <w:w w:val="15"/>
                <w:shd w:val="solid" w:color="000000" w:fill="000000"/>
                <w:fitText w:val="20" w:id="-1032088576"/>
                <w14:textFill>
                  <w14:solidFill>
                    <w14:srgbClr w14:val="000000">
                      <w14:alpha w14:val="100000"/>
                    </w14:srgbClr>
                  </w14:solidFill>
                </w14:textFill>
              </w:rPr>
              <w:t xml:space="preserve">　</w:t>
            </w:r>
            <w:r w:rsidR="007C1BAB">
              <w:t xml:space="preserve"> </w:t>
            </w:r>
          </w:p>
        </w:tc>
        <w:tc>
          <w:tcPr>
            <w:tcW w:w="731" w:type="pct"/>
            <w:vAlign w:val="center"/>
          </w:tcPr>
          <w:p w14:paraId="78EA4655" w14:textId="77777777" w:rsidR="00BF3070" w:rsidRPr="00743512" w:rsidRDefault="00BF3070" w:rsidP="004F5B47">
            <w:pPr>
              <w:pStyle w:val="TableText0"/>
              <w:jc w:val="center"/>
              <w:rPr>
                <w:rFonts w:eastAsia="Calibri"/>
                <w:i/>
                <w:iCs/>
                <w:szCs w:val="20"/>
              </w:rPr>
            </w:pPr>
            <w:r w:rsidRPr="00743512">
              <w:t>0.61</w:t>
            </w:r>
          </w:p>
        </w:tc>
        <w:tc>
          <w:tcPr>
            <w:tcW w:w="678" w:type="pct"/>
            <w:vAlign w:val="center"/>
          </w:tcPr>
          <w:p w14:paraId="4E9927DC" w14:textId="77FF35F3" w:rsidR="00BF3070" w:rsidRPr="00743512" w:rsidRDefault="00632DCB" w:rsidP="004F5B47">
            <w:pPr>
              <w:pStyle w:val="TableText0"/>
              <w:jc w:val="center"/>
              <w:rPr>
                <w:rFonts w:eastAsia="Calibri"/>
                <w:i/>
                <w:iCs/>
                <w:szCs w:val="20"/>
              </w:rPr>
            </w:pPr>
            <w:r>
              <w:t xml:space="preserve"> </w:t>
            </w:r>
            <w:r w:rsidRPr="00632DCB">
              <w:rPr>
                <w:rFonts w:hint="eastAsia"/>
                <w:color w:val="000000"/>
                <w:w w:val="27"/>
                <w:shd w:val="solid" w:color="000000" w:fill="000000"/>
                <w:fitText w:val="120" w:id="-1032088575"/>
                <w14:textFill>
                  <w14:solidFill>
                    <w14:srgbClr w14:val="000000">
                      <w14:alpha w14:val="100000"/>
                    </w14:srgbClr>
                  </w14:solidFill>
                </w14:textFill>
              </w:rPr>
              <w:t xml:space="preserve">　</w:t>
            </w:r>
            <w:r w:rsidRPr="00632DCB">
              <w:rPr>
                <w:color w:val="000000"/>
                <w:w w:val="27"/>
                <w:shd w:val="solid" w:color="000000" w:fill="000000"/>
                <w:fitText w:val="120" w:id="-1032088575"/>
                <w14:textFill>
                  <w14:solidFill>
                    <w14:srgbClr w14:val="000000">
                      <w14:alpha w14:val="100000"/>
                    </w14:srgbClr>
                  </w14:solidFill>
                </w14:textFill>
              </w:rPr>
              <w:t>|</w:t>
            </w:r>
            <w:r w:rsidRPr="00632DCB">
              <w:rPr>
                <w:rFonts w:hint="eastAsia"/>
                <w:color w:val="000000"/>
                <w:spacing w:val="2"/>
                <w:w w:val="27"/>
                <w:shd w:val="solid" w:color="000000" w:fill="000000"/>
                <w:fitText w:val="120" w:id="-1032088575"/>
                <w14:textFill>
                  <w14:solidFill>
                    <w14:srgbClr w14:val="000000">
                      <w14:alpha w14:val="100000"/>
                    </w14:srgbClr>
                  </w14:solidFill>
                </w14:textFill>
              </w:rPr>
              <w:t xml:space="preserve">　</w:t>
            </w:r>
            <w:r w:rsidR="00595625" w:rsidRPr="002D5411">
              <w:rPr>
                <w:bCs w:val="0"/>
                <w:vertAlign w:val="superscript"/>
              </w:rPr>
              <w:t>1</w:t>
            </w:r>
          </w:p>
        </w:tc>
        <w:tc>
          <w:tcPr>
            <w:tcW w:w="600" w:type="pct"/>
            <w:vAlign w:val="center"/>
          </w:tcPr>
          <w:p w14:paraId="649AFBDC" w14:textId="222B8EED" w:rsidR="00BF3070" w:rsidRPr="00743512" w:rsidRDefault="00BF3070" w:rsidP="004F5B47">
            <w:pPr>
              <w:pStyle w:val="TableText0"/>
              <w:jc w:val="center"/>
              <w:rPr>
                <w:rFonts w:eastAsia="Calibri"/>
                <w:szCs w:val="20"/>
              </w:rPr>
            </w:pPr>
            <w:r w:rsidRPr="00743512">
              <w:t>-</w:t>
            </w:r>
            <w:r w:rsidR="00632DCB">
              <w:t xml:space="preserve"> </w:t>
            </w:r>
            <w:r w:rsidR="00632DCB" w:rsidRPr="00632DCB">
              <w:rPr>
                <w:color w:val="000000"/>
                <w:spacing w:val="154"/>
                <w:shd w:val="solid" w:color="000000" w:fill="000000"/>
                <w:fitText w:val="240" w:id="-1032088574"/>
                <w14:textFill>
                  <w14:solidFill>
                    <w14:srgbClr w14:val="000000">
                      <w14:alpha w14:val="100000"/>
                    </w14:srgbClr>
                  </w14:solidFill>
                </w14:textFill>
              </w:rPr>
              <w:t>|</w:t>
            </w:r>
            <w:r w:rsidR="00632DCB" w:rsidRPr="00632DCB">
              <w:rPr>
                <w:color w:val="000000"/>
                <w:spacing w:val="1"/>
                <w:shd w:val="solid" w:color="000000" w:fill="000000"/>
                <w:fitText w:val="240" w:id="-1032088574"/>
                <w14:textFill>
                  <w14:solidFill>
                    <w14:srgbClr w14:val="000000">
                      <w14:alpha w14:val="100000"/>
                    </w14:srgbClr>
                  </w14:solidFill>
                </w14:textFill>
              </w:rPr>
              <w:t>|</w:t>
            </w:r>
            <w:r w:rsidRPr="00743512">
              <w:t>%</w:t>
            </w:r>
          </w:p>
        </w:tc>
      </w:tr>
      <w:tr w:rsidR="00BF3070" w:rsidRPr="00743512" w14:paraId="066AFB54" w14:textId="77777777" w:rsidTr="00F4781C">
        <w:trPr>
          <w:cantSplit/>
        </w:trPr>
        <w:tc>
          <w:tcPr>
            <w:tcW w:w="2260" w:type="pct"/>
          </w:tcPr>
          <w:p w14:paraId="7951024A" w14:textId="77777777" w:rsidR="00BF3070" w:rsidRPr="00743512" w:rsidRDefault="00BF3070" w:rsidP="004F5B47">
            <w:pPr>
              <w:pStyle w:val="TableText0"/>
              <w:rPr>
                <w:i/>
                <w:iCs/>
              </w:rPr>
            </w:pPr>
            <w:r w:rsidRPr="00743512">
              <w:t>Testing rate of 74% for both TNBC and HR+/HER2- in the proposed scenario (the testing rate for TNBC in the current scenario)</w:t>
            </w:r>
          </w:p>
        </w:tc>
        <w:tc>
          <w:tcPr>
            <w:tcW w:w="731" w:type="pct"/>
            <w:vAlign w:val="center"/>
          </w:tcPr>
          <w:p w14:paraId="33D1C0FA" w14:textId="499E9126" w:rsidR="00BF3070" w:rsidRPr="001E5CEC" w:rsidRDefault="00632DCB" w:rsidP="004F5B47">
            <w:pPr>
              <w:pStyle w:val="TableText0"/>
              <w:jc w:val="center"/>
              <w:rPr>
                <w:i/>
                <w:iCs/>
                <w:highlight w:val="darkGray"/>
              </w:rPr>
            </w:pPr>
            <w:r>
              <w:t xml:space="preserve"> </w:t>
            </w:r>
            <w:r w:rsidRPr="00D2565D">
              <w:rPr>
                <w:rFonts w:hint="eastAsia"/>
                <w:color w:val="000000"/>
                <w:w w:val="15"/>
                <w:shd w:val="solid" w:color="000000" w:fill="000000"/>
                <w:fitText w:val="20" w:id="-1032088573"/>
                <w14:textFill>
                  <w14:solidFill>
                    <w14:srgbClr w14:val="000000">
                      <w14:alpha w14:val="100000"/>
                    </w14:srgbClr>
                  </w14:solidFill>
                </w14:textFill>
              </w:rPr>
              <w:t xml:space="preserve">　</w:t>
            </w:r>
            <w:r w:rsidRPr="00D2565D">
              <w:rPr>
                <w:color w:val="000000"/>
                <w:w w:val="15"/>
                <w:shd w:val="solid" w:color="000000" w:fill="000000"/>
                <w:fitText w:val="20" w:id="-1032088573"/>
                <w14:textFill>
                  <w14:solidFill>
                    <w14:srgbClr w14:val="000000">
                      <w14:alpha w14:val="100000"/>
                    </w14:srgbClr>
                  </w14:solidFill>
                </w14:textFill>
              </w:rPr>
              <w:t>|</w:t>
            </w:r>
            <w:r w:rsidRPr="00D2565D">
              <w:rPr>
                <w:rFonts w:hint="eastAsia"/>
                <w:color w:val="000000"/>
                <w:spacing w:val="-45"/>
                <w:w w:val="15"/>
                <w:shd w:val="solid" w:color="000000" w:fill="000000"/>
                <w:fitText w:val="20" w:id="-1032088573"/>
                <w14:textFill>
                  <w14:solidFill>
                    <w14:srgbClr w14:val="000000">
                      <w14:alpha w14:val="100000"/>
                    </w14:srgbClr>
                  </w14:solidFill>
                </w14:textFill>
              </w:rPr>
              <w:t xml:space="preserve">　</w:t>
            </w:r>
          </w:p>
        </w:tc>
        <w:tc>
          <w:tcPr>
            <w:tcW w:w="731" w:type="pct"/>
            <w:vAlign w:val="center"/>
          </w:tcPr>
          <w:p w14:paraId="10E50679" w14:textId="77777777" w:rsidR="00BF3070" w:rsidRPr="00743512" w:rsidRDefault="00BF3070" w:rsidP="004F5B47">
            <w:pPr>
              <w:pStyle w:val="TableText0"/>
              <w:jc w:val="center"/>
              <w:rPr>
                <w:i/>
                <w:iCs/>
              </w:rPr>
            </w:pPr>
            <w:r w:rsidRPr="00743512">
              <w:t>0.6149</w:t>
            </w:r>
          </w:p>
        </w:tc>
        <w:tc>
          <w:tcPr>
            <w:tcW w:w="678" w:type="pct"/>
            <w:vAlign w:val="center"/>
          </w:tcPr>
          <w:p w14:paraId="3D3606A8" w14:textId="142C0A73" w:rsidR="00BF3070" w:rsidRPr="001E5CEC" w:rsidRDefault="00632DCB" w:rsidP="004F5B47">
            <w:pPr>
              <w:pStyle w:val="TableText0"/>
              <w:jc w:val="center"/>
              <w:rPr>
                <w:i/>
                <w:iCs/>
                <w:highlight w:val="darkGray"/>
              </w:rPr>
            </w:pPr>
            <w:r>
              <w:t xml:space="preserve"> </w:t>
            </w:r>
            <w:r w:rsidRPr="00632DCB">
              <w:rPr>
                <w:rFonts w:hint="eastAsia"/>
                <w:color w:val="000000"/>
                <w:w w:val="22"/>
                <w:shd w:val="solid" w:color="000000" w:fill="000000"/>
                <w:fitText w:val="100" w:id="-1032088572"/>
                <w14:textFill>
                  <w14:solidFill>
                    <w14:srgbClr w14:val="000000">
                      <w14:alpha w14:val="100000"/>
                    </w14:srgbClr>
                  </w14:solidFill>
                </w14:textFill>
              </w:rPr>
              <w:t xml:space="preserve">　</w:t>
            </w:r>
            <w:r w:rsidRPr="00632DCB">
              <w:rPr>
                <w:color w:val="000000"/>
                <w:w w:val="22"/>
                <w:shd w:val="solid" w:color="000000" w:fill="000000"/>
                <w:fitText w:val="100" w:id="-1032088572"/>
                <w14:textFill>
                  <w14:solidFill>
                    <w14:srgbClr w14:val="000000">
                      <w14:alpha w14:val="100000"/>
                    </w14:srgbClr>
                  </w14:solidFill>
                </w14:textFill>
              </w:rPr>
              <w:t>|</w:t>
            </w:r>
            <w:r w:rsidRPr="00632DCB">
              <w:rPr>
                <w:rFonts w:hint="eastAsia"/>
                <w:color w:val="000000"/>
                <w:spacing w:val="3"/>
                <w:w w:val="22"/>
                <w:shd w:val="solid" w:color="000000" w:fill="000000"/>
                <w:fitText w:val="100" w:id="-1032088572"/>
                <w14:textFill>
                  <w14:solidFill>
                    <w14:srgbClr w14:val="000000">
                      <w14:alpha w14:val="100000"/>
                    </w14:srgbClr>
                  </w14:solidFill>
                </w14:textFill>
              </w:rPr>
              <w:t xml:space="preserve">　</w:t>
            </w:r>
            <w:r w:rsidR="00595625" w:rsidRPr="002D5411">
              <w:rPr>
                <w:bCs w:val="0"/>
                <w:vertAlign w:val="superscript"/>
              </w:rPr>
              <w:t>1</w:t>
            </w:r>
          </w:p>
        </w:tc>
        <w:tc>
          <w:tcPr>
            <w:tcW w:w="600" w:type="pct"/>
            <w:vAlign w:val="center"/>
          </w:tcPr>
          <w:p w14:paraId="5CAA256F" w14:textId="6C7EB85D" w:rsidR="00BF3070" w:rsidRPr="00743512" w:rsidRDefault="00BF3070" w:rsidP="004F5B47">
            <w:pPr>
              <w:pStyle w:val="TableText0"/>
              <w:jc w:val="center"/>
            </w:pPr>
            <w:r w:rsidRPr="00743512">
              <w:t>-</w:t>
            </w:r>
            <w:r w:rsidR="00632DCB">
              <w:t xml:space="preserve"> </w:t>
            </w:r>
            <w:r w:rsidR="00632DCB" w:rsidRPr="00632DCB">
              <w:rPr>
                <w:color w:val="000000"/>
                <w:spacing w:val="154"/>
                <w:shd w:val="solid" w:color="000000" w:fill="000000"/>
                <w:fitText w:val="240" w:id="-1032088571"/>
                <w14:textFill>
                  <w14:solidFill>
                    <w14:srgbClr w14:val="000000">
                      <w14:alpha w14:val="100000"/>
                    </w14:srgbClr>
                  </w14:solidFill>
                </w14:textFill>
              </w:rPr>
              <w:t>|</w:t>
            </w:r>
            <w:r w:rsidR="00632DCB" w:rsidRPr="00632DCB">
              <w:rPr>
                <w:color w:val="000000"/>
                <w:spacing w:val="1"/>
                <w:shd w:val="solid" w:color="000000" w:fill="000000"/>
                <w:fitText w:val="240" w:id="-1032088571"/>
                <w14:textFill>
                  <w14:solidFill>
                    <w14:srgbClr w14:val="000000">
                      <w14:alpha w14:val="100000"/>
                    </w14:srgbClr>
                  </w14:solidFill>
                </w14:textFill>
              </w:rPr>
              <w:t>|</w:t>
            </w:r>
            <w:r w:rsidRPr="00743512">
              <w:t>%</w:t>
            </w:r>
          </w:p>
        </w:tc>
      </w:tr>
      <w:tr w:rsidR="00BF3070" w:rsidRPr="00743512" w14:paraId="2860986F" w14:textId="77777777" w:rsidTr="00F4781C">
        <w:trPr>
          <w:cantSplit/>
        </w:trPr>
        <w:tc>
          <w:tcPr>
            <w:tcW w:w="2260" w:type="pct"/>
          </w:tcPr>
          <w:p w14:paraId="51387D7D" w14:textId="77777777" w:rsidR="00BF3070" w:rsidRPr="00743512" w:rsidRDefault="00BF3070" w:rsidP="004F5B47">
            <w:pPr>
              <w:pStyle w:val="TableText0"/>
              <w:rPr>
                <w:i/>
                <w:iCs/>
              </w:rPr>
            </w:pPr>
            <w:r w:rsidRPr="00743512">
              <w:t>Testing rate of 90% for both TNBC and HR+/HER2- in the proposed scenario (testing rate in Year 6 of listing as estimated in the financial analysis)</w:t>
            </w:r>
          </w:p>
        </w:tc>
        <w:tc>
          <w:tcPr>
            <w:tcW w:w="731" w:type="pct"/>
            <w:vAlign w:val="center"/>
          </w:tcPr>
          <w:p w14:paraId="7F32F22F" w14:textId="7996EF87" w:rsidR="00BF3070" w:rsidRPr="001E5CEC" w:rsidRDefault="00632DCB" w:rsidP="004F5B47">
            <w:pPr>
              <w:pStyle w:val="TableText0"/>
              <w:jc w:val="center"/>
              <w:rPr>
                <w:i/>
                <w:iCs/>
                <w:highlight w:val="darkGray"/>
              </w:rPr>
            </w:pPr>
            <w:r>
              <w:t xml:space="preserve"> </w:t>
            </w:r>
            <w:r w:rsidRPr="00D2565D">
              <w:rPr>
                <w:rFonts w:hint="eastAsia"/>
                <w:color w:val="000000"/>
                <w:w w:val="15"/>
                <w:shd w:val="solid" w:color="000000" w:fill="000000"/>
                <w:fitText w:val="20" w:id="-1032088570"/>
                <w14:textFill>
                  <w14:solidFill>
                    <w14:srgbClr w14:val="000000">
                      <w14:alpha w14:val="100000"/>
                    </w14:srgbClr>
                  </w14:solidFill>
                </w14:textFill>
              </w:rPr>
              <w:t xml:space="preserve">　</w:t>
            </w:r>
            <w:r w:rsidRPr="00D2565D">
              <w:rPr>
                <w:color w:val="000000"/>
                <w:w w:val="15"/>
                <w:shd w:val="solid" w:color="000000" w:fill="000000"/>
                <w:fitText w:val="20" w:id="-1032088570"/>
                <w14:textFill>
                  <w14:solidFill>
                    <w14:srgbClr w14:val="000000">
                      <w14:alpha w14:val="100000"/>
                    </w14:srgbClr>
                  </w14:solidFill>
                </w14:textFill>
              </w:rPr>
              <w:t>|</w:t>
            </w:r>
            <w:r w:rsidRPr="00D2565D">
              <w:rPr>
                <w:rFonts w:hint="eastAsia"/>
                <w:color w:val="000000"/>
                <w:spacing w:val="-45"/>
                <w:w w:val="15"/>
                <w:shd w:val="solid" w:color="000000" w:fill="000000"/>
                <w:fitText w:val="20" w:id="-1032088570"/>
                <w14:textFill>
                  <w14:solidFill>
                    <w14:srgbClr w14:val="000000">
                      <w14:alpha w14:val="100000"/>
                    </w14:srgbClr>
                  </w14:solidFill>
                </w14:textFill>
              </w:rPr>
              <w:t xml:space="preserve">　</w:t>
            </w:r>
          </w:p>
        </w:tc>
        <w:tc>
          <w:tcPr>
            <w:tcW w:w="731" w:type="pct"/>
            <w:vAlign w:val="center"/>
          </w:tcPr>
          <w:p w14:paraId="6081E3BE" w14:textId="77777777" w:rsidR="00BF3070" w:rsidRPr="00743512" w:rsidRDefault="00BF3070" w:rsidP="004F5B47">
            <w:pPr>
              <w:pStyle w:val="TableText0"/>
              <w:jc w:val="center"/>
              <w:rPr>
                <w:i/>
                <w:iCs/>
              </w:rPr>
            </w:pPr>
            <w:r w:rsidRPr="00743512">
              <w:t>0.6149</w:t>
            </w:r>
          </w:p>
        </w:tc>
        <w:tc>
          <w:tcPr>
            <w:tcW w:w="678" w:type="pct"/>
            <w:vAlign w:val="center"/>
          </w:tcPr>
          <w:p w14:paraId="720AD4CD" w14:textId="6A5F6ECC" w:rsidR="00BF3070" w:rsidRPr="001E5CEC" w:rsidRDefault="00632DCB" w:rsidP="004F5B47">
            <w:pPr>
              <w:pStyle w:val="TableText0"/>
              <w:jc w:val="center"/>
              <w:rPr>
                <w:i/>
                <w:iCs/>
                <w:highlight w:val="darkGray"/>
              </w:rPr>
            </w:pPr>
            <w:r>
              <w:t xml:space="preserve"> </w:t>
            </w:r>
            <w:r w:rsidRPr="00632DCB">
              <w:rPr>
                <w:rFonts w:hint="eastAsia"/>
                <w:color w:val="000000"/>
                <w:w w:val="22"/>
                <w:shd w:val="solid" w:color="000000" w:fill="000000"/>
                <w:fitText w:val="100" w:id="-1032088569"/>
                <w14:textFill>
                  <w14:solidFill>
                    <w14:srgbClr w14:val="000000">
                      <w14:alpha w14:val="100000"/>
                    </w14:srgbClr>
                  </w14:solidFill>
                </w14:textFill>
              </w:rPr>
              <w:t xml:space="preserve">　</w:t>
            </w:r>
            <w:r w:rsidRPr="00632DCB">
              <w:rPr>
                <w:color w:val="000000"/>
                <w:w w:val="22"/>
                <w:shd w:val="solid" w:color="000000" w:fill="000000"/>
                <w:fitText w:val="100" w:id="-1032088569"/>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9"/>
                <w14:textFill>
                  <w14:solidFill>
                    <w14:srgbClr w14:val="000000">
                      <w14:alpha w14:val="100000"/>
                    </w14:srgbClr>
                  </w14:solidFill>
                </w14:textFill>
              </w:rPr>
              <w:t xml:space="preserve">　</w:t>
            </w:r>
            <w:r w:rsidR="00595625" w:rsidRPr="002D5411">
              <w:rPr>
                <w:bCs w:val="0"/>
                <w:vertAlign w:val="superscript"/>
              </w:rPr>
              <w:t>1</w:t>
            </w:r>
          </w:p>
        </w:tc>
        <w:tc>
          <w:tcPr>
            <w:tcW w:w="600" w:type="pct"/>
            <w:vAlign w:val="center"/>
          </w:tcPr>
          <w:p w14:paraId="2492A214" w14:textId="759BC709" w:rsidR="00BF3070" w:rsidRPr="00743512" w:rsidRDefault="00BF3070" w:rsidP="004F5B47">
            <w:pPr>
              <w:pStyle w:val="TableText0"/>
              <w:jc w:val="center"/>
            </w:pPr>
            <w:r w:rsidRPr="00743512">
              <w:t>-</w:t>
            </w:r>
            <w:r w:rsidR="00632DCB">
              <w:t xml:space="preserve"> </w:t>
            </w:r>
            <w:r w:rsidR="00632DCB" w:rsidRPr="00632DCB">
              <w:rPr>
                <w:color w:val="000000"/>
                <w:spacing w:val="154"/>
                <w:shd w:val="solid" w:color="000000" w:fill="000000"/>
                <w:fitText w:val="240" w:id="-1032088568"/>
                <w14:textFill>
                  <w14:solidFill>
                    <w14:srgbClr w14:val="000000">
                      <w14:alpha w14:val="100000"/>
                    </w14:srgbClr>
                  </w14:solidFill>
                </w14:textFill>
              </w:rPr>
              <w:t>|</w:t>
            </w:r>
            <w:r w:rsidR="00632DCB" w:rsidRPr="00632DCB">
              <w:rPr>
                <w:color w:val="000000"/>
                <w:spacing w:val="1"/>
                <w:shd w:val="solid" w:color="000000" w:fill="000000"/>
                <w:fitText w:val="240" w:id="-1032088568"/>
                <w14:textFill>
                  <w14:solidFill>
                    <w14:srgbClr w14:val="000000">
                      <w14:alpha w14:val="100000"/>
                    </w14:srgbClr>
                  </w14:solidFill>
                </w14:textFill>
              </w:rPr>
              <w:t>|</w:t>
            </w:r>
            <w:r w:rsidRPr="00743512">
              <w:t>%</w:t>
            </w:r>
          </w:p>
        </w:tc>
      </w:tr>
      <w:tr w:rsidR="00BF3070" w:rsidRPr="00743512" w14:paraId="16F91EC5" w14:textId="77777777" w:rsidTr="00F4781C">
        <w:trPr>
          <w:cantSplit/>
        </w:trPr>
        <w:tc>
          <w:tcPr>
            <w:tcW w:w="2260" w:type="pct"/>
          </w:tcPr>
          <w:p w14:paraId="1CC49286" w14:textId="5EB2F2ED" w:rsidR="00BF3070" w:rsidRPr="00743512" w:rsidRDefault="00BF3070" w:rsidP="004F5B47">
            <w:pPr>
              <w:pStyle w:val="TableText0"/>
              <w:rPr>
                <w:i/>
                <w:iCs/>
              </w:rPr>
            </w:pPr>
            <w:r w:rsidRPr="00743512">
              <w:t>Assuming 50% of patients tested positive for g</w:t>
            </w:r>
            <w:r w:rsidR="00CD50D4" w:rsidRPr="00743512">
              <w:rPr>
                <w:i/>
              </w:rPr>
              <w:t>BRCA</w:t>
            </w:r>
            <w:r w:rsidRPr="00743512">
              <w:t xml:space="preserve"> would be eligible for olaparib</w:t>
            </w:r>
            <w:r w:rsidRPr="00743512">
              <w:rPr>
                <w:vertAlign w:val="superscript"/>
              </w:rPr>
              <w:t>a</w:t>
            </w:r>
            <w:r w:rsidRPr="00743512">
              <w:t xml:space="preserve"> </w:t>
            </w:r>
          </w:p>
        </w:tc>
        <w:tc>
          <w:tcPr>
            <w:tcW w:w="731" w:type="pct"/>
            <w:vAlign w:val="center"/>
          </w:tcPr>
          <w:p w14:paraId="3C35DAFF" w14:textId="0DBEAD50" w:rsidR="00BF3070" w:rsidRPr="001E5CEC" w:rsidRDefault="00632DCB" w:rsidP="004F5B47">
            <w:pPr>
              <w:pStyle w:val="TableText0"/>
              <w:jc w:val="center"/>
              <w:rPr>
                <w:i/>
                <w:iCs/>
                <w:highlight w:val="darkGray"/>
              </w:rPr>
            </w:pPr>
            <w:r>
              <w:t xml:space="preserve"> </w:t>
            </w:r>
            <w:r w:rsidRPr="00D2565D">
              <w:rPr>
                <w:rFonts w:hint="eastAsia"/>
                <w:color w:val="000000"/>
                <w:w w:val="15"/>
                <w:shd w:val="solid" w:color="000000" w:fill="000000"/>
                <w:fitText w:val="20" w:id="-1032088567"/>
                <w14:textFill>
                  <w14:solidFill>
                    <w14:srgbClr w14:val="000000">
                      <w14:alpha w14:val="100000"/>
                    </w14:srgbClr>
                  </w14:solidFill>
                </w14:textFill>
              </w:rPr>
              <w:t xml:space="preserve">　</w:t>
            </w:r>
            <w:r w:rsidRPr="00D2565D">
              <w:rPr>
                <w:color w:val="000000"/>
                <w:w w:val="15"/>
                <w:shd w:val="solid" w:color="000000" w:fill="000000"/>
                <w:fitText w:val="20" w:id="-1032088567"/>
                <w14:textFill>
                  <w14:solidFill>
                    <w14:srgbClr w14:val="000000">
                      <w14:alpha w14:val="100000"/>
                    </w14:srgbClr>
                  </w14:solidFill>
                </w14:textFill>
              </w:rPr>
              <w:t>|</w:t>
            </w:r>
            <w:r w:rsidRPr="00D2565D">
              <w:rPr>
                <w:rFonts w:hint="eastAsia"/>
                <w:color w:val="000000"/>
                <w:spacing w:val="-45"/>
                <w:w w:val="15"/>
                <w:shd w:val="solid" w:color="000000" w:fill="000000"/>
                <w:fitText w:val="20" w:id="-1032088567"/>
                <w14:textFill>
                  <w14:solidFill>
                    <w14:srgbClr w14:val="000000">
                      <w14:alpha w14:val="100000"/>
                    </w14:srgbClr>
                  </w14:solidFill>
                </w14:textFill>
              </w:rPr>
              <w:t xml:space="preserve">　</w:t>
            </w:r>
          </w:p>
        </w:tc>
        <w:tc>
          <w:tcPr>
            <w:tcW w:w="731" w:type="pct"/>
            <w:vAlign w:val="center"/>
          </w:tcPr>
          <w:p w14:paraId="791F4AF1" w14:textId="77777777" w:rsidR="00BF3070" w:rsidRPr="00743512" w:rsidRDefault="00BF3070" w:rsidP="004F5B47">
            <w:pPr>
              <w:pStyle w:val="TableText0"/>
              <w:jc w:val="center"/>
              <w:rPr>
                <w:i/>
                <w:iCs/>
              </w:rPr>
            </w:pPr>
            <w:r w:rsidRPr="00743512">
              <w:t>0.61</w:t>
            </w:r>
          </w:p>
        </w:tc>
        <w:tc>
          <w:tcPr>
            <w:tcW w:w="678" w:type="pct"/>
            <w:vAlign w:val="center"/>
          </w:tcPr>
          <w:p w14:paraId="408AE561" w14:textId="662A68A6" w:rsidR="00BF3070" w:rsidRPr="001E5CEC" w:rsidRDefault="00632DCB" w:rsidP="004F5B47">
            <w:pPr>
              <w:pStyle w:val="TableText0"/>
              <w:jc w:val="center"/>
              <w:rPr>
                <w:i/>
                <w:iCs/>
                <w:highlight w:val="darkGray"/>
              </w:rPr>
            </w:pPr>
            <w:r>
              <w:t xml:space="preserve"> </w:t>
            </w:r>
            <w:r w:rsidRPr="00632DCB">
              <w:rPr>
                <w:rFonts w:hint="eastAsia"/>
                <w:color w:val="000000"/>
                <w:w w:val="22"/>
                <w:shd w:val="solid" w:color="000000" w:fill="000000"/>
                <w:fitText w:val="100" w:id="-1032088566"/>
                <w14:textFill>
                  <w14:solidFill>
                    <w14:srgbClr w14:val="000000">
                      <w14:alpha w14:val="100000"/>
                    </w14:srgbClr>
                  </w14:solidFill>
                </w14:textFill>
              </w:rPr>
              <w:t xml:space="preserve">　</w:t>
            </w:r>
            <w:r w:rsidRPr="00632DCB">
              <w:rPr>
                <w:color w:val="000000"/>
                <w:w w:val="22"/>
                <w:shd w:val="solid" w:color="000000" w:fill="000000"/>
                <w:fitText w:val="100" w:id="-1032088566"/>
                <w14:textFill>
                  <w14:solidFill>
                    <w14:srgbClr w14:val="000000">
                      <w14:alpha w14:val="100000"/>
                    </w14:srgbClr>
                  </w14:solidFill>
                </w14:textFill>
              </w:rPr>
              <w:t>|</w:t>
            </w:r>
            <w:r w:rsidRPr="00632DCB">
              <w:rPr>
                <w:rFonts w:hint="eastAsia"/>
                <w:color w:val="000000"/>
                <w:spacing w:val="3"/>
                <w:w w:val="22"/>
                <w:shd w:val="solid" w:color="000000" w:fill="000000"/>
                <w:fitText w:val="100" w:id="-1032088566"/>
                <w14:textFill>
                  <w14:solidFill>
                    <w14:srgbClr w14:val="000000">
                      <w14:alpha w14:val="100000"/>
                    </w14:srgbClr>
                  </w14:solidFill>
                </w14:textFill>
              </w:rPr>
              <w:t xml:space="preserve">　</w:t>
            </w:r>
            <w:r w:rsidR="00595625" w:rsidRPr="00595625">
              <w:rPr>
                <w:vertAlign w:val="superscript"/>
              </w:rPr>
              <w:t>2</w:t>
            </w:r>
          </w:p>
        </w:tc>
        <w:tc>
          <w:tcPr>
            <w:tcW w:w="600" w:type="pct"/>
            <w:vAlign w:val="center"/>
          </w:tcPr>
          <w:p w14:paraId="2B8E8E62" w14:textId="22957F0C" w:rsidR="00BF3070" w:rsidRPr="00743512" w:rsidRDefault="00632DCB" w:rsidP="004F5B47">
            <w:pPr>
              <w:pStyle w:val="TableText0"/>
              <w:jc w:val="center"/>
            </w:pPr>
            <w:r>
              <w:t xml:space="preserve"> </w:t>
            </w:r>
            <w:r w:rsidRPr="00632DCB">
              <w:rPr>
                <w:color w:val="000000"/>
                <w:spacing w:val="41"/>
                <w:shd w:val="solid" w:color="000000" w:fill="000000"/>
                <w:fitText w:val="210" w:id="-1032088565"/>
                <w14:textFill>
                  <w14:solidFill>
                    <w14:srgbClr w14:val="000000">
                      <w14:alpha w14:val="100000"/>
                    </w14:srgbClr>
                  </w14:solidFill>
                </w14:textFill>
              </w:rPr>
              <w:t>||</w:t>
            </w:r>
            <w:r w:rsidRPr="00632DCB">
              <w:rPr>
                <w:color w:val="000000"/>
                <w:spacing w:val="1"/>
                <w:shd w:val="solid" w:color="000000" w:fill="000000"/>
                <w:fitText w:val="210" w:id="-1032088565"/>
                <w14:textFill>
                  <w14:solidFill>
                    <w14:srgbClr w14:val="000000">
                      <w14:alpha w14:val="100000"/>
                    </w14:srgbClr>
                  </w14:solidFill>
                </w14:textFill>
              </w:rPr>
              <w:t>|</w:t>
            </w:r>
            <w:r w:rsidR="00BF3070" w:rsidRPr="00743512">
              <w:t>%</w:t>
            </w:r>
          </w:p>
        </w:tc>
      </w:tr>
      <w:tr w:rsidR="00BF3070" w:rsidRPr="00743512" w14:paraId="1579F095" w14:textId="77777777" w:rsidTr="004F5B47">
        <w:trPr>
          <w:cantSplit/>
        </w:trPr>
        <w:tc>
          <w:tcPr>
            <w:tcW w:w="5000" w:type="pct"/>
            <w:gridSpan w:val="5"/>
          </w:tcPr>
          <w:p w14:paraId="6E1E24E2" w14:textId="77777777" w:rsidR="00BF3070" w:rsidRPr="00743512" w:rsidRDefault="00BF3070" w:rsidP="004F5B47">
            <w:pPr>
              <w:pStyle w:val="TableText0"/>
              <w:rPr>
                <w:rFonts w:eastAsia="Calibri"/>
                <w:szCs w:val="20"/>
              </w:rPr>
            </w:pPr>
            <w:r w:rsidRPr="00743512">
              <w:rPr>
                <w:rFonts w:eastAsia="Calibri"/>
                <w:szCs w:val="20"/>
              </w:rPr>
              <w:t>Treatment duration of olaparib (base case: 9.7 months)</w:t>
            </w:r>
          </w:p>
        </w:tc>
      </w:tr>
      <w:tr w:rsidR="00BF3070" w:rsidRPr="00743512" w14:paraId="13B4CABF" w14:textId="77777777" w:rsidTr="00F4781C">
        <w:trPr>
          <w:cantSplit/>
        </w:trPr>
        <w:tc>
          <w:tcPr>
            <w:tcW w:w="2260" w:type="pct"/>
          </w:tcPr>
          <w:p w14:paraId="020F4EFD" w14:textId="77777777" w:rsidR="00BF3070" w:rsidRPr="00743512" w:rsidRDefault="00BF3070" w:rsidP="004F5B47">
            <w:pPr>
              <w:pStyle w:val="TableText0"/>
              <w:rPr>
                <w:i/>
                <w:iCs/>
              </w:rPr>
            </w:pPr>
            <w:r w:rsidRPr="00743512">
              <w:t>10.27 months (based on trial TTD)</w:t>
            </w:r>
          </w:p>
        </w:tc>
        <w:tc>
          <w:tcPr>
            <w:tcW w:w="731" w:type="pct"/>
          </w:tcPr>
          <w:p w14:paraId="2055DEA2" w14:textId="54E051BC" w:rsidR="00BF3070" w:rsidRPr="00743512" w:rsidRDefault="00632DCB" w:rsidP="004F5B47">
            <w:pPr>
              <w:pStyle w:val="TableText0"/>
              <w:jc w:val="center"/>
              <w:rPr>
                <w:rFonts w:eastAsia="Calibri"/>
                <w:i/>
                <w:iCs/>
                <w:szCs w:val="20"/>
              </w:rPr>
            </w:pPr>
            <w:r>
              <w:t xml:space="preserve"> </w:t>
            </w:r>
            <w:r w:rsidRPr="00D2565D">
              <w:rPr>
                <w:rFonts w:hint="eastAsia"/>
                <w:color w:val="000000"/>
                <w:w w:val="15"/>
                <w:shd w:val="solid" w:color="000000" w:fill="000000"/>
                <w:fitText w:val="20" w:id="-1032088564"/>
                <w14:textFill>
                  <w14:solidFill>
                    <w14:srgbClr w14:val="000000">
                      <w14:alpha w14:val="100000"/>
                    </w14:srgbClr>
                  </w14:solidFill>
                </w14:textFill>
              </w:rPr>
              <w:t xml:space="preserve">　</w:t>
            </w:r>
            <w:r w:rsidRPr="00D2565D">
              <w:rPr>
                <w:color w:val="000000"/>
                <w:w w:val="15"/>
                <w:shd w:val="solid" w:color="000000" w:fill="000000"/>
                <w:fitText w:val="20" w:id="-1032088564"/>
                <w14:textFill>
                  <w14:solidFill>
                    <w14:srgbClr w14:val="000000">
                      <w14:alpha w14:val="100000"/>
                    </w14:srgbClr>
                  </w14:solidFill>
                </w14:textFill>
              </w:rPr>
              <w:t>|</w:t>
            </w:r>
            <w:r w:rsidRPr="00D2565D">
              <w:rPr>
                <w:rFonts w:hint="eastAsia"/>
                <w:color w:val="000000"/>
                <w:spacing w:val="-45"/>
                <w:w w:val="15"/>
                <w:shd w:val="solid" w:color="000000" w:fill="000000"/>
                <w:fitText w:val="20" w:id="-1032088564"/>
                <w14:textFill>
                  <w14:solidFill>
                    <w14:srgbClr w14:val="000000">
                      <w14:alpha w14:val="100000"/>
                    </w14:srgbClr>
                  </w14:solidFill>
                </w14:textFill>
              </w:rPr>
              <w:t xml:space="preserve">　</w:t>
            </w:r>
            <w:r w:rsidR="007C1BAB">
              <w:t xml:space="preserve"> </w:t>
            </w:r>
          </w:p>
        </w:tc>
        <w:tc>
          <w:tcPr>
            <w:tcW w:w="731" w:type="pct"/>
          </w:tcPr>
          <w:p w14:paraId="194AB277" w14:textId="77777777" w:rsidR="00BF3070" w:rsidRPr="00743512" w:rsidRDefault="00BF3070" w:rsidP="004F5B47">
            <w:pPr>
              <w:pStyle w:val="TableText0"/>
              <w:jc w:val="center"/>
              <w:rPr>
                <w:rFonts w:eastAsia="Calibri"/>
                <w:i/>
                <w:iCs/>
                <w:szCs w:val="20"/>
              </w:rPr>
            </w:pPr>
            <w:r w:rsidRPr="00743512">
              <w:t>0.61</w:t>
            </w:r>
          </w:p>
        </w:tc>
        <w:tc>
          <w:tcPr>
            <w:tcW w:w="678" w:type="pct"/>
          </w:tcPr>
          <w:p w14:paraId="61AD3FE4" w14:textId="14C5A6FD" w:rsidR="00BF3070" w:rsidRPr="00743512" w:rsidRDefault="00F32823" w:rsidP="004F5B47">
            <w:pPr>
              <w:pStyle w:val="TableText0"/>
              <w:jc w:val="center"/>
              <w:rPr>
                <w:rFonts w:eastAsia="Calibri"/>
                <w:i/>
                <w:iCs/>
                <w:szCs w:val="20"/>
              </w:rPr>
            </w:pPr>
            <w:r w:rsidRPr="00F32823">
              <w:t xml:space="preserve"> </w:t>
            </w:r>
            <w:r w:rsidR="00632DCB" w:rsidRPr="00F32823">
              <w:rPr>
                <w:rFonts w:hint="eastAsia"/>
                <w:color w:val="000000"/>
                <w:w w:val="31"/>
                <w:shd w:val="solid" w:color="000000" w:fill="000000"/>
                <w:fitText w:val="140" w:id="-1032088563"/>
                <w14:textFill>
                  <w14:solidFill>
                    <w14:srgbClr w14:val="000000">
                      <w14:alpha w14:val="100000"/>
                    </w14:srgbClr>
                  </w14:solidFill>
                </w14:textFill>
              </w:rPr>
              <w:t xml:space="preserve">　</w:t>
            </w:r>
            <w:r w:rsidR="00632DCB" w:rsidRPr="00F32823">
              <w:rPr>
                <w:color w:val="000000"/>
                <w:w w:val="31"/>
                <w:shd w:val="solid" w:color="000000" w:fill="000000"/>
                <w:fitText w:val="140" w:id="-1032088563"/>
                <w14:textFill>
                  <w14:solidFill>
                    <w14:srgbClr w14:val="000000">
                      <w14:alpha w14:val="100000"/>
                    </w14:srgbClr>
                  </w14:solidFill>
                </w14:textFill>
              </w:rPr>
              <w:t>|</w:t>
            </w:r>
            <w:r w:rsidR="00632DCB" w:rsidRPr="00F32823">
              <w:rPr>
                <w:rFonts w:hint="eastAsia"/>
                <w:color w:val="000000"/>
                <w:w w:val="31"/>
                <w:shd w:val="solid" w:color="000000" w:fill="000000"/>
                <w:fitText w:val="140" w:id="-1032088563"/>
                <w14:textFill>
                  <w14:solidFill>
                    <w14:srgbClr w14:val="000000">
                      <w14:alpha w14:val="100000"/>
                    </w14:srgbClr>
                  </w14:solidFill>
                </w14:textFill>
              </w:rPr>
              <w:t xml:space="preserve">　</w:t>
            </w:r>
            <w:r w:rsidR="00595625" w:rsidRPr="002D5411">
              <w:rPr>
                <w:bCs w:val="0"/>
                <w:vertAlign w:val="superscript"/>
              </w:rPr>
              <w:t>1</w:t>
            </w:r>
          </w:p>
        </w:tc>
        <w:tc>
          <w:tcPr>
            <w:tcW w:w="600" w:type="pct"/>
          </w:tcPr>
          <w:p w14:paraId="4E7904AA" w14:textId="24B47EEA" w:rsidR="00BF3070" w:rsidRPr="00743512" w:rsidRDefault="00632DCB" w:rsidP="004F5B47">
            <w:pPr>
              <w:pStyle w:val="TableText0"/>
              <w:jc w:val="center"/>
              <w:rPr>
                <w:rFonts w:eastAsia="Calibri"/>
                <w:szCs w:val="20"/>
              </w:rPr>
            </w:pPr>
            <w:r>
              <w:t xml:space="preserve"> </w:t>
            </w:r>
            <w:r w:rsidRPr="00632DCB">
              <w:rPr>
                <w:color w:val="000000"/>
                <w:spacing w:val="41"/>
                <w:shd w:val="solid" w:color="000000" w:fill="000000"/>
                <w:fitText w:val="210" w:id="-1032088562"/>
                <w14:textFill>
                  <w14:solidFill>
                    <w14:srgbClr w14:val="000000">
                      <w14:alpha w14:val="100000"/>
                    </w14:srgbClr>
                  </w14:solidFill>
                </w14:textFill>
              </w:rPr>
              <w:t>||</w:t>
            </w:r>
            <w:r w:rsidRPr="00632DCB">
              <w:rPr>
                <w:color w:val="000000"/>
                <w:spacing w:val="1"/>
                <w:shd w:val="solid" w:color="000000" w:fill="000000"/>
                <w:fitText w:val="210" w:id="-1032088562"/>
                <w14:textFill>
                  <w14:solidFill>
                    <w14:srgbClr w14:val="000000">
                      <w14:alpha w14:val="100000"/>
                    </w14:srgbClr>
                  </w14:solidFill>
                </w14:textFill>
              </w:rPr>
              <w:t>|</w:t>
            </w:r>
            <w:r w:rsidR="00BF3070" w:rsidRPr="00743512">
              <w:t>%</w:t>
            </w:r>
          </w:p>
        </w:tc>
      </w:tr>
      <w:tr w:rsidR="00246F87" w:rsidRPr="00743512" w14:paraId="15FE60C2" w14:textId="77777777" w:rsidTr="00246F87">
        <w:trPr>
          <w:cantSplit/>
        </w:trPr>
        <w:tc>
          <w:tcPr>
            <w:tcW w:w="5000" w:type="pct"/>
            <w:gridSpan w:val="5"/>
          </w:tcPr>
          <w:p w14:paraId="78C0C2CE" w14:textId="1859E966" w:rsidR="00246F87" w:rsidRPr="00743512" w:rsidRDefault="00246F87" w:rsidP="00246F87">
            <w:pPr>
              <w:pStyle w:val="TableText0"/>
            </w:pPr>
            <w:r w:rsidRPr="00743512">
              <w:rPr>
                <w:rStyle w:val="CommentReference"/>
                <w:bCs w:val="0"/>
              </w:rPr>
              <w:t xml:space="preserve">Additional analyses </w:t>
            </w:r>
            <w:r w:rsidRPr="00743512">
              <w:rPr>
                <w:rStyle w:val="CommentReference"/>
                <w:bCs w:val="0"/>
                <w:szCs w:val="24"/>
              </w:rPr>
              <w:t xml:space="preserve">proposed by </w:t>
            </w:r>
            <w:r w:rsidRPr="00743512">
              <w:rPr>
                <w:rStyle w:val="CommentReference"/>
                <w:bCs w:val="0"/>
              </w:rPr>
              <w:t>the ESC</w:t>
            </w:r>
          </w:p>
        </w:tc>
      </w:tr>
      <w:tr w:rsidR="004C3AF7" w:rsidRPr="00743512" w14:paraId="101E3B3F" w14:textId="77777777" w:rsidTr="00F4781C">
        <w:trPr>
          <w:cantSplit/>
        </w:trPr>
        <w:tc>
          <w:tcPr>
            <w:tcW w:w="2260" w:type="pct"/>
          </w:tcPr>
          <w:p w14:paraId="4961157A" w14:textId="139194E7" w:rsidR="004C3AF7" w:rsidRPr="00743512" w:rsidRDefault="004C3AF7" w:rsidP="004C3AF7">
            <w:pPr>
              <w:pStyle w:val="TableText0"/>
            </w:pPr>
            <w:r w:rsidRPr="00743512">
              <w:rPr>
                <w:u w:val="single"/>
              </w:rPr>
              <w:t>Additional</w:t>
            </w:r>
            <w:r w:rsidRPr="00743512">
              <w:t xml:space="preserve"> multivariate analysis: Evaluation alternative base case + truncation time point of 54 months</w:t>
            </w:r>
            <w:r w:rsidRPr="00743512">
              <w:rPr>
                <w:vertAlign w:val="superscript"/>
              </w:rPr>
              <w:t>b</w:t>
            </w:r>
          </w:p>
        </w:tc>
        <w:tc>
          <w:tcPr>
            <w:tcW w:w="731" w:type="pct"/>
            <w:vAlign w:val="center"/>
          </w:tcPr>
          <w:p w14:paraId="2C81CD80" w14:textId="0DA9A9E4" w:rsidR="004C3AF7" w:rsidRPr="00743512" w:rsidRDefault="00632DCB" w:rsidP="004C3AF7">
            <w:pPr>
              <w:pStyle w:val="TableText0"/>
              <w:jc w:val="center"/>
            </w:pPr>
            <w:r>
              <w:rPr>
                <w:rFonts w:eastAsia="Calibri"/>
                <w:szCs w:val="20"/>
              </w:rPr>
              <w:t xml:space="preserve"> </w:t>
            </w:r>
            <w:r w:rsidRPr="00D2565D">
              <w:rPr>
                <w:rFonts w:eastAsia="Calibri" w:hint="eastAsia"/>
                <w:color w:val="000000"/>
                <w:w w:val="15"/>
                <w:szCs w:val="20"/>
                <w:shd w:val="solid" w:color="000000" w:fill="000000"/>
                <w:fitText w:val="20" w:id="-1032088561"/>
                <w14:textFill>
                  <w14:solidFill>
                    <w14:srgbClr w14:val="000000">
                      <w14:alpha w14:val="100000"/>
                    </w14:srgbClr>
                  </w14:solidFill>
                </w14:textFill>
              </w:rPr>
              <w:t xml:space="preserve">　</w:t>
            </w:r>
            <w:r w:rsidRPr="00D2565D">
              <w:rPr>
                <w:rFonts w:eastAsia="Calibri"/>
                <w:color w:val="000000"/>
                <w:w w:val="15"/>
                <w:szCs w:val="20"/>
                <w:shd w:val="solid" w:color="000000" w:fill="000000"/>
                <w:fitText w:val="20" w:id="-1032088561"/>
                <w14:textFill>
                  <w14:solidFill>
                    <w14:srgbClr w14:val="000000">
                      <w14:alpha w14:val="100000"/>
                    </w14:srgbClr>
                  </w14:solidFill>
                </w14:textFill>
              </w:rPr>
              <w:t>|</w:t>
            </w:r>
            <w:r w:rsidRPr="00D2565D">
              <w:rPr>
                <w:rFonts w:eastAsia="Calibri" w:hint="eastAsia"/>
                <w:color w:val="000000"/>
                <w:spacing w:val="-45"/>
                <w:w w:val="15"/>
                <w:szCs w:val="20"/>
                <w:shd w:val="solid" w:color="000000" w:fill="000000"/>
                <w:fitText w:val="20" w:id="-1032088561"/>
                <w14:textFill>
                  <w14:solidFill>
                    <w14:srgbClr w14:val="000000">
                      <w14:alpha w14:val="100000"/>
                    </w14:srgbClr>
                  </w14:solidFill>
                </w14:textFill>
              </w:rPr>
              <w:t xml:space="preserve">　</w:t>
            </w:r>
            <w:r w:rsidR="007C1BAB">
              <w:rPr>
                <w:rFonts w:eastAsia="Calibri"/>
                <w:szCs w:val="20"/>
              </w:rPr>
              <w:t xml:space="preserve"> </w:t>
            </w:r>
          </w:p>
        </w:tc>
        <w:tc>
          <w:tcPr>
            <w:tcW w:w="731" w:type="pct"/>
            <w:vAlign w:val="center"/>
          </w:tcPr>
          <w:p w14:paraId="0AB57BB9" w14:textId="47C5C487" w:rsidR="004C3AF7" w:rsidRPr="00743512" w:rsidRDefault="004C3AF7" w:rsidP="004C3AF7">
            <w:pPr>
              <w:pStyle w:val="TableText0"/>
              <w:jc w:val="center"/>
            </w:pPr>
            <w:r w:rsidRPr="00743512">
              <w:rPr>
                <w:rFonts w:eastAsia="Calibri"/>
                <w:szCs w:val="20"/>
              </w:rPr>
              <w:t>0.74</w:t>
            </w:r>
          </w:p>
        </w:tc>
        <w:tc>
          <w:tcPr>
            <w:tcW w:w="678" w:type="pct"/>
            <w:vAlign w:val="center"/>
          </w:tcPr>
          <w:p w14:paraId="6F5821F9" w14:textId="7DA3E730" w:rsidR="004C3AF7" w:rsidRPr="00743512" w:rsidRDefault="00632DCB" w:rsidP="004C3AF7">
            <w:pPr>
              <w:pStyle w:val="TableText0"/>
              <w:jc w:val="center"/>
            </w:pPr>
            <w:r>
              <w:rPr>
                <w:rFonts w:eastAsia="Calibri"/>
                <w:szCs w:val="20"/>
              </w:rPr>
              <w:t xml:space="preserve"> </w:t>
            </w:r>
            <w:r w:rsidRPr="00632DCB">
              <w:rPr>
                <w:rFonts w:eastAsia="Calibri" w:hint="eastAsia"/>
                <w:color w:val="000000"/>
                <w:w w:val="27"/>
                <w:szCs w:val="20"/>
                <w:shd w:val="solid" w:color="000000" w:fill="000000"/>
                <w:fitText w:val="120" w:id="-1032088560"/>
                <w14:textFill>
                  <w14:solidFill>
                    <w14:srgbClr w14:val="000000">
                      <w14:alpha w14:val="100000"/>
                    </w14:srgbClr>
                  </w14:solidFill>
                </w14:textFill>
              </w:rPr>
              <w:t xml:space="preserve">　</w:t>
            </w:r>
            <w:r w:rsidRPr="00632DCB">
              <w:rPr>
                <w:rFonts w:eastAsia="Calibri"/>
                <w:color w:val="000000"/>
                <w:w w:val="27"/>
                <w:szCs w:val="20"/>
                <w:shd w:val="solid" w:color="000000" w:fill="000000"/>
                <w:fitText w:val="120" w:id="-1032088560"/>
                <w14:textFill>
                  <w14:solidFill>
                    <w14:srgbClr w14:val="000000">
                      <w14:alpha w14:val="100000"/>
                    </w14:srgbClr>
                  </w14:solidFill>
                </w14:textFill>
              </w:rPr>
              <w:t>|</w:t>
            </w:r>
            <w:r w:rsidRPr="00632DCB">
              <w:rPr>
                <w:rFonts w:eastAsia="Calibri" w:hint="eastAsia"/>
                <w:color w:val="000000"/>
                <w:spacing w:val="2"/>
                <w:w w:val="27"/>
                <w:szCs w:val="20"/>
                <w:shd w:val="solid" w:color="000000" w:fill="000000"/>
                <w:fitText w:val="120" w:id="-1032088560"/>
                <w14:textFill>
                  <w14:solidFill>
                    <w14:srgbClr w14:val="000000">
                      <w14:alpha w14:val="100000"/>
                    </w14:srgbClr>
                  </w14:solidFill>
                </w14:textFill>
              </w:rPr>
              <w:t xml:space="preserve">　</w:t>
            </w:r>
            <w:r w:rsidR="00595625" w:rsidRPr="002D5411">
              <w:rPr>
                <w:bCs w:val="0"/>
                <w:vertAlign w:val="superscript"/>
              </w:rPr>
              <w:t>1</w:t>
            </w:r>
          </w:p>
        </w:tc>
        <w:tc>
          <w:tcPr>
            <w:tcW w:w="600" w:type="pct"/>
            <w:vAlign w:val="center"/>
          </w:tcPr>
          <w:p w14:paraId="231C4F63" w14:textId="3CBEC199" w:rsidR="004C3AF7" w:rsidRPr="00743512" w:rsidRDefault="00752DB7" w:rsidP="004C3AF7">
            <w:pPr>
              <w:pStyle w:val="TableText0"/>
              <w:jc w:val="center"/>
            </w:pPr>
            <w:r w:rsidRPr="00743512">
              <w:rPr>
                <w:rFonts w:eastAsia="Calibri"/>
                <w:szCs w:val="20"/>
              </w:rPr>
              <w:t>-</w:t>
            </w:r>
            <w:r w:rsidR="00632DCB">
              <w:rPr>
                <w:rFonts w:eastAsia="Calibri"/>
                <w:szCs w:val="20"/>
              </w:rPr>
              <w:t xml:space="preserve"> </w:t>
            </w:r>
            <w:r w:rsidR="00632DCB" w:rsidRPr="00632DCB">
              <w:rPr>
                <w:rFonts w:eastAsia="Calibri"/>
                <w:color w:val="000000"/>
                <w:spacing w:val="154"/>
                <w:szCs w:val="20"/>
                <w:shd w:val="solid" w:color="000000" w:fill="000000"/>
                <w:fitText w:val="240" w:id="-1032088576"/>
                <w14:textFill>
                  <w14:solidFill>
                    <w14:srgbClr w14:val="000000">
                      <w14:alpha w14:val="100000"/>
                    </w14:srgbClr>
                  </w14:solidFill>
                </w14:textFill>
              </w:rPr>
              <w:t>|</w:t>
            </w:r>
            <w:r w:rsidR="00632DCB" w:rsidRPr="00632DCB">
              <w:rPr>
                <w:rFonts w:eastAsia="Calibri"/>
                <w:color w:val="000000"/>
                <w:spacing w:val="1"/>
                <w:szCs w:val="20"/>
                <w:shd w:val="solid" w:color="000000" w:fill="000000"/>
                <w:fitText w:val="240" w:id="-1032088576"/>
                <w14:textFill>
                  <w14:solidFill>
                    <w14:srgbClr w14:val="000000">
                      <w14:alpha w14:val="100000"/>
                    </w14:srgbClr>
                  </w14:solidFill>
                </w14:textFill>
              </w:rPr>
              <w:t>|</w:t>
            </w:r>
            <w:r w:rsidR="004C3AF7" w:rsidRPr="00743512">
              <w:rPr>
                <w:rFonts w:eastAsia="Calibri"/>
                <w:szCs w:val="20"/>
              </w:rPr>
              <w:t>%</w:t>
            </w:r>
          </w:p>
        </w:tc>
      </w:tr>
      <w:tr w:rsidR="004C3AF7" w:rsidRPr="00743512" w14:paraId="6ECC99EA" w14:textId="77777777" w:rsidTr="00F4781C">
        <w:trPr>
          <w:cantSplit/>
        </w:trPr>
        <w:tc>
          <w:tcPr>
            <w:tcW w:w="2260" w:type="pct"/>
          </w:tcPr>
          <w:p w14:paraId="318119B3" w14:textId="3101E0A5" w:rsidR="004C3AF7" w:rsidRPr="00743512" w:rsidRDefault="004C3AF7" w:rsidP="004C3AF7">
            <w:pPr>
              <w:pStyle w:val="TableText0"/>
            </w:pPr>
            <w:r w:rsidRPr="00743512">
              <w:rPr>
                <w:u w:val="single"/>
              </w:rPr>
              <w:t>Additional</w:t>
            </w:r>
            <w:r w:rsidRPr="00743512">
              <w:t xml:space="preserve"> multivariate analysis: Evaluation alternative base case + truncation time point of 54 months</w:t>
            </w:r>
            <w:r w:rsidRPr="00743512">
              <w:rPr>
                <w:vertAlign w:val="superscript"/>
              </w:rPr>
              <w:t>a</w:t>
            </w:r>
            <w:r w:rsidRPr="00743512">
              <w:t xml:space="preserve"> + SMR of 1.61</w:t>
            </w:r>
            <w:r w:rsidRPr="00743512">
              <w:rPr>
                <w:vertAlign w:val="superscript"/>
              </w:rPr>
              <w:t>c</w:t>
            </w:r>
          </w:p>
        </w:tc>
        <w:tc>
          <w:tcPr>
            <w:tcW w:w="731" w:type="pct"/>
            <w:vAlign w:val="center"/>
          </w:tcPr>
          <w:p w14:paraId="40C3C550" w14:textId="09F7ACDC" w:rsidR="004C3AF7" w:rsidRPr="00743512" w:rsidRDefault="00632DCB" w:rsidP="004C3AF7">
            <w:pPr>
              <w:pStyle w:val="TableText0"/>
              <w:jc w:val="center"/>
            </w:pPr>
            <w:r>
              <w:rPr>
                <w:rFonts w:eastAsia="Calibri"/>
                <w:szCs w:val="20"/>
              </w:rPr>
              <w:t xml:space="preserve"> </w:t>
            </w:r>
            <w:r w:rsidRPr="00D2565D">
              <w:rPr>
                <w:rFonts w:eastAsia="Calibri" w:hint="eastAsia"/>
                <w:color w:val="000000"/>
                <w:w w:val="15"/>
                <w:szCs w:val="20"/>
                <w:shd w:val="solid" w:color="000000" w:fill="000000"/>
                <w:fitText w:val="20" w:id="-1032088575"/>
                <w14:textFill>
                  <w14:solidFill>
                    <w14:srgbClr w14:val="000000">
                      <w14:alpha w14:val="100000"/>
                    </w14:srgbClr>
                  </w14:solidFill>
                </w14:textFill>
              </w:rPr>
              <w:t xml:space="preserve">　</w:t>
            </w:r>
            <w:r w:rsidRPr="00D2565D">
              <w:rPr>
                <w:rFonts w:eastAsia="Calibri"/>
                <w:color w:val="000000"/>
                <w:w w:val="15"/>
                <w:szCs w:val="20"/>
                <w:shd w:val="solid" w:color="000000" w:fill="000000"/>
                <w:fitText w:val="20" w:id="-1032088575"/>
                <w14:textFill>
                  <w14:solidFill>
                    <w14:srgbClr w14:val="000000">
                      <w14:alpha w14:val="100000"/>
                    </w14:srgbClr>
                  </w14:solidFill>
                </w14:textFill>
              </w:rPr>
              <w:t>|</w:t>
            </w:r>
            <w:r w:rsidRPr="00D2565D">
              <w:rPr>
                <w:rFonts w:eastAsia="Calibri" w:hint="eastAsia"/>
                <w:color w:val="000000"/>
                <w:spacing w:val="-45"/>
                <w:w w:val="15"/>
                <w:szCs w:val="20"/>
                <w:shd w:val="solid" w:color="000000" w:fill="000000"/>
                <w:fitText w:val="20" w:id="-1032088575"/>
                <w14:textFill>
                  <w14:solidFill>
                    <w14:srgbClr w14:val="000000">
                      <w14:alpha w14:val="100000"/>
                    </w14:srgbClr>
                  </w14:solidFill>
                </w14:textFill>
              </w:rPr>
              <w:t xml:space="preserve">　</w:t>
            </w:r>
            <w:r w:rsidR="007C1BAB">
              <w:rPr>
                <w:rFonts w:eastAsia="Calibri"/>
                <w:szCs w:val="20"/>
              </w:rPr>
              <w:t xml:space="preserve"> </w:t>
            </w:r>
          </w:p>
        </w:tc>
        <w:tc>
          <w:tcPr>
            <w:tcW w:w="731" w:type="pct"/>
            <w:vAlign w:val="center"/>
          </w:tcPr>
          <w:p w14:paraId="31756D5F" w14:textId="5DD57359" w:rsidR="004C3AF7" w:rsidRPr="00743512" w:rsidRDefault="004C3AF7" w:rsidP="004C3AF7">
            <w:pPr>
              <w:pStyle w:val="TableText0"/>
              <w:jc w:val="center"/>
            </w:pPr>
            <w:r w:rsidRPr="00743512">
              <w:rPr>
                <w:rFonts w:eastAsia="Calibri"/>
                <w:szCs w:val="20"/>
              </w:rPr>
              <w:t>0.75</w:t>
            </w:r>
          </w:p>
        </w:tc>
        <w:tc>
          <w:tcPr>
            <w:tcW w:w="678" w:type="pct"/>
            <w:vAlign w:val="center"/>
          </w:tcPr>
          <w:p w14:paraId="00F1B127" w14:textId="50436896" w:rsidR="004C3AF7" w:rsidRPr="001E5CEC" w:rsidRDefault="00632DCB" w:rsidP="004C3AF7">
            <w:pPr>
              <w:pStyle w:val="TableText0"/>
              <w:jc w:val="center"/>
              <w:rPr>
                <w:highlight w:val="darkGray"/>
              </w:rPr>
            </w:pPr>
            <w:r>
              <w:rPr>
                <w:rFonts w:eastAsia="Calibri"/>
                <w:szCs w:val="20"/>
              </w:rPr>
              <w:t xml:space="preserve"> </w:t>
            </w:r>
            <w:r w:rsidRPr="00632DCB">
              <w:rPr>
                <w:rFonts w:eastAsia="Calibri" w:hint="eastAsia"/>
                <w:color w:val="000000"/>
                <w:w w:val="22"/>
                <w:szCs w:val="20"/>
                <w:shd w:val="solid" w:color="000000" w:fill="000000"/>
                <w:fitText w:val="100" w:id="-1032088574"/>
                <w14:textFill>
                  <w14:solidFill>
                    <w14:srgbClr w14:val="000000">
                      <w14:alpha w14:val="100000"/>
                    </w14:srgbClr>
                  </w14:solidFill>
                </w14:textFill>
              </w:rPr>
              <w:t xml:space="preserve">　</w:t>
            </w:r>
            <w:r w:rsidRPr="00632DCB">
              <w:rPr>
                <w:rFonts w:eastAsia="Calibri"/>
                <w:color w:val="000000"/>
                <w:w w:val="22"/>
                <w:szCs w:val="20"/>
                <w:shd w:val="solid" w:color="000000" w:fill="000000"/>
                <w:fitText w:val="100" w:id="-1032088574"/>
                <w14:textFill>
                  <w14:solidFill>
                    <w14:srgbClr w14:val="000000">
                      <w14:alpha w14:val="100000"/>
                    </w14:srgbClr>
                  </w14:solidFill>
                </w14:textFill>
              </w:rPr>
              <w:t>|</w:t>
            </w:r>
            <w:r w:rsidRPr="00632DCB">
              <w:rPr>
                <w:rFonts w:eastAsia="Calibri" w:hint="eastAsia"/>
                <w:color w:val="000000"/>
                <w:spacing w:val="3"/>
                <w:w w:val="22"/>
                <w:szCs w:val="20"/>
                <w:shd w:val="solid" w:color="000000" w:fill="000000"/>
                <w:fitText w:val="100" w:id="-1032088574"/>
                <w14:textFill>
                  <w14:solidFill>
                    <w14:srgbClr w14:val="000000">
                      <w14:alpha w14:val="100000"/>
                    </w14:srgbClr>
                  </w14:solidFill>
                </w14:textFill>
              </w:rPr>
              <w:t xml:space="preserve">　</w:t>
            </w:r>
            <w:r w:rsidR="00595625" w:rsidRPr="002D5411">
              <w:rPr>
                <w:bCs w:val="0"/>
                <w:vertAlign w:val="superscript"/>
              </w:rPr>
              <w:t>1</w:t>
            </w:r>
          </w:p>
        </w:tc>
        <w:tc>
          <w:tcPr>
            <w:tcW w:w="600" w:type="pct"/>
            <w:vAlign w:val="center"/>
          </w:tcPr>
          <w:p w14:paraId="5325DE43" w14:textId="46750A42" w:rsidR="004C3AF7" w:rsidRPr="00743512" w:rsidRDefault="00752DB7" w:rsidP="004C3AF7">
            <w:pPr>
              <w:pStyle w:val="TableText0"/>
              <w:jc w:val="center"/>
            </w:pPr>
            <w:r w:rsidRPr="00743512">
              <w:rPr>
                <w:rFonts w:eastAsia="Calibri"/>
                <w:szCs w:val="20"/>
              </w:rPr>
              <w:t>-</w:t>
            </w:r>
            <w:r w:rsidR="00632DCB">
              <w:rPr>
                <w:rFonts w:eastAsia="Calibri"/>
                <w:szCs w:val="20"/>
              </w:rPr>
              <w:t xml:space="preserve"> </w:t>
            </w:r>
            <w:r w:rsidR="00632DCB" w:rsidRPr="00632DCB">
              <w:rPr>
                <w:rFonts w:eastAsia="Calibri"/>
                <w:color w:val="000000"/>
                <w:spacing w:val="154"/>
                <w:szCs w:val="20"/>
                <w:shd w:val="solid" w:color="000000" w:fill="000000"/>
                <w:fitText w:val="240" w:id="-1032088573"/>
                <w14:textFill>
                  <w14:solidFill>
                    <w14:srgbClr w14:val="000000">
                      <w14:alpha w14:val="100000"/>
                    </w14:srgbClr>
                  </w14:solidFill>
                </w14:textFill>
              </w:rPr>
              <w:t>|</w:t>
            </w:r>
            <w:r w:rsidR="00632DCB" w:rsidRPr="00632DCB">
              <w:rPr>
                <w:rFonts w:eastAsia="Calibri"/>
                <w:color w:val="000000"/>
                <w:spacing w:val="1"/>
                <w:szCs w:val="20"/>
                <w:shd w:val="solid" w:color="000000" w:fill="000000"/>
                <w:fitText w:val="240" w:id="-1032088573"/>
                <w14:textFill>
                  <w14:solidFill>
                    <w14:srgbClr w14:val="000000">
                      <w14:alpha w14:val="100000"/>
                    </w14:srgbClr>
                  </w14:solidFill>
                </w14:textFill>
              </w:rPr>
              <w:t>|</w:t>
            </w:r>
            <w:r w:rsidR="004C3AF7" w:rsidRPr="00743512">
              <w:rPr>
                <w:rFonts w:eastAsia="Calibri"/>
                <w:szCs w:val="20"/>
              </w:rPr>
              <w:t>%</w:t>
            </w:r>
          </w:p>
        </w:tc>
      </w:tr>
      <w:tr w:rsidR="005E6059" w:rsidRPr="00743512" w14:paraId="5A512152" w14:textId="77777777" w:rsidTr="00F4781C">
        <w:trPr>
          <w:cantSplit/>
        </w:trPr>
        <w:tc>
          <w:tcPr>
            <w:tcW w:w="2260" w:type="pct"/>
          </w:tcPr>
          <w:p w14:paraId="16B1034F" w14:textId="42A9A68C" w:rsidR="005E6059" w:rsidRPr="00743512" w:rsidRDefault="005E6059" w:rsidP="005E6059">
            <w:pPr>
              <w:pStyle w:val="TableText0"/>
            </w:pPr>
            <w:r w:rsidRPr="00743512">
              <w:rPr>
                <w:u w:val="single"/>
              </w:rPr>
              <w:t>Additional</w:t>
            </w:r>
            <w:r w:rsidRPr="00743512">
              <w:t xml:space="preserve"> multivariate analysis: Evaluation alternative base case + truncation time point of 54 months</w:t>
            </w:r>
            <w:r w:rsidRPr="00743512">
              <w:rPr>
                <w:vertAlign w:val="superscript"/>
              </w:rPr>
              <w:t>a</w:t>
            </w:r>
            <w:r w:rsidRPr="00743512">
              <w:t xml:space="preserve"> + SMR of 1.61</w:t>
            </w:r>
            <w:r w:rsidRPr="00743512">
              <w:rPr>
                <w:vertAlign w:val="superscript"/>
              </w:rPr>
              <w:t>c</w:t>
            </w:r>
            <w:r w:rsidR="00F32823" w:rsidRPr="00F32823">
              <w:rPr>
                <w:vertAlign w:val="superscript"/>
              </w:rPr>
              <w:t xml:space="preserve"> </w:t>
            </w:r>
            <w:r w:rsidRPr="00743512">
              <w:t>+</w:t>
            </w:r>
            <w:r w:rsidR="00F4781C" w:rsidRPr="00743512">
              <w:t xml:space="preserve"> </w:t>
            </w:r>
            <w:r w:rsidRPr="00743512">
              <w:t xml:space="preserve">Treatment-specific proportion of recurrences that are metastatic </w:t>
            </w:r>
          </w:p>
        </w:tc>
        <w:tc>
          <w:tcPr>
            <w:tcW w:w="731" w:type="pct"/>
            <w:vAlign w:val="center"/>
          </w:tcPr>
          <w:p w14:paraId="1FD8BB8D" w14:textId="2C2160CB" w:rsidR="005E6059" w:rsidRPr="001E5CEC" w:rsidRDefault="00632DCB" w:rsidP="005E6059">
            <w:pPr>
              <w:pStyle w:val="TableText0"/>
              <w:jc w:val="center"/>
              <w:rPr>
                <w:highlight w:val="darkGray"/>
              </w:rPr>
            </w:pPr>
            <w:r>
              <w:rPr>
                <w:rFonts w:eastAsia="SimSun" w:cs="SimSun"/>
                <w:szCs w:val="20"/>
              </w:rPr>
              <w:t xml:space="preserve"> </w:t>
            </w:r>
            <w:r w:rsidRPr="00D2565D">
              <w:rPr>
                <w:rFonts w:eastAsia="SimSun" w:cs="SimSun" w:hint="eastAsia"/>
                <w:color w:val="000000"/>
                <w:w w:val="15"/>
                <w:szCs w:val="20"/>
                <w:shd w:val="solid" w:color="000000" w:fill="000000"/>
                <w:fitText w:val="20" w:id="-1032088572"/>
                <w14:textFill>
                  <w14:solidFill>
                    <w14:srgbClr w14:val="000000">
                      <w14:alpha w14:val="100000"/>
                    </w14:srgbClr>
                  </w14:solidFill>
                </w14:textFill>
              </w:rPr>
              <w:t xml:space="preserve">　</w:t>
            </w:r>
            <w:r w:rsidRPr="00D2565D">
              <w:rPr>
                <w:rFonts w:eastAsia="SimSun" w:cs="SimSun"/>
                <w:color w:val="000000"/>
                <w:w w:val="15"/>
                <w:szCs w:val="20"/>
                <w:shd w:val="solid" w:color="000000" w:fill="000000"/>
                <w:fitText w:val="20" w:id="-1032088572"/>
                <w14:textFill>
                  <w14:solidFill>
                    <w14:srgbClr w14:val="000000">
                      <w14:alpha w14:val="100000"/>
                    </w14:srgbClr>
                  </w14:solidFill>
                </w14:textFill>
              </w:rPr>
              <w:t>|</w:t>
            </w:r>
            <w:r w:rsidRPr="00D2565D">
              <w:rPr>
                <w:rFonts w:eastAsia="SimSun" w:cs="SimSun" w:hint="eastAsia"/>
                <w:color w:val="000000"/>
                <w:spacing w:val="-45"/>
                <w:w w:val="15"/>
                <w:szCs w:val="20"/>
                <w:shd w:val="solid" w:color="000000" w:fill="000000"/>
                <w:fitText w:val="20" w:id="-1032088572"/>
                <w14:textFill>
                  <w14:solidFill>
                    <w14:srgbClr w14:val="000000">
                      <w14:alpha w14:val="100000"/>
                    </w14:srgbClr>
                  </w14:solidFill>
                </w14:textFill>
              </w:rPr>
              <w:t xml:space="preserve">　</w:t>
            </w:r>
          </w:p>
        </w:tc>
        <w:tc>
          <w:tcPr>
            <w:tcW w:w="731" w:type="pct"/>
            <w:vAlign w:val="center"/>
          </w:tcPr>
          <w:p w14:paraId="589FDF7F" w14:textId="7CB69310" w:rsidR="005E6059" w:rsidRPr="00743512" w:rsidRDefault="005E6059" w:rsidP="005E6059">
            <w:pPr>
              <w:pStyle w:val="TableText0"/>
              <w:jc w:val="center"/>
            </w:pPr>
            <w:r w:rsidRPr="00743512">
              <w:rPr>
                <w:rFonts w:eastAsia="SimSun" w:cs="SimSun"/>
                <w:szCs w:val="20"/>
              </w:rPr>
              <w:t>0.77</w:t>
            </w:r>
          </w:p>
        </w:tc>
        <w:tc>
          <w:tcPr>
            <w:tcW w:w="678" w:type="pct"/>
            <w:vAlign w:val="center"/>
          </w:tcPr>
          <w:p w14:paraId="084DEBB9" w14:textId="68F7F415" w:rsidR="005E6059" w:rsidRPr="001E5CEC" w:rsidRDefault="00632DCB" w:rsidP="005E6059">
            <w:pPr>
              <w:pStyle w:val="TableText0"/>
              <w:jc w:val="center"/>
              <w:rPr>
                <w:highlight w:val="darkGray"/>
              </w:rPr>
            </w:pPr>
            <w:r>
              <w:rPr>
                <w:rFonts w:eastAsia="SimSun" w:cs="SimSun"/>
                <w:szCs w:val="20"/>
              </w:rPr>
              <w:t xml:space="preserve"> </w:t>
            </w:r>
            <w:r w:rsidRPr="00632DCB">
              <w:rPr>
                <w:rFonts w:eastAsia="SimSun" w:cs="SimSun" w:hint="eastAsia"/>
                <w:color w:val="000000"/>
                <w:w w:val="22"/>
                <w:szCs w:val="20"/>
                <w:shd w:val="solid" w:color="000000" w:fill="000000"/>
                <w:fitText w:val="100" w:id="-1032088571"/>
                <w14:textFill>
                  <w14:solidFill>
                    <w14:srgbClr w14:val="000000">
                      <w14:alpha w14:val="100000"/>
                    </w14:srgbClr>
                  </w14:solidFill>
                </w14:textFill>
              </w:rPr>
              <w:t xml:space="preserve">　</w:t>
            </w:r>
            <w:r w:rsidRPr="00632DCB">
              <w:rPr>
                <w:rFonts w:eastAsia="SimSun" w:cs="SimSun"/>
                <w:color w:val="000000"/>
                <w:w w:val="22"/>
                <w:szCs w:val="20"/>
                <w:shd w:val="solid" w:color="000000" w:fill="000000"/>
                <w:fitText w:val="100" w:id="-1032088571"/>
                <w14:textFill>
                  <w14:solidFill>
                    <w14:srgbClr w14:val="000000">
                      <w14:alpha w14:val="100000"/>
                    </w14:srgbClr>
                  </w14:solidFill>
                </w14:textFill>
              </w:rPr>
              <w:t>|</w:t>
            </w:r>
            <w:r w:rsidRPr="00632DCB">
              <w:rPr>
                <w:rFonts w:eastAsia="SimSun" w:cs="SimSun" w:hint="eastAsia"/>
                <w:color w:val="000000"/>
                <w:spacing w:val="3"/>
                <w:w w:val="22"/>
                <w:szCs w:val="20"/>
                <w:shd w:val="solid" w:color="000000" w:fill="000000"/>
                <w:fitText w:val="100" w:id="-1032088571"/>
                <w14:textFill>
                  <w14:solidFill>
                    <w14:srgbClr w14:val="000000">
                      <w14:alpha w14:val="100000"/>
                    </w14:srgbClr>
                  </w14:solidFill>
                </w14:textFill>
              </w:rPr>
              <w:t xml:space="preserve">　</w:t>
            </w:r>
            <w:r w:rsidR="00595625" w:rsidRPr="002D5411">
              <w:rPr>
                <w:bCs w:val="0"/>
                <w:vertAlign w:val="superscript"/>
              </w:rPr>
              <w:t>1</w:t>
            </w:r>
          </w:p>
        </w:tc>
        <w:tc>
          <w:tcPr>
            <w:tcW w:w="600" w:type="pct"/>
            <w:vAlign w:val="center"/>
          </w:tcPr>
          <w:p w14:paraId="3058D0DB" w14:textId="3A3DDEBB" w:rsidR="005E6059" w:rsidRPr="00743512" w:rsidRDefault="004C65B8" w:rsidP="005E6059">
            <w:pPr>
              <w:pStyle w:val="TableText0"/>
              <w:jc w:val="center"/>
            </w:pPr>
            <w:r w:rsidRPr="00743512">
              <w:rPr>
                <w:rFonts w:eastAsia="SimSun" w:cs="SimSun"/>
                <w:szCs w:val="20"/>
              </w:rPr>
              <w:t>-</w:t>
            </w:r>
            <w:r w:rsidR="00632DCB">
              <w:rPr>
                <w:rFonts w:eastAsia="SimSun" w:cs="SimSun"/>
                <w:szCs w:val="20"/>
              </w:rPr>
              <w:t xml:space="preserve"> </w:t>
            </w:r>
            <w:r w:rsidR="00632DCB" w:rsidRPr="00632DCB">
              <w:rPr>
                <w:rFonts w:eastAsia="SimSun" w:cs="SimSun"/>
                <w:color w:val="000000"/>
                <w:spacing w:val="154"/>
                <w:szCs w:val="20"/>
                <w:shd w:val="solid" w:color="000000" w:fill="000000"/>
                <w:fitText w:val="240" w:id="-1032088570"/>
                <w14:textFill>
                  <w14:solidFill>
                    <w14:srgbClr w14:val="000000">
                      <w14:alpha w14:val="100000"/>
                    </w14:srgbClr>
                  </w14:solidFill>
                </w14:textFill>
              </w:rPr>
              <w:t>|</w:t>
            </w:r>
            <w:r w:rsidR="00632DCB" w:rsidRPr="00632DCB">
              <w:rPr>
                <w:rFonts w:eastAsia="SimSun" w:cs="SimSun"/>
                <w:color w:val="000000"/>
                <w:spacing w:val="1"/>
                <w:szCs w:val="20"/>
                <w:shd w:val="solid" w:color="000000" w:fill="000000"/>
                <w:fitText w:val="240" w:id="-1032088570"/>
                <w14:textFill>
                  <w14:solidFill>
                    <w14:srgbClr w14:val="000000">
                      <w14:alpha w14:val="100000"/>
                    </w14:srgbClr>
                  </w14:solidFill>
                </w14:textFill>
              </w:rPr>
              <w:t>|</w:t>
            </w:r>
            <w:r w:rsidR="005E6059" w:rsidRPr="00743512">
              <w:rPr>
                <w:rFonts w:eastAsia="SimSun" w:cs="SimSun"/>
                <w:szCs w:val="20"/>
              </w:rPr>
              <w:t>%</w:t>
            </w:r>
          </w:p>
        </w:tc>
      </w:tr>
      <w:tr w:rsidR="005E6059" w:rsidRPr="00743512" w14:paraId="016E76C5" w14:textId="77777777" w:rsidTr="00F4781C">
        <w:trPr>
          <w:cantSplit/>
        </w:trPr>
        <w:tc>
          <w:tcPr>
            <w:tcW w:w="2260" w:type="pct"/>
          </w:tcPr>
          <w:p w14:paraId="27C6C3D0" w14:textId="6B1B70AC" w:rsidR="005E6059" w:rsidRPr="00743512" w:rsidRDefault="005E6059" w:rsidP="005E6059">
            <w:pPr>
              <w:pStyle w:val="TableText0"/>
            </w:pPr>
            <w:r w:rsidRPr="00743512">
              <w:rPr>
                <w:u w:val="single"/>
              </w:rPr>
              <w:t>Additional</w:t>
            </w:r>
            <w:r w:rsidRPr="00743512">
              <w:t xml:space="preserve"> multivariate analysis: Evaluation alternative base case + truncation time point of 54 months</w:t>
            </w:r>
            <w:r w:rsidRPr="00743512">
              <w:rPr>
                <w:vertAlign w:val="superscript"/>
              </w:rPr>
              <w:t>a</w:t>
            </w:r>
            <w:r w:rsidRPr="00743512">
              <w:t xml:space="preserve"> + SMR of 1.61</w:t>
            </w:r>
            <w:r w:rsidRPr="00743512">
              <w:rPr>
                <w:vertAlign w:val="superscript"/>
              </w:rPr>
              <w:t>c</w:t>
            </w:r>
            <w:r w:rsidR="00F32823" w:rsidRPr="00F32823">
              <w:rPr>
                <w:vertAlign w:val="superscript"/>
              </w:rPr>
              <w:t xml:space="preserve"> </w:t>
            </w:r>
            <w:r w:rsidRPr="00743512">
              <w:t>+</w:t>
            </w:r>
            <w:r w:rsidR="00F4781C" w:rsidRPr="00743512">
              <w:t xml:space="preserve"> </w:t>
            </w:r>
            <w:r w:rsidRPr="00743512">
              <w:t xml:space="preserve">Treatment-specific proportion of recurrences that are metastatic + </w:t>
            </w:r>
            <w:r w:rsidR="0018082C" w:rsidRPr="00743512">
              <w:rPr>
                <w:i/>
              </w:rPr>
              <w:t>BRCA</w:t>
            </w:r>
            <w:r w:rsidRPr="00743512">
              <w:t xml:space="preserve"> test cost $1,000</w:t>
            </w:r>
          </w:p>
        </w:tc>
        <w:tc>
          <w:tcPr>
            <w:tcW w:w="731" w:type="pct"/>
            <w:vAlign w:val="center"/>
          </w:tcPr>
          <w:p w14:paraId="0F52CB65" w14:textId="7484CA66" w:rsidR="005E6059" w:rsidRPr="001E5CEC" w:rsidRDefault="00632DCB" w:rsidP="005E6059">
            <w:pPr>
              <w:pStyle w:val="TableText0"/>
              <w:jc w:val="center"/>
              <w:rPr>
                <w:highlight w:val="darkGray"/>
              </w:rPr>
            </w:pPr>
            <w:r>
              <w:rPr>
                <w:rFonts w:eastAsia="SimSun" w:cs="SimSun"/>
                <w:szCs w:val="20"/>
              </w:rPr>
              <w:t xml:space="preserve"> </w:t>
            </w:r>
            <w:r w:rsidRPr="00D2565D">
              <w:rPr>
                <w:rFonts w:eastAsia="SimSun" w:cs="SimSun" w:hint="eastAsia"/>
                <w:color w:val="000000"/>
                <w:w w:val="15"/>
                <w:szCs w:val="20"/>
                <w:shd w:val="solid" w:color="000000" w:fill="000000"/>
                <w:fitText w:val="20" w:id="-1032088569"/>
                <w14:textFill>
                  <w14:solidFill>
                    <w14:srgbClr w14:val="000000">
                      <w14:alpha w14:val="100000"/>
                    </w14:srgbClr>
                  </w14:solidFill>
                </w14:textFill>
              </w:rPr>
              <w:t xml:space="preserve">　</w:t>
            </w:r>
            <w:r w:rsidRPr="00D2565D">
              <w:rPr>
                <w:rFonts w:eastAsia="SimSun" w:cs="SimSun"/>
                <w:color w:val="000000"/>
                <w:w w:val="15"/>
                <w:szCs w:val="20"/>
                <w:shd w:val="solid" w:color="000000" w:fill="000000"/>
                <w:fitText w:val="20" w:id="-1032088569"/>
                <w14:textFill>
                  <w14:solidFill>
                    <w14:srgbClr w14:val="000000">
                      <w14:alpha w14:val="100000"/>
                    </w14:srgbClr>
                  </w14:solidFill>
                </w14:textFill>
              </w:rPr>
              <w:t>|</w:t>
            </w:r>
            <w:r w:rsidRPr="00D2565D">
              <w:rPr>
                <w:rFonts w:eastAsia="SimSun" w:cs="SimSun" w:hint="eastAsia"/>
                <w:color w:val="000000"/>
                <w:spacing w:val="-45"/>
                <w:w w:val="15"/>
                <w:szCs w:val="20"/>
                <w:shd w:val="solid" w:color="000000" w:fill="000000"/>
                <w:fitText w:val="20" w:id="-1032088569"/>
                <w14:textFill>
                  <w14:solidFill>
                    <w14:srgbClr w14:val="000000">
                      <w14:alpha w14:val="100000"/>
                    </w14:srgbClr>
                  </w14:solidFill>
                </w14:textFill>
              </w:rPr>
              <w:t xml:space="preserve">　</w:t>
            </w:r>
          </w:p>
        </w:tc>
        <w:tc>
          <w:tcPr>
            <w:tcW w:w="731" w:type="pct"/>
            <w:vAlign w:val="center"/>
          </w:tcPr>
          <w:p w14:paraId="7651AA72" w14:textId="3B091C74" w:rsidR="005E6059" w:rsidRPr="00743512" w:rsidRDefault="005E6059" w:rsidP="005E6059">
            <w:pPr>
              <w:pStyle w:val="TableText0"/>
              <w:jc w:val="center"/>
            </w:pPr>
            <w:r w:rsidRPr="00743512">
              <w:rPr>
                <w:rFonts w:eastAsia="SimSun" w:cs="SimSun"/>
                <w:szCs w:val="20"/>
              </w:rPr>
              <w:t>0.77</w:t>
            </w:r>
          </w:p>
        </w:tc>
        <w:tc>
          <w:tcPr>
            <w:tcW w:w="678" w:type="pct"/>
            <w:vAlign w:val="center"/>
          </w:tcPr>
          <w:p w14:paraId="3604BF91" w14:textId="288735F9" w:rsidR="005E6059" w:rsidRPr="001E5CEC" w:rsidRDefault="00632DCB" w:rsidP="005E6059">
            <w:pPr>
              <w:pStyle w:val="TableText0"/>
              <w:jc w:val="center"/>
              <w:rPr>
                <w:highlight w:val="darkGray"/>
              </w:rPr>
            </w:pPr>
            <w:r>
              <w:rPr>
                <w:rFonts w:eastAsia="SimSun" w:cs="SimSun"/>
                <w:szCs w:val="20"/>
              </w:rPr>
              <w:t xml:space="preserve"> </w:t>
            </w:r>
            <w:r w:rsidRPr="00632DCB">
              <w:rPr>
                <w:rFonts w:eastAsia="SimSun" w:cs="SimSun" w:hint="eastAsia"/>
                <w:color w:val="000000"/>
                <w:w w:val="22"/>
                <w:szCs w:val="20"/>
                <w:shd w:val="solid" w:color="000000" w:fill="000000"/>
                <w:fitText w:val="100" w:id="-1032088568"/>
                <w14:textFill>
                  <w14:solidFill>
                    <w14:srgbClr w14:val="000000">
                      <w14:alpha w14:val="100000"/>
                    </w14:srgbClr>
                  </w14:solidFill>
                </w14:textFill>
              </w:rPr>
              <w:t xml:space="preserve">　</w:t>
            </w:r>
            <w:r w:rsidRPr="00632DCB">
              <w:rPr>
                <w:rFonts w:eastAsia="SimSun" w:cs="SimSun"/>
                <w:color w:val="000000"/>
                <w:w w:val="22"/>
                <w:szCs w:val="20"/>
                <w:shd w:val="solid" w:color="000000" w:fill="000000"/>
                <w:fitText w:val="100" w:id="-1032088568"/>
                <w14:textFill>
                  <w14:solidFill>
                    <w14:srgbClr w14:val="000000">
                      <w14:alpha w14:val="100000"/>
                    </w14:srgbClr>
                  </w14:solidFill>
                </w14:textFill>
              </w:rPr>
              <w:t>|</w:t>
            </w:r>
            <w:r w:rsidRPr="00632DCB">
              <w:rPr>
                <w:rFonts w:eastAsia="SimSun" w:cs="SimSun" w:hint="eastAsia"/>
                <w:color w:val="000000"/>
                <w:spacing w:val="3"/>
                <w:w w:val="22"/>
                <w:szCs w:val="20"/>
                <w:shd w:val="solid" w:color="000000" w:fill="000000"/>
                <w:fitText w:val="100" w:id="-1032088568"/>
                <w14:textFill>
                  <w14:solidFill>
                    <w14:srgbClr w14:val="000000">
                      <w14:alpha w14:val="100000"/>
                    </w14:srgbClr>
                  </w14:solidFill>
                </w14:textFill>
              </w:rPr>
              <w:t xml:space="preserve">　</w:t>
            </w:r>
            <w:r w:rsidR="00595625" w:rsidRPr="00595625">
              <w:rPr>
                <w:vertAlign w:val="superscript"/>
              </w:rPr>
              <w:t>3</w:t>
            </w:r>
          </w:p>
        </w:tc>
        <w:tc>
          <w:tcPr>
            <w:tcW w:w="600" w:type="pct"/>
            <w:vAlign w:val="center"/>
          </w:tcPr>
          <w:p w14:paraId="6F35E3BB" w14:textId="228846B8" w:rsidR="005E6059" w:rsidRPr="00743512" w:rsidRDefault="004C65B8" w:rsidP="005E6059">
            <w:pPr>
              <w:pStyle w:val="TableText0"/>
              <w:jc w:val="center"/>
            </w:pPr>
            <w:r w:rsidRPr="00743512">
              <w:rPr>
                <w:rFonts w:eastAsia="SimSun" w:cs="SimSun"/>
                <w:szCs w:val="20"/>
              </w:rPr>
              <w:t>-</w:t>
            </w:r>
            <w:r w:rsidR="00632DCB">
              <w:rPr>
                <w:rFonts w:eastAsia="SimSun" w:cs="SimSun"/>
                <w:szCs w:val="20"/>
              </w:rPr>
              <w:t xml:space="preserve"> </w:t>
            </w:r>
            <w:r w:rsidR="00632DCB" w:rsidRPr="00632DCB">
              <w:rPr>
                <w:rFonts w:eastAsia="SimSun" w:cs="SimSun"/>
                <w:color w:val="000000"/>
                <w:spacing w:val="154"/>
                <w:szCs w:val="20"/>
                <w:shd w:val="solid" w:color="000000" w:fill="000000"/>
                <w:fitText w:val="240" w:id="-1032088567"/>
                <w14:textFill>
                  <w14:solidFill>
                    <w14:srgbClr w14:val="000000">
                      <w14:alpha w14:val="100000"/>
                    </w14:srgbClr>
                  </w14:solidFill>
                </w14:textFill>
              </w:rPr>
              <w:t>|</w:t>
            </w:r>
            <w:r w:rsidR="00632DCB" w:rsidRPr="00632DCB">
              <w:rPr>
                <w:rFonts w:eastAsia="SimSun" w:cs="SimSun"/>
                <w:color w:val="000000"/>
                <w:spacing w:val="1"/>
                <w:szCs w:val="20"/>
                <w:shd w:val="solid" w:color="000000" w:fill="000000"/>
                <w:fitText w:val="240" w:id="-1032088567"/>
                <w14:textFill>
                  <w14:solidFill>
                    <w14:srgbClr w14:val="000000">
                      <w14:alpha w14:val="100000"/>
                    </w14:srgbClr>
                  </w14:solidFill>
                </w14:textFill>
              </w:rPr>
              <w:t>|</w:t>
            </w:r>
            <w:r w:rsidR="005E6059" w:rsidRPr="00743512">
              <w:rPr>
                <w:rFonts w:eastAsia="SimSun" w:cs="SimSun"/>
                <w:szCs w:val="20"/>
              </w:rPr>
              <w:t>%</w:t>
            </w:r>
          </w:p>
        </w:tc>
      </w:tr>
    </w:tbl>
    <w:p w14:paraId="19D2C4D3" w14:textId="77777777" w:rsidR="00BF3070" w:rsidRPr="00743512" w:rsidRDefault="00BF3070" w:rsidP="00BF3070">
      <w:pPr>
        <w:pStyle w:val="FooterTableFigure"/>
        <w:keepNext/>
        <w:rPr>
          <w:rStyle w:val="CommentReference"/>
        </w:rPr>
      </w:pPr>
      <w:r w:rsidRPr="00743512">
        <w:t>Source: Analyses performed during the evaluation.</w:t>
      </w:r>
    </w:p>
    <w:p w14:paraId="45D59869" w14:textId="2ED75291" w:rsidR="00BF3070" w:rsidRPr="00743512" w:rsidRDefault="00BF3070" w:rsidP="00BF3070">
      <w:pPr>
        <w:pStyle w:val="FooterTableFigure"/>
        <w:keepNext/>
        <w:rPr>
          <w:rFonts w:eastAsia="Calibri"/>
          <w:szCs w:val="20"/>
        </w:rPr>
      </w:pPr>
      <w:r w:rsidRPr="00743512">
        <w:rPr>
          <w:rFonts w:eastAsia="Calibri"/>
          <w:szCs w:val="20"/>
        </w:rPr>
        <w:t>g</w:t>
      </w:r>
      <w:r w:rsidR="00CD50D4" w:rsidRPr="00743512">
        <w:rPr>
          <w:rFonts w:eastAsia="Calibri"/>
          <w:i/>
          <w:szCs w:val="20"/>
        </w:rPr>
        <w:t>BRCA</w:t>
      </w:r>
      <w:r w:rsidRPr="00743512">
        <w:rPr>
          <w:rFonts w:eastAsia="Calibri"/>
          <w:szCs w:val="20"/>
        </w:rPr>
        <w:t xml:space="preserve"> = germline breast cancer gene; HER2 = human epidermal growth factor receptor 2; HR = hormone receptor; ICER = incremental cost-effectiveness ratio; QALY = quality-adjusted life year; TNBC = triple negative breast cancer; TTD = time to treatment discontinuation.</w:t>
      </w:r>
    </w:p>
    <w:p w14:paraId="2E44D21B" w14:textId="131AE2E8" w:rsidR="00BF3070" w:rsidRPr="00743512" w:rsidRDefault="00BF3070" w:rsidP="009E444E">
      <w:pPr>
        <w:pStyle w:val="FooterTableFigure"/>
        <w:spacing w:after="0"/>
        <w:rPr>
          <w:rFonts w:eastAsia="Calibri"/>
          <w:szCs w:val="20"/>
        </w:rPr>
      </w:pPr>
      <w:r w:rsidRPr="00743512">
        <w:rPr>
          <w:rFonts w:eastAsia="Calibri"/>
          <w:szCs w:val="20"/>
          <w:vertAlign w:val="superscript"/>
        </w:rPr>
        <w:t>a</w:t>
      </w:r>
      <w:r w:rsidRPr="00743512">
        <w:rPr>
          <w:rFonts w:eastAsia="Calibri"/>
          <w:szCs w:val="20"/>
        </w:rPr>
        <w:t xml:space="preserve"> This effectively doubles the incremental cost for </w:t>
      </w:r>
      <w:r w:rsidR="00CD50D4" w:rsidRPr="00743512">
        <w:rPr>
          <w:rFonts w:eastAsia="Calibri"/>
          <w:i/>
          <w:szCs w:val="20"/>
        </w:rPr>
        <w:t>BRCA</w:t>
      </w:r>
      <w:r w:rsidRPr="00743512">
        <w:rPr>
          <w:rFonts w:eastAsia="Calibri"/>
          <w:szCs w:val="20"/>
        </w:rPr>
        <w:t xml:space="preserve"> testing between the two arms</w:t>
      </w:r>
      <w:r w:rsidR="00157B92" w:rsidRPr="00743512">
        <w:rPr>
          <w:rFonts w:eastAsia="Calibri"/>
          <w:szCs w:val="20"/>
        </w:rPr>
        <w:t xml:space="preserve">. </w:t>
      </w:r>
    </w:p>
    <w:p w14:paraId="23AF650B" w14:textId="77777777" w:rsidR="009E444E" w:rsidRPr="00743512" w:rsidRDefault="009E444E" w:rsidP="009E444E">
      <w:pPr>
        <w:rPr>
          <w:rFonts w:ascii="Arial Narrow" w:hAnsi="Arial Narrow"/>
          <w:sz w:val="18"/>
          <w:szCs w:val="18"/>
        </w:rPr>
      </w:pPr>
      <w:r w:rsidRPr="00743512">
        <w:rPr>
          <w:rFonts w:ascii="Arial Narrow" w:hAnsi="Arial Narrow"/>
          <w:sz w:val="18"/>
          <w:szCs w:val="18"/>
          <w:vertAlign w:val="superscript"/>
        </w:rPr>
        <w:t xml:space="preserve">b </w:t>
      </w:r>
      <w:r w:rsidRPr="00743512">
        <w:rPr>
          <w:rFonts w:ascii="Arial Narrow" w:hAnsi="Arial Narrow"/>
          <w:sz w:val="18"/>
          <w:szCs w:val="18"/>
        </w:rPr>
        <w:t>Compared with 48 months in the resubmission’s base case and 60 months in the Evaluation alternative base case.</w:t>
      </w:r>
    </w:p>
    <w:p w14:paraId="1AC40C7F" w14:textId="6842BE54" w:rsidR="009E444E" w:rsidRDefault="009E444E" w:rsidP="009E444E">
      <w:pPr>
        <w:rPr>
          <w:rFonts w:ascii="Arial Narrow" w:hAnsi="Arial Narrow"/>
          <w:sz w:val="18"/>
          <w:szCs w:val="18"/>
        </w:rPr>
      </w:pPr>
      <w:r w:rsidRPr="00743512">
        <w:rPr>
          <w:rFonts w:ascii="Arial Narrow" w:hAnsi="Arial Narrow"/>
          <w:sz w:val="18"/>
          <w:szCs w:val="18"/>
          <w:vertAlign w:val="superscript"/>
        </w:rPr>
        <w:t xml:space="preserve">c </w:t>
      </w:r>
      <w:r w:rsidRPr="00743512">
        <w:rPr>
          <w:rFonts w:ascii="Arial Narrow" w:hAnsi="Arial Narrow"/>
          <w:sz w:val="18"/>
          <w:szCs w:val="18"/>
        </w:rPr>
        <w:t>The same as the resubmission’s base case. A SMR of 2 was assumed in the Evaluation alternative base case.</w:t>
      </w:r>
    </w:p>
    <w:p w14:paraId="0EA73425" w14:textId="77777777" w:rsidR="007C1BAB" w:rsidRPr="00172D2B" w:rsidRDefault="007C1BAB" w:rsidP="007C1BAB">
      <w:pPr>
        <w:jc w:val="left"/>
        <w:rPr>
          <w:rFonts w:ascii="Arial Narrow" w:hAnsi="Arial Narrow"/>
          <w:i/>
          <w:sz w:val="18"/>
          <w:szCs w:val="18"/>
        </w:rPr>
      </w:pPr>
      <w:r w:rsidRPr="00172D2B">
        <w:rPr>
          <w:rFonts w:ascii="Arial Narrow" w:hAnsi="Arial Narrow"/>
          <w:i/>
          <w:sz w:val="18"/>
          <w:szCs w:val="18"/>
        </w:rPr>
        <w:t xml:space="preserve">The redacted values correspond to the following ranges: </w:t>
      </w:r>
    </w:p>
    <w:p w14:paraId="63D30D00" w14:textId="1D804691" w:rsidR="007C1BAB" w:rsidRDefault="00595625" w:rsidP="007C1BAB">
      <w:pPr>
        <w:jc w:val="left"/>
        <w:rPr>
          <w:rFonts w:ascii="Arial Narrow" w:hAnsi="Arial Narrow"/>
          <w:i/>
          <w:sz w:val="18"/>
          <w:szCs w:val="18"/>
        </w:rPr>
      </w:pPr>
      <w:r>
        <w:rPr>
          <w:rFonts w:ascii="Arial Narrow" w:hAnsi="Arial Narrow"/>
          <w:i/>
          <w:sz w:val="18"/>
          <w:szCs w:val="18"/>
          <w:vertAlign w:val="superscript"/>
        </w:rPr>
        <w:t>1</w:t>
      </w:r>
      <w:r w:rsidR="007C1BAB">
        <w:rPr>
          <w:rFonts w:ascii="Arial Narrow" w:hAnsi="Arial Narrow"/>
          <w:i/>
          <w:sz w:val="18"/>
          <w:szCs w:val="18"/>
        </w:rPr>
        <w:t xml:space="preserve"> </w:t>
      </w:r>
      <w:r w:rsidR="007C1BAB" w:rsidRPr="00172D2B">
        <w:rPr>
          <w:rFonts w:ascii="Arial Narrow" w:hAnsi="Arial Narrow"/>
          <w:i/>
          <w:sz w:val="18"/>
          <w:szCs w:val="18"/>
        </w:rPr>
        <w:t xml:space="preserve">$55,000 to &lt; $75,000 </w:t>
      </w:r>
    </w:p>
    <w:p w14:paraId="3E15C404" w14:textId="77777777" w:rsidR="00595625" w:rsidRDefault="00595625" w:rsidP="00595625">
      <w:pPr>
        <w:jc w:val="left"/>
        <w:rPr>
          <w:rFonts w:ascii="Arial Narrow" w:hAnsi="Arial Narrow"/>
          <w:i/>
          <w:sz w:val="18"/>
          <w:szCs w:val="18"/>
        </w:rPr>
      </w:pPr>
      <w:r w:rsidRPr="00595625">
        <w:rPr>
          <w:rFonts w:ascii="Arial Narrow" w:hAnsi="Arial Narrow"/>
          <w:i/>
          <w:sz w:val="18"/>
          <w:szCs w:val="18"/>
          <w:vertAlign w:val="superscript"/>
        </w:rPr>
        <w:t>2</w:t>
      </w:r>
      <w:r w:rsidR="007C1BAB">
        <w:rPr>
          <w:rFonts w:ascii="Arial Narrow" w:hAnsi="Arial Narrow"/>
          <w:i/>
          <w:sz w:val="18"/>
          <w:szCs w:val="18"/>
        </w:rPr>
        <w:t xml:space="preserve"> </w:t>
      </w:r>
      <w:r w:rsidR="007C1BAB" w:rsidRPr="007C1BAB">
        <w:rPr>
          <w:rFonts w:ascii="Arial Narrow" w:hAnsi="Arial Narrow"/>
          <w:i/>
          <w:sz w:val="18"/>
          <w:szCs w:val="18"/>
        </w:rPr>
        <w:t>$75,000 to &lt; $95,000</w:t>
      </w:r>
    </w:p>
    <w:p w14:paraId="4EE5B508" w14:textId="2C7F6F4C" w:rsidR="00595625" w:rsidRPr="00595625" w:rsidRDefault="00595625" w:rsidP="00595625">
      <w:pPr>
        <w:jc w:val="left"/>
        <w:rPr>
          <w:rFonts w:ascii="Arial Narrow" w:hAnsi="Arial Narrow"/>
          <w:i/>
          <w:sz w:val="18"/>
          <w:szCs w:val="18"/>
        </w:rPr>
      </w:pPr>
      <w:r w:rsidRPr="00595625">
        <w:rPr>
          <w:rFonts w:ascii="Arial Narrow" w:hAnsi="Arial Narrow"/>
          <w:i/>
          <w:sz w:val="18"/>
          <w:szCs w:val="18"/>
          <w:vertAlign w:val="superscript"/>
        </w:rPr>
        <w:t>3</w:t>
      </w:r>
      <w:r w:rsidRPr="00595625">
        <w:rPr>
          <w:rFonts w:ascii="Arial Narrow" w:hAnsi="Arial Narrow"/>
          <w:i/>
          <w:sz w:val="18"/>
          <w:szCs w:val="18"/>
        </w:rPr>
        <w:t xml:space="preserve"> $45,000 to &lt; $55,000</w:t>
      </w:r>
    </w:p>
    <w:p w14:paraId="65B731FF" w14:textId="77777777" w:rsidR="00595625" w:rsidRPr="007C1BAB" w:rsidRDefault="00595625" w:rsidP="007C1BAB">
      <w:pPr>
        <w:jc w:val="left"/>
        <w:rPr>
          <w:rFonts w:ascii="Arial Narrow" w:hAnsi="Arial Narrow"/>
          <w:i/>
          <w:sz w:val="18"/>
          <w:szCs w:val="18"/>
        </w:rPr>
      </w:pPr>
    </w:p>
    <w:p w14:paraId="2070F11A" w14:textId="77777777" w:rsidR="007C1BAB" w:rsidRPr="00172D2B" w:rsidRDefault="007C1BAB" w:rsidP="007C1BAB">
      <w:pPr>
        <w:jc w:val="left"/>
        <w:rPr>
          <w:rFonts w:ascii="Arial Narrow" w:hAnsi="Arial Narrow"/>
          <w:i/>
          <w:sz w:val="18"/>
          <w:szCs w:val="18"/>
        </w:rPr>
      </w:pPr>
    </w:p>
    <w:p w14:paraId="349665F7" w14:textId="77777777" w:rsidR="009E444E" w:rsidRPr="00743512" w:rsidRDefault="009E444E" w:rsidP="00BF3070">
      <w:pPr>
        <w:pStyle w:val="FooterTableFigure"/>
        <w:rPr>
          <w:rFonts w:eastAsia="Calibri"/>
          <w:szCs w:val="20"/>
        </w:rPr>
      </w:pPr>
    </w:p>
    <w:p w14:paraId="4031B06A" w14:textId="77777777" w:rsidR="00883096" w:rsidRPr="00743512" w:rsidRDefault="00883096" w:rsidP="00883096">
      <w:pPr>
        <w:pStyle w:val="4-SubsectionHeading"/>
        <w:rPr>
          <w:iCs/>
        </w:rPr>
      </w:pPr>
      <w:bookmarkStart w:id="91" w:name="_Toc144280789"/>
      <w:bookmarkStart w:id="92" w:name="_Toc145501125"/>
      <w:r w:rsidRPr="00743512">
        <w:rPr>
          <w:iCs/>
        </w:rPr>
        <w:t>Drug cost/patient/course</w:t>
      </w:r>
      <w:bookmarkEnd w:id="61"/>
      <w:bookmarkEnd w:id="91"/>
      <w:bookmarkEnd w:id="92"/>
    </w:p>
    <w:p w14:paraId="4D49A680" w14:textId="764212FF" w:rsidR="00883096" w:rsidRPr="00743512" w:rsidRDefault="00883096" w:rsidP="00883096">
      <w:pPr>
        <w:pStyle w:val="Caption"/>
        <w:rPr>
          <w:rStyle w:val="CommentReference"/>
          <w:b/>
          <w:szCs w:val="24"/>
        </w:rPr>
      </w:pPr>
      <w:bookmarkStart w:id="93" w:name="_Toc22897647"/>
      <w:bookmarkStart w:id="94" w:name="_Toc144280790"/>
      <w:r w:rsidRPr="00743512">
        <w:t xml:space="preserve">Table </w:t>
      </w:r>
      <w:r w:rsidR="00D2565D">
        <w:fldChar w:fldCharType="begin"/>
      </w:r>
      <w:r w:rsidR="00D2565D">
        <w:instrText xml:space="preserve"> SEQ Table \* ARABIC </w:instrText>
      </w:r>
      <w:r w:rsidR="00D2565D">
        <w:fldChar w:fldCharType="separate"/>
      </w:r>
      <w:r w:rsidR="00D2565D">
        <w:rPr>
          <w:noProof/>
        </w:rPr>
        <w:t>18</w:t>
      </w:r>
      <w:r w:rsidR="00D2565D">
        <w:rPr>
          <w:noProof/>
        </w:rPr>
        <w:fldChar w:fldCharType="end"/>
      </w:r>
      <w:r w:rsidRPr="00743512">
        <w:t>:</w:t>
      </w:r>
      <w:r w:rsidRPr="00743512">
        <w:rPr>
          <w:rStyle w:val="CommentReference"/>
          <w:b/>
          <w:szCs w:val="24"/>
        </w:rPr>
        <w:t xml:space="preserve"> Drug cost per patient for olaparib</w:t>
      </w:r>
      <w:r w:rsidRPr="00743512">
        <w:rPr>
          <w:rStyle w:val="CommentReference"/>
          <w:b/>
          <w:szCs w:val="24"/>
          <w:vertAlign w:val="superscript"/>
        </w:rPr>
        <w:t>a</w:t>
      </w:r>
      <w:r w:rsidR="00F32823" w:rsidRPr="00F32823">
        <w:rPr>
          <w:rStyle w:val="CommentReference"/>
          <w:b/>
          <w:szCs w:val="24"/>
          <w:vertAlign w:val="superscript"/>
        </w:rPr>
        <w:t xml:space="preserve"> </w:t>
      </w:r>
      <w:r w:rsidR="00BD004C" w:rsidRPr="00743512">
        <w:rPr>
          <w:rStyle w:val="CommentReference"/>
          <w:b/>
          <w:szCs w:val="24"/>
        </w:rPr>
        <w:t xml:space="preserve">based on the </w:t>
      </w:r>
      <w:r w:rsidR="00C67FEC" w:rsidRPr="00743512">
        <w:rPr>
          <w:rStyle w:val="CommentReference"/>
          <w:b/>
          <w:szCs w:val="24"/>
        </w:rPr>
        <w:t xml:space="preserve">effective </w:t>
      </w:r>
      <w:r w:rsidR="00BD004C" w:rsidRPr="00743512">
        <w:rPr>
          <w:rStyle w:val="CommentReference"/>
          <w:b/>
          <w:szCs w:val="24"/>
        </w:rPr>
        <w:t xml:space="preserve">price proposed in </w:t>
      </w:r>
      <w:r w:rsidR="003456A0" w:rsidRPr="00743512">
        <w:rPr>
          <w:rStyle w:val="CommentReference"/>
          <w:b/>
          <w:szCs w:val="24"/>
        </w:rPr>
        <w:t>the resubmission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Drug cost per patient for olapariba based on the effective price proposed in the resubmission"/>
      </w:tblPr>
      <w:tblGrid>
        <w:gridCol w:w="2529"/>
        <w:gridCol w:w="2162"/>
        <w:gridCol w:w="2160"/>
        <w:gridCol w:w="2166"/>
      </w:tblGrid>
      <w:tr w:rsidR="00883096" w:rsidRPr="00743512" w14:paraId="33777CB3" w14:textId="77777777" w:rsidTr="004F5B47">
        <w:trPr>
          <w:cantSplit/>
          <w:tblHeader/>
          <w:jc w:val="center"/>
        </w:trPr>
        <w:tc>
          <w:tcPr>
            <w:tcW w:w="1402" w:type="pct"/>
            <w:shd w:val="clear" w:color="auto" w:fill="auto"/>
            <w:vAlign w:val="center"/>
          </w:tcPr>
          <w:p w14:paraId="1D856E18" w14:textId="77777777" w:rsidR="00883096" w:rsidRPr="00743512" w:rsidRDefault="00883096" w:rsidP="004F5B47">
            <w:pPr>
              <w:pStyle w:val="In-tableHeading"/>
              <w:jc w:val="center"/>
              <w:rPr>
                <w:lang w:val="en-AU"/>
              </w:rPr>
            </w:pPr>
          </w:p>
        </w:tc>
        <w:tc>
          <w:tcPr>
            <w:tcW w:w="1199" w:type="pct"/>
            <w:shd w:val="clear" w:color="auto" w:fill="auto"/>
            <w:vAlign w:val="center"/>
          </w:tcPr>
          <w:p w14:paraId="22DD5048" w14:textId="77777777" w:rsidR="00883096" w:rsidRPr="00743512" w:rsidRDefault="00883096" w:rsidP="004F5B47">
            <w:pPr>
              <w:pStyle w:val="In-tableHeading"/>
              <w:jc w:val="center"/>
              <w:rPr>
                <w:lang w:val="en-AU"/>
              </w:rPr>
            </w:pPr>
            <w:r w:rsidRPr="00743512">
              <w:rPr>
                <w:lang w:val="en-AU"/>
              </w:rPr>
              <w:t>Trial dose and duration</w:t>
            </w:r>
          </w:p>
        </w:tc>
        <w:tc>
          <w:tcPr>
            <w:tcW w:w="1198" w:type="pct"/>
            <w:shd w:val="clear" w:color="auto" w:fill="auto"/>
            <w:vAlign w:val="center"/>
          </w:tcPr>
          <w:p w14:paraId="1F5DB186" w14:textId="77777777" w:rsidR="00883096" w:rsidRPr="00743512" w:rsidRDefault="00883096" w:rsidP="004F5B47">
            <w:pPr>
              <w:pStyle w:val="In-tableHeading"/>
              <w:jc w:val="center"/>
              <w:rPr>
                <w:lang w:val="en-AU"/>
              </w:rPr>
            </w:pPr>
            <w:r w:rsidRPr="00743512">
              <w:rPr>
                <w:lang w:val="en-AU"/>
              </w:rPr>
              <w:t>Model</w:t>
            </w:r>
          </w:p>
        </w:tc>
        <w:tc>
          <w:tcPr>
            <w:tcW w:w="1201" w:type="pct"/>
            <w:shd w:val="clear" w:color="auto" w:fill="auto"/>
            <w:vAlign w:val="center"/>
          </w:tcPr>
          <w:p w14:paraId="68703393" w14:textId="77777777" w:rsidR="00883096" w:rsidRPr="00743512" w:rsidRDefault="00883096" w:rsidP="004F5B47">
            <w:pPr>
              <w:pStyle w:val="In-tableHeading"/>
              <w:jc w:val="center"/>
              <w:rPr>
                <w:lang w:val="en-AU"/>
              </w:rPr>
            </w:pPr>
            <w:r w:rsidRPr="00743512">
              <w:rPr>
                <w:lang w:val="en-AU"/>
              </w:rPr>
              <w:t>Financial estimates</w:t>
            </w:r>
          </w:p>
        </w:tc>
      </w:tr>
      <w:tr w:rsidR="00883096" w:rsidRPr="00743512" w14:paraId="00A937D0" w14:textId="77777777" w:rsidTr="004F5B47">
        <w:trPr>
          <w:cantSplit/>
          <w:jc w:val="center"/>
        </w:trPr>
        <w:tc>
          <w:tcPr>
            <w:tcW w:w="1402" w:type="pct"/>
            <w:shd w:val="clear" w:color="auto" w:fill="auto"/>
            <w:vAlign w:val="center"/>
          </w:tcPr>
          <w:p w14:paraId="09F7A0E5" w14:textId="77777777" w:rsidR="00883096" w:rsidRPr="00743512" w:rsidRDefault="00883096" w:rsidP="004F5B47">
            <w:pPr>
              <w:pStyle w:val="TableText0"/>
            </w:pPr>
            <w:r w:rsidRPr="00743512">
              <w:t>Mean dose</w:t>
            </w:r>
          </w:p>
        </w:tc>
        <w:tc>
          <w:tcPr>
            <w:tcW w:w="1199" w:type="pct"/>
            <w:shd w:val="clear" w:color="auto" w:fill="auto"/>
            <w:vAlign w:val="center"/>
          </w:tcPr>
          <w:p w14:paraId="7BE417B4" w14:textId="77777777" w:rsidR="00883096" w:rsidRPr="00743512" w:rsidRDefault="00883096" w:rsidP="004F5B47">
            <w:pPr>
              <w:pStyle w:val="TableText0"/>
              <w:jc w:val="center"/>
              <w:rPr>
                <w:b/>
              </w:rPr>
            </w:pPr>
            <w:r w:rsidRPr="00743512">
              <w:rPr>
                <w:bCs w:val="0"/>
              </w:rPr>
              <w:t>565 mg</w:t>
            </w:r>
          </w:p>
        </w:tc>
        <w:tc>
          <w:tcPr>
            <w:tcW w:w="1198" w:type="pct"/>
            <w:shd w:val="clear" w:color="auto" w:fill="auto"/>
            <w:vAlign w:val="center"/>
          </w:tcPr>
          <w:p w14:paraId="786E3C2A" w14:textId="77777777" w:rsidR="00883096" w:rsidRPr="00743512" w:rsidRDefault="00883096" w:rsidP="004F5B47">
            <w:pPr>
              <w:pStyle w:val="TableText0"/>
              <w:jc w:val="center"/>
              <w:rPr>
                <w:b/>
              </w:rPr>
            </w:pPr>
            <w:r w:rsidRPr="00743512">
              <w:rPr>
                <w:bCs w:val="0"/>
              </w:rPr>
              <w:t xml:space="preserve">600 mg </w:t>
            </w:r>
            <w:r w:rsidRPr="00743512">
              <w:rPr>
                <w:bCs w:val="0"/>
                <w:vertAlign w:val="superscript"/>
              </w:rPr>
              <w:t>b</w:t>
            </w:r>
          </w:p>
        </w:tc>
        <w:tc>
          <w:tcPr>
            <w:tcW w:w="1201" w:type="pct"/>
            <w:shd w:val="clear" w:color="auto" w:fill="auto"/>
            <w:vAlign w:val="center"/>
          </w:tcPr>
          <w:p w14:paraId="38070720" w14:textId="77777777" w:rsidR="00883096" w:rsidRPr="00743512" w:rsidRDefault="00883096" w:rsidP="004F5B47">
            <w:pPr>
              <w:pStyle w:val="TableText0"/>
              <w:jc w:val="center"/>
              <w:rPr>
                <w:b/>
              </w:rPr>
            </w:pPr>
            <w:r w:rsidRPr="00743512">
              <w:rPr>
                <w:bCs w:val="0"/>
              </w:rPr>
              <w:t xml:space="preserve">600 mg </w:t>
            </w:r>
            <w:r w:rsidRPr="00743512">
              <w:rPr>
                <w:bCs w:val="0"/>
                <w:vertAlign w:val="superscript"/>
              </w:rPr>
              <w:t>c</w:t>
            </w:r>
          </w:p>
        </w:tc>
      </w:tr>
      <w:tr w:rsidR="00883096" w:rsidRPr="00743512" w14:paraId="5D41D0ED" w14:textId="77777777" w:rsidTr="004F5B47">
        <w:trPr>
          <w:cantSplit/>
          <w:jc w:val="center"/>
        </w:trPr>
        <w:tc>
          <w:tcPr>
            <w:tcW w:w="1402" w:type="pct"/>
            <w:shd w:val="clear" w:color="auto" w:fill="auto"/>
            <w:vAlign w:val="center"/>
          </w:tcPr>
          <w:p w14:paraId="76CECA3A" w14:textId="77777777" w:rsidR="00883096" w:rsidRPr="00743512" w:rsidRDefault="00883096" w:rsidP="004F5B47">
            <w:pPr>
              <w:pStyle w:val="TableText0"/>
            </w:pPr>
            <w:r w:rsidRPr="00743512">
              <w:t>Mean duration</w:t>
            </w:r>
          </w:p>
        </w:tc>
        <w:tc>
          <w:tcPr>
            <w:tcW w:w="1199" w:type="pct"/>
            <w:shd w:val="clear" w:color="auto" w:fill="auto"/>
            <w:vAlign w:val="center"/>
          </w:tcPr>
          <w:p w14:paraId="7630FE97" w14:textId="77777777" w:rsidR="00883096" w:rsidRPr="00743512" w:rsidRDefault="00883096" w:rsidP="004F5B47">
            <w:pPr>
              <w:pStyle w:val="TableText0"/>
              <w:jc w:val="center"/>
              <w:rPr>
                <w:b/>
              </w:rPr>
            </w:pPr>
            <w:r w:rsidRPr="00743512">
              <w:rPr>
                <w:bCs w:val="0"/>
              </w:rPr>
              <w:t xml:space="preserve">9.7 months </w:t>
            </w:r>
            <w:r w:rsidRPr="00743512">
              <w:rPr>
                <w:bCs w:val="0"/>
                <w:vertAlign w:val="superscript"/>
              </w:rPr>
              <w:t>d</w:t>
            </w:r>
          </w:p>
        </w:tc>
        <w:tc>
          <w:tcPr>
            <w:tcW w:w="1198" w:type="pct"/>
            <w:shd w:val="clear" w:color="auto" w:fill="auto"/>
            <w:vAlign w:val="center"/>
          </w:tcPr>
          <w:p w14:paraId="50A3E569" w14:textId="77777777" w:rsidR="00883096" w:rsidRPr="00743512" w:rsidRDefault="00883096" w:rsidP="004F5B47">
            <w:pPr>
              <w:pStyle w:val="TableText0"/>
              <w:jc w:val="center"/>
              <w:rPr>
                <w:b/>
              </w:rPr>
            </w:pPr>
            <w:r w:rsidRPr="00743512">
              <w:rPr>
                <w:bCs w:val="0"/>
              </w:rPr>
              <w:t xml:space="preserve">9.7 months </w:t>
            </w:r>
            <w:r w:rsidRPr="00743512">
              <w:rPr>
                <w:bCs w:val="0"/>
                <w:vertAlign w:val="superscript"/>
              </w:rPr>
              <w:t>d</w:t>
            </w:r>
          </w:p>
        </w:tc>
        <w:tc>
          <w:tcPr>
            <w:tcW w:w="1201" w:type="pct"/>
            <w:shd w:val="clear" w:color="auto" w:fill="auto"/>
            <w:vAlign w:val="center"/>
          </w:tcPr>
          <w:p w14:paraId="3AA4BF0B" w14:textId="77777777" w:rsidR="00883096" w:rsidRPr="00743512" w:rsidRDefault="00883096" w:rsidP="004F5B47">
            <w:pPr>
              <w:pStyle w:val="TableText0"/>
              <w:jc w:val="center"/>
              <w:rPr>
                <w:b/>
              </w:rPr>
            </w:pPr>
            <w:r w:rsidRPr="00743512">
              <w:rPr>
                <w:bCs w:val="0"/>
              </w:rPr>
              <w:t xml:space="preserve">9.7 months </w:t>
            </w:r>
            <w:r w:rsidRPr="00743512">
              <w:rPr>
                <w:bCs w:val="0"/>
                <w:vertAlign w:val="superscript"/>
              </w:rPr>
              <w:t>d</w:t>
            </w:r>
          </w:p>
        </w:tc>
      </w:tr>
      <w:tr w:rsidR="00883096" w:rsidRPr="00743512" w14:paraId="01EBA67D" w14:textId="77777777" w:rsidTr="004F5B47">
        <w:trPr>
          <w:cantSplit/>
          <w:jc w:val="center"/>
        </w:trPr>
        <w:tc>
          <w:tcPr>
            <w:tcW w:w="1402" w:type="pct"/>
            <w:shd w:val="clear" w:color="auto" w:fill="auto"/>
            <w:vAlign w:val="center"/>
          </w:tcPr>
          <w:p w14:paraId="40F8FC53" w14:textId="06F32190" w:rsidR="00883096" w:rsidRPr="00B5747F" w:rsidRDefault="00883096" w:rsidP="004F5B47">
            <w:pPr>
              <w:pStyle w:val="TableText0"/>
              <w:rPr>
                <w:vertAlign w:val="subscript"/>
              </w:rPr>
            </w:pPr>
            <w:r w:rsidRPr="00743512">
              <w:t>Cost/patient/month</w:t>
            </w:r>
            <w:r w:rsidRPr="00743512">
              <w:rPr>
                <w:bCs w:val="0"/>
              </w:rPr>
              <w:t xml:space="preserve"> </w:t>
            </w:r>
            <w:r w:rsidRPr="00743512">
              <w:rPr>
                <w:bCs w:val="0"/>
                <w:vertAlign w:val="superscript"/>
              </w:rPr>
              <w:t>e</w:t>
            </w:r>
            <w:r w:rsidR="007C1BAB">
              <w:rPr>
                <w:bCs w:val="0"/>
                <w:vertAlign w:val="subscript"/>
              </w:rPr>
              <w:t xml:space="preserve"> </w:t>
            </w:r>
            <w:r w:rsidR="00B5747F">
              <w:t>($)</w:t>
            </w:r>
          </w:p>
        </w:tc>
        <w:tc>
          <w:tcPr>
            <w:tcW w:w="1199" w:type="pct"/>
            <w:shd w:val="clear" w:color="auto" w:fill="auto"/>
            <w:vAlign w:val="center"/>
          </w:tcPr>
          <w:p w14:paraId="2AF4C908" w14:textId="63BD645A" w:rsidR="00883096" w:rsidRPr="00B5747F" w:rsidRDefault="00632DCB" w:rsidP="004F5B47">
            <w:pPr>
              <w:pStyle w:val="TableText0"/>
              <w:jc w:val="center"/>
              <w:rPr>
                <w:highlight w:val="darkGray"/>
              </w:rPr>
            </w:pPr>
            <w:r>
              <w:rPr>
                <w:bCs w:val="0"/>
              </w:rPr>
              <w:t xml:space="preserve"> </w:t>
            </w:r>
            <w:r w:rsidRPr="00632DCB">
              <w:rPr>
                <w:bCs w:val="0"/>
                <w:color w:val="000000"/>
                <w:shd w:val="solid" w:color="000000" w:fill="000000"/>
                <w14:textFill>
                  <w14:solidFill>
                    <w14:srgbClr w14:val="000000">
                      <w14:alpha w14:val="100000"/>
                    </w14:srgbClr>
                  </w14:solidFill>
                </w14:textFill>
              </w:rPr>
              <w:t>|</w:t>
            </w:r>
          </w:p>
        </w:tc>
        <w:tc>
          <w:tcPr>
            <w:tcW w:w="1198" w:type="pct"/>
            <w:shd w:val="clear" w:color="auto" w:fill="auto"/>
            <w:vAlign w:val="center"/>
          </w:tcPr>
          <w:p w14:paraId="0BD0F952" w14:textId="69685AA7" w:rsidR="00883096" w:rsidRPr="00B5747F" w:rsidRDefault="00632DCB" w:rsidP="004F5B47">
            <w:pPr>
              <w:pStyle w:val="TableText0"/>
              <w:jc w:val="center"/>
              <w:rPr>
                <w:highlight w:val="darkGray"/>
              </w:rPr>
            </w:pPr>
            <w:r>
              <w:rPr>
                <w:bCs w:val="0"/>
              </w:rPr>
              <w:t xml:space="preserve"> </w:t>
            </w:r>
            <w:r w:rsidRPr="00632DCB">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6AF98837" w14:textId="331C13E3" w:rsidR="00883096" w:rsidRPr="00CA7768" w:rsidRDefault="00632DCB" w:rsidP="004F5B47">
            <w:pPr>
              <w:pStyle w:val="TableText0"/>
              <w:jc w:val="center"/>
              <w:rPr>
                <w:highlight w:val="darkGray"/>
                <w:vertAlign w:val="superscript"/>
              </w:rPr>
            </w:pPr>
            <w:r>
              <w:t xml:space="preserve"> </w:t>
            </w:r>
            <w:r w:rsidRPr="00632DCB">
              <w:rPr>
                <w:color w:val="000000"/>
                <w:shd w:val="solid" w:color="000000" w:fill="000000"/>
                <w14:textFill>
                  <w14:solidFill>
                    <w14:srgbClr w14:val="000000">
                      <w14:alpha w14:val="100000"/>
                    </w14:srgbClr>
                  </w14:solidFill>
                </w14:textFill>
              </w:rPr>
              <w:t>|</w:t>
            </w:r>
          </w:p>
        </w:tc>
      </w:tr>
      <w:tr w:rsidR="00883096" w:rsidRPr="00743512" w14:paraId="7C2C31F1" w14:textId="77777777" w:rsidTr="004F5B47">
        <w:trPr>
          <w:cantSplit/>
          <w:jc w:val="center"/>
        </w:trPr>
        <w:tc>
          <w:tcPr>
            <w:tcW w:w="1402" w:type="pct"/>
            <w:shd w:val="clear" w:color="auto" w:fill="auto"/>
            <w:vAlign w:val="center"/>
          </w:tcPr>
          <w:p w14:paraId="485EAA4E" w14:textId="0A331352" w:rsidR="00883096" w:rsidRPr="00743512" w:rsidRDefault="00883096" w:rsidP="004F5B47">
            <w:pPr>
              <w:pStyle w:val="TableText0"/>
            </w:pPr>
            <w:r w:rsidRPr="00743512">
              <w:t>Cost/patient/course</w:t>
            </w:r>
            <w:r w:rsidR="00B5747F">
              <w:t xml:space="preserve"> ($)</w:t>
            </w:r>
          </w:p>
        </w:tc>
        <w:tc>
          <w:tcPr>
            <w:tcW w:w="1199" w:type="pct"/>
            <w:shd w:val="clear" w:color="auto" w:fill="auto"/>
            <w:vAlign w:val="center"/>
          </w:tcPr>
          <w:p w14:paraId="72B84236" w14:textId="0781ACC4" w:rsidR="00883096" w:rsidRPr="00B5747F" w:rsidRDefault="00632DCB" w:rsidP="004F5B47">
            <w:pPr>
              <w:pStyle w:val="TableText0"/>
              <w:jc w:val="center"/>
              <w:rPr>
                <w:highlight w:val="darkGray"/>
              </w:rPr>
            </w:pPr>
            <w:r>
              <w:rPr>
                <w:bCs w:val="0"/>
              </w:rPr>
              <w:t xml:space="preserve"> </w:t>
            </w:r>
            <w:r w:rsidRPr="00632DCB">
              <w:rPr>
                <w:bCs w:val="0"/>
                <w:color w:val="000000"/>
                <w:shd w:val="solid" w:color="000000" w:fill="000000"/>
                <w14:textFill>
                  <w14:solidFill>
                    <w14:srgbClr w14:val="000000">
                      <w14:alpha w14:val="100000"/>
                    </w14:srgbClr>
                  </w14:solidFill>
                </w14:textFill>
              </w:rPr>
              <w:t>|</w:t>
            </w:r>
          </w:p>
        </w:tc>
        <w:tc>
          <w:tcPr>
            <w:tcW w:w="1198" w:type="pct"/>
            <w:shd w:val="clear" w:color="auto" w:fill="auto"/>
            <w:vAlign w:val="center"/>
          </w:tcPr>
          <w:p w14:paraId="21D0F43A" w14:textId="7C2A8501" w:rsidR="00883096" w:rsidRPr="00B5747F" w:rsidRDefault="00632DCB" w:rsidP="004F5B47">
            <w:pPr>
              <w:pStyle w:val="TableText0"/>
              <w:jc w:val="center"/>
              <w:rPr>
                <w:highlight w:val="darkGray"/>
              </w:rPr>
            </w:pPr>
            <w:r>
              <w:rPr>
                <w:bCs w:val="0"/>
              </w:rPr>
              <w:t xml:space="preserve"> </w:t>
            </w:r>
            <w:r w:rsidRPr="00632DCB">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68360A0B" w14:textId="58D706CD" w:rsidR="00883096" w:rsidRPr="00CA7768" w:rsidRDefault="00632DCB" w:rsidP="004F5B47">
            <w:pPr>
              <w:pStyle w:val="TableText0"/>
              <w:jc w:val="center"/>
              <w:rPr>
                <w:highlight w:val="darkGray"/>
                <w:vertAlign w:val="superscript"/>
              </w:rPr>
            </w:pPr>
            <w:r>
              <w:t xml:space="preserve"> </w:t>
            </w:r>
            <w:r w:rsidRPr="00632DCB">
              <w:rPr>
                <w:color w:val="000000"/>
                <w:shd w:val="solid" w:color="000000" w:fill="000000"/>
                <w14:textFill>
                  <w14:solidFill>
                    <w14:srgbClr w14:val="000000">
                      <w14:alpha w14:val="100000"/>
                    </w14:srgbClr>
                  </w14:solidFill>
                </w14:textFill>
              </w:rPr>
              <w:t>|</w:t>
            </w:r>
          </w:p>
        </w:tc>
      </w:tr>
    </w:tbl>
    <w:p w14:paraId="4684E49C" w14:textId="77777777" w:rsidR="00883096" w:rsidRPr="00743512" w:rsidRDefault="00883096" w:rsidP="00883096">
      <w:pPr>
        <w:pStyle w:val="FooterTableFigure"/>
      </w:pPr>
      <w:r w:rsidRPr="00743512">
        <w:t>Source: Table 14.3.1.1 and Table 14.3.1.4, Attachment 2.4 to the resubmission; and ‘Cost of olaparib’ spreadsheet, “OlympiA Economic Evaluation” and ‘Att_4.1_OlympiA UCM_AZ Resubmission_FINAL.xlsx’ workbooks included with the resubmission.</w:t>
      </w:r>
    </w:p>
    <w:p w14:paraId="73430A76" w14:textId="4B36F675" w:rsidR="00883096" w:rsidRPr="00743512" w:rsidRDefault="00883096" w:rsidP="00883096">
      <w:pPr>
        <w:pStyle w:val="FooterTableFigure"/>
      </w:pPr>
      <w:r w:rsidRPr="00743512">
        <w:rPr>
          <w:vertAlign w:val="superscript"/>
        </w:rPr>
        <w:t>a</w:t>
      </w:r>
      <w:r w:rsidRPr="00743512">
        <w:t xml:space="preserve"> The comparator nominated in the resubmission was placebo. Therefore, the comparator costs are not included in the table above</w:t>
      </w:r>
      <w:r w:rsidR="00157B92" w:rsidRPr="00743512">
        <w:t xml:space="preserve">. </w:t>
      </w:r>
      <w:r w:rsidR="00BD004C" w:rsidRPr="00743512">
        <w:t>This table does not reflect the reduced price proposed in the pre-PBAC response.</w:t>
      </w:r>
    </w:p>
    <w:p w14:paraId="6DF5503E" w14:textId="77777777" w:rsidR="00883096" w:rsidRPr="00743512" w:rsidRDefault="00883096" w:rsidP="00883096">
      <w:pPr>
        <w:pStyle w:val="FooterTableFigure"/>
      </w:pPr>
      <w:r w:rsidRPr="00743512">
        <w:rPr>
          <w:vertAlign w:val="superscript"/>
        </w:rPr>
        <w:t xml:space="preserve">b </w:t>
      </w:r>
      <w:r w:rsidRPr="00743512">
        <w:t>The mean daily dose of olaparib in the economic model was assumed to be 600 mg (full prescribed dose). This is achieved using 4 x 150 mg tablets. The relative dose intensity of 91.8% is not relevant as the reduction in dose is managed with 100 mg tablets, which are priced the same as 150mg tablets.</w:t>
      </w:r>
    </w:p>
    <w:p w14:paraId="771452A1" w14:textId="77777777" w:rsidR="00883096" w:rsidRPr="00743512" w:rsidRDefault="00883096" w:rsidP="00883096">
      <w:pPr>
        <w:pStyle w:val="FooterTableFigure"/>
      </w:pPr>
      <w:r w:rsidRPr="00743512">
        <w:rPr>
          <w:vertAlign w:val="superscript"/>
        </w:rPr>
        <w:t xml:space="preserve">c </w:t>
      </w:r>
      <w:r w:rsidRPr="00743512">
        <w:t>Approximately, given that 0.9% of patients were assumed to receive 100 mg scripts and 99.1% assumed to receive 150 mg scripts. The justification for the distribution of strength use was not appropriate (based on the distribution of patient category – RPBS: PBS). Depending on the dose modification, patients could receive either 400 mg (one 100 mg script per 28 days) or 500 mg per day (one of each 100 mg and 150 mg scripts per 56 days). The distribution of dosing was not reported, however due to the small proportion of 100 mg use assumed, the weighted daily dose is likely to be close to 600 mg.</w:t>
      </w:r>
    </w:p>
    <w:p w14:paraId="61B2F148" w14:textId="77777777" w:rsidR="00883096" w:rsidRPr="00743512" w:rsidRDefault="00883096" w:rsidP="00883096">
      <w:pPr>
        <w:pStyle w:val="FooterTableFigure"/>
      </w:pPr>
      <w:r w:rsidRPr="00743512">
        <w:rPr>
          <w:vertAlign w:val="superscript"/>
        </w:rPr>
        <w:t xml:space="preserve">d </w:t>
      </w:r>
      <w:r w:rsidRPr="00743512">
        <w:t>Treatment duration after removing dose interruptions</w:t>
      </w:r>
    </w:p>
    <w:p w14:paraId="7DB500B0" w14:textId="787D18A8" w:rsidR="00CA7768" w:rsidRPr="00CA7768" w:rsidRDefault="00883096" w:rsidP="00883096">
      <w:pPr>
        <w:pStyle w:val="FooterTableFigure"/>
        <w:rPr>
          <w:i/>
          <w:iCs/>
        </w:rPr>
      </w:pPr>
      <w:r w:rsidRPr="00743512">
        <w:rPr>
          <w:vertAlign w:val="superscript"/>
        </w:rPr>
        <w:t xml:space="preserve">e </w:t>
      </w:r>
      <w:r w:rsidRPr="00743512">
        <w:t xml:space="preserve">Based on </w:t>
      </w:r>
      <w:r w:rsidR="008E79AF" w:rsidRPr="00743512">
        <w:t xml:space="preserve">the resubmission’s </w:t>
      </w:r>
      <w:r w:rsidRPr="00743512">
        <w:t>effective dispensed price for maximum quantity. The lower mean daily dose as reported in the trial due to dose interruptions did not affect the drug cost given the proposed flat pricing.</w:t>
      </w:r>
    </w:p>
    <w:p w14:paraId="19D9C519" w14:textId="77777777" w:rsidR="00883096" w:rsidRPr="00743512" w:rsidRDefault="00883096" w:rsidP="00883096">
      <w:pPr>
        <w:pStyle w:val="4-SubsectionHeading"/>
        <w:rPr>
          <w:iCs/>
        </w:rPr>
      </w:pPr>
      <w:bookmarkStart w:id="95" w:name="_Toc145501126"/>
      <w:r w:rsidRPr="00743512">
        <w:rPr>
          <w:iCs/>
        </w:rPr>
        <w:t>Estimated PBS usage &amp; financial implications</w:t>
      </w:r>
      <w:bookmarkEnd w:id="93"/>
      <w:bookmarkEnd w:id="94"/>
      <w:bookmarkEnd w:id="95"/>
    </w:p>
    <w:p w14:paraId="599A7508" w14:textId="77777777" w:rsidR="00B95650" w:rsidRPr="00743512" w:rsidRDefault="00883096" w:rsidP="00883096">
      <w:pPr>
        <w:pStyle w:val="3-BodyText"/>
      </w:pPr>
      <w:bookmarkStart w:id="96" w:name="_Toc22897648"/>
      <w:r w:rsidRPr="00743512">
        <w:t xml:space="preserve">The resubmission </w:t>
      </w:r>
      <w:r w:rsidR="00B95650" w:rsidRPr="00743512">
        <w:t>was</w:t>
      </w:r>
      <w:r w:rsidRPr="00743512">
        <w:t xml:space="preserve"> not considered by DUSC. </w:t>
      </w:r>
    </w:p>
    <w:p w14:paraId="526B14CA" w14:textId="7B8EFD87" w:rsidR="00883096" w:rsidRPr="00743512" w:rsidRDefault="00883096" w:rsidP="00883096">
      <w:pPr>
        <w:pStyle w:val="3-BodyText"/>
      </w:pPr>
      <w:r w:rsidRPr="00743512">
        <w:t xml:space="preserve">The epidemiological approach presented </w:t>
      </w:r>
      <w:r w:rsidR="00F4781C" w:rsidRPr="00743512">
        <w:t>was, i</w:t>
      </w:r>
      <w:r w:rsidRPr="00743512">
        <w:t>n general, consistent with the previous submission, with updates to the estimates used based on advice provided by the PBAC. This approach applied epidemiological estimates to AIHW projections of breast cancer incidence to estimate the number of patients that have a high-risk of recurrence, and so would be eligible for proposed olaparib treatment. As epidemiological estimates varied across TNBC and HR+ HER2− breast cancer, eligible patients were estimated separately across cancer type.</w:t>
      </w:r>
    </w:p>
    <w:p w14:paraId="710978E0" w14:textId="39B70ED8" w:rsidR="00883096" w:rsidRPr="00743512" w:rsidRDefault="00883096" w:rsidP="00883096">
      <w:pPr>
        <w:pStyle w:val="3-BodyText"/>
      </w:pPr>
      <w:r w:rsidRPr="00743512">
        <w:t xml:space="preserve">The key inputs in the financial analysis are summarised in </w:t>
      </w:r>
      <w:r w:rsidRPr="00743512">
        <w:rPr>
          <w:highlight w:val="yellow"/>
        </w:rPr>
        <w:fldChar w:fldCharType="begin"/>
      </w:r>
      <w:r w:rsidRPr="00743512">
        <w:instrText xml:space="preserve"> REF _Ref104805262 \h </w:instrText>
      </w:r>
      <w:r w:rsidRPr="00743512">
        <w:rPr>
          <w:highlight w:val="yellow"/>
        </w:rPr>
      </w:r>
      <w:r w:rsidRPr="00743512">
        <w:rPr>
          <w:highlight w:val="yellow"/>
        </w:rPr>
        <w:fldChar w:fldCharType="separate"/>
      </w:r>
      <w:r w:rsidR="00D2565D" w:rsidRPr="00743512">
        <w:t xml:space="preserve">Table </w:t>
      </w:r>
      <w:r w:rsidR="00D2565D">
        <w:rPr>
          <w:noProof/>
        </w:rPr>
        <w:t>19</w:t>
      </w:r>
      <w:r w:rsidRPr="00743512">
        <w:rPr>
          <w:highlight w:val="yellow"/>
        </w:rPr>
        <w:fldChar w:fldCharType="end"/>
      </w:r>
      <w:r w:rsidRPr="00743512">
        <w:t>.</w:t>
      </w:r>
    </w:p>
    <w:p w14:paraId="136F0E02" w14:textId="108EDAA1" w:rsidR="00883096" w:rsidRPr="00743512" w:rsidRDefault="00883096" w:rsidP="00883096">
      <w:pPr>
        <w:pStyle w:val="Caption"/>
        <w:rPr>
          <w:rStyle w:val="CommentReference"/>
          <w:b/>
          <w:szCs w:val="24"/>
        </w:rPr>
      </w:pPr>
      <w:bookmarkStart w:id="97" w:name="_Ref104805262"/>
      <w:r w:rsidRPr="00743512">
        <w:t xml:space="preserve">Table </w:t>
      </w:r>
      <w:r w:rsidR="00D2565D">
        <w:fldChar w:fldCharType="begin"/>
      </w:r>
      <w:r w:rsidR="00D2565D">
        <w:instrText xml:space="preserve"> SEQ Table \* ARABIC </w:instrText>
      </w:r>
      <w:r w:rsidR="00D2565D">
        <w:fldChar w:fldCharType="separate"/>
      </w:r>
      <w:r w:rsidR="00D2565D">
        <w:rPr>
          <w:noProof/>
        </w:rPr>
        <w:t>19</w:t>
      </w:r>
      <w:r w:rsidR="00D2565D">
        <w:rPr>
          <w:noProof/>
        </w:rPr>
        <w:fldChar w:fldCharType="end"/>
      </w:r>
      <w:bookmarkEnd w:id="97"/>
      <w:r w:rsidRPr="00743512">
        <w:t>:</w:t>
      </w:r>
      <w:r w:rsidRPr="00743512">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Key inputs for financial estimates"/>
      </w:tblPr>
      <w:tblGrid>
        <w:gridCol w:w="1713"/>
        <w:gridCol w:w="3811"/>
        <w:gridCol w:w="3493"/>
      </w:tblGrid>
      <w:tr w:rsidR="00883096" w:rsidRPr="00743512" w14:paraId="106684F1" w14:textId="77777777" w:rsidTr="005A5F28">
        <w:trPr>
          <w:tblHeader/>
        </w:trPr>
        <w:tc>
          <w:tcPr>
            <w:tcW w:w="950" w:type="pct"/>
            <w:shd w:val="clear" w:color="auto" w:fill="auto"/>
          </w:tcPr>
          <w:p w14:paraId="2679141B" w14:textId="77777777" w:rsidR="00883096" w:rsidRPr="00743512" w:rsidRDefault="00883096" w:rsidP="005A5F28">
            <w:pPr>
              <w:pStyle w:val="In-tableHeading"/>
              <w:keepNext w:val="0"/>
              <w:rPr>
                <w:lang w:val="en-AU"/>
              </w:rPr>
            </w:pPr>
            <w:r w:rsidRPr="00743512">
              <w:rPr>
                <w:lang w:val="en-AU"/>
              </w:rPr>
              <w:t>Parameter</w:t>
            </w:r>
          </w:p>
        </w:tc>
        <w:tc>
          <w:tcPr>
            <w:tcW w:w="2113" w:type="pct"/>
            <w:shd w:val="clear" w:color="auto" w:fill="auto"/>
          </w:tcPr>
          <w:p w14:paraId="0E051E30" w14:textId="77777777" w:rsidR="00883096" w:rsidRPr="00743512" w:rsidRDefault="00883096" w:rsidP="005A5F28">
            <w:pPr>
              <w:pStyle w:val="In-tableHeading"/>
              <w:keepNext w:val="0"/>
              <w:rPr>
                <w:lang w:val="en-AU"/>
              </w:rPr>
            </w:pPr>
            <w:r w:rsidRPr="00743512">
              <w:rPr>
                <w:lang w:val="en-AU"/>
              </w:rPr>
              <w:t>Value applied and source</w:t>
            </w:r>
          </w:p>
        </w:tc>
        <w:tc>
          <w:tcPr>
            <w:tcW w:w="1937" w:type="pct"/>
            <w:shd w:val="clear" w:color="auto" w:fill="auto"/>
          </w:tcPr>
          <w:p w14:paraId="7563CAC3" w14:textId="77777777" w:rsidR="00883096" w:rsidRPr="00743512" w:rsidRDefault="00883096" w:rsidP="005A5F28">
            <w:pPr>
              <w:pStyle w:val="In-tableHeading"/>
              <w:keepNext w:val="0"/>
              <w:rPr>
                <w:lang w:val="en-AU"/>
              </w:rPr>
            </w:pPr>
            <w:r w:rsidRPr="00743512">
              <w:rPr>
                <w:lang w:val="en-AU"/>
              </w:rPr>
              <w:t>Comment</w:t>
            </w:r>
          </w:p>
        </w:tc>
      </w:tr>
      <w:tr w:rsidR="00883096" w:rsidRPr="00743512" w14:paraId="180221D4" w14:textId="77777777" w:rsidTr="005A5F28">
        <w:tc>
          <w:tcPr>
            <w:tcW w:w="950" w:type="pct"/>
            <w:shd w:val="clear" w:color="auto" w:fill="auto"/>
          </w:tcPr>
          <w:p w14:paraId="4806CCD2" w14:textId="77777777" w:rsidR="00883096" w:rsidRPr="00743512" w:rsidRDefault="00883096" w:rsidP="005A5F28">
            <w:pPr>
              <w:pStyle w:val="TableText0"/>
              <w:keepNext w:val="0"/>
            </w:pPr>
            <w:r w:rsidRPr="00743512">
              <w:t>Incident cases of breast cancer</w:t>
            </w:r>
          </w:p>
        </w:tc>
        <w:tc>
          <w:tcPr>
            <w:tcW w:w="2113" w:type="pct"/>
            <w:shd w:val="clear" w:color="auto" w:fill="auto"/>
          </w:tcPr>
          <w:p w14:paraId="47EC61C4" w14:textId="77777777" w:rsidR="00883096" w:rsidRPr="00743512" w:rsidRDefault="00883096" w:rsidP="005A5F28">
            <w:pPr>
              <w:pStyle w:val="TableText0"/>
              <w:keepNext w:val="0"/>
            </w:pPr>
            <w:r w:rsidRPr="00743512">
              <w:t>Increasing from 21,729 in Year 1 to 24,173 by Year 6 based on AIHW breast cancer incidence projections for all persons, 2022−2031</w:t>
            </w:r>
            <w:r w:rsidRPr="00743512">
              <w:rPr>
                <w:vertAlign w:val="superscript"/>
              </w:rPr>
              <w:t>a</w:t>
            </w:r>
          </w:p>
        </w:tc>
        <w:tc>
          <w:tcPr>
            <w:tcW w:w="1937" w:type="pct"/>
            <w:shd w:val="clear" w:color="auto" w:fill="auto"/>
          </w:tcPr>
          <w:p w14:paraId="526F6F00" w14:textId="77777777" w:rsidR="00883096" w:rsidRPr="00743512" w:rsidRDefault="00883096" w:rsidP="005A5F28">
            <w:pPr>
              <w:pStyle w:val="TableText0"/>
              <w:keepNext w:val="0"/>
            </w:pPr>
            <w:r w:rsidRPr="00743512">
              <w:t>The source was unchanged from the previous submission, though incidence estimates have been updated to reflect 2024−29</w:t>
            </w:r>
          </w:p>
        </w:tc>
      </w:tr>
      <w:tr w:rsidR="00883096" w:rsidRPr="00743512" w14:paraId="7A29BFFB" w14:textId="77777777" w:rsidTr="005A5F28">
        <w:tc>
          <w:tcPr>
            <w:tcW w:w="950" w:type="pct"/>
            <w:shd w:val="clear" w:color="auto" w:fill="auto"/>
          </w:tcPr>
          <w:p w14:paraId="24D878CA" w14:textId="77777777" w:rsidR="00883096" w:rsidRPr="00743512" w:rsidRDefault="00883096" w:rsidP="005A5F28">
            <w:pPr>
              <w:pStyle w:val="TableText0"/>
              <w:keepNext w:val="0"/>
            </w:pPr>
            <w:r w:rsidRPr="00743512">
              <w:t>Proportion of patients at Stage I-III at diagnosis</w:t>
            </w:r>
          </w:p>
        </w:tc>
        <w:tc>
          <w:tcPr>
            <w:tcW w:w="2113" w:type="pct"/>
            <w:shd w:val="clear" w:color="auto" w:fill="auto"/>
          </w:tcPr>
          <w:p w14:paraId="1F9EAEC2" w14:textId="77777777" w:rsidR="00883096" w:rsidRPr="00743512" w:rsidRDefault="00883096" w:rsidP="005A5F28">
            <w:pPr>
              <w:pStyle w:val="TableText0"/>
              <w:keepNext w:val="0"/>
            </w:pPr>
            <w:r w:rsidRPr="00743512">
              <w:t xml:space="preserve">95.1% based on AIHW breast cancer incidence by stage data, 2011, adjusted for patients with unknown disease stage </w:t>
            </w:r>
            <w:r w:rsidRPr="00743512">
              <w:rPr>
                <w:vertAlign w:val="superscript"/>
              </w:rPr>
              <w:t>b</w:t>
            </w:r>
          </w:p>
        </w:tc>
        <w:tc>
          <w:tcPr>
            <w:tcW w:w="1937" w:type="pct"/>
            <w:shd w:val="clear" w:color="auto" w:fill="auto"/>
          </w:tcPr>
          <w:p w14:paraId="25A305FF" w14:textId="77777777" w:rsidR="00883096" w:rsidRPr="00743512" w:rsidRDefault="00883096" w:rsidP="005A5F28">
            <w:pPr>
              <w:pStyle w:val="TableText0"/>
              <w:keepNext w:val="0"/>
            </w:pPr>
            <w:r w:rsidRPr="00743512">
              <w:t>This change was consistent with PBAC advice (para 7.14, olaparib PSD March 2023 PBAC meeting)</w:t>
            </w:r>
          </w:p>
        </w:tc>
      </w:tr>
      <w:tr w:rsidR="00883096" w:rsidRPr="00743512" w14:paraId="6DEBD53F" w14:textId="77777777" w:rsidTr="005A5F28">
        <w:tc>
          <w:tcPr>
            <w:tcW w:w="950" w:type="pct"/>
            <w:shd w:val="clear" w:color="auto" w:fill="auto"/>
          </w:tcPr>
          <w:p w14:paraId="2EB6F0CD" w14:textId="77777777" w:rsidR="00883096" w:rsidRPr="00743512" w:rsidRDefault="00883096" w:rsidP="005A5F28">
            <w:pPr>
              <w:pStyle w:val="TableText0"/>
              <w:keepNext w:val="0"/>
            </w:pPr>
            <w:r w:rsidRPr="00743512">
              <w:t>Proportion of patients with TNBC</w:t>
            </w:r>
          </w:p>
        </w:tc>
        <w:tc>
          <w:tcPr>
            <w:tcW w:w="2113" w:type="pct"/>
            <w:shd w:val="clear" w:color="auto" w:fill="auto"/>
          </w:tcPr>
          <w:p w14:paraId="3B40C29D" w14:textId="77777777" w:rsidR="00883096" w:rsidRPr="00743512" w:rsidRDefault="00883096" w:rsidP="005A5F28">
            <w:pPr>
              <w:pStyle w:val="TableText0"/>
              <w:keepNext w:val="0"/>
            </w:pPr>
            <w:r w:rsidRPr="00743512">
              <w:t>15.0% based on Cancer Council Australia, accepted by the PBAC previously (Table 16, atezolizumab PSD, March 2021 PBAC meeting)</w:t>
            </w:r>
          </w:p>
        </w:tc>
        <w:tc>
          <w:tcPr>
            <w:tcW w:w="1937" w:type="pct"/>
            <w:shd w:val="clear" w:color="auto" w:fill="auto"/>
          </w:tcPr>
          <w:p w14:paraId="3E76C838" w14:textId="77777777" w:rsidR="00883096" w:rsidRPr="00743512" w:rsidRDefault="00883096" w:rsidP="005A5F28">
            <w:pPr>
              <w:pStyle w:val="TableText0"/>
              <w:keepNext w:val="0"/>
            </w:pPr>
            <w:r w:rsidRPr="00743512">
              <w:t>This change was consistent with PBAC advice (para 7.14, olaparib PSD March 2023 PBAC meeting)</w:t>
            </w:r>
          </w:p>
        </w:tc>
      </w:tr>
      <w:tr w:rsidR="00883096" w:rsidRPr="00743512" w14:paraId="32EA02AD" w14:textId="77777777" w:rsidTr="005A5F28">
        <w:tc>
          <w:tcPr>
            <w:tcW w:w="950" w:type="pct"/>
            <w:shd w:val="clear" w:color="auto" w:fill="auto"/>
          </w:tcPr>
          <w:p w14:paraId="0B60C7FA" w14:textId="77777777" w:rsidR="00883096" w:rsidRPr="00743512" w:rsidRDefault="00883096" w:rsidP="005A5F28">
            <w:pPr>
              <w:pStyle w:val="TableText0"/>
              <w:keepNext w:val="0"/>
            </w:pPr>
            <w:r w:rsidRPr="00743512">
              <w:t>Proportion of TNBC that is high risk</w:t>
            </w:r>
          </w:p>
        </w:tc>
        <w:tc>
          <w:tcPr>
            <w:tcW w:w="2113" w:type="pct"/>
            <w:shd w:val="clear" w:color="auto" w:fill="auto"/>
          </w:tcPr>
          <w:p w14:paraId="1AE47F7D" w14:textId="6389B15B" w:rsidR="00883096" w:rsidRPr="00743512" w:rsidRDefault="00883096" w:rsidP="005A5F28">
            <w:pPr>
              <w:pStyle w:val="TableText0"/>
              <w:keepNext w:val="0"/>
            </w:pPr>
            <w:r w:rsidRPr="00743512">
              <w:t xml:space="preserve">Assumed to be 80.0%, as previous PBAC advice (40%) (para 7.14, olaparib PSD March 2023 PBAC meeting) was considered to be an underestimate, due to unknown </w:t>
            </w:r>
            <w:r w:rsidR="00CD50D4" w:rsidRPr="00743512">
              <w:rPr>
                <w:i/>
              </w:rPr>
              <w:t>BRCA</w:t>
            </w:r>
            <w:r w:rsidRPr="00743512">
              <w:t xml:space="preserve"> status in the study cited, and a higher risk of recurrence could be expected in g</w:t>
            </w:r>
            <w:r w:rsidR="00CD50D4" w:rsidRPr="00743512">
              <w:rPr>
                <w:i/>
              </w:rPr>
              <w:t>BRCA</w:t>
            </w:r>
            <w:r w:rsidRPr="00743512">
              <w:t xml:space="preserve"> patients (due to poor prognosis)</w:t>
            </w:r>
          </w:p>
        </w:tc>
        <w:tc>
          <w:tcPr>
            <w:tcW w:w="1937" w:type="pct"/>
            <w:shd w:val="clear" w:color="auto" w:fill="auto"/>
          </w:tcPr>
          <w:p w14:paraId="6E0B318B" w14:textId="44D3569E" w:rsidR="000E5ADA" w:rsidRPr="00743512" w:rsidRDefault="00883096" w:rsidP="005A5F28">
            <w:pPr>
              <w:pStyle w:val="TableText0"/>
              <w:keepNext w:val="0"/>
            </w:pPr>
            <w:r w:rsidRPr="00743512">
              <w:t>This may not be reasonable given that previous studies</w:t>
            </w:r>
            <w:r w:rsidRPr="00743512">
              <w:rPr>
                <w:vertAlign w:val="superscript"/>
              </w:rPr>
              <w:t>c</w:t>
            </w:r>
            <w:r w:rsidRPr="00743512">
              <w:t xml:space="preserve"> suggest that response with neoadjuvant chemotherapy may be higher in those with g</w:t>
            </w:r>
            <w:r w:rsidR="00CD50D4" w:rsidRPr="00743512">
              <w:rPr>
                <w:i/>
              </w:rPr>
              <w:t>BRCA</w:t>
            </w:r>
            <w:r w:rsidRPr="00743512">
              <w:t xml:space="preserve"> variants.</w:t>
            </w:r>
          </w:p>
          <w:p w14:paraId="4AFBA4B1" w14:textId="4E8CEFD7" w:rsidR="00883096" w:rsidRPr="00743512" w:rsidRDefault="000E5ADA" w:rsidP="005A5F28">
            <w:pPr>
              <w:pStyle w:val="TableText0"/>
              <w:keepNext w:val="0"/>
            </w:pPr>
            <w:r w:rsidRPr="00743512">
              <w:t>The economic model assumed all TNBC patients tested would meet the criteria for olaparib treatment.</w:t>
            </w:r>
            <w:r w:rsidR="00F04CFC" w:rsidRPr="00743512">
              <w:t xml:space="preserve"> The PBAC </w:t>
            </w:r>
            <w:r w:rsidR="00F5643A" w:rsidRPr="00743512">
              <w:t xml:space="preserve">maintained that </w:t>
            </w:r>
            <w:r w:rsidR="00F04CFC" w:rsidRPr="00743512">
              <w:t xml:space="preserve">40% </w:t>
            </w:r>
            <w:r w:rsidR="00F5643A" w:rsidRPr="00743512">
              <w:t>was</w:t>
            </w:r>
            <w:r w:rsidR="00F04CFC" w:rsidRPr="00743512">
              <w:t xml:space="preserve"> a more reasonable estimate.</w:t>
            </w:r>
          </w:p>
        </w:tc>
      </w:tr>
      <w:tr w:rsidR="00883096" w:rsidRPr="00743512" w14:paraId="4EF251D3" w14:textId="77777777" w:rsidTr="005A5F28">
        <w:tc>
          <w:tcPr>
            <w:tcW w:w="950" w:type="pct"/>
            <w:shd w:val="clear" w:color="auto" w:fill="B8CCE4" w:themeFill="accent1" w:themeFillTint="66"/>
          </w:tcPr>
          <w:p w14:paraId="567581A9" w14:textId="77777777" w:rsidR="00883096" w:rsidRPr="00743512" w:rsidRDefault="00883096" w:rsidP="005A5F28">
            <w:pPr>
              <w:pStyle w:val="TableText0"/>
              <w:keepNext w:val="0"/>
            </w:pPr>
            <w:r w:rsidRPr="00743512">
              <w:t>Proportion with HR+ HER2− breast cancer</w:t>
            </w:r>
          </w:p>
        </w:tc>
        <w:tc>
          <w:tcPr>
            <w:tcW w:w="2113" w:type="pct"/>
            <w:shd w:val="clear" w:color="auto" w:fill="B8CCE4" w:themeFill="accent1" w:themeFillTint="66"/>
          </w:tcPr>
          <w:p w14:paraId="74FC0FED" w14:textId="77777777" w:rsidR="00883096" w:rsidRPr="00743512" w:rsidRDefault="00883096" w:rsidP="005A5F28">
            <w:pPr>
              <w:pStyle w:val="TableText0"/>
              <w:keepNext w:val="0"/>
            </w:pPr>
            <w:r w:rsidRPr="00743512">
              <w:t>69.3% (Stuart-Harris et al. 2019)</w:t>
            </w:r>
            <w:r w:rsidRPr="00743512">
              <w:rPr>
                <w:vertAlign w:val="superscript"/>
              </w:rPr>
              <w:t>d</w:t>
            </w:r>
          </w:p>
        </w:tc>
        <w:tc>
          <w:tcPr>
            <w:tcW w:w="1937" w:type="pct"/>
            <w:shd w:val="clear" w:color="auto" w:fill="B8CCE4" w:themeFill="accent1" w:themeFillTint="66"/>
          </w:tcPr>
          <w:p w14:paraId="04FBE7A5" w14:textId="77777777" w:rsidR="00883096" w:rsidRPr="00743512" w:rsidRDefault="00883096" w:rsidP="005A5F28">
            <w:pPr>
              <w:pStyle w:val="TableText0"/>
              <w:keepNext w:val="0"/>
            </w:pPr>
            <w:r w:rsidRPr="00743512">
              <w:t>This was unchanged and was reasonable.</w:t>
            </w:r>
          </w:p>
        </w:tc>
      </w:tr>
      <w:tr w:rsidR="00883096" w:rsidRPr="00743512" w14:paraId="19578296" w14:textId="77777777" w:rsidTr="005A5F28">
        <w:tc>
          <w:tcPr>
            <w:tcW w:w="950" w:type="pct"/>
            <w:shd w:val="clear" w:color="auto" w:fill="auto"/>
          </w:tcPr>
          <w:p w14:paraId="4139DDED" w14:textId="77777777" w:rsidR="00883096" w:rsidRPr="00743512" w:rsidRDefault="00883096" w:rsidP="005A5F28">
            <w:pPr>
              <w:pStyle w:val="TableText0"/>
              <w:keepNext w:val="0"/>
            </w:pPr>
            <w:r w:rsidRPr="00743512">
              <w:t>Proportion of HR+ HER2− breast cancer that is high risk</w:t>
            </w:r>
          </w:p>
        </w:tc>
        <w:tc>
          <w:tcPr>
            <w:tcW w:w="2113" w:type="pct"/>
            <w:shd w:val="clear" w:color="auto" w:fill="auto"/>
          </w:tcPr>
          <w:p w14:paraId="64039181" w14:textId="6E34B766" w:rsidR="00883096" w:rsidRPr="00743512" w:rsidRDefault="00883096" w:rsidP="005A5F28">
            <w:pPr>
              <w:pStyle w:val="TableText0"/>
              <w:keepNext w:val="0"/>
            </w:pPr>
            <w:r w:rsidRPr="00743512">
              <w:t>39.2%</w:t>
            </w:r>
            <w:r w:rsidR="00F4781C" w:rsidRPr="00743512">
              <w:t>,</w:t>
            </w:r>
            <w:r w:rsidRPr="00743512">
              <w:t xml:space="preserve"> assuming 49.0% of patients have high-risk characteristics eligible for testing (based on the proportion that use (neo)adjuvant therapy reported in Patiniott et.al. 2019</w:t>
            </w:r>
            <w:r w:rsidRPr="00743512">
              <w:rPr>
                <w:vertAlign w:val="superscript"/>
              </w:rPr>
              <w:t>e</w:t>
            </w:r>
            <w:r w:rsidRPr="00743512">
              <w:t>), and that of these, 80% do not respond to treatment (as assumed for TNBC)</w:t>
            </w:r>
          </w:p>
        </w:tc>
        <w:tc>
          <w:tcPr>
            <w:tcW w:w="1937" w:type="pct"/>
            <w:shd w:val="clear" w:color="auto" w:fill="auto"/>
          </w:tcPr>
          <w:p w14:paraId="5A129460" w14:textId="045897F3" w:rsidR="000E5ADA" w:rsidRPr="00743512" w:rsidRDefault="00883096" w:rsidP="005A5F28">
            <w:pPr>
              <w:pStyle w:val="TableText0"/>
              <w:keepNext w:val="0"/>
            </w:pPr>
            <w:r w:rsidRPr="00743512">
              <w:t xml:space="preserve">The PBAC </w:t>
            </w:r>
            <w:r w:rsidR="00F04CFC" w:rsidRPr="00743512">
              <w:t xml:space="preserve">reiterated </w:t>
            </w:r>
            <w:r w:rsidRPr="00743512">
              <w:t>that 25% would be more appropriate (para 7.14, olaparib PSD March 2023 PBAC meeting)</w:t>
            </w:r>
          </w:p>
          <w:p w14:paraId="77F1FBD8" w14:textId="17D4EAA9" w:rsidR="00883096" w:rsidRPr="00743512" w:rsidRDefault="000E5ADA" w:rsidP="005A5F28">
            <w:pPr>
              <w:pStyle w:val="TableText0"/>
              <w:keepNext w:val="0"/>
            </w:pPr>
            <w:r w:rsidRPr="00743512">
              <w:t>The economic model assumed all HR+ HER2− breast cancer patients eligible for testing (i.e. 49%) would meet the criteria for olaparib treatment</w:t>
            </w:r>
            <w:r w:rsidR="00270ED4" w:rsidRPr="00743512">
              <w:t xml:space="preserve"> (paragraph </w:t>
            </w:r>
            <w:r w:rsidR="00270ED4" w:rsidRPr="00743512">
              <w:fldChar w:fldCharType="begin"/>
            </w:r>
            <w:r w:rsidR="00270ED4" w:rsidRPr="00743512">
              <w:instrText xml:space="preserve"> REF _Ref147953646 \r \h </w:instrText>
            </w:r>
            <w:r w:rsidR="005A5F28" w:rsidRPr="00743512">
              <w:instrText xml:space="preserve"> \* MERGEFORMAT </w:instrText>
            </w:r>
            <w:r w:rsidR="00270ED4" w:rsidRPr="00743512">
              <w:fldChar w:fldCharType="separate"/>
            </w:r>
            <w:r w:rsidR="00D2565D">
              <w:t>6.48</w:t>
            </w:r>
            <w:r w:rsidR="00270ED4" w:rsidRPr="00743512">
              <w:fldChar w:fldCharType="end"/>
            </w:r>
            <w:r w:rsidR="00270ED4" w:rsidRPr="00743512">
              <w:t>)</w:t>
            </w:r>
            <w:r w:rsidRPr="00743512">
              <w:t>.</w:t>
            </w:r>
          </w:p>
        </w:tc>
      </w:tr>
      <w:tr w:rsidR="00883096" w:rsidRPr="00743512" w14:paraId="2DCC6CFA" w14:textId="77777777" w:rsidTr="005A5F28">
        <w:tc>
          <w:tcPr>
            <w:tcW w:w="5000" w:type="pct"/>
            <w:gridSpan w:val="3"/>
            <w:tcBorders>
              <w:bottom w:val="single" w:sz="4" w:space="0" w:color="auto"/>
            </w:tcBorders>
            <w:shd w:val="clear" w:color="auto" w:fill="auto"/>
          </w:tcPr>
          <w:p w14:paraId="4D39645F" w14:textId="1CA69449" w:rsidR="00883096" w:rsidRPr="00743512" w:rsidRDefault="00883096" w:rsidP="005A5F28">
            <w:pPr>
              <w:pStyle w:val="TableText0"/>
              <w:keepNext w:val="0"/>
            </w:pPr>
            <w:r w:rsidRPr="00743512">
              <w:t>Uptake of g</w:t>
            </w:r>
            <w:r w:rsidR="00CD50D4" w:rsidRPr="00743512">
              <w:rPr>
                <w:i/>
              </w:rPr>
              <w:t>BRCA</w:t>
            </w:r>
            <w:r w:rsidRPr="00743512">
              <w:t xml:space="preserve"> testing before olaparib listing</w:t>
            </w:r>
          </w:p>
        </w:tc>
      </w:tr>
      <w:tr w:rsidR="00883096" w:rsidRPr="00743512" w14:paraId="133ECA18" w14:textId="77777777" w:rsidTr="005A5F28">
        <w:tc>
          <w:tcPr>
            <w:tcW w:w="950" w:type="pct"/>
            <w:tcBorders>
              <w:bottom w:val="dashSmallGap" w:sz="4" w:space="0" w:color="auto"/>
            </w:tcBorders>
            <w:shd w:val="clear" w:color="auto" w:fill="B8CCE4" w:themeFill="accent1" w:themeFillTint="66"/>
          </w:tcPr>
          <w:p w14:paraId="167D6BD8" w14:textId="77777777" w:rsidR="00883096" w:rsidRPr="00743512" w:rsidRDefault="00883096" w:rsidP="005A5F28">
            <w:pPr>
              <w:pStyle w:val="TableText0"/>
              <w:keepNext w:val="0"/>
              <w:numPr>
                <w:ilvl w:val="0"/>
                <w:numId w:val="11"/>
              </w:numPr>
              <w:ind w:left="254" w:hanging="142"/>
            </w:pPr>
            <w:r w:rsidRPr="00743512">
              <w:t>TNBC</w:t>
            </w:r>
          </w:p>
        </w:tc>
        <w:tc>
          <w:tcPr>
            <w:tcW w:w="2113" w:type="pct"/>
            <w:tcBorders>
              <w:bottom w:val="dashSmallGap" w:sz="4" w:space="0" w:color="auto"/>
            </w:tcBorders>
            <w:shd w:val="clear" w:color="auto" w:fill="B8CCE4" w:themeFill="accent1" w:themeFillTint="66"/>
          </w:tcPr>
          <w:p w14:paraId="649EF9B6" w14:textId="77777777" w:rsidR="00883096" w:rsidRPr="00743512" w:rsidRDefault="00883096" w:rsidP="005A5F28">
            <w:pPr>
              <w:pStyle w:val="TableText0"/>
              <w:keepNext w:val="0"/>
            </w:pPr>
            <w:r w:rsidRPr="00743512">
              <w:t>74.0%, based on PBAC advice (para 7.14, olaparib PSD March 2023 PBAC meeting)</w:t>
            </w:r>
          </w:p>
        </w:tc>
        <w:tc>
          <w:tcPr>
            <w:tcW w:w="1937" w:type="pct"/>
            <w:tcBorders>
              <w:bottom w:val="dashSmallGap" w:sz="4" w:space="0" w:color="auto"/>
            </w:tcBorders>
            <w:shd w:val="clear" w:color="auto" w:fill="B8CCE4" w:themeFill="accent1" w:themeFillTint="66"/>
          </w:tcPr>
          <w:p w14:paraId="41DE9674" w14:textId="77777777" w:rsidR="00883096" w:rsidRPr="00743512" w:rsidRDefault="00883096" w:rsidP="005A5F28">
            <w:pPr>
              <w:pStyle w:val="TableText0"/>
              <w:keepNext w:val="0"/>
            </w:pPr>
            <w:r w:rsidRPr="00743512">
              <w:t>This was reasonable.</w:t>
            </w:r>
          </w:p>
        </w:tc>
      </w:tr>
      <w:tr w:rsidR="00883096" w:rsidRPr="00743512" w14:paraId="695301F3" w14:textId="77777777" w:rsidTr="005A5F28">
        <w:tc>
          <w:tcPr>
            <w:tcW w:w="950" w:type="pct"/>
            <w:tcBorders>
              <w:top w:val="dashSmallGap" w:sz="4" w:space="0" w:color="auto"/>
            </w:tcBorders>
            <w:shd w:val="clear" w:color="auto" w:fill="auto"/>
          </w:tcPr>
          <w:p w14:paraId="6ADBA80C" w14:textId="77777777" w:rsidR="00883096" w:rsidRPr="00743512" w:rsidRDefault="00883096" w:rsidP="005A5F28">
            <w:pPr>
              <w:pStyle w:val="TableText0"/>
              <w:keepNext w:val="0"/>
              <w:numPr>
                <w:ilvl w:val="0"/>
                <w:numId w:val="11"/>
              </w:numPr>
              <w:ind w:left="254" w:hanging="142"/>
            </w:pPr>
            <w:r w:rsidRPr="00743512">
              <w:t>HR+ HER2−</w:t>
            </w:r>
          </w:p>
        </w:tc>
        <w:tc>
          <w:tcPr>
            <w:tcW w:w="2113" w:type="pct"/>
            <w:tcBorders>
              <w:top w:val="dashSmallGap" w:sz="4" w:space="0" w:color="auto"/>
            </w:tcBorders>
            <w:shd w:val="clear" w:color="auto" w:fill="auto"/>
          </w:tcPr>
          <w:p w14:paraId="07CAD072" w14:textId="77777777" w:rsidR="00883096" w:rsidRPr="00743512" w:rsidRDefault="00883096" w:rsidP="005A5F28">
            <w:pPr>
              <w:pStyle w:val="TableText0"/>
              <w:keepNext w:val="0"/>
            </w:pPr>
            <w:r w:rsidRPr="00743512">
              <w:t>20.0%, based on PBAC advice (para 7.14, olaparib PSD March 2023 PBAC meeting)</w:t>
            </w:r>
          </w:p>
        </w:tc>
        <w:tc>
          <w:tcPr>
            <w:tcW w:w="1937" w:type="pct"/>
            <w:tcBorders>
              <w:top w:val="dashSmallGap" w:sz="4" w:space="0" w:color="auto"/>
            </w:tcBorders>
            <w:shd w:val="clear" w:color="auto" w:fill="auto"/>
          </w:tcPr>
          <w:p w14:paraId="0AAB511A" w14:textId="77777777" w:rsidR="00883096" w:rsidRPr="00743512" w:rsidRDefault="00883096" w:rsidP="005A5F28">
            <w:pPr>
              <w:pStyle w:val="TableText0"/>
              <w:keepNext w:val="0"/>
            </w:pPr>
            <w:r w:rsidRPr="00743512">
              <w:t>This was reasonable.</w:t>
            </w:r>
          </w:p>
        </w:tc>
      </w:tr>
      <w:tr w:rsidR="00883096" w:rsidRPr="00743512" w14:paraId="05E382F8" w14:textId="77777777" w:rsidTr="005A5F28">
        <w:tc>
          <w:tcPr>
            <w:tcW w:w="5000" w:type="pct"/>
            <w:gridSpan w:val="3"/>
            <w:tcBorders>
              <w:bottom w:val="single" w:sz="4" w:space="0" w:color="auto"/>
            </w:tcBorders>
            <w:shd w:val="clear" w:color="auto" w:fill="auto"/>
          </w:tcPr>
          <w:p w14:paraId="307EA743" w14:textId="5BFAE872" w:rsidR="00883096" w:rsidRPr="00743512" w:rsidRDefault="00883096" w:rsidP="005A5F28">
            <w:pPr>
              <w:pStyle w:val="TableText0"/>
              <w:keepNext w:val="0"/>
            </w:pPr>
            <w:r w:rsidRPr="00743512">
              <w:t>Uptake of g</w:t>
            </w:r>
            <w:r w:rsidR="00CD50D4" w:rsidRPr="00743512">
              <w:rPr>
                <w:i/>
              </w:rPr>
              <w:t>BRCA</w:t>
            </w:r>
            <w:r w:rsidRPr="00743512">
              <w:t xml:space="preserve"> testing after olaparib listing</w:t>
            </w:r>
          </w:p>
        </w:tc>
      </w:tr>
      <w:tr w:rsidR="00883096" w:rsidRPr="00743512" w14:paraId="120E942F" w14:textId="77777777" w:rsidTr="005A5F28">
        <w:tc>
          <w:tcPr>
            <w:tcW w:w="950" w:type="pct"/>
            <w:tcBorders>
              <w:bottom w:val="dashSmallGap" w:sz="4" w:space="0" w:color="auto"/>
            </w:tcBorders>
            <w:shd w:val="clear" w:color="auto" w:fill="auto"/>
          </w:tcPr>
          <w:p w14:paraId="04241E78" w14:textId="77777777" w:rsidR="00883096" w:rsidRPr="00743512" w:rsidRDefault="00883096" w:rsidP="005A5F28">
            <w:pPr>
              <w:pStyle w:val="TableText0"/>
              <w:keepNext w:val="0"/>
              <w:numPr>
                <w:ilvl w:val="0"/>
                <w:numId w:val="11"/>
              </w:numPr>
              <w:ind w:left="254" w:hanging="142"/>
            </w:pPr>
            <w:r w:rsidRPr="00743512">
              <w:t>TNBC</w:t>
            </w:r>
          </w:p>
        </w:tc>
        <w:tc>
          <w:tcPr>
            <w:tcW w:w="2113" w:type="pct"/>
            <w:tcBorders>
              <w:bottom w:val="dashSmallGap" w:sz="4" w:space="0" w:color="auto"/>
            </w:tcBorders>
            <w:shd w:val="clear" w:color="auto" w:fill="auto"/>
          </w:tcPr>
          <w:p w14:paraId="78B181CF" w14:textId="45D16913" w:rsidR="00883096" w:rsidRPr="00743512" w:rsidRDefault="00883096" w:rsidP="005A5F28">
            <w:pPr>
              <w:pStyle w:val="TableText0"/>
              <w:keepNext w:val="0"/>
            </w:pPr>
            <w:r w:rsidRPr="00743512">
              <w:t xml:space="preserve">74.0% in Year 1 to 90.0% from Year 3. Year 1−2 estimates were as advised by the PBAC (para 7.14, olaparib PSD March 2023 PBAC meeting). In Year 3+, a higher rate </w:t>
            </w:r>
            <w:r w:rsidR="0093462C" w:rsidRPr="00743512">
              <w:t xml:space="preserve">(90%) </w:t>
            </w:r>
            <w:r w:rsidRPr="00743512">
              <w:t xml:space="preserve">was applied as PBAC advice </w:t>
            </w:r>
            <w:r w:rsidR="00420FDD" w:rsidRPr="00743512">
              <w:t xml:space="preserve">(85%) </w:t>
            </w:r>
            <w:r w:rsidRPr="00743512">
              <w:t>was considered an underestimate</w:t>
            </w:r>
            <w:r w:rsidR="00420FDD" w:rsidRPr="00743512">
              <w:t xml:space="preserve"> by the resubmission</w:t>
            </w:r>
            <w:r w:rsidRPr="00743512">
              <w:t>.</w:t>
            </w:r>
          </w:p>
        </w:tc>
        <w:tc>
          <w:tcPr>
            <w:tcW w:w="1937" w:type="pct"/>
            <w:tcBorders>
              <w:bottom w:val="dashSmallGap" w:sz="4" w:space="0" w:color="auto"/>
            </w:tcBorders>
            <w:shd w:val="clear" w:color="auto" w:fill="auto"/>
          </w:tcPr>
          <w:p w14:paraId="1EFB161D" w14:textId="77777777" w:rsidR="000E5ADA" w:rsidRPr="00743512" w:rsidRDefault="00883096" w:rsidP="005A5F28">
            <w:pPr>
              <w:pStyle w:val="TableText0"/>
              <w:keepNext w:val="0"/>
            </w:pPr>
            <w:r w:rsidRPr="00743512">
              <w:t>The basis for the claimed underestimate in Year 3+ was not clear.</w:t>
            </w:r>
          </w:p>
          <w:p w14:paraId="218C0897" w14:textId="77777777" w:rsidR="000E5ADA" w:rsidRPr="00743512" w:rsidRDefault="000E5ADA" w:rsidP="005A5F28">
            <w:pPr>
              <w:pStyle w:val="TableText0"/>
              <w:keepNext w:val="0"/>
            </w:pPr>
          </w:p>
          <w:p w14:paraId="4CCDE672" w14:textId="14324939" w:rsidR="00883096" w:rsidRPr="00743512" w:rsidRDefault="000E5ADA" w:rsidP="005A5F28">
            <w:pPr>
              <w:pStyle w:val="TableText0"/>
              <w:keepNext w:val="0"/>
            </w:pPr>
            <w:r w:rsidRPr="00743512">
              <w:t>The applied estimates were noted to be lower than used in the economic model (95%)</w:t>
            </w:r>
          </w:p>
        </w:tc>
      </w:tr>
      <w:tr w:rsidR="00883096" w:rsidRPr="00743512" w14:paraId="7F6F26AC" w14:textId="77777777" w:rsidTr="005A5F28">
        <w:tc>
          <w:tcPr>
            <w:tcW w:w="950" w:type="pct"/>
            <w:tcBorders>
              <w:top w:val="dashSmallGap" w:sz="4" w:space="0" w:color="auto"/>
            </w:tcBorders>
            <w:shd w:val="clear" w:color="auto" w:fill="auto"/>
          </w:tcPr>
          <w:p w14:paraId="545790B6" w14:textId="77777777" w:rsidR="00883096" w:rsidRPr="00743512" w:rsidRDefault="00883096" w:rsidP="005A5F28">
            <w:pPr>
              <w:pStyle w:val="TableText0"/>
              <w:keepNext w:val="0"/>
              <w:numPr>
                <w:ilvl w:val="0"/>
                <w:numId w:val="11"/>
              </w:numPr>
              <w:ind w:left="254" w:hanging="142"/>
            </w:pPr>
            <w:r w:rsidRPr="00743512">
              <w:t>HR+ HER2−</w:t>
            </w:r>
          </w:p>
        </w:tc>
        <w:tc>
          <w:tcPr>
            <w:tcW w:w="2113" w:type="pct"/>
            <w:tcBorders>
              <w:top w:val="dashSmallGap" w:sz="4" w:space="0" w:color="auto"/>
            </w:tcBorders>
            <w:shd w:val="clear" w:color="auto" w:fill="auto"/>
          </w:tcPr>
          <w:p w14:paraId="3E577474" w14:textId="24FA7816" w:rsidR="00883096" w:rsidRPr="00743512" w:rsidRDefault="00883096" w:rsidP="005A5F28">
            <w:pPr>
              <w:pStyle w:val="TableText0"/>
              <w:keepNext w:val="0"/>
            </w:pPr>
            <w:r w:rsidRPr="00743512">
              <w:t xml:space="preserve">Assumed to increase from 50.0% in Year 1 to 90.0% from Year 4 as estimates </w:t>
            </w:r>
            <w:r w:rsidR="00E92FDC" w:rsidRPr="00743512">
              <w:t xml:space="preserve">(20% in </w:t>
            </w:r>
            <w:r w:rsidR="000E5ADA" w:rsidRPr="00743512">
              <w:t>Y</w:t>
            </w:r>
            <w:r w:rsidR="00E92FDC" w:rsidRPr="00743512">
              <w:t>ear 1</w:t>
            </w:r>
            <w:r w:rsidR="00946338" w:rsidRPr="00743512">
              <w:t xml:space="preserve">, </w:t>
            </w:r>
            <w:r w:rsidR="00E92FDC" w:rsidRPr="00743512">
              <w:t xml:space="preserve">and 30% from </w:t>
            </w:r>
            <w:r w:rsidR="000E5ADA" w:rsidRPr="00743512">
              <w:t>Y</w:t>
            </w:r>
            <w:r w:rsidR="00E92FDC" w:rsidRPr="00743512">
              <w:t xml:space="preserve">ear 2) </w:t>
            </w:r>
            <w:r w:rsidRPr="00743512">
              <w:t>advised by the PBAC (para 7.14, olaparib PSD March 2023 PBAC meeting) were considered an underestimate based on high testing uptake in advanced ovarian and prostate cancer following olaparib listing.</w:t>
            </w:r>
          </w:p>
        </w:tc>
        <w:tc>
          <w:tcPr>
            <w:tcW w:w="1937" w:type="pct"/>
            <w:tcBorders>
              <w:top w:val="dashSmallGap" w:sz="4" w:space="0" w:color="auto"/>
            </w:tcBorders>
            <w:shd w:val="clear" w:color="auto" w:fill="auto"/>
          </w:tcPr>
          <w:p w14:paraId="67FA2EF6" w14:textId="77777777" w:rsidR="000E5ADA" w:rsidRPr="00743512" w:rsidRDefault="00883096" w:rsidP="005A5F28">
            <w:pPr>
              <w:pStyle w:val="TableText0"/>
              <w:keepNext w:val="0"/>
            </w:pPr>
            <w:r w:rsidRPr="00743512">
              <w:t>It is unclear whether use of testing for treatment in the advanced setting would be indicative of use of testing for treatment in the early (adjuvant) setting.</w:t>
            </w:r>
          </w:p>
          <w:p w14:paraId="03E87321" w14:textId="77777777" w:rsidR="000E5ADA" w:rsidRPr="00743512" w:rsidRDefault="000E5ADA" w:rsidP="005A5F28">
            <w:pPr>
              <w:pStyle w:val="TableText0"/>
              <w:keepNext w:val="0"/>
            </w:pPr>
          </w:p>
          <w:p w14:paraId="3C1B53EB" w14:textId="079571B6" w:rsidR="00883096" w:rsidRPr="00743512" w:rsidRDefault="000E5ADA" w:rsidP="005A5F28">
            <w:pPr>
              <w:pStyle w:val="TableText0"/>
              <w:keepNext w:val="0"/>
            </w:pPr>
            <w:r w:rsidRPr="00743512">
              <w:t>The applied estimates were noted to be lower than used in the economic model (95%)</w:t>
            </w:r>
          </w:p>
        </w:tc>
      </w:tr>
      <w:tr w:rsidR="00883096" w:rsidRPr="00743512" w14:paraId="3294C2DC" w14:textId="77777777" w:rsidTr="005A5F28">
        <w:tc>
          <w:tcPr>
            <w:tcW w:w="5000" w:type="pct"/>
            <w:gridSpan w:val="3"/>
            <w:tcBorders>
              <w:bottom w:val="single" w:sz="4" w:space="0" w:color="auto"/>
            </w:tcBorders>
            <w:shd w:val="clear" w:color="auto" w:fill="auto"/>
          </w:tcPr>
          <w:p w14:paraId="662B9F8D" w14:textId="7384CC9C" w:rsidR="00883096" w:rsidRPr="00743512" w:rsidRDefault="00883096" w:rsidP="005A5F28">
            <w:pPr>
              <w:pStyle w:val="TableText0"/>
            </w:pPr>
            <w:r w:rsidRPr="00743512">
              <w:t>Proportion with g</w:t>
            </w:r>
            <w:r w:rsidR="00CD50D4" w:rsidRPr="00743512">
              <w:rPr>
                <w:i/>
              </w:rPr>
              <w:t>BRCA</w:t>
            </w:r>
            <w:r w:rsidRPr="00743512">
              <w:t xml:space="preserve"> variants</w:t>
            </w:r>
          </w:p>
        </w:tc>
      </w:tr>
      <w:tr w:rsidR="00883096" w:rsidRPr="00743512" w14:paraId="3671C160" w14:textId="77777777" w:rsidTr="005A5F28">
        <w:tc>
          <w:tcPr>
            <w:tcW w:w="950" w:type="pct"/>
            <w:tcBorders>
              <w:bottom w:val="dashSmallGap" w:sz="4" w:space="0" w:color="auto"/>
            </w:tcBorders>
            <w:shd w:val="clear" w:color="auto" w:fill="B8CCE4" w:themeFill="accent1" w:themeFillTint="66"/>
          </w:tcPr>
          <w:p w14:paraId="10043536" w14:textId="77777777" w:rsidR="00883096" w:rsidRPr="00743512" w:rsidRDefault="00883096" w:rsidP="005A5F28">
            <w:pPr>
              <w:pStyle w:val="TableText0"/>
              <w:keepNext w:val="0"/>
              <w:numPr>
                <w:ilvl w:val="0"/>
                <w:numId w:val="11"/>
              </w:numPr>
              <w:ind w:left="254" w:hanging="142"/>
            </w:pPr>
            <w:r w:rsidRPr="00743512">
              <w:t>TNBC</w:t>
            </w:r>
          </w:p>
        </w:tc>
        <w:tc>
          <w:tcPr>
            <w:tcW w:w="2113" w:type="pct"/>
            <w:tcBorders>
              <w:bottom w:val="dashSmallGap" w:sz="4" w:space="0" w:color="auto"/>
            </w:tcBorders>
            <w:shd w:val="clear" w:color="auto" w:fill="B8CCE4" w:themeFill="accent1" w:themeFillTint="66"/>
          </w:tcPr>
          <w:p w14:paraId="0C7A1071" w14:textId="77777777" w:rsidR="00883096" w:rsidRPr="00743512" w:rsidRDefault="00883096" w:rsidP="005A5F28">
            <w:pPr>
              <w:pStyle w:val="TableText0"/>
              <w:keepNext w:val="0"/>
            </w:pPr>
            <w:r w:rsidRPr="00743512">
              <w:t>13.25% based average of Armstrong et al. (2019)</w:t>
            </w:r>
            <w:r w:rsidRPr="00743512">
              <w:rPr>
                <w:vertAlign w:val="superscript"/>
              </w:rPr>
              <w:t>f</w:t>
            </w:r>
            <w:r w:rsidRPr="00743512">
              <w:t>, Wong-Brown et al. (2015)</w:t>
            </w:r>
            <w:r w:rsidRPr="00743512">
              <w:rPr>
                <w:vertAlign w:val="superscript"/>
              </w:rPr>
              <w:t>g</w:t>
            </w:r>
            <w:r w:rsidRPr="00743512">
              <w:t xml:space="preserve"> and IPSOS data (Att. 4.2 to the resubmission)</w:t>
            </w:r>
          </w:p>
        </w:tc>
        <w:tc>
          <w:tcPr>
            <w:tcW w:w="1937" w:type="pct"/>
            <w:tcBorders>
              <w:bottom w:val="dashSmallGap" w:sz="4" w:space="0" w:color="auto"/>
            </w:tcBorders>
            <w:shd w:val="clear" w:color="auto" w:fill="B8CCE4" w:themeFill="accent1" w:themeFillTint="66"/>
          </w:tcPr>
          <w:p w14:paraId="41D57EE4" w14:textId="77777777" w:rsidR="00883096" w:rsidRPr="00743512" w:rsidRDefault="00883096" w:rsidP="005A5F28">
            <w:pPr>
              <w:pStyle w:val="TableText0"/>
              <w:keepNext w:val="0"/>
            </w:pPr>
            <w:r w:rsidRPr="00743512">
              <w:t>This was consistent with PBAC advice (para 7.14, olaparib PSD March 2023 PBAC meeting)</w:t>
            </w:r>
          </w:p>
        </w:tc>
      </w:tr>
      <w:tr w:rsidR="00883096" w:rsidRPr="00743512" w14:paraId="58BD3F8C" w14:textId="77777777" w:rsidTr="005A5F28">
        <w:tc>
          <w:tcPr>
            <w:tcW w:w="950" w:type="pct"/>
            <w:tcBorders>
              <w:top w:val="dashSmallGap" w:sz="4" w:space="0" w:color="auto"/>
            </w:tcBorders>
            <w:shd w:val="clear" w:color="auto" w:fill="auto"/>
          </w:tcPr>
          <w:p w14:paraId="451463D4" w14:textId="77777777" w:rsidR="00883096" w:rsidRPr="00743512" w:rsidRDefault="00883096" w:rsidP="005A5F28">
            <w:pPr>
              <w:pStyle w:val="TableText0"/>
              <w:keepNext w:val="0"/>
              <w:numPr>
                <w:ilvl w:val="0"/>
                <w:numId w:val="11"/>
              </w:numPr>
              <w:ind w:left="254" w:hanging="142"/>
            </w:pPr>
            <w:r w:rsidRPr="00743512">
              <w:t>HR+ HER2−</w:t>
            </w:r>
          </w:p>
        </w:tc>
        <w:tc>
          <w:tcPr>
            <w:tcW w:w="2113" w:type="pct"/>
            <w:tcBorders>
              <w:top w:val="dashSmallGap" w:sz="4" w:space="0" w:color="auto"/>
            </w:tcBorders>
            <w:shd w:val="clear" w:color="auto" w:fill="auto"/>
          </w:tcPr>
          <w:p w14:paraId="3A46A1B2" w14:textId="77777777" w:rsidR="00883096" w:rsidRPr="00743512" w:rsidRDefault="00883096" w:rsidP="005A5F28">
            <w:pPr>
              <w:pStyle w:val="TableText0"/>
              <w:keepNext w:val="0"/>
            </w:pPr>
            <w:r w:rsidRPr="00743512">
              <w:t>5.0% based on PBAC advice (para 7.14, olaparib PSD March 2023 PBAC meeting)</w:t>
            </w:r>
          </w:p>
        </w:tc>
        <w:tc>
          <w:tcPr>
            <w:tcW w:w="1937" w:type="pct"/>
            <w:tcBorders>
              <w:top w:val="dashSmallGap" w:sz="4" w:space="0" w:color="auto"/>
            </w:tcBorders>
            <w:shd w:val="clear" w:color="auto" w:fill="auto"/>
          </w:tcPr>
          <w:p w14:paraId="42B5EFCC" w14:textId="77777777" w:rsidR="00883096" w:rsidRPr="00743512" w:rsidRDefault="00883096" w:rsidP="005A5F28">
            <w:pPr>
              <w:pStyle w:val="TableText0"/>
              <w:keepNext w:val="0"/>
            </w:pPr>
            <w:r w:rsidRPr="00743512">
              <w:t xml:space="preserve">This was reasonable and consistent with other published literature. </w:t>
            </w:r>
            <w:r w:rsidRPr="00743512">
              <w:rPr>
                <w:vertAlign w:val="superscript"/>
              </w:rPr>
              <w:t>h</w:t>
            </w:r>
          </w:p>
        </w:tc>
      </w:tr>
      <w:tr w:rsidR="00883096" w:rsidRPr="00743512" w14:paraId="0C1212E9" w14:textId="77777777" w:rsidTr="005A5F28">
        <w:tc>
          <w:tcPr>
            <w:tcW w:w="950" w:type="pct"/>
            <w:shd w:val="clear" w:color="auto" w:fill="B8CCE4" w:themeFill="accent1" w:themeFillTint="66"/>
          </w:tcPr>
          <w:p w14:paraId="6F3BC0E9" w14:textId="77777777" w:rsidR="00883096" w:rsidRPr="00743512" w:rsidRDefault="00883096" w:rsidP="005A5F28">
            <w:pPr>
              <w:pStyle w:val="TableText0"/>
              <w:keepNext w:val="0"/>
            </w:pPr>
            <w:r w:rsidRPr="00743512">
              <w:t>Uptake rate</w:t>
            </w:r>
          </w:p>
        </w:tc>
        <w:tc>
          <w:tcPr>
            <w:tcW w:w="2113" w:type="pct"/>
            <w:shd w:val="clear" w:color="auto" w:fill="B8CCE4" w:themeFill="accent1" w:themeFillTint="66"/>
          </w:tcPr>
          <w:p w14:paraId="6264AFCA" w14:textId="5B72D89B" w:rsidR="00883096" w:rsidRPr="00743512" w:rsidRDefault="00883096" w:rsidP="005A5F28">
            <w:pPr>
              <w:pStyle w:val="TableText0"/>
              <w:keepNext w:val="0"/>
            </w:pPr>
            <w:r w:rsidRPr="00743512">
              <w:t>Assumed to increase from</w:t>
            </w:r>
            <w:r w:rsidR="00F32823" w:rsidRPr="00F32823">
              <w:t xml:space="preserve"> </w:t>
            </w:r>
            <w:r w:rsidR="00632DCB" w:rsidRPr="00632DCB">
              <w:rPr>
                <w:color w:val="000000"/>
                <w:spacing w:val="49"/>
                <w:shd w:val="solid" w:color="000000" w:fill="000000"/>
                <w:fitText w:val="320" w:id="-1032088566"/>
                <w14:textFill>
                  <w14:solidFill>
                    <w14:srgbClr w14:val="000000">
                      <w14:alpha w14:val="100000"/>
                    </w14:srgbClr>
                  </w14:solidFill>
                </w14:textFill>
              </w:rPr>
              <w:t>|||</w:t>
            </w:r>
            <w:r w:rsidR="00632DCB" w:rsidRPr="00632DCB">
              <w:rPr>
                <w:color w:val="000000"/>
                <w:spacing w:val="3"/>
                <w:shd w:val="solid" w:color="000000" w:fill="000000"/>
                <w:fitText w:val="320" w:id="-1032088566"/>
                <w14:textFill>
                  <w14:solidFill>
                    <w14:srgbClr w14:val="000000">
                      <w14:alpha w14:val="100000"/>
                    </w14:srgbClr>
                  </w14:solidFill>
                </w14:textFill>
              </w:rPr>
              <w:t>|</w:t>
            </w:r>
            <w:r w:rsidRPr="00743512">
              <w:t>−</w:t>
            </w:r>
            <w:r w:rsidR="00632DCB">
              <w:t xml:space="preserve"> </w:t>
            </w:r>
            <w:r w:rsidR="00632DCB" w:rsidRPr="00632DCB">
              <w:rPr>
                <w:color w:val="000000"/>
                <w:spacing w:val="53"/>
                <w:shd w:val="solid" w:color="000000" w:fill="000000"/>
                <w:fitText w:val="330" w:id="-1032088565"/>
                <w14:textFill>
                  <w14:solidFill>
                    <w14:srgbClr w14:val="000000">
                      <w14:alpha w14:val="100000"/>
                    </w14:srgbClr>
                  </w14:solidFill>
                </w14:textFill>
              </w:rPr>
              <w:t>|||</w:t>
            </w:r>
            <w:r w:rsidR="00632DCB" w:rsidRPr="00632DCB">
              <w:rPr>
                <w:color w:val="000000"/>
                <w:spacing w:val="1"/>
                <w:shd w:val="solid" w:color="000000" w:fill="000000"/>
                <w:fitText w:val="330" w:id="-1032088565"/>
                <w14:textFill>
                  <w14:solidFill>
                    <w14:srgbClr w14:val="000000">
                      <w14:alpha w14:val="100000"/>
                    </w14:srgbClr>
                  </w14:solidFill>
                </w14:textFill>
              </w:rPr>
              <w:t>|</w:t>
            </w:r>
            <w:r w:rsidRPr="00743512">
              <w:t>%</w:t>
            </w:r>
          </w:p>
        </w:tc>
        <w:tc>
          <w:tcPr>
            <w:tcW w:w="1937" w:type="pct"/>
            <w:shd w:val="clear" w:color="auto" w:fill="B8CCE4" w:themeFill="accent1" w:themeFillTint="66"/>
          </w:tcPr>
          <w:p w14:paraId="4BB8D00B" w14:textId="77777777" w:rsidR="00883096" w:rsidRPr="00743512" w:rsidRDefault="00883096" w:rsidP="005A5F28">
            <w:pPr>
              <w:pStyle w:val="TableText0"/>
              <w:keepNext w:val="0"/>
            </w:pPr>
            <w:r w:rsidRPr="00743512">
              <w:t>This was unchanged and was reasonable.</w:t>
            </w:r>
          </w:p>
        </w:tc>
      </w:tr>
      <w:tr w:rsidR="00883096" w:rsidRPr="00743512" w14:paraId="44F4D48A" w14:textId="77777777" w:rsidTr="005A5F28">
        <w:tc>
          <w:tcPr>
            <w:tcW w:w="950" w:type="pct"/>
            <w:shd w:val="clear" w:color="auto" w:fill="auto"/>
          </w:tcPr>
          <w:p w14:paraId="2C6C311D" w14:textId="77777777" w:rsidR="00883096" w:rsidRPr="00743512" w:rsidRDefault="00883096" w:rsidP="005A5F28">
            <w:pPr>
              <w:pStyle w:val="TableText0"/>
              <w:keepNext w:val="0"/>
            </w:pPr>
            <w:r w:rsidRPr="00743512">
              <w:t>Scripts dispensed</w:t>
            </w:r>
          </w:p>
        </w:tc>
        <w:tc>
          <w:tcPr>
            <w:tcW w:w="2113" w:type="pct"/>
            <w:shd w:val="clear" w:color="auto" w:fill="auto"/>
          </w:tcPr>
          <w:p w14:paraId="4DA4EF6A" w14:textId="77777777" w:rsidR="00883096" w:rsidRPr="00743512" w:rsidRDefault="00883096" w:rsidP="005A5F28">
            <w:pPr>
              <w:pStyle w:val="TableText0"/>
              <w:keepNext w:val="0"/>
            </w:pPr>
            <w:r w:rsidRPr="00743512">
              <w:t>10.54 per patients based on an average of 9.7 months treatment from OlympiA</w:t>
            </w:r>
          </w:p>
        </w:tc>
        <w:tc>
          <w:tcPr>
            <w:tcW w:w="1937" w:type="pct"/>
            <w:shd w:val="clear" w:color="auto" w:fill="auto"/>
          </w:tcPr>
          <w:p w14:paraId="4B819318" w14:textId="77777777" w:rsidR="00883096" w:rsidRPr="00743512" w:rsidRDefault="00883096" w:rsidP="005A5F28">
            <w:pPr>
              <w:pStyle w:val="TableText0"/>
              <w:keepNext w:val="0"/>
            </w:pPr>
            <w:r w:rsidRPr="00743512">
              <w:t>This was reasonable.</w:t>
            </w:r>
          </w:p>
        </w:tc>
      </w:tr>
      <w:tr w:rsidR="00883096" w:rsidRPr="00743512" w14:paraId="150FD78A" w14:textId="77777777" w:rsidTr="005A5F28">
        <w:tc>
          <w:tcPr>
            <w:tcW w:w="950" w:type="pct"/>
            <w:shd w:val="clear" w:color="auto" w:fill="B8CCE4" w:themeFill="accent1" w:themeFillTint="66"/>
          </w:tcPr>
          <w:p w14:paraId="7F8A7D48" w14:textId="77777777" w:rsidR="00883096" w:rsidRPr="00743512" w:rsidRDefault="00883096" w:rsidP="005A5F28">
            <w:pPr>
              <w:pStyle w:val="TableText0"/>
              <w:keepNext w:val="0"/>
            </w:pPr>
            <w:r w:rsidRPr="00743512">
              <w:t>Olaparib strength</w:t>
            </w:r>
          </w:p>
        </w:tc>
        <w:tc>
          <w:tcPr>
            <w:tcW w:w="2113" w:type="pct"/>
            <w:shd w:val="clear" w:color="auto" w:fill="B8CCE4" w:themeFill="accent1" w:themeFillTint="66"/>
          </w:tcPr>
          <w:p w14:paraId="7EF53A79" w14:textId="77777777" w:rsidR="00883096" w:rsidRPr="00743512" w:rsidRDefault="00883096" w:rsidP="005A5F28">
            <w:pPr>
              <w:pStyle w:val="TableText0"/>
              <w:keepNext w:val="0"/>
            </w:pPr>
            <w:r w:rsidRPr="00743512">
              <w:t>150 mg: 99.1% 100 mg: 0.9%, based on patient category PBS statistics for second-line olaparib PBS items</w:t>
            </w:r>
          </w:p>
        </w:tc>
        <w:tc>
          <w:tcPr>
            <w:tcW w:w="1937" w:type="pct"/>
            <w:shd w:val="clear" w:color="auto" w:fill="B8CCE4" w:themeFill="accent1" w:themeFillTint="66"/>
          </w:tcPr>
          <w:p w14:paraId="20D135F6" w14:textId="77777777" w:rsidR="00883096" w:rsidRPr="00743512" w:rsidRDefault="00883096" w:rsidP="005A5F28">
            <w:pPr>
              <w:pStyle w:val="TableText0"/>
              <w:keepNext w:val="0"/>
            </w:pPr>
            <w:r w:rsidRPr="00743512">
              <w:t>The use of patient category statistics (i.e. RPBS/PBS) was not appropriate and underestimates use of the 100 mg strength.</w:t>
            </w:r>
          </w:p>
        </w:tc>
      </w:tr>
      <w:tr w:rsidR="00883096" w:rsidRPr="00743512" w14:paraId="0E6C7817" w14:textId="77777777" w:rsidTr="005A5F28">
        <w:tc>
          <w:tcPr>
            <w:tcW w:w="950" w:type="pct"/>
            <w:shd w:val="clear" w:color="auto" w:fill="auto"/>
          </w:tcPr>
          <w:p w14:paraId="1BCC9350" w14:textId="77777777" w:rsidR="00883096" w:rsidRPr="00743512" w:rsidRDefault="00883096" w:rsidP="005A5F28">
            <w:pPr>
              <w:pStyle w:val="TableText0"/>
              <w:keepNext w:val="0"/>
            </w:pPr>
            <w:r w:rsidRPr="00743512">
              <w:t>Grandfathered patients</w:t>
            </w:r>
          </w:p>
        </w:tc>
        <w:tc>
          <w:tcPr>
            <w:tcW w:w="2113" w:type="pct"/>
            <w:shd w:val="clear" w:color="auto" w:fill="auto"/>
          </w:tcPr>
          <w:p w14:paraId="123C3729" w14:textId="03B2CEBB" w:rsidR="00883096" w:rsidRPr="00743512" w:rsidRDefault="00632DCB" w:rsidP="005A5F28">
            <w:pPr>
              <w:pStyle w:val="TableText0"/>
              <w:keepNext w:val="0"/>
            </w:pPr>
            <w:r>
              <w:t xml:space="preserve"> </w:t>
            </w:r>
            <w:r w:rsidRPr="00632DCB">
              <w:rPr>
                <w:color w:val="000000"/>
                <w:spacing w:val="53"/>
                <w:shd w:val="solid" w:color="000000" w:fill="000000"/>
                <w:fitText w:val="330" w:id="-1032088564"/>
                <w14:textFill>
                  <w14:solidFill>
                    <w14:srgbClr w14:val="000000">
                      <w14:alpha w14:val="100000"/>
                    </w14:srgbClr>
                  </w14:solidFill>
                </w14:textFill>
              </w:rPr>
              <w:t>|||</w:t>
            </w:r>
            <w:r w:rsidRPr="00632DCB">
              <w:rPr>
                <w:color w:val="000000"/>
                <w:spacing w:val="1"/>
                <w:shd w:val="solid" w:color="000000" w:fill="000000"/>
                <w:fitText w:val="330" w:id="-1032088564"/>
                <w14:textFill>
                  <w14:solidFill>
                    <w14:srgbClr w14:val="000000">
                      <w14:alpha w14:val="100000"/>
                    </w14:srgbClr>
                  </w14:solidFill>
                </w14:textFill>
              </w:rPr>
              <w:t>|</w:t>
            </w:r>
            <w:r w:rsidR="007A0D65">
              <w:rPr>
                <w:vertAlign w:val="superscript"/>
              </w:rPr>
              <w:t>1</w:t>
            </w:r>
            <w:r w:rsidR="00883096" w:rsidRPr="00743512">
              <w:t xml:space="preserve"> (assumption)</w:t>
            </w:r>
          </w:p>
        </w:tc>
        <w:tc>
          <w:tcPr>
            <w:tcW w:w="1937" w:type="pct"/>
            <w:shd w:val="clear" w:color="auto" w:fill="auto"/>
          </w:tcPr>
          <w:p w14:paraId="2B1CE43B" w14:textId="77777777" w:rsidR="00883096" w:rsidRPr="00743512" w:rsidRDefault="00883096" w:rsidP="005A5F28">
            <w:pPr>
              <w:pStyle w:val="TableText0"/>
              <w:keepNext w:val="0"/>
            </w:pPr>
            <w:r w:rsidRPr="00743512">
              <w:t>The basis for this number of grandfathered patients remains unclear.</w:t>
            </w:r>
          </w:p>
        </w:tc>
      </w:tr>
      <w:tr w:rsidR="00883096" w:rsidRPr="00743512" w14:paraId="5DBB15C6" w14:textId="77777777" w:rsidTr="005A5F28">
        <w:tc>
          <w:tcPr>
            <w:tcW w:w="950" w:type="pct"/>
            <w:shd w:val="clear" w:color="auto" w:fill="auto"/>
          </w:tcPr>
          <w:p w14:paraId="7247B6DC" w14:textId="4F12744B" w:rsidR="00883096" w:rsidRPr="00743512" w:rsidRDefault="00883096" w:rsidP="005A5F28">
            <w:pPr>
              <w:pStyle w:val="TableText0"/>
              <w:keepNext w:val="0"/>
            </w:pPr>
            <w:r w:rsidRPr="00743512">
              <w:t>Cost of g</w:t>
            </w:r>
            <w:r w:rsidR="00CD50D4" w:rsidRPr="00743512">
              <w:rPr>
                <w:i/>
              </w:rPr>
              <w:t>BRCA</w:t>
            </w:r>
            <w:r w:rsidRPr="00743512">
              <w:t xml:space="preserve"> testing</w:t>
            </w:r>
          </w:p>
        </w:tc>
        <w:tc>
          <w:tcPr>
            <w:tcW w:w="2113" w:type="pct"/>
            <w:shd w:val="clear" w:color="auto" w:fill="auto"/>
          </w:tcPr>
          <w:p w14:paraId="443F1214" w14:textId="77777777" w:rsidR="00883096" w:rsidRPr="00A86074" w:rsidRDefault="00883096" w:rsidP="005A5F28">
            <w:pPr>
              <w:pStyle w:val="TableText0"/>
              <w:keepNext w:val="0"/>
            </w:pPr>
            <w:r w:rsidRPr="00A86074">
              <w:t>$1,000 as per the proposed MBS item.</w:t>
            </w:r>
          </w:p>
        </w:tc>
        <w:tc>
          <w:tcPr>
            <w:tcW w:w="1937" w:type="pct"/>
            <w:shd w:val="clear" w:color="auto" w:fill="auto"/>
          </w:tcPr>
          <w:p w14:paraId="42A5625B" w14:textId="414FBF49" w:rsidR="00883096" w:rsidRPr="00A86074" w:rsidRDefault="00E43167" w:rsidP="005A5F28">
            <w:pPr>
              <w:pStyle w:val="TableText0"/>
              <w:keepNext w:val="0"/>
              <w:rPr>
                <w:b/>
                <w:bCs w:val="0"/>
              </w:rPr>
            </w:pPr>
            <w:r w:rsidRPr="00A86074">
              <w:t>A</w:t>
            </w:r>
            <w:r w:rsidR="00883096" w:rsidRPr="00A86074">
              <w:t xml:space="preserve"> schedule fee of $1,200</w:t>
            </w:r>
            <w:r w:rsidRPr="00A86074">
              <w:t xml:space="preserve"> was supported</w:t>
            </w:r>
            <w:r w:rsidR="00883096" w:rsidRPr="00A86074">
              <w:t xml:space="preserve"> based on stakeholder consultation feedback.</w:t>
            </w:r>
            <w:r w:rsidR="00F5643A" w:rsidRPr="00A86074">
              <w:t xml:space="preserve"> The cost of the test remains for MSAC consideration.</w:t>
            </w:r>
          </w:p>
        </w:tc>
      </w:tr>
    </w:tbl>
    <w:p w14:paraId="6D3F292A" w14:textId="77777777" w:rsidR="00883096" w:rsidRPr="00743512" w:rsidRDefault="00883096" w:rsidP="00883096">
      <w:pPr>
        <w:pStyle w:val="FooterTableFigure"/>
      </w:pPr>
      <w:r w:rsidRPr="00743512">
        <w:t>Source: Constructed during the evaluation from Table 4.3, pp267−8 of the resubmission.</w:t>
      </w:r>
    </w:p>
    <w:p w14:paraId="2B1B211A" w14:textId="4A0A8DC1" w:rsidR="00883096" w:rsidRPr="00743512" w:rsidRDefault="00883096" w:rsidP="00883096">
      <w:pPr>
        <w:pStyle w:val="FooterTableFigure"/>
      </w:pPr>
      <w:bookmarkStart w:id="98" w:name="_Hlk144380205"/>
      <w:r w:rsidRPr="00743512">
        <w:t>g</w:t>
      </w:r>
      <w:r w:rsidR="00CD50D4" w:rsidRPr="00743512">
        <w:rPr>
          <w:i/>
        </w:rPr>
        <w:t>BRCA</w:t>
      </w:r>
      <w:r w:rsidRPr="00743512">
        <w:t xml:space="preserve"> = germline </w:t>
      </w:r>
      <w:r w:rsidR="00B862A6" w:rsidRPr="00743512">
        <w:t xml:space="preserve">breast cancer </w:t>
      </w:r>
      <w:r w:rsidRPr="00743512">
        <w:t xml:space="preserve">gene; </w:t>
      </w:r>
      <w:bookmarkEnd w:id="98"/>
      <w:r w:rsidRPr="00743512">
        <w:t>HER2 = human epidermal growth factor receptor 2; HR = hormone receptor; TNBC = triple negative breast cancer.</w:t>
      </w:r>
    </w:p>
    <w:p w14:paraId="4AD1AB33" w14:textId="77777777" w:rsidR="00883096" w:rsidRPr="00743512" w:rsidRDefault="00883096" w:rsidP="00883096">
      <w:pPr>
        <w:pStyle w:val="FooterTableFigure"/>
        <w:rPr>
          <w:rStyle w:val="CommentReference"/>
          <w:b w:val="0"/>
          <w:sz w:val="18"/>
          <w:szCs w:val="22"/>
        </w:rPr>
      </w:pPr>
      <w:r w:rsidRPr="00743512">
        <w:rPr>
          <w:rStyle w:val="CommentReference"/>
          <w:b w:val="0"/>
          <w:sz w:val="18"/>
          <w:szCs w:val="22"/>
          <w:shd w:val="clear" w:color="auto" w:fill="B8CCE4" w:themeFill="accent1" w:themeFillTint="66"/>
        </w:rPr>
        <w:t>Blue shading</w:t>
      </w:r>
      <w:r w:rsidRPr="00743512">
        <w:rPr>
          <w:rStyle w:val="CommentReference"/>
          <w:b w:val="0"/>
          <w:sz w:val="18"/>
          <w:szCs w:val="22"/>
        </w:rPr>
        <w:t xml:space="preserve"> indicates estimates previously seen by the PBAC. </w:t>
      </w:r>
    </w:p>
    <w:p w14:paraId="68A1ABAD" w14:textId="77777777" w:rsidR="00883096" w:rsidRPr="00743512" w:rsidRDefault="00883096" w:rsidP="00883096">
      <w:pPr>
        <w:pStyle w:val="FooterTableFigure"/>
        <w:rPr>
          <w:rStyle w:val="CommentReference"/>
          <w:b w:val="0"/>
          <w:sz w:val="18"/>
          <w:szCs w:val="22"/>
        </w:rPr>
      </w:pPr>
      <w:bookmarkStart w:id="99" w:name="_Hlk143870096"/>
      <w:r w:rsidRPr="00743512">
        <w:rPr>
          <w:rStyle w:val="CommentReference"/>
          <w:b w:val="0"/>
          <w:sz w:val="18"/>
          <w:szCs w:val="22"/>
          <w:vertAlign w:val="superscript"/>
        </w:rPr>
        <w:t>a</w:t>
      </w:r>
      <w:r w:rsidRPr="00743512">
        <w:rPr>
          <w:rStyle w:val="CommentReference"/>
          <w:b w:val="0"/>
          <w:sz w:val="18"/>
          <w:szCs w:val="22"/>
        </w:rPr>
        <w:t xml:space="preserve"> Australian Institute of Health Welfare. Cancer in Australia 2021. Canberra: AIHW 2021. Cancer series no. 133. Cat. no. CAN 144.</w:t>
      </w:r>
    </w:p>
    <w:p w14:paraId="1D43F81F" w14:textId="77777777" w:rsidR="00883096" w:rsidRPr="00743512" w:rsidRDefault="00883096" w:rsidP="00883096">
      <w:pPr>
        <w:pStyle w:val="FooterTableFigure"/>
        <w:rPr>
          <w:rStyle w:val="CommentReference"/>
          <w:b w:val="0"/>
          <w:sz w:val="18"/>
          <w:szCs w:val="22"/>
        </w:rPr>
      </w:pPr>
      <w:r w:rsidRPr="00743512">
        <w:rPr>
          <w:rStyle w:val="CommentReference"/>
          <w:b w:val="0"/>
          <w:sz w:val="18"/>
          <w:szCs w:val="22"/>
          <w:vertAlign w:val="superscript"/>
        </w:rPr>
        <w:t>b</w:t>
      </w:r>
      <w:r w:rsidRPr="00743512">
        <w:rPr>
          <w:rStyle w:val="CommentReference"/>
          <w:b w:val="0"/>
          <w:sz w:val="18"/>
          <w:szCs w:val="22"/>
        </w:rPr>
        <w:t xml:space="preserve"> Australian Institute of Health Welfare. Cancer in Australia 2019. Canberra: AIHW 2019. Cancer series no. 119. Cat. no. CAN 123.</w:t>
      </w:r>
    </w:p>
    <w:p w14:paraId="539282CB" w14:textId="635741A6" w:rsidR="00883096" w:rsidRPr="00743512" w:rsidRDefault="00883096" w:rsidP="00883096">
      <w:pPr>
        <w:pStyle w:val="FooterTableFigure"/>
        <w:rPr>
          <w:rStyle w:val="CommentReference"/>
          <w:b w:val="0"/>
          <w:sz w:val="18"/>
          <w:szCs w:val="22"/>
        </w:rPr>
      </w:pPr>
      <w:r w:rsidRPr="00743512">
        <w:rPr>
          <w:rStyle w:val="CommentReference"/>
          <w:b w:val="0"/>
          <w:sz w:val="18"/>
          <w:szCs w:val="22"/>
          <w:vertAlign w:val="superscript"/>
        </w:rPr>
        <w:t>c</w:t>
      </w:r>
      <w:r w:rsidRPr="00743512">
        <w:rPr>
          <w:rStyle w:val="CommentReference"/>
          <w:b w:val="0"/>
          <w:sz w:val="18"/>
          <w:szCs w:val="22"/>
        </w:rPr>
        <w:t xml:space="preserve"> Desai NV, Zakalik D, Somerfield MR, Tung NM. Q and A: A New Standard of Care for Germline </w:t>
      </w:r>
      <w:r w:rsidR="00CD50D4" w:rsidRPr="00743512">
        <w:rPr>
          <w:rStyle w:val="CommentReference"/>
          <w:b w:val="0"/>
          <w:i/>
          <w:sz w:val="18"/>
          <w:szCs w:val="22"/>
        </w:rPr>
        <w:t>BRCA1</w:t>
      </w:r>
      <w:r w:rsidRPr="00743512">
        <w:rPr>
          <w:rStyle w:val="CommentReference"/>
          <w:b w:val="0"/>
          <w:sz w:val="18"/>
          <w:szCs w:val="22"/>
        </w:rPr>
        <w:t xml:space="preserve"> and/or </w:t>
      </w:r>
      <w:r w:rsidR="00CD50D4" w:rsidRPr="00743512">
        <w:rPr>
          <w:rStyle w:val="CommentReference"/>
          <w:b w:val="0"/>
          <w:i/>
          <w:sz w:val="18"/>
          <w:szCs w:val="22"/>
        </w:rPr>
        <w:t>BRCA2</w:t>
      </w:r>
      <w:r w:rsidRPr="00743512">
        <w:rPr>
          <w:rStyle w:val="CommentReference"/>
          <w:b w:val="0"/>
          <w:sz w:val="18"/>
          <w:szCs w:val="22"/>
        </w:rPr>
        <w:t xml:space="preserve"> Mutation Carriers With Early-Stage Breast Cancer. JCO Oncol Pract. 2022 Jun;18(6):427-9.</w:t>
      </w:r>
    </w:p>
    <w:p w14:paraId="36B0952A" w14:textId="77777777" w:rsidR="00883096" w:rsidRPr="00743512" w:rsidRDefault="00883096" w:rsidP="00883096">
      <w:pPr>
        <w:pStyle w:val="FooterTableFigure"/>
      </w:pPr>
      <w:r w:rsidRPr="00743512">
        <w:rPr>
          <w:vertAlign w:val="superscript"/>
        </w:rPr>
        <w:t>d</w:t>
      </w:r>
      <w:r w:rsidRPr="00743512">
        <w:t xml:space="preserve"> </w:t>
      </w:r>
      <w:r w:rsidRPr="00743512">
        <w:rPr>
          <w:rStyle w:val="CommentReference"/>
          <w:b w:val="0"/>
          <w:sz w:val="18"/>
          <w:szCs w:val="22"/>
        </w:rPr>
        <w:t>Stuart-Harris R, Dahlstrom JE, Gupta R, Zhang Y, Craft P, Shadbolt B. Recurrence in early breast cancer: Analysis of data from 3,765 Australian women treated between 1997 and 2015. The Breast. 2019 2019/04/01/;44:153-9.</w:t>
      </w:r>
    </w:p>
    <w:p w14:paraId="2F5749EB" w14:textId="77777777" w:rsidR="00883096" w:rsidRPr="00743512" w:rsidRDefault="00883096" w:rsidP="00883096">
      <w:pPr>
        <w:pStyle w:val="FooterTableFigure"/>
      </w:pPr>
      <w:r w:rsidRPr="00743512">
        <w:rPr>
          <w:vertAlign w:val="superscript"/>
        </w:rPr>
        <w:t>e</w:t>
      </w:r>
      <w:r w:rsidRPr="00743512">
        <w:t xml:space="preserve"> </w:t>
      </w:r>
      <w:r w:rsidRPr="00743512">
        <w:rPr>
          <w:rStyle w:val="CommentReference"/>
          <w:b w:val="0"/>
          <w:sz w:val="18"/>
          <w:szCs w:val="22"/>
        </w:rPr>
        <w:t>Patiniott PD, Wong GYM, Lam YH, Fosh B. Neoadjuvant chemotherapy rates for breast cancer in Australia—“are we there yet?”. Annals of Breast Surgery. 2019;3.</w:t>
      </w:r>
    </w:p>
    <w:p w14:paraId="42BB9829" w14:textId="4DCC737E" w:rsidR="00883096" w:rsidRPr="00743512" w:rsidRDefault="00883096" w:rsidP="00883096">
      <w:pPr>
        <w:pStyle w:val="FooterTableFigure"/>
      </w:pPr>
      <w:r w:rsidRPr="00743512">
        <w:rPr>
          <w:vertAlign w:val="superscript"/>
        </w:rPr>
        <w:t xml:space="preserve">f </w:t>
      </w:r>
      <w:r w:rsidRPr="00743512">
        <w:t xml:space="preserve">Armstrong N, Ryder S, Forbes C, Ross J, Quek RG. A systematic review of the international prevalence of </w:t>
      </w:r>
      <w:r w:rsidR="00CD50D4" w:rsidRPr="00743512">
        <w:rPr>
          <w:i/>
        </w:rPr>
        <w:t>BRCA</w:t>
      </w:r>
      <w:r w:rsidRPr="00743512">
        <w:t xml:space="preserve"> mutation in breast cancer. Clin Epidemiol. 2019;11:543-61.</w:t>
      </w:r>
    </w:p>
    <w:p w14:paraId="31C923EE" w14:textId="7D8299D9" w:rsidR="00883096" w:rsidRPr="00743512" w:rsidRDefault="00883096" w:rsidP="00883096">
      <w:pPr>
        <w:pStyle w:val="FooterTableFigure"/>
      </w:pPr>
      <w:r w:rsidRPr="00743512">
        <w:rPr>
          <w:vertAlign w:val="superscript"/>
        </w:rPr>
        <w:t>g</w:t>
      </w:r>
      <w:r w:rsidRPr="00743512">
        <w:t xml:space="preserve"> Wong-Brown MW, Meldrum CJ, Carpenter JE, Clarke CL, Narod SA, Jakubowska A, et al. Prevalence of </w:t>
      </w:r>
      <w:r w:rsidR="00CD50D4" w:rsidRPr="00743512">
        <w:rPr>
          <w:i/>
        </w:rPr>
        <w:t>BRCA1</w:t>
      </w:r>
      <w:r w:rsidRPr="00743512">
        <w:t xml:space="preserve"> and </w:t>
      </w:r>
      <w:r w:rsidR="00CD50D4" w:rsidRPr="00743512">
        <w:rPr>
          <w:i/>
        </w:rPr>
        <w:t>BRCA2</w:t>
      </w:r>
      <w:r w:rsidRPr="00743512">
        <w:t xml:space="preserve"> germline mutations in patients with triple-negative breast cancer. Breast cancer research and treatment. 2015;150(1):71-80.</w:t>
      </w:r>
    </w:p>
    <w:p w14:paraId="0C741C6F" w14:textId="77777777" w:rsidR="00883096" w:rsidRDefault="00883096" w:rsidP="00564BDA">
      <w:pPr>
        <w:pStyle w:val="FooterTableFigure"/>
        <w:spacing w:after="0"/>
      </w:pPr>
      <w:r w:rsidRPr="00743512">
        <w:rPr>
          <w:vertAlign w:val="superscript"/>
        </w:rPr>
        <w:t>h</w:t>
      </w:r>
      <w:r w:rsidRPr="00743512">
        <w:t xml:space="preserve"> Tung N, Lin NU, Kidd J, Allen BA, Singh N, Wenstrup RJ, et al. Frequency of Germline Mutations in 25 Cancer Susceptibility Genes in a Sequential Series of Patients With Breast Cancer. J Clin Oncol. 2016;34(13):1460-8.</w:t>
      </w:r>
    </w:p>
    <w:p w14:paraId="3CD73C8C" w14:textId="77777777" w:rsidR="00F91031" w:rsidRPr="009A6D58" w:rsidRDefault="00F91031" w:rsidP="00F9103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4EB0656" w14:textId="282C5C3D" w:rsidR="007A0D65" w:rsidRPr="007A0D65" w:rsidRDefault="007A0D65" w:rsidP="00883096">
      <w:pPr>
        <w:pStyle w:val="FooterTableFigure"/>
      </w:pPr>
      <w:r>
        <w:rPr>
          <w:vertAlign w:val="superscript"/>
        </w:rPr>
        <w:t>1</w:t>
      </w:r>
      <w:r>
        <w:t xml:space="preserve"> &lt; 500</w:t>
      </w:r>
      <w:r w:rsidR="00F91031">
        <w:t xml:space="preserve"> patients</w:t>
      </w:r>
    </w:p>
    <w:bookmarkEnd w:id="99"/>
    <w:p w14:paraId="43865130" w14:textId="4C0B24C7" w:rsidR="002C79D9" w:rsidRPr="00743512" w:rsidRDefault="00A8111C" w:rsidP="007D16AC">
      <w:pPr>
        <w:pStyle w:val="3-BodyText"/>
      </w:pPr>
      <w:r w:rsidRPr="00743512">
        <w:t>The</w:t>
      </w:r>
      <w:r w:rsidR="007D16AC" w:rsidRPr="00743512">
        <w:t xml:space="preserve"> resubmission</w:t>
      </w:r>
      <w:r w:rsidR="00270ED4" w:rsidRPr="00743512">
        <w:t>’</w:t>
      </w:r>
      <w:r w:rsidR="007D16AC" w:rsidRPr="00743512">
        <w:t xml:space="preserve">s estimates of the number of patients treated with olaparib over the first six years of listing are presented in </w:t>
      </w:r>
      <w:r w:rsidR="007D16AC" w:rsidRPr="00743512">
        <w:fldChar w:fldCharType="begin"/>
      </w:r>
      <w:r w:rsidR="007D16AC" w:rsidRPr="00743512">
        <w:instrText xml:space="preserve"> REF _Ref104805295 \h  \* MERGEFORMAT </w:instrText>
      </w:r>
      <w:r w:rsidR="007D16AC" w:rsidRPr="00743512">
        <w:fldChar w:fldCharType="separate"/>
      </w:r>
      <w:r w:rsidR="00D2565D" w:rsidRPr="00743512">
        <w:t xml:space="preserve">Table </w:t>
      </w:r>
      <w:r w:rsidR="00D2565D">
        <w:t>21</w:t>
      </w:r>
      <w:r w:rsidR="007D16AC" w:rsidRPr="00743512">
        <w:fldChar w:fldCharType="end"/>
      </w:r>
      <w:r w:rsidR="007D16AC" w:rsidRPr="00743512">
        <w:t>.</w:t>
      </w:r>
    </w:p>
    <w:p w14:paraId="5EDA8475" w14:textId="1A77CA57" w:rsidR="00A8111C" w:rsidRPr="00743512" w:rsidRDefault="00A8111C" w:rsidP="00A8111C">
      <w:pPr>
        <w:pStyle w:val="TableFigureHeading"/>
      </w:pPr>
      <w:bookmarkStart w:id="100" w:name="_Ref147930509"/>
      <w:bookmarkStart w:id="101" w:name="_Hlk147901988"/>
      <w:r w:rsidRPr="00743512">
        <w:t xml:space="preserve">Table </w:t>
      </w:r>
      <w:r w:rsidR="00D2565D">
        <w:fldChar w:fldCharType="begin"/>
      </w:r>
      <w:r w:rsidR="00D2565D">
        <w:instrText xml:space="preserve"> SEQ Table \* ARABIC</w:instrText>
      </w:r>
      <w:r w:rsidR="00D2565D">
        <w:instrText xml:space="preserve"> </w:instrText>
      </w:r>
      <w:r w:rsidR="00D2565D">
        <w:fldChar w:fldCharType="separate"/>
      </w:r>
      <w:r w:rsidR="00D2565D">
        <w:rPr>
          <w:noProof/>
        </w:rPr>
        <w:t>20</w:t>
      </w:r>
      <w:r w:rsidR="00D2565D">
        <w:rPr>
          <w:noProof/>
        </w:rPr>
        <w:fldChar w:fldCharType="end"/>
      </w:r>
      <w:bookmarkEnd w:id="100"/>
      <w:r w:rsidRPr="00743512">
        <w:t>:</w:t>
      </w:r>
      <w:r w:rsidRPr="00743512">
        <w:rPr>
          <w:rStyle w:val="CommentReference"/>
          <w:b/>
          <w:szCs w:val="24"/>
        </w:rPr>
        <w:t xml:space="preserve"> Estimated number of patients </w:t>
      </w:r>
      <w:r w:rsidR="00484086" w:rsidRPr="00743512">
        <w:rPr>
          <w:rStyle w:val="CommentReference"/>
          <w:b/>
          <w:szCs w:val="24"/>
        </w:rPr>
        <w:t>in the resubmission</w:t>
      </w:r>
      <w:r w:rsidR="00A654A3" w:rsidRPr="00743512">
        <w:rPr>
          <w:rStyle w:val="CommentReference"/>
          <w:b/>
          <w:szCs w:val="24"/>
        </w:rPr>
        <w:t xml:space="preserve"> and amendments recommended by the PBAC</w:t>
      </w:r>
    </w:p>
    <w:tbl>
      <w:tblPr>
        <w:tblStyle w:val="TableGrid"/>
        <w:tblW w:w="5000" w:type="pct"/>
        <w:tblLayout w:type="fixed"/>
        <w:tblLook w:val="04A0" w:firstRow="1" w:lastRow="0" w:firstColumn="1" w:lastColumn="0" w:noHBand="0" w:noVBand="1"/>
        <w:tblCaption w:val="Table 20: Estimated number of patients in the resubmission and amendments recommended by the PBAC"/>
      </w:tblPr>
      <w:tblGrid>
        <w:gridCol w:w="1101"/>
        <w:gridCol w:w="2773"/>
        <w:gridCol w:w="857"/>
        <w:gridCol w:w="857"/>
        <w:gridCol w:w="857"/>
        <w:gridCol w:w="857"/>
        <w:gridCol w:w="857"/>
        <w:gridCol w:w="858"/>
      </w:tblGrid>
      <w:tr w:rsidR="002901B9" w:rsidRPr="00743512" w14:paraId="1270D12D" w14:textId="77777777" w:rsidTr="002D5411">
        <w:trPr>
          <w:trHeight w:val="20"/>
          <w:tblHeader/>
        </w:trPr>
        <w:tc>
          <w:tcPr>
            <w:tcW w:w="611" w:type="pct"/>
          </w:tcPr>
          <w:p w14:paraId="2A0BE4EB" w14:textId="77777777" w:rsidR="00A654A3" w:rsidRPr="00743512" w:rsidRDefault="00A654A3" w:rsidP="002901B9">
            <w:pPr>
              <w:pStyle w:val="In-tableHeading"/>
              <w:keepNext w:val="0"/>
              <w:rPr>
                <w:lang w:val="en-AU"/>
              </w:rPr>
            </w:pPr>
          </w:p>
        </w:tc>
        <w:tc>
          <w:tcPr>
            <w:tcW w:w="1538" w:type="pct"/>
            <w:noWrap/>
            <w:hideMark/>
          </w:tcPr>
          <w:p w14:paraId="00186F73" w14:textId="58720A8F" w:rsidR="00A654A3" w:rsidRPr="00743512" w:rsidRDefault="00A654A3" w:rsidP="002901B9">
            <w:pPr>
              <w:pStyle w:val="In-tableHeading"/>
              <w:keepNext w:val="0"/>
              <w:rPr>
                <w:lang w:val="en-AU"/>
              </w:rPr>
            </w:pPr>
          </w:p>
        </w:tc>
        <w:tc>
          <w:tcPr>
            <w:tcW w:w="475" w:type="pct"/>
            <w:noWrap/>
            <w:hideMark/>
          </w:tcPr>
          <w:p w14:paraId="44783451" w14:textId="77777777" w:rsidR="00A654A3" w:rsidRPr="00743512" w:rsidRDefault="00A654A3" w:rsidP="002901B9">
            <w:pPr>
              <w:pStyle w:val="In-tableHeading"/>
              <w:keepNext w:val="0"/>
              <w:jc w:val="center"/>
              <w:rPr>
                <w:lang w:val="en-AU"/>
              </w:rPr>
            </w:pPr>
            <w:r w:rsidRPr="00743512">
              <w:rPr>
                <w:lang w:val="en-AU"/>
              </w:rPr>
              <w:t>2024</w:t>
            </w:r>
          </w:p>
        </w:tc>
        <w:tc>
          <w:tcPr>
            <w:tcW w:w="475" w:type="pct"/>
            <w:noWrap/>
            <w:hideMark/>
          </w:tcPr>
          <w:p w14:paraId="527BE157" w14:textId="77777777" w:rsidR="00A654A3" w:rsidRPr="00743512" w:rsidRDefault="00A654A3" w:rsidP="002901B9">
            <w:pPr>
              <w:pStyle w:val="In-tableHeading"/>
              <w:keepNext w:val="0"/>
              <w:jc w:val="center"/>
              <w:rPr>
                <w:lang w:val="en-AU"/>
              </w:rPr>
            </w:pPr>
            <w:r w:rsidRPr="00743512">
              <w:rPr>
                <w:lang w:val="en-AU"/>
              </w:rPr>
              <w:t>2025</w:t>
            </w:r>
          </w:p>
        </w:tc>
        <w:tc>
          <w:tcPr>
            <w:tcW w:w="475" w:type="pct"/>
            <w:noWrap/>
            <w:hideMark/>
          </w:tcPr>
          <w:p w14:paraId="7580ACE1" w14:textId="77777777" w:rsidR="00A654A3" w:rsidRPr="00743512" w:rsidRDefault="00A654A3" w:rsidP="002901B9">
            <w:pPr>
              <w:pStyle w:val="In-tableHeading"/>
              <w:keepNext w:val="0"/>
              <w:jc w:val="center"/>
              <w:rPr>
                <w:lang w:val="en-AU"/>
              </w:rPr>
            </w:pPr>
            <w:r w:rsidRPr="00743512">
              <w:rPr>
                <w:lang w:val="en-AU"/>
              </w:rPr>
              <w:t>2026</w:t>
            </w:r>
          </w:p>
        </w:tc>
        <w:tc>
          <w:tcPr>
            <w:tcW w:w="475" w:type="pct"/>
            <w:noWrap/>
            <w:hideMark/>
          </w:tcPr>
          <w:p w14:paraId="6475319E" w14:textId="77777777" w:rsidR="00A654A3" w:rsidRPr="00743512" w:rsidRDefault="00A654A3" w:rsidP="002901B9">
            <w:pPr>
              <w:pStyle w:val="In-tableHeading"/>
              <w:keepNext w:val="0"/>
              <w:jc w:val="center"/>
              <w:rPr>
                <w:lang w:val="en-AU"/>
              </w:rPr>
            </w:pPr>
            <w:r w:rsidRPr="00743512">
              <w:rPr>
                <w:lang w:val="en-AU"/>
              </w:rPr>
              <w:t>2027</w:t>
            </w:r>
          </w:p>
        </w:tc>
        <w:tc>
          <w:tcPr>
            <w:tcW w:w="475" w:type="pct"/>
            <w:noWrap/>
            <w:hideMark/>
          </w:tcPr>
          <w:p w14:paraId="7EFD5A3A" w14:textId="77777777" w:rsidR="00A654A3" w:rsidRPr="00743512" w:rsidRDefault="00A654A3" w:rsidP="002901B9">
            <w:pPr>
              <w:pStyle w:val="In-tableHeading"/>
              <w:keepNext w:val="0"/>
              <w:jc w:val="center"/>
              <w:rPr>
                <w:lang w:val="en-AU"/>
              </w:rPr>
            </w:pPr>
            <w:r w:rsidRPr="00743512">
              <w:rPr>
                <w:lang w:val="en-AU"/>
              </w:rPr>
              <w:t>2028</w:t>
            </w:r>
          </w:p>
        </w:tc>
        <w:tc>
          <w:tcPr>
            <w:tcW w:w="476" w:type="pct"/>
            <w:noWrap/>
            <w:hideMark/>
          </w:tcPr>
          <w:p w14:paraId="587B6F7C" w14:textId="77777777" w:rsidR="00A654A3" w:rsidRPr="00743512" w:rsidRDefault="00A654A3" w:rsidP="002901B9">
            <w:pPr>
              <w:pStyle w:val="In-tableHeading"/>
              <w:keepNext w:val="0"/>
              <w:jc w:val="center"/>
              <w:rPr>
                <w:lang w:val="en-AU"/>
              </w:rPr>
            </w:pPr>
            <w:r w:rsidRPr="00743512">
              <w:rPr>
                <w:lang w:val="en-AU"/>
              </w:rPr>
              <w:t>2029</w:t>
            </w:r>
          </w:p>
        </w:tc>
      </w:tr>
      <w:tr w:rsidR="002901B9" w:rsidRPr="00743512" w14:paraId="52EE1BAF" w14:textId="77777777" w:rsidTr="002D5411">
        <w:trPr>
          <w:trHeight w:val="20"/>
        </w:trPr>
        <w:tc>
          <w:tcPr>
            <w:tcW w:w="611" w:type="pct"/>
          </w:tcPr>
          <w:p w14:paraId="42286939" w14:textId="77777777" w:rsidR="00A654A3" w:rsidRPr="00743512" w:rsidRDefault="00A654A3" w:rsidP="002901B9">
            <w:pPr>
              <w:pStyle w:val="In-tableHeading"/>
              <w:keepNext w:val="0"/>
              <w:rPr>
                <w:lang w:val="en-AU"/>
              </w:rPr>
            </w:pPr>
          </w:p>
        </w:tc>
        <w:tc>
          <w:tcPr>
            <w:tcW w:w="1538" w:type="pct"/>
            <w:noWrap/>
          </w:tcPr>
          <w:p w14:paraId="23597611" w14:textId="758CDA0A" w:rsidR="00A654A3" w:rsidRPr="00743512" w:rsidRDefault="00A654A3" w:rsidP="002901B9">
            <w:pPr>
              <w:pStyle w:val="In-tableHeading"/>
              <w:keepNext w:val="0"/>
              <w:rPr>
                <w:lang w:val="en-AU"/>
              </w:rPr>
            </w:pPr>
            <w:r w:rsidRPr="00743512">
              <w:rPr>
                <w:lang w:val="en-AU"/>
              </w:rPr>
              <w:t>Resubmission estimates</w:t>
            </w:r>
          </w:p>
        </w:tc>
        <w:tc>
          <w:tcPr>
            <w:tcW w:w="475" w:type="pct"/>
            <w:noWrap/>
          </w:tcPr>
          <w:p w14:paraId="3A133328" w14:textId="77777777" w:rsidR="00A654A3" w:rsidRPr="00743512" w:rsidRDefault="00A654A3" w:rsidP="002901B9">
            <w:pPr>
              <w:pStyle w:val="In-tableHeading"/>
              <w:keepNext w:val="0"/>
              <w:jc w:val="center"/>
              <w:rPr>
                <w:lang w:val="en-AU"/>
              </w:rPr>
            </w:pPr>
          </w:p>
        </w:tc>
        <w:tc>
          <w:tcPr>
            <w:tcW w:w="475" w:type="pct"/>
            <w:noWrap/>
          </w:tcPr>
          <w:p w14:paraId="0D9E5C3A" w14:textId="77777777" w:rsidR="00A654A3" w:rsidRPr="00743512" w:rsidRDefault="00A654A3" w:rsidP="002901B9">
            <w:pPr>
              <w:pStyle w:val="In-tableHeading"/>
              <w:keepNext w:val="0"/>
              <w:jc w:val="center"/>
              <w:rPr>
                <w:lang w:val="en-AU"/>
              </w:rPr>
            </w:pPr>
          </w:p>
        </w:tc>
        <w:tc>
          <w:tcPr>
            <w:tcW w:w="475" w:type="pct"/>
            <w:noWrap/>
          </w:tcPr>
          <w:p w14:paraId="0F44D69E" w14:textId="77777777" w:rsidR="00A654A3" w:rsidRPr="00743512" w:rsidRDefault="00A654A3" w:rsidP="002901B9">
            <w:pPr>
              <w:pStyle w:val="In-tableHeading"/>
              <w:keepNext w:val="0"/>
              <w:jc w:val="center"/>
              <w:rPr>
                <w:lang w:val="en-AU"/>
              </w:rPr>
            </w:pPr>
          </w:p>
        </w:tc>
        <w:tc>
          <w:tcPr>
            <w:tcW w:w="475" w:type="pct"/>
            <w:noWrap/>
          </w:tcPr>
          <w:p w14:paraId="5EEA320E" w14:textId="77777777" w:rsidR="00A654A3" w:rsidRPr="00743512" w:rsidRDefault="00A654A3" w:rsidP="002901B9">
            <w:pPr>
              <w:pStyle w:val="In-tableHeading"/>
              <w:keepNext w:val="0"/>
              <w:jc w:val="center"/>
              <w:rPr>
                <w:lang w:val="en-AU"/>
              </w:rPr>
            </w:pPr>
          </w:p>
        </w:tc>
        <w:tc>
          <w:tcPr>
            <w:tcW w:w="475" w:type="pct"/>
            <w:noWrap/>
          </w:tcPr>
          <w:p w14:paraId="598F27F0" w14:textId="77777777" w:rsidR="00A654A3" w:rsidRPr="00743512" w:rsidRDefault="00A654A3" w:rsidP="002901B9">
            <w:pPr>
              <w:pStyle w:val="In-tableHeading"/>
              <w:keepNext w:val="0"/>
              <w:jc w:val="center"/>
              <w:rPr>
                <w:lang w:val="en-AU"/>
              </w:rPr>
            </w:pPr>
          </w:p>
        </w:tc>
        <w:tc>
          <w:tcPr>
            <w:tcW w:w="476" w:type="pct"/>
            <w:noWrap/>
          </w:tcPr>
          <w:p w14:paraId="63FC0EC2" w14:textId="77777777" w:rsidR="00A654A3" w:rsidRPr="00743512" w:rsidRDefault="00A654A3" w:rsidP="002901B9">
            <w:pPr>
              <w:pStyle w:val="In-tableHeading"/>
              <w:keepNext w:val="0"/>
              <w:jc w:val="center"/>
              <w:rPr>
                <w:lang w:val="en-AU"/>
              </w:rPr>
            </w:pPr>
          </w:p>
        </w:tc>
      </w:tr>
      <w:tr w:rsidR="002901B9" w:rsidRPr="00743512" w14:paraId="6964A24E" w14:textId="77777777" w:rsidTr="002D5411">
        <w:trPr>
          <w:trHeight w:val="20"/>
        </w:trPr>
        <w:tc>
          <w:tcPr>
            <w:tcW w:w="611" w:type="pct"/>
          </w:tcPr>
          <w:p w14:paraId="049E5B96" w14:textId="3C2A6971" w:rsidR="00A654A3" w:rsidRPr="00743512" w:rsidRDefault="00A654A3" w:rsidP="002901B9">
            <w:pPr>
              <w:pStyle w:val="TableText0"/>
              <w:keepNext w:val="0"/>
            </w:pPr>
            <w:r w:rsidRPr="00743512">
              <w:t>A</w:t>
            </w:r>
          </w:p>
        </w:tc>
        <w:tc>
          <w:tcPr>
            <w:tcW w:w="1538" w:type="pct"/>
            <w:noWrap/>
            <w:hideMark/>
          </w:tcPr>
          <w:p w14:paraId="0D1558C2" w14:textId="2559E476" w:rsidR="00A654A3" w:rsidRPr="00743512" w:rsidRDefault="00A654A3" w:rsidP="002901B9">
            <w:pPr>
              <w:pStyle w:val="TableText0"/>
              <w:keepNext w:val="0"/>
            </w:pPr>
            <w:r w:rsidRPr="00743512">
              <w:t>Breast cancer incidence</w:t>
            </w:r>
          </w:p>
        </w:tc>
        <w:tc>
          <w:tcPr>
            <w:tcW w:w="475" w:type="pct"/>
            <w:noWrap/>
            <w:hideMark/>
          </w:tcPr>
          <w:p w14:paraId="06FAC0CE" w14:textId="3118DEB7"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3"/>
                <w14:textFill>
                  <w14:solidFill>
                    <w14:srgbClr w14:val="000000">
                      <w14:alpha w14:val="100000"/>
                    </w14:srgbClr>
                  </w14:solidFill>
                </w14:textFill>
              </w:rPr>
              <w:t>||</w:t>
            </w:r>
            <w:r w:rsidRPr="00632DCB">
              <w:rPr>
                <w:color w:val="000000"/>
                <w:spacing w:val="1"/>
                <w:shd w:val="solid" w:color="000000" w:fill="000000"/>
                <w:fitText w:val="230" w:id="-1032088563"/>
                <w14:textFill>
                  <w14:solidFill>
                    <w14:srgbClr w14:val="000000">
                      <w14:alpha w14:val="100000"/>
                    </w14:srgbClr>
                  </w14:solidFill>
                </w14:textFill>
              </w:rPr>
              <w:t>|</w:t>
            </w:r>
            <w:r w:rsidR="006917BB" w:rsidRPr="006917BB">
              <w:rPr>
                <w:vertAlign w:val="superscript"/>
              </w:rPr>
              <w:t>1</w:t>
            </w:r>
          </w:p>
        </w:tc>
        <w:tc>
          <w:tcPr>
            <w:tcW w:w="475" w:type="pct"/>
            <w:noWrap/>
            <w:hideMark/>
          </w:tcPr>
          <w:p w14:paraId="5CC34666" w14:textId="38A75E74"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2"/>
                <w14:textFill>
                  <w14:solidFill>
                    <w14:srgbClr w14:val="000000">
                      <w14:alpha w14:val="100000"/>
                    </w14:srgbClr>
                  </w14:solidFill>
                </w14:textFill>
              </w:rPr>
              <w:t>||</w:t>
            </w:r>
            <w:r w:rsidRPr="00632DCB">
              <w:rPr>
                <w:color w:val="000000"/>
                <w:spacing w:val="1"/>
                <w:shd w:val="solid" w:color="000000" w:fill="000000"/>
                <w:fitText w:val="230" w:id="-1032088562"/>
                <w14:textFill>
                  <w14:solidFill>
                    <w14:srgbClr w14:val="000000">
                      <w14:alpha w14:val="100000"/>
                    </w14:srgbClr>
                  </w14:solidFill>
                </w14:textFill>
              </w:rPr>
              <w:t>|</w:t>
            </w:r>
            <w:r w:rsidR="006917BB" w:rsidRPr="006917BB">
              <w:rPr>
                <w:vertAlign w:val="superscript"/>
              </w:rPr>
              <w:t>1</w:t>
            </w:r>
          </w:p>
        </w:tc>
        <w:tc>
          <w:tcPr>
            <w:tcW w:w="475" w:type="pct"/>
            <w:noWrap/>
            <w:hideMark/>
          </w:tcPr>
          <w:p w14:paraId="4A708D4C" w14:textId="253521CC"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1"/>
                <w14:textFill>
                  <w14:solidFill>
                    <w14:srgbClr w14:val="000000">
                      <w14:alpha w14:val="100000"/>
                    </w14:srgbClr>
                  </w14:solidFill>
                </w14:textFill>
              </w:rPr>
              <w:t>||</w:t>
            </w:r>
            <w:r w:rsidRPr="00632DCB">
              <w:rPr>
                <w:color w:val="000000"/>
                <w:spacing w:val="1"/>
                <w:shd w:val="solid" w:color="000000" w:fill="000000"/>
                <w:fitText w:val="230" w:id="-1032088561"/>
                <w14:textFill>
                  <w14:solidFill>
                    <w14:srgbClr w14:val="000000">
                      <w14:alpha w14:val="100000"/>
                    </w14:srgbClr>
                  </w14:solidFill>
                </w14:textFill>
              </w:rPr>
              <w:t>|</w:t>
            </w:r>
            <w:r w:rsidR="006917BB" w:rsidRPr="006917BB">
              <w:rPr>
                <w:vertAlign w:val="superscript"/>
              </w:rPr>
              <w:t>1</w:t>
            </w:r>
          </w:p>
        </w:tc>
        <w:tc>
          <w:tcPr>
            <w:tcW w:w="475" w:type="pct"/>
            <w:noWrap/>
            <w:hideMark/>
          </w:tcPr>
          <w:p w14:paraId="5AE97912" w14:textId="676AD517"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0"/>
                <w14:textFill>
                  <w14:solidFill>
                    <w14:srgbClr w14:val="000000">
                      <w14:alpha w14:val="100000"/>
                    </w14:srgbClr>
                  </w14:solidFill>
                </w14:textFill>
              </w:rPr>
              <w:t>||</w:t>
            </w:r>
            <w:r w:rsidRPr="00632DCB">
              <w:rPr>
                <w:color w:val="000000"/>
                <w:spacing w:val="1"/>
                <w:shd w:val="solid" w:color="000000" w:fill="000000"/>
                <w:fitText w:val="230" w:id="-1032088560"/>
                <w14:textFill>
                  <w14:solidFill>
                    <w14:srgbClr w14:val="000000">
                      <w14:alpha w14:val="100000"/>
                    </w14:srgbClr>
                  </w14:solidFill>
                </w14:textFill>
              </w:rPr>
              <w:t>|</w:t>
            </w:r>
            <w:r w:rsidR="006917BB" w:rsidRPr="006917BB">
              <w:rPr>
                <w:vertAlign w:val="superscript"/>
              </w:rPr>
              <w:t>1</w:t>
            </w:r>
          </w:p>
        </w:tc>
        <w:tc>
          <w:tcPr>
            <w:tcW w:w="475" w:type="pct"/>
            <w:noWrap/>
            <w:hideMark/>
          </w:tcPr>
          <w:p w14:paraId="49D686EC" w14:textId="413C7E3F"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6"/>
                <w14:textFill>
                  <w14:solidFill>
                    <w14:srgbClr w14:val="000000">
                      <w14:alpha w14:val="100000"/>
                    </w14:srgbClr>
                  </w14:solidFill>
                </w14:textFill>
              </w:rPr>
              <w:t>||</w:t>
            </w:r>
            <w:r w:rsidRPr="00632DCB">
              <w:rPr>
                <w:color w:val="000000"/>
                <w:spacing w:val="1"/>
                <w:shd w:val="solid" w:color="000000" w:fill="000000"/>
                <w:fitText w:val="230" w:id="-1032088576"/>
                <w14:textFill>
                  <w14:solidFill>
                    <w14:srgbClr w14:val="000000">
                      <w14:alpha w14:val="100000"/>
                    </w14:srgbClr>
                  </w14:solidFill>
                </w14:textFill>
              </w:rPr>
              <w:t>|</w:t>
            </w:r>
            <w:r w:rsidR="006917BB" w:rsidRPr="006917BB">
              <w:rPr>
                <w:vertAlign w:val="superscript"/>
              </w:rPr>
              <w:t>1</w:t>
            </w:r>
          </w:p>
        </w:tc>
        <w:tc>
          <w:tcPr>
            <w:tcW w:w="476" w:type="pct"/>
            <w:noWrap/>
            <w:hideMark/>
          </w:tcPr>
          <w:p w14:paraId="4602EE57" w14:textId="3DDF42F0"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5"/>
                <w14:textFill>
                  <w14:solidFill>
                    <w14:srgbClr w14:val="000000">
                      <w14:alpha w14:val="100000"/>
                    </w14:srgbClr>
                  </w14:solidFill>
                </w14:textFill>
              </w:rPr>
              <w:t>||</w:t>
            </w:r>
            <w:r w:rsidRPr="00632DCB">
              <w:rPr>
                <w:color w:val="000000"/>
                <w:spacing w:val="1"/>
                <w:shd w:val="solid" w:color="000000" w:fill="000000"/>
                <w:fitText w:val="230" w:id="-1032088575"/>
                <w14:textFill>
                  <w14:solidFill>
                    <w14:srgbClr w14:val="000000">
                      <w14:alpha w14:val="100000"/>
                    </w14:srgbClr>
                  </w14:solidFill>
                </w14:textFill>
              </w:rPr>
              <w:t>|</w:t>
            </w:r>
            <w:r w:rsidR="006917BB" w:rsidRPr="006917BB">
              <w:rPr>
                <w:vertAlign w:val="superscript"/>
              </w:rPr>
              <w:t>1</w:t>
            </w:r>
          </w:p>
        </w:tc>
      </w:tr>
      <w:tr w:rsidR="002901B9" w:rsidRPr="00743512" w14:paraId="7E6CEC4A" w14:textId="77777777" w:rsidTr="002D5411">
        <w:trPr>
          <w:trHeight w:val="20"/>
        </w:trPr>
        <w:tc>
          <w:tcPr>
            <w:tcW w:w="611" w:type="pct"/>
            <w:tcBorders>
              <w:bottom w:val="single" w:sz="4" w:space="0" w:color="auto"/>
            </w:tcBorders>
          </w:tcPr>
          <w:p w14:paraId="1E87C3A1" w14:textId="29919C42" w:rsidR="00A654A3" w:rsidRPr="00743512" w:rsidRDefault="00A654A3" w:rsidP="002901B9">
            <w:pPr>
              <w:pStyle w:val="TableText0"/>
              <w:keepNext w:val="0"/>
            </w:pPr>
            <w:r w:rsidRPr="00743512">
              <w:t>B</w:t>
            </w:r>
          </w:p>
        </w:tc>
        <w:tc>
          <w:tcPr>
            <w:tcW w:w="1538" w:type="pct"/>
            <w:tcBorders>
              <w:bottom w:val="single" w:sz="4" w:space="0" w:color="auto"/>
            </w:tcBorders>
            <w:noWrap/>
            <w:hideMark/>
          </w:tcPr>
          <w:p w14:paraId="7F73B97F" w14:textId="4A2C3F5E" w:rsidR="00A654A3" w:rsidRPr="00743512" w:rsidRDefault="00A654A3" w:rsidP="002901B9">
            <w:pPr>
              <w:pStyle w:val="TableText0"/>
              <w:keepNext w:val="0"/>
            </w:pPr>
            <w:r w:rsidRPr="00743512">
              <w:t>Patients at stage I-III at diagnosis (95.1%)</w:t>
            </w:r>
          </w:p>
        </w:tc>
        <w:tc>
          <w:tcPr>
            <w:tcW w:w="475" w:type="pct"/>
            <w:tcBorders>
              <w:bottom w:val="single" w:sz="4" w:space="0" w:color="auto"/>
            </w:tcBorders>
            <w:noWrap/>
            <w:hideMark/>
          </w:tcPr>
          <w:p w14:paraId="15A03759" w14:textId="220F6E93"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4"/>
                <w14:textFill>
                  <w14:solidFill>
                    <w14:srgbClr w14:val="000000">
                      <w14:alpha w14:val="100000"/>
                    </w14:srgbClr>
                  </w14:solidFill>
                </w14:textFill>
              </w:rPr>
              <w:t>||</w:t>
            </w:r>
            <w:r w:rsidRPr="00632DCB">
              <w:rPr>
                <w:color w:val="000000"/>
                <w:spacing w:val="1"/>
                <w:shd w:val="solid" w:color="000000" w:fill="000000"/>
                <w:fitText w:val="230" w:id="-1032088574"/>
                <w14:textFill>
                  <w14:solidFill>
                    <w14:srgbClr w14:val="000000">
                      <w14:alpha w14:val="100000"/>
                    </w14:srgbClr>
                  </w14:solidFill>
                </w14:textFill>
              </w:rPr>
              <w:t>|</w:t>
            </w:r>
            <w:r w:rsidR="006917BB" w:rsidRPr="006917BB">
              <w:rPr>
                <w:vertAlign w:val="superscript"/>
              </w:rPr>
              <w:t>1</w:t>
            </w:r>
          </w:p>
        </w:tc>
        <w:tc>
          <w:tcPr>
            <w:tcW w:w="475" w:type="pct"/>
            <w:tcBorders>
              <w:bottom w:val="single" w:sz="4" w:space="0" w:color="auto"/>
            </w:tcBorders>
            <w:noWrap/>
            <w:hideMark/>
          </w:tcPr>
          <w:p w14:paraId="3E780EB3" w14:textId="3EB1D023"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3"/>
                <w14:textFill>
                  <w14:solidFill>
                    <w14:srgbClr w14:val="000000">
                      <w14:alpha w14:val="100000"/>
                    </w14:srgbClr>
                  </w14:solidFill>
                </w14:textFill>
              </w:rPr>
              <w:t>||</w:t>
            </w:r>
            <w:r w:rsidRPr="00632DCB">
              <w:rPr>
                <w:color w:val="000000"/>
                <w:spacing w:val="1"/>
                <w:shd w:val="solid" w:color="000000" w:fill="000000"/>
                <w:fitText w:val="230" w:id="-1032088573"/>
                <w14:textFill>
                  <w14:solidFill>
                    <w14:srgbClr w14:val="000000">
                      <w14:alpha w14:val="100000"/>
                    </w14:srgbClr>
                  </w14:solidFill>
                </w14:textFill>
              </w:rPr>
              <w:t>|</w:t>
            </w:r>
            <w:r w:rsidR="006917BB" w:rsidRPr="006917BB">
              <w:rPr>
                <w:vertAlign w:val="superscript"/>
              </w:rPr>
              <w:t>1</w:t>
            </w:r>
          </w:p>
        </w:tc>
        <w:tc>
          <w:tcPr>
            <w:tcW w:w="475" w:type="pct"/>
            <w:tcBorders>
              <w:bottom w:val="single" w:sz="4" w:space="0" w:color="auto"/>
            </w:tcBorders>
            <w:noWrap/>
            <w:hideMark/>
          </w:tcPr>
          <w:p w14:paraId="1ED8B9CD" w14:textId="6F5D1D82"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2"/>
                <w14:textFill>
                  <w14:solidFill>
                    <w14:srgbClr w14:val="000000">
                      <w14:alpha w14:val="100000"/>
                    </w14:srgbClr>
                  </w14:solidFill>
                </w14:textFill>
              </w:rPr>
              <w:t>||</w:t>
            </w:r>
            <w:r w:rsidRPr="00632DCB">
              <w:rPr>
                <w:color w:val="000000"/>
                <w:spacing w:val="1"/>
                <w:shd w:val="solid" w:color="000000" w:fill="000000"/>
                <w:fitText w:val="230" w:id="-1032088572"/>
                <w14:textFill>
                  <w14:solidFill>
                    <w14:srgbClr w14:val="000000">
                      <w14:alpha w14:val="100000"/>
                    </w14:srgbClr>
                  </w14:solidFill>
                </w14:textFill>
              </w:rPr>
              <w:t>|</w:t>
            </w:r>
            <w:r w:rsidR="006917BB" w:rsidRPr="006917BB">
              <w:rPr>
                <w:vertAlign w:val="superscript"/>
              </w:rPr>
              <w:t>1</w:t>
            </w:r>
          </w:p>
        </w:tc>
        <w:tc>
          <w:tcPr>
            <w:tcW w:w="475" w:type="pct"/>
            <w:tcBorders>
              <w:bottom w:val="single" w:sz="4" w:space="0" w:color="auto"/>
            </w:tcBorders>
            <w:noWrap/>
            <w:hideMark/>
          </w:tcPr>
          <w:p w14:paraId="7B5CBFF7" w14:textId="574F14FC"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1"/>
                <w14:textFill>
                  <w14:solidFill>
                    <w14:srgbClr w14:val="000000">
                      <w14:alpha w14:val="100000"/>
                    </w14:srgbClr>
                  </w14:solidFill>
                </w14:textFill>
              </w:rPr>
              <w:t>||</w:t>
            </w:r>
            <w:r w:rsidRPr="00632DCB">
              <w:rPr>
                <w:color w:val="000000"/>
                <w:spacing w:val="1"/>
                <w:shd w:val="solid" w:color="000000" w:fill="000000"/>
                <w:fitText w:val="230" w:id="-1032088571"/>
                <w14:textFill>
                  <w14:solidFill>
                    <w14:srgbClr w14:val="000000">
                      <w14:alpha w14:val="100000"/>
                    </w14:srgbClr>
                  </w14:solidFill>
                </w14:textFill>
              </w:rPr>
              <w:t>|</w:t>
            </w:r>
            <w:r w:rsidR="006917BB" w:rsidRPr="006917BB">
              <w:rPr>
                <w:vertAlign w:val="superscript"/>
              </w:rPr>
              <w:t>1</w:t>
            </w:r>
          </w:p>
        </w:tc>
        <w:tc>
          <w:tcPr>
            <w:tcW w:w="475" w:type="pct"/>
            <w:tcBorders>
              <w:bottom w:val="single" w:sz="4" w:space="0" w:color="auto"/>
            </w:tcBorders>
            <w:noWrap/>
            <w:hideMark/>
          </w:tcPr>
          <w:p w14:paraId="303D6669" w14:textId="357CB0F6"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0"/>
                <w14:textFill>
                  <w14:solidFill>
                    <w14:srgbClr w14:val="000000">
                      <w14:alpha w14:val="100000"/>
                    </w14:srgbClr>
                  </w14:solidFill>
                </w14:textFill>
              </w:rPr>
              <w:t>||</w:t>
            </w:r>
            <w:r w:rsidRPr="00632DCB">
              <w:rPr>
                <w:color w:val="000000"/>
                <w:spacing w:val="1"/>
                <w:shd w:val="solid" w:color="000000" w:fill="000000"/>
                <w:fitText w:val="230" w:id="-1032088570"/>
                <w14:textFill>
                  <w14:solidFill>
                    <w14:srgbClr w14:val="000000">
                      <w14:alpha w14:val="100000"/>
                    </w14:srgbClr>
                  </w14:solidFill>
                </w14:textFill>
              </w:rPr>
              <w:t>|</w:t>
            </w:r>
            <w:r w:rsidR="006917BB" w:rsidRPr="006917BB">
              <w:rPr>
                <w:vertAlign w:val="superscript"/>
              </w:rPr>
              <w:t>1</w:t>
            </w:r>
          </w:p>
        </w:tc>
        <w:tc>
          <w:tcPr>
            <w:tcW w:w="476" w:type="pct"/>
            <w:tcBorders>
              <w:bottom w:val="single" w:sz="4" w:space="0" w:color="auto"/>
            </w:tcBorders>
            <w:noWrap/>
            <w:hideMark/>
          </w:tcPr>
          <w:p w14:paraId="3E8E9167" w14:textId="514B242D" w:rsidR="00A654A3" w:rsidRPr="00595625"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9"/>
                <w14:textFill>
                  <w14:solidFill>
                    <w14:srgbClr w14:val="000000">
                      <w14:alpha w14:val="100000"/>
                    </w14:srgbClr>
                  </w14:solidFill>
                </w14:textFill>
              </w:rPr>
              <w:t>||</w:t>
            </w:r>
            <w:r w:rsidRPr="00632DCB">
              <w:rPr>
                <w:color w:val="000000"/>
                <w:spacing w:val="1"/>
                <w:shd w:val="solid" w:color="000000" w:fill="000000"/>
                <w:fitText w:val="230" w:id="-1032088569"/>
                <w14:textFill>
                  <w14:solidFill>
                    <w14:srgbClr w14:val="000000">
                      <w14:alpha w14:val="100000"/>
                    </w14:srgbClr>
                  </w14:solidFill>
                </w14:textFill>
              </w:rPr>
              <w:t>|</w:t>
            </w:r>
            <w:r w:rsidR="006917BB" w:rsidRPr="006917BB">
              <w:rPr>
                <w:vertAlign w:val="superscript"/>
              </w:rPr>
              <w:t>1</w:t>
            </w:r>
          </w:p>
        </w:tc>
      </w:tr>
      <w:tr w:rsidR="002901B9" w:rsidRPr="00743512" w14:paraId="4E1F90D8" w14:textId="77777777" w:rsidTr="002D5411">
        <w:trPr>
          <w:trHeight w:val="20"/>
        </w:trPr>
        <w:tc>
          <w:tcPr>
            <w:tcW w:w="611" w:type="pct"/>
            <w:tcBorders>
              <w:right w:val="nil"/>
            </w:tcBorders>
          </w:tcPr>
          <w:p w14:paraId="229E32EF" w14:textId="77777777" w:rsidR="00A654A3" w:rsidRPr="00743512" w:rsidRDefault="00A654A3" w:rsidP="002901B9">
            <w:pPr>
              <w:pStyle w:val="TableText0"/>
              <w:keepNext w:val="0"/>
              <w:rPr>
                <w:b/>
                <w:bCs w:val="0"/>
              </w:rPr>
            </w:pPr>
          </w:p>
        </w:tc>
        <w:tc>
          <w:tcPr>
            <w:tcW w:w="1538" w:type="pct"/>
            <w:tcBorders>
              <w:right w:val="nil"/>
            </w:tcBorders>
            <w:noWrap/>
            <w:hideMark/>
          </w:tcPr>
          <w:p w14:paraId="33B1C4DA" w14:textId="5968C018" w:rsidR="00A654A3" w:rsidRPr="00743512" w:rsidRDefault="00A654A3" w:rsidP="002901B9">
            <w:pPr>
              <w:pStyle w:val="TableText0"/>
              <w:keepNext w:val="0"/>
              <w:rPr>
                <w:b/>
                <w:bCs w:val="0"/>
              </w:rPr>
            </w:pPr>
            <w:r w:rsidRPr="00743512">
              <w:rPr>
                <w:b/>
                <w:bCs w:val="0"/>
              </w:rPr>
              <w:t>TNBC</w:t>
            </w:r>
          </w:p>
        </w:tc>
        <w:tc>
          <w:tcPr>
            <w:tcW w:w="475" w:type="pct"/>
            <w:tcBorders>
              <w:left w:val="nil"/>
              <w:right w:val="nil"/>
            </w:tcBorders>
            <w:noWrap/>
            <w:hideMark/>
          </w:tcPr>
          <w:p w14:paraId="45D99D50"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4874CFCB"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44546E65"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761BF5C0"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29AFB785" w14:textId="77777777" w:rsidR="00A654A3" w:rsidRPr="00743512" w:rsidRDefault="00A654A3" w:rsidP="002901B9">
            <w:pPr>
              <w:pStyle w:val="TableText0"/>
              <w:keepNext w:val="0"/>
              <w:jc w:val="right"/>
              <w:rPr>
                <w:b/>
                <w:bCs w:val="0"/>
              </w:rPr>
            </w:pPr>
          </w:p>
        </w:tc>
        <w:tc>
          <w:tcPr>
            <w:tcW w:w="476" w:type="pct"/>
            <w:tcBorders>
              <w:left w:val="nil"/>
            </w:tcBorders>
            <w:noWrap/>
            <w:hideMark/>
          </w:tcPr>
          <w:p w14:paraId="55202B07" w14:textId="77777777" w:rsidR="00A654A3" w:rsidRPr="00743512" w:rsidRDefault="00A654A3" w:rsidP="002901B9">
            <w:pPr>
              <w:pStyle w:val="TableText0"/>
              <w:keepNext w:val="0"/>
              <w:jc w:val="right"/>
              <w:rPr>
                <w:b/>
                <w:bCs w:val="0"/>
              </w:rPr>
            </w:pPr>
          </w:p>
        </w:tc>
      </w:tr>
      <w:tr w:rsidR="002901B9" w:rsidRPr="00743512" w14:paraId="74FFAE1F" w14:textId="77777777" w:rsidTr="002D5411">
        <w:trPr>
          <w:trHeight w:val="20"/>
        </w:trPr>
        <w:tc>
          <w:tcPr>
            <w:tcW w:w="611" w:type="pct"/>
          </w:tcPr>
          <w:p w14:paraId="7A6EE39A" w14:textId="16665F4B" w:rsidR="00A654A3" w:rsidRPr="00743512" w:rsidRDefault="00A654A3" w:rsidP="002901B9">
            <w:pPr>
              <w:pStyle w:val="TableText0"/>
              <w:keepNext w:val="0"/>
            </w:pPr>
            <w:r w:rsidRPr="00743512">
              <w:t>C</w:t>
            </w:r>
          </w:p>
        </w:tc>
        <w:tc>
          <w:tcPr>
            <w:tcW w:w="1538" w:type="pct"/>
            <w:noWrap/>
            <w:hideMark/>
          </w:tcPr>
          <w:p w14:paraId="2C049E7D" w14:textId="2A14C8FA" w:rsidR="00A654A3" w:rsidRPr="00743512" w:rsidRDefault="00A654A3" w:rsidP="002901B9">
            <w:pPr>
              <w:pStyle w:val="TableText0"/>
              <w:keepNext w:val="0"/>
            </w:pPr>
            <w:r w:rsidRPr="00743512">
              <w:t xml:space="preserve">Patients diagnosed with TNBC </w:t>
            </w:r>
            <w:r w:rsidRPr="00743512">
              <w:br/>
              <w:t>(15.0% of incident breast cancer cases)</w:t>
            </w:r>
          </w:p>
        </w:tc>
        <w:tc>
          <w:tcPr>
            <w:tcW w:w="475" w:type="pct"/>
            <w:noWrap/>
            <w:hideMark/>
          </w:tcPr>
          <w:p w14:paraId="4840EA17" w14:textId="5C6F1EF0"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8"/>
                <w14:textFill>
                  <w14:solidFill>
                    <w14:srgbClr w14:val="000000">
                      <w14:alpha w14:val="100000"/>
                    </w14:srgbClr>
                  </w14:solidFill>
                </w14:textFill>
              </w:rPr>
              <w:t>||</w:t>
            </w:r>
            <w:r w:rsidRPr="00632DCB">
              <w:rPr>
                <w:color w:val="000000"/>
                <w:spacing w:val="1"/>
                <w:shd w:val="solid" w:color="000000" w:fill="000000"/>
                <w:fitText w:val="230" w:id="-1032088568"/>
                <w14:textFill>
                  <w14:solidFill>
                    <w14:srgbClr w14:val="000000">
                      <w14:alpha w14:val="100000"/>
                    </w14:srgbClr>
                  </w14:solidFill>
                </w14:textFill>
              </w:rPr>
              <w:t>|</w:t>
            </w:r>
            <w:r w:rsidR="006917BB" w:rsidRPr="006917BB">
              <w:rPr>
                <w:vertAlign w:val="superscript"/>
              </w:rPr>
              <w:t>2</w:t>
            </w:r>
            <w:r>
              <w:t xml:space="preserve"> </w:t>
            </w:r>
          </w:p>
        </w:tc>
        <w:tc>
          <w:tcPr>
            <w:tcW w:w="475" w:type="pct"/>
            <w:noWrap/>
            <w:hideMark/>
          </w:tcPr>
          <w:p w14:paraId="7D615589" w14:textId="247ECCD4"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6"/>
                <w14:textFill>
                  <w14:solidFill>
                    <w14:srgbClr w14:val="000000">
                      <w14:alpha w14:val="100000"/>
                    </w14:srgbClr>
                  </w14:solidFill>
                </w14:textFill>
              </w:rPr>
              <w:t>||</w:t>
            </w:r>
            <w:r w:rsidRPr="00632DCB">
              <w:rPr>
                <w:color w:val="000000"/>
                <w:spacing w:val="1"/>
                <w:shd w:val="solid" w:color="000000" w:fill="000000"/>
                <w:fitText w:val="230" w:id="-1032088566"/>
                <w14:textFill>
                  <w14:solidFill>
                    <w14:srgbClr w14:val="000000">
                      <w14:alpha w14:val="100000"/>
                    </w14:srgbClr>
                  </w14:solidFill>
                </w14:textFill>
              </w:rPr>
              <w:t>|</w:t>
            </w:r>
            <w:r w:rsidR="002F73D6" w:rsidRPr="006917BB">
              <w:rPr>
                <w:vertAlign w:val="superscript"/>
              </w:rPr>
              <w:t>2</w:t>
            </w:r>
          </w:p>
        </w:tc>
        <w:tc>
          <w:tcPr>
            <w:tcW w:w="475" w:type="pct"/>
            <w:noWrap/>
            <w:hideMark/>
          </w:tcPr>
          <w:p w14:paraId="1A1B592A" w14:textId="33AE3AF1"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5"/>
                <w14:textFill>
                  <w14:solidFill>
                    <w14:srgbClr w14:val="000000">
                      <w14:alpha w14:val="100000"/>
                    </w14:srgbClr>
                  </w14:solidFill>
                </w14:textFill>
              </w:rPr>
              <w:t>||</w:t>
            </w:r>
            <w:r w:rsidRPr="00632DCB">
              <w:rPr>
                <w:color w:val="000000"/>
                <w:spacing w:val="1"/>
                <w:shd w:val="solid" w:color="000000" w:fill="000000"/>
                <w:fitText w:val="230" w:id="-1032088565"/>
                <w14:textFill>
                  <w14:solidFill>
                    <w14:srgbClr w14:val="000000">
                      <w14:alpha w14:val="100000"/>
                    </w14:srgbClr>
                  </w14:solidFill>
                </w14:textFill>
              </w:rPr>
              <w:t>|</w:t>
            </w:r>
            <w:r w:rsidR="002F73D6" w:rsidRPr="006917BB">
              <w:rPr>
                <w:vertAlign w:val="superscript"/>
              </w:rPr>
              <w:t>2</w:t>
            </w:r>
          </w:p>
        </w:tc>
        <w:tc>
          <w:tcPr>
            <w:tcW w:w="475" w:type="pct"/>
            <w:noWrap/>
            <w:hideMark/>
          </w:tcPr>
          <w:p w14:paraId="2638656B" w14:textId="6C174B16"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4"/>
                <w14:textFill>
                  <w14:solidFill>
                    <w14:srgbClr w14:val="000000">
                      <w14:alpha w14:val="100000"/>
                    </w14:srgbClr>
                  </w14:solidFill>
                </w14:textFill>
              </w:rPr>
              <w:t>||</w:t>
            </w:r>
            <w:r w:rsidRPr="00632DCB">
              <w:rPr>
                <w:color w:val="000000"/>
                <w:spacing w:val="1"/>
                <w:shd w:val="solid" w:color="000000" w:fill="000000"/>
                <w:fitText w:val="230" w:id="-1032088564"/>
                <w14:textFill>
                  <w14:solidFill>
                    <w14:srgbClr w14:val="000000">
                      <w14:alpha w14:val="100000"/>
                    </w14:srgbClr>
                  </w14:solidFill>
                </w14:textFill>
              </w:rPr>
              <w:t>|</w:t>
            </w:r>
            <w:r w:rsidR="002F73D6" w:rsidRPr="006917BB">
              <w:rPr>
                <w:vertAlign w:val="superscript"/>
              </w:rPr>
              <w:t>2</w:t>
            </w:r>
          </w:p>
        </w:tc>
        <w:tc>
          <w:tcPr>
            <w:tcW w:w="475" w:type="pct"/>
            <w:noWrap/>
            <w:hideMark/>
          </w:tcPr>
          <w:p w14:paraId="5C978672" w14:textId="2D2C58B6"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3"/>
                <w14:textFill>
                  <w14:solidFill>
                    <w14:srgbClr w14:val="000000">
                      <w14:alpha w14:val="100000"/>
                    </w14:srgbClr>
                  </w14:solidFill>
                </w14:textFill>
              </w:rPr>
              <w:t>||</w:t>
            </w:r>
            <w:r w:rsidRPr="00632DCB">
              <w:rPr>
                <w:color w:val="000000"/>
                <w:spacing w:val="1"/>
                <w:shd w:val="solid" w:color="000000" w:fill="000000"/>
                <w:fitText w:val="230" w:id="-1032088563"/>
                <w14:textFill>
                  <w14:solidFill>
                    <w14:srgbClr w14:val="000000">
                      <w14:alpha w14:val="100000"/>
                    </w14:srgbClr>
                  </w14:solidFill>
                </w14:textFill>
              </w:rPr>
              <w:t>|</w:t>
            </w:r>
            <w:r w:rsidR="002F73D6" w:rsidRPr="006917BB">
              <w:rPr>
                <w:vertAlign w:val="superscript"/>
              </w:rPr>
              <w:t>2</w:t>
            </w:r>
          </w:p>
        </w:tc>
        <w:tc>
          <w:tcPr>
            <w:tcW w:w="476" w:type="pct"/>
            <w:noWrap/>
            <w:hideMark/>
          </w:tcPr>
          <w:p w14:paraId="3C0DB5AE" w14:textId="2387A9E9"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2"/>
                <w14:textFill>
                  <w14:solidFill>
                    <w14:srgbClr w14:val="000000">
                      <w14:alpha w14:val="100000"/>
                    </w14:srgbClr>
                  </w14:solidFill>
                </w14:textFill>
              </w:rPr>
              <w:t>||</w:t>
            </w:r>
            <w:r w:rsidRPr="00632DCB">
              <w:rPr>
                <w:color w:val="000000"/>
                <w:spacing w:val="1"/>
                <w:shd w:val="solid" w:color="000000" w:fill="000000"/>
                <w:fitText w:val="230" w:id="-1032088562"/>
                <w14:textFill>
                  <w14:solidFill>
                    <w14:srgbClr w14:val="000000">
                      <w14:alpha w14:val="100000"/>
                    </w14:srgbClr>
                  </w14:solidFill>
                </w14:textFill>
              </w:rPr>
              <w:t>|</w:t>
            </w:r>
            <w:r w:rsidR="002F73D6" w:rsidRPr="006917BB">
              <w:rPr>
                <w:vertAlign w:val="superscript"/>
              </w:rPr>
              <w:t>2</w:t>
            </w:r>
          </w:p>
        </w:tc>
      </w:tr>
      <w:tr w:rsidR="002901B9" w:rsidRPr="00743512" w14:paraId="0F8DA4C8" w14:textId="77777777" w:rsidTr="002D5411">
        <w:trPr>
          <w:trHeight w:val="20"/>
        </w:trPr>
        <w:tc>
          <w:tcPr>
            <w:tcW w:w="611" w:type="pct"/>
          </w:tcPr>
          <w:p w14:paraId="2C57535E" w14:textId="5A877F4C" w:rsidR="00A654A3" w:rsidRPr="00743512" w:rsidRDefault="00A654A3" w:rsidP="002901B9">
            <w:pPr>
              <w:pStyle w:val="TableText0"/>
              <w:keepNext w:val="0"/>
            </w:pPr>
            <w:r w:rsidRPr="00743512">
              <w:t>D</w:t>
            </w:r>
          </w:p>
        </w:tc>
        <w:tc>
          <w:tcPr>
            <w:tcW w:w="1538" w:type="pct"/>
            <w:noWrap/>
          </w:tcPr>
          <w:p w14:paraId="096D1522" w14:textId="0B1E8169" w:rsidR="00A654A3" w:rsidRPr="00743512" w:rsidDel="00BC27C9" w:rsidRDefault="00A654A3" w:rsidP="002901B9">
            <w:pPr>
              <w:pStyle w:val="TableText0"/>
              <w:keepNext w:val="0"/>
            </w:pPr>
            <w:r w:rsidRPr="00743512">
              <w:t>Patients on (neo)adjuvant chemotherapy (100%)</w:t>
            </w:r>
          </w:p>
        </w:tc>
        <w:tc>
          <w:tcPr>
            <w:tcW w:w="475" w:type="pct"/>
            <w:noWrap/>
          </w:tcPr>
          <w:p w14:paraId="38D06ACE" w14:textId="272C10F7"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1"/>
                <w14:textFill>
                  <w14:solidFill>
                    <w14:srgbClr w14:val="000000">
                      <w14:alpha w14:val="100000"/>
                    </w14:srgbClr>
                  </w14:solidFill>
                </w14:textFill>
              </w:rPr>
              <w:t>||</w:t>
            </w:r>
            <w:r w:rsidRPr="00632DCB">
              <w:rPr>
                <w:color w:val="000000"/>
                <w:spacing w:val="1"/>
                <w:shd w:val="solid" w:color="000000" w:fill="000000"/>
                <w:fitText w:val="230" w:id="-1032088561"/>
                <w14:textFill>
                  <w14:solidFill>
                    <w14:srgbClr w14:val="000000">
                      <w14:alpha w14:val="100000"/>
                    </w14:srgbClr>
                  </w14:solidFill>
                </w14:textFill>
              </w:rPr>
              <w:t>|</w:t>
            </w:r>
            <w:r w:rsidR="002F73D6" w:rsidRPr="006917BB">
              <w:rPr>
                <w:vertAlign w:val="superscript"/>
              </w:rPr>
              <w:t>2</w:t>
            </w:r>
          </w:p>
        </w:tc>
        <w:tc>
          <w:tcPr>
            <w:tcW w:w="475" w:type="pct"/>
            <w:noWrap/>
          </w:tcPr>
          <w:p w14:paraId="2E9E362E" w14:textId="44375886"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0"/>
                <w14:textFill>
                  <w14:solidFill>
                    <w14:srgbClr w14:val="000000">
                      <w14:alpha w14:val="100000"/>
                    </w14:srgbClr>
                  </w14:solidFill>
                </w14:textFill>
              </w:rPr>
              <w:t>||</w:t>
            </w:r>
            <w:r w:rsidRPr="00632DCB">
              <w:rPr>
                <w:color w:val="000000"/>
                <w:spacing w:val="1"/>
                <w:shd w:val="solid" w:color="000000" w:fill="000000"/>
                <w:fitText w:val="230" w:id="-1032088560"/>
                <w14:textFill>
                  <w14:solidFill>
                    <w14:srgbClr w14:val="000000">
                      <w14:alpha w14:val="100000"/>
                    </w14:srgbClr>
                  </w14:solidFill>
                </w14:textFill>
              </w:rPr>
              <w:t>|</w:t>
            </w:r>
            <w:r w:rsidR="002F73D6" w:rsidRPr="006917BB">
              <w:rPr>
                <w:vertAlign w:val="superscript"/>
              </w:rPr>
              <w:t>2</w:t>
            </w:r>
          </w:p>
        </w:tc>
        <w:tc>
          <w:tcPr>
            <w:tcW w:w="475" w:type="pct"/>
            <w:noWrap/>
          </w:tcPr>
          <w:p w14:paraId="06915848" w14:textId="34D2B938"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6"/>
                <w14:textFill>
                  <w14:solidFill>
                    <w14:srgbClr w14:val="000000">
                      <w14:alpha w14:val="100000"/>
                    </w14:srgbClr>
                  </w14:solidFill>
                </w14:textFill>
              </w:rPr>
              <w:t>||</w:t>
            </w:r>
            <w:r w:rsidRPr="00632DCB">
              <w:rPr>
                <w:color w:val="000000"/>
                <w:spacing w:val="1"/>
                <w:shd w:val="solid" w:color="000000" w:fill="000000"/>
                <w:fitText w:val="230" w:id="-1032088576"/>
                <w14:textFill>
                  <w14:solidFill>
                    <w14:srgbClr w14:val="000000">
                      <w14:alpha w14:val="100000"/>
                    </w14:srgbClr>
                  </w14:solidFill>
                </w14:textFill>
              </w:rPr>
              <w:t>|</w:t>
            </w:r>
            <w:r w:rsidR="002F73D6" w:rsidRPr="006917BB">
              <w:rPr>
                <w:vertAlign w:val="superscript"/>
              </w:rPr>
              <w:t>2</w:t>
            </w:r>
          </w:p>
        </w:tc>
        <w:tc>
          <w:tcPr>
            <w:tcW w:w="475" w:type="pct"/>
            <w:noWrap/>
          </w:tcPr>
          <w:p w14:paraId="10F48645" w14:textId="7610E6EC"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5"/>
                <w14:textFill>
                  <w14:solidFill>
                    <w14:srgbClr w14:val="000000">
                      <w14:alpha w14:val="100000"/>
                    </w14:srgbClr>
                  </w14:solidFill>
                </w14:textFill>
              </w:rPr>
              <w:t>||</w:t>
            </w:r>
            <w:r w:rsidRPr="00632DCB">
              <w:rPr>
                <w:color w:val="000000"/>
                <w:spacing w:val="1"/>
                <w:shd w:val="solid" w:color="000000" w:fill="000000"/>
                <w:fitText w:val="230" w:id="-1032088575"/>
                <w14:textFill>
                  <w14:solidFill>
                    <w14:srgbClr w14:val="000000">
                      <w14:alpha w14:val="100000"/>
                    </w14:srgbClr>
                  </w14:solidFill>
                </w14:textFill>
              </w:rPr>
              <w:t>|</w:t>
            </w:r>
            <w:r w:rsidR="002F73D6" w:rsidRPr="006917BB">
              <w:rPr>
                <w:vertAlign w:val="superscript"/>
              </w:rPr>
              <w:t>2</w:t>
            </w:r>
          </w:p>
        </w:tc>
        <w:tc>
          <w:tcPr>
            <w:tcW w:w="475" w:type="pct"/>
            <w:noWrap/>
          </w:tcPr>
          <w:p w14:paraId="0FCFBCD1" w14:textId="08262FA2"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4"/>
                <w14:textFill>
                  <w14:solidFill>
                    <w14:srgbClr w14:val="000000">
                      <w14:alpha w14:val="100000"/>
                    </w14:srgbClr>
                  </w14:solidFill>
                </w14:textFill>
              </w:rPr>
              <w:t>||</w:t>
            </w:r>
            <w:r w:rsidRPr="00632DCB">
              <w:rPr>
                <w:color w:val="000000"/>
                <w:spacing w:val="1"/>
                <w:shd w:val="solid" w:color="000000" w:fill="000000"/>
                <w:fitText w:val="230" w:id="-1032088574"/>
                <w14:textFill>
                  <w14:solidFill>
                    <w14:srgbClr w14:val="000000">
                      <w14:alpha w14:val="100000"/>
                    </w14:srgbClr>
                  </w14:solidFill>
                </w14:textFill>
              </w:rPr>
              <w:t>|</w:t>
            </w:r>
            <w:r w:rsidR="002F73D6" w:rsidRPr="006917BB">
              <w:rPr>
                <w:vertAlign w:val="superscript"/>
              </w:rPr>
              <w:t>2</w:t>
            </w:r>
          </w:p>
        </w:tc>
        <w:tc>
          <w:tcPr>
            <w:tcW w:w="476" w:type="pct"/>
            <w:noWrap/>
          </w:tcPr>
          <w:p w14:paraId="2F8B56CC" w14:textId="400B1BCD"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73"/>
                <w14:textFill>
                  <w14:solidFill>
                    <w14:srgbClr w14:val="000000">
                      <w14:alpha w14:val="100000"/>
                    </w14:srgbClr>
                  </w14:solidFill>
                </w14:textFill>
              </w:rPr>
              <w:t>||</w:t>
            </w:r>
            <w:r w:rsidRPr="00632DCB">
              <w:rPr>
                <w:color w:val="000000"/>
                <w:spacing w:val="1"/>
                <w:shd w:val="solid" w:color="000000" w:fill="000000"/>
                <w:fitText w:val="230" w:id="-1032088573"/>
                <w14:textFill>
                  <w14:solidFill>
                    <w14:srgbClr w14:val="000000">
                      <w14:alpha w14:val="100000"/>
                    </w14:srgbClr>
                  </w14:solidFill>
                </w14:textFill>
              </w:rPr>
              <w:t>|</w:t>
            </w:r>
            <w:r w:rsidR="002F73D6" w:rsidRPr="006917BB">
              <w:rPr>
                <w:vertAlign w:val="superscript"/>
              </w:rPr>
              <w:t>2</w:t>
            </w:r>
          </w:p>
        </w:tc>
      </w:tr>
      <w:tr w:rsidR="002901B9" w:rsidRPr="00743512" w14:paraId="5423D1DF" w14:textId="77777777" w:rsidTr="002D5411">
        <w:trPr>
          <w:trHeight w:val="20"/>
        </w:trPr>
        <w:tc>
          <w:tcPr>
            <w:tcW w:w="611" w:type="pct"/>
          </w:tcPr>
          <w:p w14:paraId="245352E0" w14:textId="2575F8C4" w:rsidR="00A654A3" w:rsidRPr="00743512" w:rsidRDefault="00A654A3" w:rsidP="002901B9">
            <w:pPr>
              <w:pStyle w:val="TableText0"/>
              <w:keepNext w:val="0"/>
            </w:pPr>
            <w:r w:rsidRPr="00743512">
              <w:t>E</w:t>
            </w:r>
          </w:p>
        </w:tc>
        <w:tc>
          <w:tcPr>
            <w:tcW w:w="1538" w:type="pct"/>
            <w:noWrap/>
            <w:hideMark/>
          </w:tcPr>
          <w:p w14:paraId="0FC7DA45" w14:textId="1848D056" w:rsidR="00A654A3" w:rsidRPr="00743512" w:rsidRDefault="00A654A3" w:rsidP="002901B9">
            <w:pPr>
              <w:pStyle w:val="TableText0"/>
              <w:keepNext w:val="0"/>
            </w:pPr>
            <w:r w:rsidRPr="00743512">
              <w:t>Uptake of g</w:t>
            </w:r>
            <w:r w:rsidRPr="00743512">
              <w:rPr>
                <w:i/>
              </w:rPr>
              <w:t>BRCA</w:t>
            </w:r>
            <w:r w:rsidRPr="00743512">
              <w:t xml:space="preserve"> testing in TNBC patients</w:t>
            </w:r>
            <w:r w:rsidR="006917BB">
              <w:t xml:space="preserve"> (%)</w:t>
            </w:r>
          </w:p>
        </w:tc>
        <w:tc>
          <w:tcPr>
            <w:tcW w:w="475" w:type="pct"/>
            <w:noWrap/>
            <w:hideMark/>
          </w:tcPr>
          <w:p w14:paraId="010D380D" w14:textId="643D7E00" w:rsidR="00A654A3" w:rsidRPr="006917BB"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572"/>
                <w14:textFill>
                  <w14:solidFill>
                    <w14:srgbClr w14:val="000000">
                      <w14:alpha w14:val="100000"/>
                    </w14:srgbClr>
                  </w14:solidFill>
                </w14:textFill>
              </w:rPr>
              <w:t>|</w:t>
            </w:r>
            <w:r w:rsidRPr="00632DCB">
              <w:rPr>
                <w:color w:val="000000"/>
                <w:spacing w:val="1"/>
                <w:shd w:val="solid" w:color="000000" w:fill="000000"/>
                <w:fitText w:val="170" w:id="-1032088572"/>
                <w14:textFill>
                  <w14:solidFill>
                    <w14:srgbClr w14:val="000000">
                      <w14:alpha w14:val="100000"/>
                    </w14:srgbClr>
                  </w14:solidFill>
                </w14:textFill>
              </w:rPr>
              <w:t>|</w:t>
            </w:r>
          </w:p>
        </w:tc>
        <w:tc>
          <w:tcPr>
            <w:tcW w:w="475" w:type="pct"/>
            <w:noWrap/>
            <w:hideMark/>
          </w:tcPr>
          <w:p w14:paraId="732BF9ED" w14:textId="20FFE945" w:rsidR="00A654A3" w:rsidRPr="006917BB"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571"/>
                <w14:textFill>
                  <w14:solidFill>
                    <w14:srgbClr w14:val="000000">
                      <w14:alpha w14:val="100000"/>
                    </w14:srgbClr>
                  </w14:solidFill>
                </w14:textFill>
              </w:rPr>
              <w:t>|</w:t>
            </w:r>
            <w:r w:rsidRPr="00632DCB">
              <w:rPr>
                <w:color w:val="000000"/>
                <w:spacing w:val="1"/>
                <w:shd w:val="solid" w:color="000000" w:fill="000000"/>
                <w:fitText w:val="170" w:id="-1032088571"/>
                <w14:textFill>
                  <w14:solidFill>
                    <w14:srgbClr w14:val="000000">
                      <w14:alpha w14:val="100000"/>
                    </w14:srgbClr>
                  </w14:solidFill>
                </w14:textFill>
              </w:rPr>
              <w:t>|</w:t>
            </w:r>
          </w:p>
        </w:tc>
        <w:tc>
          <w:tcPr>
            <w:tcW w:w="475" w:type="pct"/>
            <w:noWrap/>
            <w:hideMark/>
          </w:tcPr>
          <w:p w14:paraId="791FE392" w14:textId="7B2DB72C" w:rsidR="00A654A3" w:rsidRPr="006917BB"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570"/>
                <w14:textFill>
                  <w14:solidFill>
                    <w14:srgbClr w14:val="000000">
                      <w14:alpha w14:val="100000"/>
                    </w14:srgbClr>
                  </w14:solidFill>
                </w14:textFill>
              </w:rPr>
              <w:t>|</w:t>
            </w:r>
            <w:r w:rsidRPr="00632DCB">
              <w:rPr>
                <w:color w:val="000000"/>
                <w:spacing w:val="1"/>
                <w:shd w:val="solid" w:color="000000" w:fill="000000"/>
                <w:fitText w:val="170" w:id="-1032088570"/>
                <w14:textFill>
                  <w14:solidFill>
                    <w14:srgbClr w14:val="000000">
                      <w14:alpha w14:val="100000"/>
                    </w14:srgbClr>
                  </w14:solidFill>
                </w14:textFill>
              </w:rPr>
              <w:t>|</w:t>
            </w:r>
          </w:p>
        </w:tc>
        <w:tc>
          <w:tcPr>
            <w:tcW w:w="475" w:type="pct"/>
            <w:noWrap/>
            <w:hideMark/>
          </w:tcPr>
          <w:p w14:paraId="576A41C3" w14:textId="7A042C6C" w:rsidR="00A654A3" w:rsidRPr="006917BB"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569"/>
                <w14:textFill>
                  <w14:solidFill>
                    <w14:srgbClr w14:val="000000">
                      <w14:alpha w14:val="100000"/>
                    </w14:srgbClr>
                  </w14:solidFill>
                </w14:textFill>
              </w:rPr>
              <w:t>|</w:t>
            </w:r>
            <w:r w:rsidRPr="00632DCB">
              <w:rPr>
                <w:color w:val="000000"/>
                <w:spacing w:val="1"/>
                <w:shd w:val="solid" w:color="000000" w:fill="000000"/>
                <w:fitText w:val="170" w:id="-1032088569"/>
                <w14:textFill>
                  <w14:solidFill>
                    <w14:srgbClr w14:val="000000">
                      <w14:alpha w14:val="100000"/>
                    </w14:srgbClr>
                  </w14:solidFill>
                </w14:textFill>
              </w:rPr>
              <w:t>|</w:t>
            </w:r>
          </w:p>
        </w:tc>
        <w:tc>
          <w:tcPr>
            <w:tcW w:w="475" w:type="pct"/>
            <w:noWrap/>
            <w:hideMark/>
          </w:tcPr>
          <w:p w14:paraId="2269BB12" w14:textId="673D12BE" w:rsidR="00A654A3" w:rsidRPr="006917BB"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568"/>
                <w14:textFill>
                  <w14:solidFill>
                    <w14:srgbClr w14:val="000000">
                      <w14:alpha w14:val="100000"/>
                    </w14:srgbClr>
                  </w14:solidFill>
                </w14:textFill>
              </w:rPr>
              <w:t>|</w:t>
            </w:r>
            <w:r w:rsidRPr="00632DCB">
              <w:rPr>
                <w:color w:val="000000"/>
                <w:spacing w:val="1"/>
                <w:shd w:val="solid" w:color="000000" w:fill="000000"/>
                <w:fitText w:val="170" w:id="-1032088568"/>
                <w14:textFill>
                  <w14:solidFill>
                    <w14:srgbClr w14:val="000000">
                      <w14:alpha w14:val="100000"/>
                    </w14:srgbClr>
                  </w14:solidFill>
                </w14:textFill>
              </w:rPr>
              <w:t>|</w:t>
            </w:r>
          </w:p>
        </w:tc>
        <w:tc>
          <w:tcPr>
            <w:tcW w:w="476" w:type="pct"/>
            <w:noWrap/>
            <w:hideMark/>
          </w:tcPr>
          <w:p w14:paraId="4D3A643A" w14:textId="2E05BE09" w:rsidR="00A654A3" w:rsidRPr="006917BB"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567"/>
                <w14:textFill>
                  <w14:solidFill>
                    <w14:srgbClr w14:val="000000">
                      <w14:alpha w14:val="100000"/>
                    </w14:srgbClr>
                  </w14:solidFill>
                </w14:textFill>
              </w:rPr>
              <w:t>|</w:t>
            </w:r>
            <w:r w:rsidRPr="00632DCB">
              <w:rPr>
                <w:color w:val="000000"/>
                <w:spacing w:val="1"/>
                <w:shd w:val="solid" w:color="000000" w:fill="000000"/>
                <w:fitText w:val="170" w:id="-1032088567"/>
                <w14:textFill>
                  <w14:solidFill>
                    <w14:srgbClr w14:val="000000">
                      <w14:alpha w14:val="100000"/>
                    </w14:srgbClr>
                  </w14:solidFill>
                </w14:textFill>
              </w:rPr>
              <w:t>|</w:t>
            </w:r>
          </w:p>
        </w:tc>
      </w:tr>
      <w:tr w:rsidR="002901B9" w:rsidRPr="00743512" w14:paraId="0BF19F0C" w14:textId="77777777" w:rsidTr="002D5411">
        <w:trPr>
          <w:trHeight w:val="20"/>
        </w:trPr>
        <w:tc>
          <w:tcPr>
            <w:tcW w:w="611" w:type="pct"/>
          </w:tcPr>
          <w:p w14:paraId="13598CB8" w14:textId="0A0395B7" w:rsidR="00A654A3" w:rsidRPr="00743512" w:rsidRDefault="00A654A3" w:rsidP="002901B9">
            <w:pPr>
              <w:pStyle w:val="TableText0"/>
              <w:keepNext w:val="0"/>
            </w:pPr>
            <w:r w:rsidRPr="00743512">
              <w:t>F</w:t>
            </w:r>
          </w:p>
        </w:tc>
        <w:tc>
          <w:tcPr>
            <w:tcW w:w="1538" w:type="pct"/>
            <w:shd w:val="clear" w:color="auto" w:fill="auto"/>
            <w:noWrap/>
            <w:hideMark/>
          </w:tcPr>
          <w:p w14:paraId="7D3738D1" w14:textId="2B9F24F5" w:rsidR="00A654A3" w:rsidRPr="00743512" w:rsidRDefault="00A654A3" w:rsidP="002901B9">
            <w:pPr>
              <w:pStyle w:val="TableText0"/>
              <w:keepNext w:val="0"/>
            </w:pPr>
            <w:r w:rsidRPr="00743512">
              <w:t>TNBC patients tested</w:t>
            </w:r>
          </w:p>
        </w:tc>
        <w:tc>
          <w:tcPr>
            <w:tcW w:w="475" w:type="pct"/>
            <w:shd w:val="clear" w:color="auto" w:fill="auto"/>
            <w:noWrap/>
            <w:hideMark/>
          </w:tcPr>
          <w:p w14:paraId="4A8B9DD7" w14:textId="499BA4EB"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6"/>
                <w14:textFill>
                  <w14:solidFill>
                    <w14:srgbClr w14:val="000000">
                      <w14:alpha w14:val="100000"/>
                    </w14:srgbClr>
                  </w14:solidFill>
                </w14:textFill>
              </w:rPr>
              <w:t>||</w:t>
            </w:r>
            <w:r w:rsidRPr="00632DCB">
              <w:rPr>
                <w:color w:val="000000"/>
                <w:spacing w:val="1"/>
                <w:shd w:val="solid" w:color="000000" w:fill="000000"/>
                <w:fitText w:val="230" w:id="-1032088566"/>
                <w14:textFill>
                  <w14:solidFill>
                    <w14:srgbClr w14:val="000000">
                      <w14:alpha w14:val="100000"/>
                    </w14:srgbClr>
                  </w14:solidFill>
                </w14:textFill>
              </w:rPr>
              <w:t>|</w:t>
            </w:r>
            <w:r w:rsidR="002F73D6" w:rsidRPr="006917BB">
              <w:rPr>
                <w:vertAlign w:val="superscript"/>
              </w:rPr>
              <w:t>2</w:t>
            </w:r>
          </w:p>
        </w:tc>
        <w:tc>
          <w:tcPr>
            <w:tcW w:w="475" w:type="pct"/>
            <w:shd w:val="clear" w:color="auto" w:fill="auto"/>
            <w:noWrap/>
            <w:hideMark/>
          </w:tcPr>
          <w:p w14:paraId="69331AF1" w14:textId="4E44BC25"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5"/>
                <w14:textFill>
                  <w14:solidFill>
                    <w14:srgbClr w14:val="000000">
                      <w14:alpha w14:val="100000"/>
                    </w14:srgbClr>
                  </w14:solidFill>
                </w14:textFill>
              </w:rPr>
              <w:t>||</w:t>
            </w:r>
            <w:r w:rsidRPr="00632DCB">
              <w:rPr>
                <w:color w:val="000000"/>
                <w:spacing w:val="1"/>
                <w:shd w:val="solid" w:color="000000" w:fill="000000"/>
                <w:fitText w:val="230" w:id="-1032088565"/>
                <w14:textFill>
                  <w14:solidFill>
                    <w14:srgbClr w14:val="000000">
                      <w14:alpha w14:val="100000"/>
                    </w14:srgbClr>
                  </w14:solidFill>
                </w14:textFill>
              </w:rPr>
              <w:t>|</w:t>
            </w:r>
            <w:r w:rsidR="002F73D6" w:rsidRPr="006917BB">
              <w:rPr>
                <w:vertAlign w:val="superscript"/>
              </w:rPr>
              <w:t>2</w:t>
            </w:r>
          </w:p>
        </w:tc>
        <w:tc>
          <w:tcPr>
            <w:tcW w:w="475" w:type="pct"/>
            <w:shd w:val="clear" w:color="auto" w:fill="auto"/>
            <w:noWrap/>
            <w:hideMark/>
          </w:tcPr>
          <w:p w14:paraId="689D8795" w14:textId="01C13A7F"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4"/>
                <w14:textFill>
                  <w14:solidFill>
                    <w14:srgbClr w14:val="000000">
                      <w14:alpha w14:val="100000"/>
                    </w14:srgbClr>
                  </w14:solidFill>
                </w14:textFill>
              </w:rPr>
              <w:t>||</w:t>
            </w:r>
            <w:r w:rsidRPr="00632DCB">
              <w:rPr>
                <w:color w:val="000000"/>
                <w:spacing w:val="1"/>
                <w:shd w:val="solid" w:color="000000" w:fill="000000"/>
                <w:fitText w:val="230" w:id="-1032088564"/>
                <w14:textFill>
                  <w14:solidFill>
                    <w14:srgbClr w14:val="000000">
                      <w14:alpha w14:val="100000"/>
                    </w14:srgbClr>
                  </w14:solidFill>
                </w14:textFill>
              </w:rPr>
              <w:t>|</w:t>
            </w:r>
            <w:r w:rsidR="002F73D6" w:rsidRPr="006917BB">
              <w:rPr>
                <w:vertAlign w:val="superscript"/>
              </w:rPr>
              <w:t>2</w:t>
            </w:r>
          </w:p>
        </w:tc>
        <w:tc>
          <w:tcPr>
            <w:tcW w:w="475" w:type="pct"/>
            <w:shd w:val="clear" w:color="auto" w:fill="auto"/>
            <w:noWrap/>
            <w:hideMark/>
          </w:tcPr>
          <w:p w14:paraId="7E675EE1" w14:textId="525742AA"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563"/>
                <w14:textFill>
                  <w14:solidFill>
                    <w14:srgbClr w14:val="000000">
                      <w14:alpha w14:val="100000"/>
                    </w14:srgbClr>
                  </w14:solidFill>
                </w14:textFill>
              </w:rPr>
              <w:t>||</w:t>
            </w:r>
            <w:r w:rsidRPr="00632DCB">
              <w:rPr>
                <w:color w:val="000000"/>
                <w:spacing w:val="1"/>
                <w:shd w:val="solid" w:color="000000" w:fill="000000"/>
                <w:fitText w:val="230" w:id="-1032088563"/>
                <w14:textFill>
                  <w14:solidFill>
                    <w14:srgbClr w14:val="000000">
                      <w14:alpha w14:val="100000"/>
                    </w14:srgbClr>
                  </w14:solidFill>
                </w14:textFill>
              </w:rPr>
              <w:t>|</w:t>
            </w:r>
            <w:r w:rsidR="002F73D6" w:rsidRPr="006917BB">
              <w:rPr>
                <w:vertAlign w:val="superscript"/>
              </w:rPr>
              <w:t>2</w:t>
            </w:r>
          </w:p>
        </w:tc>
        <w:tc>
          <w:tcPr>
            <w:tcW w:w="475" w:type="pct"/>
            <w:shd w:val="clear" w:color="auto" w:fill="auto"/>
            <w:noWrap/>
            <w:hideMark/>
          </w:tcPr>
          <w:p w14:paraId="5EAFD253" w14:textId="1DD2AFB2"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20"/>
                <w14:textFill>
                  <w14:solidFill>
                    <w14:srgbClr w14:val="000000">
                      <w14:alpha w14:val="100000"/>
                    </w14:srgbClr>
                  </w14:solidFill>
                </w14:textFill>
              </w:rPr>
              <w:t>||</w:t>
            </w:r>
            <w:r w:rsidRPr="00632DCB">
              <w:rPr>
                <w:color w:val="000000"/>
                <w:spacing w:val="1"/>
                <w:shd w:val="solid" w:color="000000" w:fill="000000"/>
                <w:fitText w:val="230" w:id="-1032088320"/>
                <w14:textFill>
                  <w14:solidFill>
                    <w14:srgbClr w14:val="000000">
                      <w14:alpha w14:val="100000"/>
                    </w14:srgbClr>
                  </w14:solidFill>
                </w14:textFill>
              </w:rPr>
              <w:t>|</w:t>
            </w:r>
            <w:r w:rsidR="002F73D6" w:rsidRPr="006917BB">
              <w:rPr>
                <w:vertAlign w:val="superscript"/>
              </w:rPr>
              <w:t>2</w:t>
            </w:r>
          </w:p>
        </w:tc>
        <w:tc>
          <w:tcPr>
            <w:tcW w:w="476" w:type="pct"/>
            <w:shd w:val="clear" w:color="auto" w:fill="auto"/>
            <w:noWrap/>
            <w:hideMark/>
          </w:tcPr>
          <w:p w14:paraId="1A24AC45" w14:textId="24A21FFF"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9"/>
                <w14:textFill>
                  <w14:solidFill>
                    <w14:srgbClr w14:val="000000">
                      <w14:alpha w14:val="100000"/>
                    </w14:srgbClr>
                  </w14:solidFill>
                </w14:textFill>
              </w:rPr>
              <w:t>||</w:t>
            </w:r>
            <w:r w:rsidRPr="00632DCB">
              <w:rPr>
                <w:color w:val="000000"/>
                <w:spacing w:val="1"/>
                <w:shd w:val="solid" w:color="000000" w:fill="000000"/>
                <w:fitText w:val="230" w:id="-1032088319"/>
                <w14:textFill>
                  <w14:solidFill>
                    <w14:srgbClr w14:val="000000">
                      <w14:alpha w14:val="100000"/>
                    </w14:srgbClr>
                  </w14:solidFill>
                </w14:textFill>
              </w:rPr>
              <w:t>|</w:t>
            </w:r>
            <w:r w:rsidR="002F73D6" w:rsidRPr="006917BB">
              <w:rPr>
                <w:vertAlign w:val="superscript"/>
              </w:rPr>
              <w:t>2</w:t>
            </w:r>
          </w:p>
        </w:tc>
      </w:tr>
      <w:tr w:rsidR="002901B9" w:rsidRPr="00743512" w14:paraId="7B13201A" w14:textId="77777777" w:rsidTr="002D5411">
        <w:trPr>
          <w:trHeight w:val="20"/>
        </w:trPr>
        <w:tc>
          <w:tcPr>
            <w:tcW w:w="611" w:type="pct"/>
            <w:tcBorders>
              <w:bottom w:val="single" w:sz="4" w:space="0" w:color="auto"/>
            </w:tcBorders>
          </w:tcPr>
          <w:p w14:paraId="368141AD" w14:textId="09217971" w:rsidR="00A654A3" w:rsidRPr="00743512" w:rsidRDefault="00A654A3" w:rsidP="002901B9">
            <w:pPr>
              <w:pStyle w:val="TableText0"/>
              <w:keepNext w:val="0"/>
            </w:pPr>
            <w:r w:rsidRPr="00743512">
              <w:t>G</w:t>
            </w:r>
          </w:p>
        </w:tc>
        <w:tc>
          <w:tcPr>
            <w:tcW w:w="1538" w:type="pct"/>
            <w:tcBorders>
              <w:bottom w:val="single" w:sz="4" w:space="0" w:color="auto"/>
            </w:tcBorders>
            <w:noWrap/>
            <w:hideMark/>
          </w:tcPr>
          <w:p w14:paraId="4F6F49E1" w14:textId="6D782DC8" w:rsidR="00A654A3" w:rsidRPr="00743512" w:rsidRDefault="00A654A3" w:rsidP="002901B9">
            <w:pPr>
              <w:pStyle w:val="TableText0"/>
              <w:keepNext w:val="0"/>
            </w:pPr>
            <w:r w:rsidRPr="00743512">
              <w:t>TNBC patients with g</w:t>
            </w:r>
            <w:r w:rsidRPr="00743512">
              <w:rPr>
                <w:i/>
              </w:rPr>
              <w:t>BRCA</w:t>
            </w:r>
            <w:r w:rsidRPr="00743512">
              <w:t xml:space="preserve"> variants (13.3%)</w:t>
            </w:r>
          </w:p>
        </w:tc>
        <w:tc>
          <w:tcPr>
            <w:tcW w:w="475" w:type="pct"/>
            <w:tcBorders>
              <w:bottom w:val="single" w:sz="4" w:space="0" w:color="auto"/>
            </w:tcBorders>
            <w:noWrap/>
            <w:hideMark/>
          </w:tcPr>
          <w:p w14:paraId="7B721141" w14:textId="72AC3C28" w:rsidR="00A654A3" w:rsidRPr="002F73D6"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8"/>
                <w14:textFill>
                  <w14:solidFill>
                    <w14:srgbClr w14:val="000000">
                      <w14:alpha w14:val="100000"/>
                    </w14:srgbClr>
                  </w14:solidFill>
                </w14:textFill>
              </w:rPr>
              <w:t>||</w:t>
            </w:r>
            <w:r w:rsidRPr="00632DCB">
              <w:rPr>
                <w:color w:val="000000"/>
                <w:spacing w:val="1"/>
                <w:shd w:val="solid" w:color="000000" w:fill="000000"/>
                <w:fitText w:val="230" w:id="-1032088318"/>
                <w14:textFill>
                  <w14:solidFill>
                    <w14:srgbClr w14:val="000000">
                      <w14:alpha w14:val="100000"/>
                    </w14:srgbClr>
                  </w14:solidFill>
                </w14:textFill>
              </w:rPr>
              <w:t>|</w:t>
            </w:r>
            <w:r w:rsidR="002F73D6" w:rsidRPr="002F73D6">
              <w:rPr>
                <w:vertAlign w:val="superscript"/>
              </w:rPr>
              <w:t>3</w:t>
            </w:r>
          </w:p>
        </w:tc>
        <w:tc>
          <w:tcPr>
            <w:tcW w:w="475" w:type="pct"/>
            <w:tcBorders>
              <w:bottom w:val="single" w:sz="4" w:space="0" w:color="auto"/>
            </w:tcBorders>
            <w:noWrap/>
            <w:hideMark/>
          </w:tcPr>
          <w:p w14:paraId="620CE69E" w14:textId="55709847"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7"/>
                <w14:textFill>
                  <w14:solidFill>
                    <w14:srgbClr w14:val="000000">
                      <w14:alpha w14:val="100000"/>
                    </w14:srgbClr>
                  </w14:solidFill>
                </w14:textFill>
              </w:rPr>
              <w:t>||</w:t>
            </w:r>
            <w:r w:rsidRPr="00632DCB">
              <w:rPr>
                <w:color w:val="000000"/>
                <w:spacing w:val="1"/>
                <w:shd w:val="solid" w:color="000000" w:fill="000000"/>
                <w:fitText w:val="230" w:id="-1032088317"/>
                <w14:textFill>
                  <w14:solidFill>
                    <w14:srgbClr w14:val="000000">
                      <w14:alpha w14:val="100000"/>
                    </w14:srgbClr>
                  </w14:solidFill>
                </w14:textFill>
              </w:rPr>
              <w:t>|</w:t>
            </w:r>
            <w:r w:rsidR="002F73D6" w:rsidRPr="002F73D6">
              <w:rPr>
                <w:vertAlign w:val="superscript"/>
              </w:rPr>
              <w:t>3</w:t>
            </w:r>
          </w:p>
        </w:tc>
        <w:tc>
          <w:tcPr>
            <w:tcW w:w="475" w:type="pct"/>
            <w:tcBorders>
              <w:bottom w:val="single" w:sz="4" w:space="0" w:color="auto"/>
            </w:tcBorders>
            <w:noWrap/>
            <w:hideMark/>
          </w:tcPr>
          <w:p w14:paraId="23F82CEB" w14:textId="33D241C9"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6"/>
                <w14:textFill>
                  <w14:solidFill>
                    <w14:srgbClr w14:val="000000">
                      <w14:alpha w14:val="100000"/>
                    </w14:srgbClr>
                  </w14:solidFill>
                </w14:textFill>
              </w:rPr>
              <w:t>||</w:t>
            </w:r>
            <w:r w:rsidRPr="00632DCB">
              <w:rPr>
                <w:color w:val="000000"/>
                <w:spacing w:val="1"/>
                <w:shd w:val="solid" w:color="000000" w:fill="000000"/>
                <w:fitText w:val="230" w:id="-1032088316"/>
                <w14:textFill>
                  <w14:solidFill>
                    <w14:srgbClr w14:val="000000">
                      <w14:alpha w14:val="100000"/>
                    </w14:srgbClr>
                  </w14:solidFill>
                </w14:textFill>
              </w:rPr>
              <w:t>|</w:t>
            </w:r>
            <w:r w:rsidR="002F73D6" w:rsidRPr="002F73D6">
              <w:rPr>
                <w:vertAlign w:val="superscript"/>
              </w:rPr>
              <w:t>3</w:t>
            </w:r>
          </w:p>
        </w:tc>
        <w:tc>
          <w:tcPr>
            <w:tcW w:w="475" w:type="pct"/>
            <w:tcBorders>
              <w:bottom w:val="single" w:sz="4" w:space="0" w:color="auto"/>
            </w:tcBorders>
            <w:noWrap/>
            <w:hideMark/>
          </w:tcPr>
          <w:p w14:paraId="02DFEDF8" w14:textId="5036EAAD"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5"/>
                <w14:textFill>
                  <w14:solidFill>
                    <w14:srgbClr w14:val="000000">
                      <w14:alpha w14:val="100000"/>
                    </w14:srgbClr>
                  </w14:solidFill>
                </w14:textFill>
              </w:rPr>
              <w:t>||</w:t>
            </w:r>
            <w:r w:rsidRPr="00632DCB">
              <w:rPr>
                <w:color w:val="000000"/>
                <w:spacing w:val="1"/>
                <w:shd w:val="solid" w:color="000000" w:fill="000000"/>
                <w:fitText w:val="230" w:id="-1032088315"/>
                <w14:textFill>
                  <w14:solidFill>
                    <w14:srgbClr w14:val="000000">
                      <w14:alpha w14:val="100000"/>
                    </w14:srgbClr>
                  </w14:solidFill>
                </w14:textFill>
              </w:rPr>
              <w:t>|</w:t>
            </w:r>
            <w:r w:rsidR="002F73D6" w:rsidRPr="002F73D6">
              <w:rPr>
                <w:vertAlign w:val="superscript"/>
              </w:rPr>
              <w:t>3</w:t>
            </w:r>
          </w:p>
        </w:tc>
        <w:tc>
          <w:tcPr>
            <w:tcW w:w="475" w:type="pct"/>
            <w:tcBorders>
              <w:bottom w:val="single" w:sz="4" w:space="0" w:color="auto"/>
            </w:tcBorders>
            <w:noWrap/>
            <w:hideMark/>
          </w:tcPr>
          <w:p w14:paraId="63B8F837" w14:textId="508CCED3"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4"/>
                <w14:textFill>
                  <w14:solidFill>
                    <w14:srgbClr w14:val="000000">
                      <w14:alpha w14:val="100000"/>
                    </w14:srgbClr>
                  </w14:solidFill>
                </w14:textFill>
              </w:rPr>
              <w:t>||</w:t>
            </w:r>
            <w:r w:rsidRPr="00632DCB">
              <w:rPr>
                <w:color w:val="000000"/>
                <w:spacing w:val="1"/>
                <w:shd w:val="solid" w:color="000000" w:fill="000000"/>
                <w:fitText w:val="230" w:id="-1032088314"/>
                <w14:textFill>
                  <w14:solidFill>
                    <w14:srgbClr w14:val="000000">
                      <w14:alpha w14:val="100000"/>
                    </w14:srgbClr>
                  </w14:solidFill>
                </w14:textFill>
              </w:rPr>
              <w:t>|</w:t>
            </w:r>
            <w:r w:rsidR="002F73D6" w:rsidRPr="002F73D6">
              <w:rPr>
                <w:vertAlign w:val="superscript"/>
              </w:rPr>
              <w:t>3</w:t>
            </w:r>
          </w:p>
        </w:tc>
        <w:tc>
          <w:tcPr>
            <w:tcW w:w="476" w:type="pct"/>
            <w:tcBorders>
              <w:bottom w:val="single" w:sz="4" w:space="0" w:color="auto"/>
            </w:tcBorders>
            <w:noWrap/>
            <w:hideMark/>
          </w:tcPr>
          <w:p w14:paraId="4A174DDE" w14:textId="07DC7A4C"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3"/>
                <w14:textFill>
                  <w14:solidFill>
                    <w14:srgbClr w14:val="000000">
                      <w14:alpha w14:val="100000"/>
                    </w14:srgbClr>
                  </w14:solidFill>
                </w14:textFill>
              </w:rPr>
              <w:t>||</w:t>
            </w:r>
            <w:r w:rsidRPr="00632DCB">
              <w:rPr>
                <w:color w:val="000000"/>
                <w:spacing w:val="1"/>
                <w:shd w:val="solid" w:color="000000" w:fill="000000"/>
                <w:fitText w:val="230" w:id="-1032088313"/>
                <w14:textFill>
                  <w14:solidFill>
                    <w14:srgbClr w14:val="000000">
                      <w14:alpha w14:val="100000"/>
                    </w14:srgbClr>
                  </w14:solidFill>
                </w14:textFill>
              </w:rPr>
              <w:t>|</w:t>
            </w:r>
            <w:r w:rsidR="002F73D6" w:rsidRPr="002F73D6">
              <w:rPr>
                <w:vertAlign w:val="superscript"/>
              </w:rPr>
              <w:t>3</w:t>
            </w:r>
          </w:p>
        </w:tc>
      </w:tr>
      <w:tr w:rsidR="002901B9" w:rsidRPr="00743512" w14:paraId="2B22FCF2" w14:textId="77777777" w:rsidTr="002D5411">
        <w:trPr>
          <w:trHeight w:val="20"/>
        </w:trPr>
        <w:tc>
          <w:tcPr>
            <w:tcW w:w="611" w:type="pct"/>
          </w:tcPr>
          <w:p w14:paraId="6E8AC618" w14:textId="525E5DFD" w:rsidR="00A654A3" w:rsidRPr="00743512" w:rsidRDefault="00A654A3" w:rsidP="002901B9">
            <w:pPr>
              <w:pStyle w:val="TableText0"/>
              <w:keepNext w:val="0"/>
            </w:pPr>
            <w:r w:rsidRPr="00743512">
              <w:t>H</w:t>
            </w:r>
          </w:p>
        </w:tc>
        <w:tc>
          <w:tcPr>
            <w:tcW w:w="1538" w:type="pct"/>
            <w:noWrap/>
            <w:hideMark/>
          </w:tcPr>
          <w:p w14:paraId="23CE6650" w14:textId="17C1529B" w:rsidR="00A654A3" w:rsidRPr="00743512" w:rsidRDefault="00A654A3" w:rsidP="002901B9">
            <w:pPr>
              <w:pStyle w:val="TableText0"/>
              <w:keepNext w:val="0"/>
            </w:pPr>
            <w:bookmarkStart w:id="102" w:name="_Hlk147903663"/>
            <w:r w:rsidRPr="00743512">
              <w:t>High-risk TNBC patients (80%)</w:t>
            </w:r>
          </w:p>
          <w:p w14:paraId="27C37936" w14:textId="561BE87F" w:rsidR="00A654A3" w:rsidRPr="00743512" w:rsidRDefault="00A654A3" w:rsidP="002901B9">
            <w:pPr>
              <w:pStyle w:val="TableText0"/>
              <w:keepNext w:val="0"/>
            </w:pPr>
            <w:r w:rsidRPr="00743512">
              <w:t>(estimated from proportion of TNBC patients who did not have complete response to (neo)adjuvant chemotherapy)</w:t>
            </w:r>
          </w:p>
        </w:tc>
        <w:tc>
          <w:tcPr>
            <w:tcW w:w="475" w:type="pct"/>
            <w:noWrap/>
            <w:hideMark/>
          </w:tcPr>
          <w:p w14:paraId="110DD886" w14:textId="23E3E0B2"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2"/>
                <w14:textFill>
                  <w14:solidFill>
                    <w14:srgbClr w14:val="000000">
                      <w14:alpha w14:val="100000"/>
                    </w14:srgbClr>
                  </w14:solidFill>
                </w14:textFill>
              </w:rPr>
              <w:t>||</w:t>
            </w:r>
            <w:r w:rsidRPr="00632DCB">
              <w:rPr>
                <w:color w:val="000000"/>
                <w:spacing w:val="1"/>
                <w:shd w:val="solid" w:color="000000" w:fill="000000"/>
                <w:fitText w:val="230" w:id="-1032088312"/>
                <w14:textFill>
                  <w14:solidFill>
                    <w14:srgbClr w14:val="000000">
                      <w14:alpha w14:val="100000"/>
                    </w14:srgbClr>
                  </w14:solidFill>
                </w14:textFill>
              </w:rPr>
              <w:t>|</w:t>
            </w:r>
            <w:r w:rsidR="002F73D6" w:rsidRPr="002F73D6">
              <w:rPr>
                <w:vertAlign w:val="superscript"/>
              </w:rPr>
              <w:t>3</w:t>
            </w:r>
          </w:p>
        </w:tc>
        <w:tc>
          <w:tcPr>
            <w:tcW w:w="475" w:type="pct"/>
            <w:noWrap/>
            <w:hideMark/>
          </w:tcPr>
          <w:p w14:paraId="5B38403B" w14:textId="7417C3A0"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1"/>
                <w14:textFill>
                  <w14:solidFill>
                    <w14:srgbClr w14:val="000000">
                      <w14:alpha w14:val="100000"/>
                    </w14:srgbClr>
                  </w14:solidFill>
                </w14:textFill>
              </w:rPr>
              <w:t>||</w:t>
            </w:r>
            <w:r w:rsidRPr="00632DCB">
              <w:rPr>
                <w:color w:val="000000"/>
                <w:spacing w:val="1"/>
                <w:shd w:val="solid" w:color="000000" w:fill="000000"/>
                <w:fitText w:val="230" w:id="-1032088311"/>
                <w14:textFill>
                  <w14:solidFill>
                    <w14:srgbClr w14:val="000000">
                      <w14:alpha w14:val="100000"/>
                    </w14:srgbClr>
                  </w14:solidFill>
                </w14:textFill>
              </w:rPr>
              <w:t>|</w:t>
            </w:r>
            <w:r w:rsidR="002F73D6" w:rsidRPr="002F73D6">
              <w:rPr>
                <w:vertAlign w:val="superscript"/>
              </w:rPr>
              <w:t>3</w:t>
            </w:r>
          </w:p>
        </w:tc>
        <w:tc>
          <w:tcPr>
            <w:tcW w:w="475" w:type="pct"/>
            <w:noWrap/>
            <w:hideMark/>
          </w:tcPr>
          <w:p w14:paraId="1804F014" w14:textId="3EC998FD" w:rsidR="00A654A3" w:rsidRPr="00DA52E8" w:rsidRDefault="00632DCB" w:rsidP="002901B9">
            <w:pPr>
              <w:pStyle w:val="TableText0"/>
              <w:keepNext w:val="0"/>
              <w:jc w:val="right"/>
              <w:rPr>
                <w:highlight w:val="darkGray"/>
              </w:rPr>
            </w:pPr>
            <w:r>
              <w:t xml:space="preserve"> </w:t>
            </w:r>
            <w:r w:rsidRPr="002D5411">
              <w:rPr>
                <w:color w:val="000000"/>
                <w:spacing w:val="51"/>
                <w:shd w:val="solid" w:color="000000" w:fill="000000"/>
                <w:fitText w:val="230" w:id="-1032088310"/>
                <w14:textFill>
                  <w14:solidFill>
                    <w14:srgbClr w14:val="000000">
                      <w14:alpha w14:val="100000"/>
                    </w14:srgbClr>
                  </w14:solidFill>
                </w14:textFill>
              </w:rPr>
              <w:t>||</w:t>
            </w:r>
            <w:r w:rsidRPr="002D5411">
              <w:rPr>
                <w:color w:val="000000"/>
                <w:spacing w:val="1"/>
                <w:shd w:val="solid" w:color="000000" w:fill="000000"/>
                <w:fitText w:val="230" w:id="-1032088310"/>
                <w14:textFill>
                  <w14:solidFill>
                    <w14:srgbClr w14:val="000000">
                      <w14:alpha w14:val="100000"/>
                    </w14:srgbClr>
                  </w14:solidFill>
                </w14:textFill>
              </w:rPr>
              <w:t>|</w:t>
            </w:r>
            <w:r w:rsidR="002F73D6" w:rsidRPr="002F73D6">
              <w:rPr>
                <w:vertAlign w:val="superscript"/>
              </w:rPr>
              <w:t>3</w:t>
            </w:r>
          </w:p>
        </w:tc>
        <w:tc>
          <w:tcPr>
            <w:tcW w:w="475" w:type="pct"/>
            <w:noWrap/>
            <w:hideMark/>
          </w:tcPr>
          <w:p w14:paraId="107ADE2D" w14:textId="0628668C"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9"/>
                <w14:textFill>
                  <w14:solidFill>
                    <w14:srgbClr w14:val="000000">
                      <w14:alpha w14:val="100000"/>
                    </w14:srgbClr>
                  </w14:solidFill>
                </w14:textFill>
              </w:rPr>
              <w:t>||</w:t>
            </w:r>
            <w:r w:rsidRPr="00632DCB">
              <w:rPr>
                <w:color w:val="000000"/>
                <w:spacing w:val="1"/>
                <w:shd w:val="solid" w:color="000000" w:fill="000000"/>
                <w:fitText w:val="230" w:id="-1032088309"/>
                <w14:textFill>
                  <w14:solidFill>
                    <w14:srgbClr w14:val="000000">
                      <w14:alpha w14:val="100000"/>
                    </w14:srgbClr>
                  </w14:solidFill>
                </w14:textFill>
              </w:rPr>
              <w:t>|</w:t>
            </w:r>
            <w:r w:rsidR="002F73D6" w:rsidRPr="002F73D6">
              <w:rPr>
                <w:vertAlign w:val="superscript"/>
              </w:rPr>
              <w:t>3</w:t>
            </w:r>
          </w:p>
        </w:tc>
        <w:tc>
          <w:tcPr>
            <w:tcW w:w="475" w:type="pct"/>
            <w:noWrap/>
            <w:hideMark/>
          </w:tcPr>
          <w:p w14:paraId="54AA0C95" w14:textId="5DBADEDF"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8"/>
                <w14:textFill>
                  <w14:solidFill>
                    <w14:srgbClr w14:val="000000">
                      <w14:alpha w14:val="100000"/>
                    </w14:srgbClr>
                  </w14:solidFill>
                </w14:textFill>
              </w:rPr>
              <w:t>||</w:t>
            </w:r>
            <w:r w:rsidRPr="00632DCB">
              <w:rPr>
                <w:color w:val="000000"/>
                <w:spacing w:val="1"/>
                <w:shd w:val="solid" w:color="000000" w:fill="000000"/>
                <w:fitText w:val="230" w:id="-1032088308"/>
                <w14:textFill>
                  <w14:solidFill>
                    <w14:srgbClr w14:val="000000">
                      <w14:alpha w14:val="100000"/>
                    </w14:srgbClr>
                  </w14:solidFill>
                </w14:textFill>
              </w:rPr>
              <w:t>|</w:t>
            </w:r>
            <w:r w:rsidR="002F73D6" w:rsidRPr="002F73D6">
              <w:rPr>
                <w:vertAlign w:val="superscript"/>
              </w:rPr>
              <w:t>3</w:t>
            </w:r>
          </w:p>
        </w:tc>
        <w:tc>
          <w:tcPr>
            <w:tcW w:w="476" w:type="pct"/>
            <w:noWrap/>
            <w:hideMark/>
          </w:tcPr>
          <w:p w14:paraId="1AB19EBA" w14:textId="7F7D8736"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7"/>
                <w14:textFill>
                  <w14:solidFill>
                    <w14:srgbClr w14:val="000000">
                      <w14:alpha w14:val="100000"/>
                    </w14:srgbClr>
                  </w14:solidFill>
                </w14:textFill>
              </w:rPr>
              <w:t>||</w:t>
            </w:r>
            <w:r w:rsidRPr="00632DCB">
              <w:rPr>
                <w:color w:val="000000"/>
                <w:spacing w:val="1"/>
                <w:shd w:val="solid" w:color="000000" w:fill="000000"/>
                <w:fitText w:val="230" w:id="-1032088307"/>
                <w14:textFill>
                  <w14:solidFill>
                    <w14:srgbClr w14:val="000000">
                      <w14:alpha w14:val="100000"/>
                    </w14:srgbClr>
                  </w14:solidFill>
                </w14:textFill>
              </w:rPr>
              <w:t>|</w:t>
            </w:r>
            <w:r w:rsidR="002F73D6" w:rsidRPr="002F73D6">
              <w:rPr>
                <w:vertAlign w:val="superscript"/>
              </w:rPr>
              <w:t>3</w:t>
            </w:r>
          </w:p>
        </w:tc>
      </w:tr>
      <w:tr w:rsidR="002901B9" w:rsidRPr="00743512" w14:paraId="7B7A1AC1" w14:textId="77777777" w:rsidTr="002D5411">
        <w:trPr>
          <w:trHeight w:val="20"/>
        </w:trPr>
        <w:tc>
          <w:tcPr>
            <w:tcW w:w="611" w:type="pct"/>
          </w:tcPr>
          <w:p w14:paraId="5CEE3FE1" w14:textId="062E8999" w:rsidR="00A654A3" w:rsidRPr="00743512" w:rsidRDefault="00A654A3" w:rsidP="002901B9">
            <w:pPr>
              <w:pStyle w:val="TableText0"/>
              <w:keepNext w:val="0"/>
            </w:pPr>
            <w:r w:rsidRPr="00743512">
              <w:t>I</w:t>
            </w:r>
          </w:p>
        </w:tc>
        <w:bookmarkEnd w:id="102"/>
        <w:tc>
          <w:tcPr>
            <w:tcW w:w="1538" w:type="pct"/>
            <w:noWrap/>
            <w:hideMark/>
          </w:tcPr>
          <w:p w14:paraId="784E8C4E" w14:textId="5CDE72FD" w:rsidR="00A654A3" w:rsidRPr="00743512" w:rsidRDefault="00A654A3" w:rsidP="002901B9">
            <w:pPr>
              <w:pStyle w:val="TableText0"/>
              <w:keepNext w:val="0"/>
            </w:pPr>
            <w:r w:rsidRPr="00743512">
              <w:t>Uptake of olaparib</w:t>
            </w:r>
          </w:p>
        </w:tc>
        <w:tc>
          <w:tcPr>
            <w:tcW w:w="475" w:type="pct"/>
            <w:noWrap/>
            <w:hideMark/>
          </w:tcPr>
          <w:p w14:paraId="7869759B" w14:textId="0A78C965" w:rsidR="00A654A3" w:rsidRPr="00743512" w:rsidRDefault="00632DCB" w:rsidP="002901B9">
            <w:pPr>
              <w:pStyle w:val="TableText0"/>
              <w:keepNext w:val="0"/>
              <w:jc w:val="right"/>
            </w:pPr>
            <w:r>
              <w:t xml:space="preserve"> </w:t>
            </w:r>
            <w:r w:rsidRPr="00632DCB">
              <w:rPr>
                <w:color w:val="000000"/>
                <w:spacing w:val="49"/>
                <w:shd w:val="solid" w:color="000000" w:fill="000000"/>
                <w:fitText w:val="320" w:id="-1032088306"/>
                <w14:textFill>
                  <w14:solidFill>
                    <w14:srgbClr w14:val="000000">
                      <w14:alpha w14:val="100000"/>
                    </w14:srgbClr>
                  </w14:solidFill>
                </w14:textFill>
              </w:rPr>
              <w:t>|||</w:t>
            </w:r>
            <w:r w:rsidRPr="00632DCB">
              <w:rPr>
                <w:color w:val="000000"/>
                <w:spacing w:val="3"/>
                <w:shd w:val="solid" w:color="000000" w:fill="000000"/>
                <w:fitText w:val="320" w:id="-1032088306"/>
                <w14:textFill>
                  <w14:solidFill>
                    <w14:srgbClr w14:val="000000">
                      <w14:alpha w14:val="100000"/>
                    </w14:srgbClr>
                  </w14:solidFill>
                </w14:textFill>
              </w:rPr>
              <w:t>|</w:t>
            </w:r>
            <w:r w:rsidR="00A654A3" w:rsidRPr="00743512">
              <w:t>%</w:t>
            </w:r>
          </w:p>
        </w:tc>
        <w:tc>
          <w:tcPr>
            <w:tcW w:w="475" w:type="pct"/>
            <w:noWrap/>
            <w:hideMark/>
          </w:tcPr>
          <w:p w14:paraId="00D1C375" w14:textId="2992CDD9" w:rsidR="00A654A3" w:rsidRPr="00743512" w:rsidRDefault="00632DCB" w:rsidP="002901B9">
            <w:pPr>
              <w:pStyle w:val="TableText0"/>
              <w:keepNext w:val="0"/>
              <w:jc w:val="right"/>
            </w:pPr>
            <w:r>
              <w:t xml:space="preserve"> </w:t>
            </w:r>
            <w:r w:rsidRPr="00632DCB">
              <w:rPr>
                <w:color w:val="000000"/>
                <w:spacing w:val="49"/>
                <w:shd w:val="solid" w:color="000000" w:fill="000000"/>
                <w:fitText w:val="320" w:id="-1032088305"/>
                <w14:textFill>
                  <w14:solidFill>
                    <w14:srgbClr w14:val="000000">
                      <w14:alpha w14:val="100000"/>
                    </w14:srgbClr>
                  </w14:solidFill>
                </w14:textFill>
              </w:rPr>
              <w:t>|||</w:t>
            </w:r>
            <w:r w:rsidRPr="00632DCB">
              <w:rPr>
                <w:color w:val="000000"/>
                <w:spacing w:val="3"/>
                <w:shd w:val="solid" w:color="000000" w:fill="000000"/>
                <w:fitText w:val="320" w:id="-1032088305"/>
                <w14:textFill>
                  <w14:solidFill>
                    <w14:srgbClr w14:val="000000">
                      <w14:alpha w14:val="100000"/>
                    </w14:srgbClr>
                  </w14:solidFill>
                </w14:textFill>
              </w:rPr>
              <w:t>|</w:t>
            </w:r>
            <w:r w:rsidR="00A654A3" w:rsidRPr="00743512">
              <w:t>%</w:t>
            </w:r>
          </w:p>
        </w:tc>
        <w:tc>
          <w:tcPr>
            <w:tcW w:w="475" w:type="pct"/>
            <w:noWrap/>
            <w:hideMark/>
          </w:tcPr>
          <w:p w14:paraId="0A4414A2" w14:textId="49C02C75" w:rsidR="00A654A3" w:rsidRPr="00743512" w:rsidRDefault="00632DCB" w:rsidP="002901B9">
            <w:pPr>
              <w:pStyle w:val="TableText0"/>
              <w:keepNext w:val="0"/>
              <w:jc w:val="right"/>
            </w:pPr>
            <w:r>
              <w:t xml:space="preserve"> </w:t>
            </w:r>
            <w:r w:rsidRPr="00632DCB">
              <w:rPr>
                <w:color w:val="000000"/>
                <w:spacing w:val="49"/>
                <w:shd w:val="solid" w:color="000000" w:fill="000000"/>
                <w:fitText w:val="320" w:id="-1032088304"/>
                <w14:textFill>
                  <w14:solidFill>
                    <w14:srgbClr w14:val="000000">
                      <w14:alpha w14:val="100000"/>
                    </w14:srgbClr>
                  </w14:solidFill>
                </w14:textFill>
              </w:rPr>
              <w:t>|||</w:t>
            </w:r>
            <w:r w:rsidRPr="00632DCB">
              <w:rPr>
                <w:color w:val="000000"/>
                <w:spacing w:val="3"/>
                <w:shd w:val="solid" w:color="000000" w:fill="000000"/>
                <w:fitText w:val="320" w:id="-1032088304"/>
                <w14:textFill>
                  <w14:solidFill>
                    <w14:srgbClr w14:val="000000">
                      <w14:alpha w14:val="100000"/>
                    </w14:srgbClr>
                  </w14:solidFill>
                </w14:textFill>
              </w:rPr>
              <w:t>|</w:t>
            </w:r>
            <w:r w:rsidR="00A654A3" w:rsidRPr="00743512">
              <w:t>%</w:t>
            </w:r>
          </w:p>
        </w:tc>
        <w:tc>
          <w:tcPr>
            <w:tcW w:w="475" w:type="pct"/>
            <w:noWrap/>
            <w:hideMark/>
          </w:tcPr>
          <w:p w14:paraId="70D83602" w14:textId="410F0CFF" w:rsidR="00A654A3" w:rsidRPr="00743512" w:rsidRDefault="00632DCB" w:rsidP="002901B9">
            <w:pPr>
              <w:pStyle w:val="TableText0"/>
              <w:keepNext w:val="0"/>
              <w:jc w:val="right"/>
            </w:pPr>
            <w:r>
              <w:t xml:space="preserve"> </w:t>
            </w:r>
            <w:r w:rsidRPr="00632DCB">
              <w:rPr>
                <w:color w:val="000000"/>
                <w:spacing w:val="49"/>
                <w:shd w:val="solid" w:color="000000" w:fill="000000"/>
                <w:fitText w:val="320" w:id="-1032088320"/>
                <w14:textFill>
                  <w14:solidFill>
                    <w14:srgbClr w14:val="000000">
                      <w14:alpha w14:val="100000"/>
                    </w14:srgbClr>
                  </w14:solidFill>
                </w14:textFill>
              </w:rPr>
              <w:t>|||</w:t>
            </w:r>
            <w:r w:rsidRPr="00632DCB">
              <w:rPr>
                <w:color w:val="000000"/>
                <w:spacing w:val="3"/>
                <w:shd w:val="solid" w:color="000000" w:fill="000000"/>
                <w:fitText w:val="320" w:id="-1032088320"/>
                <w14:textFill>
                  <w14:solidFill>
                    <w14:srgbClr w14:val="000000">
                      <w14:alpha w14:val="100000"/>
                    </w14:srgbClr>
                  </w14:solidFill>
                </w14:textFill>
              </w:rPr>
              <w:t>|</w:t>
            </w:r>
            <w:r w:rsidR="00A654A3" w:rsidRPr="00743512">
              <w:t>%</w:t>
            </w:r>
          </w:p>
        </w:tc>
        <w:tc>
          <w:tcPr>
            <w:tcW w:w="475" w:type="pct"/>
            <w:noWrap/>
            <w:hideMark/>
          </w:tcPr>
          <w:p w14:paraId="319CE80C" w14:textId="111CBD78" w:rsidR="00A654A3" w:rsidRPr="00743512" w:rsidRDefault="00632DCB" w:rsidP="002901B9">
            <w:pPr>
              <w:pStyle w:val="TableText0"/>
              <w:keepNext w:val="0"/>
              <w:jc w:val="right"/>
            </w:pPr>
            <w:r>
              <w:t xml:space="preserve"> </w:t>
            </w:r>
            <w:r w:rsidRPr="00632DCB">
              <w:rPr>
                <w:color w:val="000000"/>
                <w:spacing w:val="49"/>
                <w:shd w:val="solid" w:color="000000" w:fill="000000"/>
                <w:fitText w:val="320" w:id="-1032088319"/>
                <w14:textFill>
                  <w14:solidFill>
                    <w14:srgbClr w14:val="000000">
                      <w14:alpha w14:val="100000"/>
                    </w14:srgbClr>
                  </w14:solidFill>
                </w14:textFill>
              </w:rPr>
              <w:t>|||</w:t>
            </w:r>
            <w:r w:rsidRPr="00632DCB">
              <w:rPr>
                <w:color w:val="000000"/>
                <w:spacing w:val="3"/>
                <w:shd w:val="solid" w:color="000000" w:fill="000000"/>
                <w:fitText w:val="320" w:id="-1032088319"/>
                <w14:textFill>
                  <w14:solidFill>
                    <w14:srgbClr w14:val="000000">
                      <w14:alpha w14:val="100000"/>
                    </w14:srgbClr>
                  </w14:solidFill>
                </w14:textFill>
              </w:rPr>
              <w:t>|</w:t>
            </w:r>
            <w:r w:rsidR="00A654A3" w:rsidRPr="00743512">
              <w:t>%</w:t>
            </w:r>
          </w:p>
        </w:tc>
        <w:tc>
          <w:tcPr>
            <w:tcW w:w="476" w:type="pct"/>
            <w:noWrap/>
            <w:hideMark/>
          </w:tcPr>
          <w:p w14:paraId="6B7ED339" w14:textId="230E63D3" w:rsidR="00A654A3" w:rsidRPr="00743512" w:rsidRDefault="00632DCB" w:rsidP="002901B9">
            <w:pPr>
              <w:pStyle w:val="TableText0"/>
              <w:keepNext w:val="0"/>
              <w:jc w:val="right"/>
            </w:pPr>
            <w:r>
              <w:t xml:space="preserve"> </w:t>
            </w:r>
            <w:r w:rsidRPr="00632DCB">
              <w:rPr>
                <w:color w:val="000000"/>
                <w:spacing w:val="49"/>
                <w:shd w:val="solid" w:color="000000" w:fill="000000"/>
                <w:fitText w:val="320" w:id="-1032088318"/>
                <w14:textFill>
                  <w14:solidFill>
                    <w14:srgbClr w14:val="000000">
                      <w14:alpha w14:val="100000"/>
                    </w14:srgbClr>
                  </w14:solidFill>
                </w14:textFill>
              </w:rPr>
              <w:t>|||</w:t>
            </w:r>
            <w:r w:rsidRPr="00632DCB">
              <w:rPr>
                <w:color w:val="000000"/>
                <w:spacing w:val="3"/>
                <w:shd w:val="solid" w:color="000000" w:fill="000000"/>
                <w:fitText w:val="320" w:id="-1032088318"/>
                <w14:textFill>
                  <w14:solidFill>
                    <w14:srgbClr w14:val="000000">
                      <w14:alpha w14:val="100000"/>
                    </w14:srgbClr>
                  </w14:solidFill>
                </w14:textFill>
              </w:rPr>
              <w:t>|</w:t>
            </w:r>
            <w:r w:rsidR="00A654A3" w:rsidRPr="00743512">
              <w:t>%</w:t>
            </w:r>
          </w:p>
        </w:tc>
      </w:tr>
      <w:tr w:rsidR="002901B9" w:rsidRPr="00743512" w14:paraId="6A147A6E" w14:textId="77777777" w:rsidTr="002D5411">
        <w:trPr>
          <w:trHeight w:val="20"/>
        </w:trPr>
        <w:tc>
          <w:tcPr>
            <w:tcW w:w="611" w:type="pct"/>
          </w:tcPr>
          <w:p w14:paraId="456D522A" w14:textId="3FAB83F2" w:rsidR="00A654A3" w:rsidRPr="00743512" w:rsidRDefault="00A654A3" w:rsidP="002901B9">
            <w:pPr>
              <w:pStyle w:val="TableText0"/>
              <w:keepNext w:val="0"/>
            </w:pPr>
            <w:r w:rsidRPr="00743512">
              <w:t>J</w:t>
            </w:r>
          </w:p>
        </w:tc>
        <w:tc>
          <w:tcPr>
            <w:tcW w:w="1538" w:type="pct"/>
            <w:noWrap/>
            <w:hideMark/>
          </w:tcPr>
          <w:p w14:paraId="1661516E" w14:textId="3B159120" w:rsidR="00A654A3" w:rsidRPr="00743512" w:rsidRDefault="00A654A3" w:rsidP="002901B9">
            <w:pPr>
              <w:pStyle w:val="TableText0"/>
              <w:keepNext w:val="0"/>
            </w:pPr>
            <w:r w:rsidRPr="00743512">
              <w:t>TNBC patients treated with olaparib</w:t>
            </w:r>
          </w:p>
        </w:tc>
        <w:tc>
          <w:tcPr>
            <w:tcW w:w="475" w:type="pct"/>
            <w:noWrap/>
            <w:hideMark/>
          </w:tcPr>
          <w:p w14:paraId="2E7DB16B" w14:textId="4C41ED20"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7"/>
                <w14:textFill>
                  <w14:solidFill>
                    <w14:srgbClr w14:val="000000">
                      <w14:alpha w14:val="100000"/>
                    </w14:srgbClr>
                  </w14:solidFill>
                </w14:textFill>
              </w:rPr>
              <w:t>||</w:t>
            </w:r>
            <w:r w:rsidRPr="00632DCB">
              <w:rPr>
                <w:color w:val="000000"/>
                <w:spacing w:val="1"/>
                <w:shd w:val="solid" w:color="000000" w:fill="000000"/>
                <w:fitText w:val="230" w:id="-1032088317"/>
                <w14:textFill>
                  <w14:solidFill>
                    <w14:srgbClr w14:val="000000">
                      <w14:alpha w14:val="100000"/>
                    </w14:srgbClr>
                  </w14:solidFill>
                </w14:textFill>
              </w:rPr>
              <w:t>|</w:t>
            </w:r>
            <w:r w:rsidR="002F73D6" w:rsidRPr="002F73D6">
              <w:rPr>
                <w:vertAlign w:val="superscript"/>
              </w:rPr>
              <w:t>3</w:t>
            </w:r>
          </w:p>
        </w:tc>
        <w:tc>
          <w:tcPr>
            <w:tcW w:w="475" w:type="pct"/>
            <w:noWrap/>
            <w:hideMark/>
          </w:tcPr>
          <w:p w14:paraId="270C2226" w14:textId="0A45223A"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6"/>
                <w14:textFill>
                  <w14:solidFill>
                    <w14:srgbClr w14:val="000000">
                      <w14:alpha w14:val="100000"/>
                    </w14:srgbClr>
                  </w14:solidFill>
                </w14:textFill>
              </w:rPr>
              <w:t>||</w:t>
            </w:r>
            <w:r w:rsidRPr="00632DCB">
              <w:rPr>
                <w:color w:val="000000"/>
                <w:spacing w:val="1"/>
                <w:shd w:val="solid" w:color="000000" w:fill="000000"/>
                <w:fitText w:val="230" w:id="-1032088316"/>
                <w14:textFill>
                  <w14:solidFill>
                    <w14:srgbClr w14:val="000000">
                      <w14:alpha w14:val="100000"/>
                    </w14:srgbClr>
                  </w14:solidFill>
                </w14:textFill>
              </w:rPr>
              <w:t>|</w:t>
            </w:r>
            <w:r w:rsidR="002F73D6" w:rsidRPr="002F73D6">
              <w:rPr>
                <w:vertAlign w:val="superscript"/>
              </w:rPr>
              <w:t>3</w:t>
            </w:r>
          </w:p>
        </w:tc>
        <w:tc>
          <w:tcPr>
            <w:tcW w:w="475" w:type="pct"/>
            <w:noWrap/>
            <w:hideMark/>
          </w:tcPr>
          <w:p w14:paraId="1786E233" w14:textId="53F0DDEB"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5"/>
                <w14:textFill>
                  <w14:solidFill>
                    <w14:srgbClr w14:val="000000">
                      <w14:alpha w14:val="100000"/>
                    </w14:srgbClr>
                  </w14:solidFill>
                </w14:textFill>
              </w:rPr>
              <w:t>||</w:t>
            </w:r>
            <w:r w:rsidRPr="00632DCB">
              <w:rPr>
                <w:color w:val="000000"/>
                <w:spacing w:val="1"/>
                <w:shd w:val="solid" w:color="000000" w:fill="000000"/>
                <w:fitText w:val="230" w:id="-1032088315"/>
                <w14:textFill>
                  <w14:solidFill>
                    <w14:srgbClr w14:val="000000">
                      <w14:alpha w14:val="100000"/>
                    </w14:srgbClr>
                  </w14:solidFill>
                </w14:textFill>
              </w:rPr>
              <w:t>|</w:t>
            </w:r>
            <w:r w:rsidR="002F73D6" w:rsidRPr="002F73D6">
              <w:rPr>
                <w:vertAlign w:val="superscript"/>
              </w:rPr>
              <w:t>3</w:t>
            </w:r>
          </w:p>
        </w:tc>
        <w:tc>
          <w:tcPr>
            <w:tcW w:w="475" w:type="pct"/>
            <w:noWrap/>
            <w:hideMark/>
          </w:tcPr>
          <w:p w14:paraId="2CA08290" w14:textId="0389432E"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4"/>
                <w14:textFill>
                  <w14:solidFill>
                    <w14:srgbClr w14:val="000000">
                      <w14:alpha w14:val="100000"/>
                    </w14:srgbClr>
                  </w14:solidFill>
                </w14:textFill>
              </w:rPr>
              <w:t>||</w:t>
            </w:r>
            <w:r w:rsidRPr="00632DCB">
              <w:rPr>
                <w:color w:val="000000"/>
                <w:spacing w:val="1"/>
                <w:shd w:val="solid" w:color="000000" w:fill="000000"/>
                <w:fitText w:val="230" w:id="-1032088314"/>
                <w14:textFill>
                  <w14:solidFill>
                    <w14:srgbClr w14:val="000000">
                      <w14:alpha w14:val="100000"/>
                    </w14:srgbClr>
                  </w14:solidFill>
                </w14:textFill>
              </w:rPr>
              <w:t>|</w:t>
            </w:r>
            <w:r w:rsidR="002F73D6" w:rsidRPr="002F73D6">
              <w:rPr>
                <w:vertAlign w:val="superscript"/>
              </w:rPr>
              <w:t>3</w:t>
            </w:r>
          </w:p>
        </w:tc>
        <w:tc>
          <w:tcPr>
            <w:tcW w:w="475" w:type="pct"/>
            <w:noWrap/>
            <w:hideMark/>
          </w:tcPr>
          <w:p w14:paraId="24BDA575" w14:textId="6A4EFA4B"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3"/>
                <w14:textFill>
                  <w14:solidFill>
                    <w14:srgbClr w14:val="000000">
                      <w14:alpha w14:val="100000"/>
                    </w14:srgbClr>
                  </w14:solidFill>
                </w14:textFill>
              </w:rPr>
              <w:t>||</w:t>
            </w:r>
            <w:r w:rsidRPr="00632DCB">
              <w:rPr>
                <w:color w:val="000000"/>
                <w:spacing w:val="1"/>
                <w:shd w:val="solid" w:color="000000" w:fill="000000"/>
                <w:fitText w:val="230" w:id="-1032088313"/>
                <w14:textFill>
                  <w14:solidFill>
                    <w14:srgbClr w14:val="000000">
                      <w14:alpha w14:val="100000"/>
                    </w14:srgbClr>
                  </w14:solidFill>
                </w14:textFill>
              </w:rPr>
              <w:t>|</w:t>
            </w:r>
            <w:r w:rsidR="002F73D6" w:rsidRPr="002F73D6">
              <w:rPr>
                <w:vertAlign w:val="superscript"/>
              </w:rPr>
              <w:t>3</w:t>
            </w:r>
          </w:p>
        </w:tc>
        <w:tc>
          <w:tcPr>
            <w:tcW w:w="476" w:type="pct"/>
            <w:noWrap/>
            <w:hideMark/>
          </w:tcPr>
          <w:p w14:paraId="1A813680" w14:textId="6C9C9CD8"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2"/>
                <w14:textFill>
                  <w14:solidFill>
                    <w14:srgbClr w14:val="000000">
                      <w14:alpha w14:val="100000"/>
                    </w14:srgbClr>
                  </w14:solidFill>
                </w14:textFill>
              </w:rPr>
              <w:t>||</w:t>
            </w:r>
            <w:r w:rsidRPr="00632DCB">
              <w:rPr>
                <w:color w:val="000000"/>
                <w:spacing w:val="1"/>
                <w:shd w:val="solid" w:color="000000" w:fill="000000"/>
                <w:fitText w:val="230" w:id="-1032088312"/>
                <w14:textFill>
                  <w14:solidFill>
                    <w14:srgbClr w14:val="000000">
                      <w14:alpha w14:val="100000"/>
                    </w14:srgbClr>
                  </w14:solidFill>
                </w14:textFill>
              </w:rPr>
              <w:t>|</w:t>
            </w:r>
            <w:r w:rsidR="002F73D6" w:rsidRPr="002F73D6">
              <w:rPr>
                <w:vertAlign w:val="superscript"/>
              </w:rPr>
              <w:t>3</w:t>
            </w:r>
          </w:p>
        </w:tc>
      </w:tr>
      <w:tr w:rsidR="002901B9" w:rsidRPr="00743512" w14:paraId="29F9C39D" w14:textId="77777777" w:rsidTr="002D5411">
        <w:trPr>
          <w:trHeight w:val="20"/>
        </w:trPr>
        <w:tc>
          <w:tcPr>
            <w:tcW w:w="611" w:type="pct"/>
            <w:tcBorders>
              <w:right w:val="nil"/>
            </w:tcBorders>
          </w:tcPr>
          <w:p w14:paraId="2F3B7FBF" w14:textId="77777777" w:rsidR="00A654A3" w:rsidRPr="00743512" w:rsidRDefault="00A654A3" w:rsidP="002901B9">
            <w:pPr>
              <w:pStyle w:val="TableText0"/>
              <w:keepNext w:val="0"/>
              <w:rPr>
                <w:b/>
                <w:bCs w:val="0"/>
              </w:rPr>
            </w:pPr>
          </w:p>
        </w:tc>
        <w:tc>
          <w:tcPr>
            <w:tcW w:w="1538" w:type="pct"/>
            <w:tcBorders>
              <w:right w:val="nil"/>
            </w:tcBorders>
            <w:noWrap/>
            <w:hideMark/>
          </w:tcPr>
          <w:p w14:paraId="2EA9B510" w14:textId="0DF5F16C" w:rsidR="00A654A3" w:rsidRPr="00743512" w:rsidRDefault="00A654A3" w:rsidP="002901B9">
            <w:pPr>
              <w:pStyle w:val="TableText0"/>
              <w:keepNext w:val="0"/>
              <w:rPr>
                <w:b/>
                <w:bCs w:val="0"/>
              </w:rPr>
            </w:pPr>
            <w:r w:rsidRPr="00743512">
              <w:rPr>
                <w:b/>
                <w:bCs w:val="0"/>
              </w:rPr>
              <w:t>HR+ HER2− breast cancer</w:t>
            </w:r>
          </w:p>
        </w:tc>
        <w:tc>
          <w:tcPr>
            <w:tcW w:w="475" w:type="pct"/>
            <w:tcBorders>
              <w:left w:val="nil"/>
              <w:right w:val="nil"/>
            </w:tcBorders>
            <w:noWrap/>
            <w:hideMark/>
          </w:tcPr>
          <w:p w14:paraId="3F93FE41"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2B8DDC7B"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7C501E7E"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28AEB060" w14:textId="77777777" w:rsidR="00A654A3" w:rsidRPr="00743512" w:rsidRDefault="00A654A3" w:rsidP="002901B9">
            <w:pPr>
              <w:pStyle w:val="TableText0"/>
              <w:keepNext w:val="0"/>
              <w:jc w:val="right"/>
              <w:rPr>
                <w:b/>
                <w:bCs w:val="0"/>
              </w:rPr>
            </w:pPr>
          </w:p>
        </w:tc>
        <w:tc>
          <w:tcPr>
            <w:tcW w:w="475" w:type="pct"/>
            <w:tcBorders>
              <w:left w:val="nil"/>
              <w:right w:val="nil"/>
            </w:tcBorders>
            <w:noWrap/>
            <w:hideMark/>
          </w:tcPr>
          <w:p w14:paraId="50B11C3B" w14:textId="77777777" w:rsidR="00A654A3" w:rsidRPr="00743512" w:rsidRDefault="00A654A3" w:rsidP="002901B9">
            <w:pPr>
              <w:pStyle w:val="TableText0"/>
              <w:keepNext w:val="0"/>
              <w:jc w:val="right"/>
              <w:rPr>
                <w:b/>
                <w:bCs w:val="0"/>
              </w:rPr>
            </w:pPr>
          </w:p>
        </w:tc>
        <w:tc>
          <w:tcPr>
            <w:tcW w:w="476" w:type="pct"/>
            <w:tcBorders>
              <w:left w:val="nil"/>
            </w:tcBorders>
            <w:noWrap/>
            <w:hideMark/>
          </w:tcPr>
          <w:p w14:paraId="3594D69B" w14:textId="77777777" w:rsidR="00A654A3" w:rsidRPr="00743512" w:rsidRDefault="00A654A3" w:rsidP="002901B9">
            <w:pPr>
              <w:pStyle w:val="TableText0"/>
              <w:keepNext w:val="0"/>
              <w:jc w:val="right"/>
              <w:rPr>
                <w:b/>
                <w:bCs w:val="0"/>
              </w:rPr>
            </w:pPr>
          </w:p>
        </w:tc>
      </w:tr>
      <w:tr w:rsidR="002901B9" w:rsidRPr="00743512" w14:paraId="18AE1C87" w14:textId="77777777" w:rsidTr="002D5411">
        <w:trPr>
          <w:trHeight w:val="20"/>
        </w:trPr>
        <w:tc>
          <w:tcPr>
            <w:tcW w:w="611" w:type="pct"/>
          </w:tcPr>
          <w:p w14:paraId="629F255F" w14:textId="408C49F5" w:rsidR="00A654A3" w:rsidRPr="00743512" w:rsidRDefault="00A654A3" w:rsidP="002901B9">
            <w:pPr>
              <w:pStyle w:val="TableText0"/>
              <w:keepNext w:val="0"/>
            </w:pPr>
            <w:r w:rsidRPr="00743512">
              <w:t>K</w:t>
            </w:r>
          </w:p>
        </w:tc>
        <w:tc>
          <w:tcPr>
            <w:tcW w:w="1538" w:type="pct"/>
            <w:noWrap/>
            <w:hideMark/>
          </w:tcPr>
          <w:p w14:paraId="6DD22690" w14:textId="18A08F1E" w:rsidR="00A654A3" w:rsidRPr="00743512" w:rsidRDefault="00A654A3" w:rsidP="002901B9">
            <w:pPr>
              <w:pStyle w:val="TableText0"/>
              <w:keepNext w:val="0"/>
            </w:pPr>
            <w:r w:rsidRPr="00743512">
              <w:t xml:space="preserve">Patients with HR+ HER2− breast cancer </w:t>
            </w:r>
            <w:r w:rsidRPr="00743512">
              <w:br/>
              <w:t>(69.3% of incident breast cancer cases)</w:t>
            </w:r>
          </w:p>
        </w:tc>
        <w:tc>
          <w:tcPr>
            <w:tcW w:w="475" w:type="pct"/>
            <w:noWrap/>
            <w:hideMark/>
          </w:tcPr>
          <w:p w14:paraId="321E5BEC" w14:textId="3FD8D845"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1"/>
                <w14:textFill>
                  <w14:solidFill>
                    <w14:srgbClr w14:val="000000">
                      <w14:alpha w14:val="100000"/>
                    </w14:srgbClr>
                  </w14:solidFill>
                </w14:textFill>
              </w:rPr>
              <w:t>||</w:t>
            </w:r>
            <w:r w:rsidRPr="00632DCB">
              <w:rPr>
                <w:color w:val="000000"/>
                <w:spacing w:val="1"/>
                <w:shd w:val="solid" w:color="000000" w:fill="000000"/>
                <w:fitText w:val="230" w:id="-1032088311"/>
                <w14:textFill>
                  <w14:solidFill>
                    <w14:srgbClr w14:val="000000">
                      <w14:alpha w14:val="100000"/>
                    </w14:srgbClr>
                  </w14:solidFill>
                </w14:textFill>
              </w:rPr>
              <w:t>|</w:t>
            </w:r>
            <w:r w:rsidR="00766623" w:rsidRPr="00766623">
              <w:rPr>
                <w:vertAlign w:val="superscript"/>
              </w:rPr>
              <w:t>4</w:t>
            </w:r>
          </w:p>
        </w:tc>
        <w:tc>
          <w:tcPr>
            <w:tcW w:w="475" w:type="pct"/>
            <w:noWrap/>
            <w:hideMark/>
          </w:tcPr>
          <w:p w14:paraId="51B93F14" w14:textId="43DD561D"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0"/>
                <w14:textFill>
                  <w14:solidFill>
                    <w14:srgbClr w14:val="000000">
                      <w14:alpha w14:val="100000"/>
                    </w14:srgbClr>
                  </w14:solidFill>
                </w14:textFill>
              </w:rPr>
              <w:t>||</w:t>
            </w:r>
            <w:r w:rsidRPr="00632DCB">
              <w:rPr>
                <w:color w:val="000000"/>
                <w:spacing w:val="1"/>
                <w:shd w:val="solid" w:color="000000" w:fill="000000"/>
                <w:fitText w:val="230" w:id="-1032088310"/>
                <w14:textFill>
                  <w14:solidFill>
                    <w14:srgbClr w14:val="000000">
                      <w14:alpha w14:val="100000"/>
                    </w14:srgbClr>
                  </w14:solidFill>
                </w14:textFill>
              </w:rPr>
              <w:t>|</w:t>
            </w:r>
            <w:r w:rsidR="00766623" w:rsidRPr="00766623">
              <w:rPr>
                <w:vertAlign w:val="superscript"/>
              </w:rPr>
              <w:t>4</w:t>
            </w:r>
          </w:p>
        </w:tc>
        <w:tc>
          <w:tcPr>
            <w:tcW w:w="475" w:type="pct"/>
            <w:noWrap/>
            <w:hideMark/>
          </w:tcPr>
          <w:p w14:paraId="4AB5D402" w14:textId="0FD59DD1"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9"/>
                <w14:textFill>
                  <w14:solidFill>
                    <w14:srgbClr w14:val="000000">
                      <w14:alpha w14:val="100000"/>
                    </w14:srgbClr>
                  </w14:solidFill>
                </w14:textFill>
              </w:rPr>
              <w:t>||</w:t>
            </w:r>
            <w:r w:rsidRPr="00632DCB">
              <w:rPr>
                <w:color w:val="000000"/>
                <w:spacing w:val="1"/>
                <w:shd w:val="solid" w:color="000000" w:fill="000000"/>
                <w:fitText w:val="230" w:id="-1032088309"/>
                <w14:textFill>
                  <w14:solidFill>
                    <w14:srgbClr w14:val="000000">
                      <w14:alpha w14:val="100000"/>
                    </w14:srgbClr>
                  </w14:solidFill>
                </w14:textFill>
              </w:rPr>
              <w:t>|</w:t>
            </w:r>
            <w:r w:rsidR="00766623" w:rsidRPr="00766623">
              <w:rPr>
                <w:vertAlign w:val="superscript"/>
              </w:rPr>
              <w:t>4</w:t>
            </w:r>
          </w:p>
        </w:tc>
        <w:tc>
          <w:tcPr>
            <w:tcW w:w="475" w:type="pct"/>
            <w:noWrap/>
            <w:hideMark/>
          </w:tcPr>
          <w:p w14:paraId="3C93203A" w14:textId="215D5188"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8"/>
                <w14:textFill>
                  <w14:solidFill>
                    <w14:srgbClr w14:val="000000">
                      <w14:alpha w14:val="100000"/>
                    </w14:srgbClr>
                  </w14:solidFill>
                </w14:textFill>
              </w:rPr>
              <w:t>||</w:t>
            </w:r>
            <w:r w:rsidRPr="00632DCB">
              <w:rPr>
                <w:color w:val="000000"/>
                <w:spacing w:val="1"/>
                <w:shd w:val="solid" w:color="000000" w:fill="000000"/>
                <w:fitText w:val="230" w:id="-1032088308"/>
                <w14:textFill>
                  <w14:solidFill>
                    <w14:srgbClr w14:val="000000">
                      <w14:alpha w14:val="100000"/>
                    </w14:srgbClr>
                  </w14:solidFill>
                </w14:textFill>
              </w:rPr>
              <w:t>|</w:t>
            </w:r>
            <w:r w:rsidR="00766623" w:rsidRPr="00766623">
              <w:rPr>
                <w:vertAlign w:val="superscript"/>
              </w:rPr>
              <w:t>4</w:t>
            </w:r>
          </w:p>
        </w:tc>
        <w:tc>
          <w:tcPr>
            <w:tcW w:w="475" w:type="pct"/>
            <w:noWrap/>
            <w:hideMark/>
          </w:tcPr>
          <w:p w14:paraId="73482031" w14:textId="34587C25"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7"/>
                <w14:textFill>
                  <w14:solidFill>
                    <w14:srgbClr w14:val="000000">
                      <w14:alpha w14:val="100000"/>
                    </w14:srgbClr>
                  </w14:solidFill>
                </w14:textFill>
              </w:rPr>
              <w:t>||</w:t>
            </w:r>
            <w:r w:rsidRPr="00632DCB">
              <w:rPr>
                <w:color w:val="000000"/>
                <w:spacing w:val="1"/>
                <w:shd w:val="solid" w:color="000000" w:fill="000000"/>
                <w:fitText w:val="230" w:id="-1032088307"/>
                <w14:textFill>
                  <w14:solidFill>
                    <w14:srgbClr w14:val="000000">
                      <w14:alpha w14:val="100000"/>
                    </w14:srgbClr>
                  </w14:solidFill>
                </w14:textFill>
              </w:rPr>
              <w:t>|</w:t>
            </w:r>
            <w:r w:rsidR="00766623" w:rsidRPr="00766623">
              <w:rPr>
                <w:vertAlign w:val="superscript"/>
              </w:rPr>
              <w:t>4</w:t>
            </w:r>
          </w:p>
        </w:tc>
        <w:tc>
          <w:tcPr>
            <w:tcW w:w="476" w:type="pct"/>
            <w:noWrap/>
            <w:hideMark/>
          </w:tcPr>
          <w:p w14:paraId="3107F0D0" w14:textId="69A80BBC"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6"/>
                <w14:textFill>
                  <w14:solidFill>
                    <w14:srgbClr w14:val="000000">
                      <w14:alpha w14:val="100000"/>
                    </w14:srgbClr>
                  </w14:solidFill>
                </w14:textFill>
              </w:rPr>
              <w:t>||</w:t>
            </w:r>
            <w:r w:rsidRPr="00632DCB">
              <w:rPr>
                <w:color w:val="000000"/>
                <w:spacing w:val="1"/>
                <w:shd w:val="solid" w:color="000000" w:fill="000000"/>
                <w:fitText w:val="230" w:id="-1032088306"/>
                <w14:textFill>
                  <w14:solidFill>
                    <w14:srgbClr w14:val="000000">
                      <w14:alpha w14:val="100000"/>
                    </w14:srgbClr>
                  </w14:solidFill>
                </w14:textFill>
              </w:rPr>
              <w:t>|</w:t>
            </w:r>
            <w:r w:rsidR="00766623" w:rsidRPr="00766623">
              <w:rPr>
                <w:vertAlign w:val="superscript"/>
              </w:rPr>
              <w:t>4</w:t>
            </w:r>
          </w:p>
        </w:tc>
      </w:tr>
      <w:tr w:rsidR="002901B9" w:rsidRPr="00743512" w14:paraId="654A8D86" w14:textId="77777777" w:rsidTr="002D5411">
        <w:trPr>
          <w:trHeight w:val="20"/>
        </w:trPr>
        <w:tc>
          <w:tcPr>
            <w:tcW w:w="611" w:type="pct"/>
          </w:tcPr>
          <w:p w14:paraId="0600C541" w14:textId="1A09F4AB" w:rsidR="00A654A3" w:rsidRPr="00743512" w:rsidRDefault="00A654A3" w:rsidP="002901B9">
            <w:pPr>
              <w:pStyle w:val="TableText0"/>
              <w:keepNext w:val="0"/>
            </w:pPr>
            <w:r w:rsidRPr="00743512">
              <w:t>L</w:t>
            </w:r>
          </w:p>
        </w:tc>
        <w:tc>
          <w:tcPr>
            <w:tcW w:w="1538" w:type="pct"/>
            <w:noWrap/>
            <w:hideMark/>
          </w:tcPr>
          <w:p w14:paraId="6A892D06" w14:textId="726AC01F" w:rsidR="00A654A3" w:rsidRPr="00743512" w:rsidRDefault="00A654A3" w:rsidP="002901B9">
            <w:pPr>
              <w:pStyle w:val="TableText0"/>
              <w:keepNext w:val="0"/>
            </w:pPr>
            <w:r w:rsidRPr="00743512">
              <w:t>Patients on (neo)adjuvant chemotherapy (49.0%)</w:t>
            </w:r>
            <w:r w:rsidR="00E73566" w:rsidRPr="00743512">
              <w:t xml:space="preserve"> used for estimation of patients eligible for testing</w:t>
            </w:r>
          </w:p>
        </w:tc>
        <w:tc>
          <w:tcPr>
            <w:tcW w:w="475" w:type="pct"/>
            <w:noWrap/>
            <w:hideMark/>
          </w:tcPr>
          <w:p w14:paraId="2B91320C" w14:textId="2C8EACA4"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5"/>
                <w14:textFill>
                  <w14:solidFill>
                    <w14:srgbClr w14:val="000000">
                      <w14:alpha w14:val="100000"/>
                    </w14:srgbClr>
                  </w14:solidFill>
                </w14:textFill>
              </w:rPr>
              <w:t>||</w:t>
            </w:r>
            <w:r w:rsidRPr="00632DCB">
              <w:rPr>
                <w:color w:val="000000"/>
                <w:spacing w:val="1"/>
                <w:shd w:val="solid" w:color="000000" w:fill="000000"/>
                <w:fitText w:val="230" w:id="-1032088305"/>
                <w14:textFill>
                  <w14:solidFill>
                    <w14:srgbClr w14:val="000000">
                      <w14:alpha w14:val="100000"/>
                    </w14:srgbClr>
                  </w14:solidFill>
                </w14:textFill>
              </w:rPr>
              <w:t>|</w:t>
            </w:r>
            <w:r w:rsidR="00766623" w:rsidRPr="00766623">
              <w:rPr>
                <w:vertAlign w:val="superscript"/>
              </w:rPr>
              <w:t>5</w:t>
            </w:r>
          </w:p>
        </w:tc>
        <w:tc>
          <w:tcPr>
            <w:tcW w:w="475" w:type="pct"/>
            <w:noWrap/>
            <w:hideMark/>
          </w:tcPr>
          <w:p w14:paraId="7C39BB4A" w14:textId="5D63CD36" w:rsidR="00966A12"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4"/>
                <w14:textFill>
                  <w14:solidFill>
                    <w14:srgbClr w14:val="000000">
                      <w14:alpha w14:val="100000"/>
                    </w14:srgbClr>
                  </w14:solidFill>
                </w14:textFill>
              </w:rPr>
              <w:t>||</w:t>
            </w:r>
            <w:r w:rsidRPr="00632DCB">
              <w:rPr>
                <w:color w:val="000000"/>
                <w:spacing w:val="1"/>
                <w:shd w:val="solid" w:color="000000" w:fill="000000"/>
                <w:fitText w:val="230" w:id="-1032088304"/>
                <w14:textFill>
                  <w14:solidFill>
                    <w14:srgbClr w14:val="000000">
                      <w14:alpha w14:val="100000"/>
                    </w14:srgbClr>
                  </w14:solidFill>
                </w14:textFill>
              </w:rPr>
              <w:t>|</w:t>
            </w:r>
            <w:r w:rsidR="00766623" w:rsidRPr="00766623">
              <w:rPr>
                <w:vertAlign w:val="superscript"/>
              </w:rPr>
              <w:t>5</w:t>
            </w:r>
          </w:p>
        </w:tc>
        <w:tc>
          <w:tcPr>
            <w:tcW w:w="475" w:type="pct"/>
            <w:noWrap/>
            <w:hideMark/>
          </w:tcPr>
          <w:p w14:paraId="4DD30A48" w14:textId="26EF2D60" w:rsidR="00966A12"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20"/>
                <w14:textFill>
                  <w14:solidFill>
                    <w14:srgbClr w14:val="000000">
                      <w14:alpha w14:val="100000"/>
                    </w14:srgbClr>
                  </w14:solidFill>
                </w14:textFill>
              </w:rPr>
              <w:t>||</w:t>
            </w:r>
            <w:r w:rsidRPr="00632DCB">
              <w:rPr>
                <w:color w:val="000000"/>
                <w:spacing w:val="1"/>
                <w:shd w:val="solid" w:color="000000" w:fill="000000"/>
                <w:fitText w:val="230" w:id="-1032088320"/>
                <w14:textFill>
                  <w14:solidFill>
                    <w14:srgbClr w14:val="000000">
                      <w14:alpha w14:val="100000"/>
                    </w14:srgbClr>
                  </w14:solidFill>
                </w14:textFill>
              </w:rPr>
              <w:t>|</w:t>
            </w:r>
            <w:r w:rsidR="00766623" w:rsidRPr="00766623">
              <w:rPr>
                <w:vertAlign w:val="superscript"/>
              </w:rPr>
              <w:t>5</w:t>
            </w:r>
          </w:p>
        </w:tc>
        <w:tc>
          <w:tcPr>
            <w:tcW w:w="475" w:type="pct"/>
            <w:noWrap/>
            <w:hideMark/>
          </w:tcPr>
          <w:p w14:paraId="343E447F" w14:textId="7D099444" w:rsidR="00966A12"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9"/>
                <w14:textFill>
                  <w14:solidFill>
                    <w14:srgbClr w14:val="000000">
                      <w14:alpha w14:val="100000"/>
                    </w14:srgbClr>
                  </w14:solidFill>
                </w14:textFill>
              </w:rPr>
              <w:t>||</w:t>
            </w:r>
            <w:r w:rsidRPr="00632DCB">
              <w:rPr>
                <w:color w:val="000000"/>
                <w:spacing w:val="1"/>
                <w:shd w:val="solid" w:color="000000" w:fill="000000"/>
                <w:fitText w:val="230" w:id="-1032088319"/>
                <w14:textFill>
                  <w14:solidFill>
                    <w14:srgbClr w14:val="000000">
                      <w14:alpha w14:val="100000"/>
                    </w14:srgbClr>
                  </w14:solidFill>
                </w14:textFill>
              </w:rPr>
              <w:t>|</w:t>
            </w:r>
            <w:r w:rsidR="00766623" w:rsidRPr="00766623">
              <w:rPr>
                <w:vertAlign w:val="superscript"/>
              </w:rPr>
              <w:t>5</w:t>
            </w:r>
          </w:p>
        </w:tc>
        <w:tc>
          <w:tcPr>
            <w:tcW w:w="475" w:type="pct"/>
            <w:noWrap/>
            <w:hideMark/>
          </w:tcPr>
          <w:p w14:paraId="53D69BE5" w14:textId="39E18688" w:rsidR="00966A12"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8"/>
                <w14:textFill>
                  <w14:solidFill>
                    <w14:srgbClr w14:val="000000">
                      <w14:alpha w14:val="100000"/>
                    </w14:srgbClr>
                  </w14:solidFill>
                </w14:textFill>
              </w:rPr>
              <w:t>||</w:t>
            </w:r>
            <w:r w:rsidRPr="00632DCB">
              <w:rPr>
                <w:color w:val="000000"/>
                <w:spacing w:val="1"/>
                <w:shd w:val="solid" w:color="000000" w:fill="000000"/>
                <w:fitText w:val="230" w:id="-1032088318"/>
                <w14:textFill>
                  <w14:solidFill>
                    <w14:srgbClr w14:val="000000">
                      <w14:alpha w14:val="100000"/>
                    </w14:srgbClr>
                  </w14:solidFill>
                </w14:textFill>
              </w:rPr>
              <w:t>|</w:t>
            </w:r>
            <w:r w:rsidR="00766623" w:rsidRPr="00766623">
              <w:rPr>
                <w:vertAlign w:val="superscript"/>
              </w:rPr>
              <w:t>5</w:t>
            </w:r>
          </w:p>
        </w:tc>
        <w:tc>
          <w:tcPr>
            <w:tcW w:w="476" w:type="pct"/>
            <w:noWrap/>
            <w:hideMark/>
          </w:tcPr>
          <w:p w14:paraId="6B277F46" w14:textId="11E5569A" w:rsidR="00966A12"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7"/>
                <w14:textFill>
                  <w14:solidFill>
                    <w14:srgbClr w14:val="000000">
                      <w14:alpha w14:val="100000"/>
                    </w14:srgbClr>
                  </w14:solidFill>
                </w14:textFill>
              </w:rPr>
              <w:t>||</w:t>
            </w:r>
            <w:r w:rsidRPr="00632DCB">
              <w:rPr>
                <w:color w:val="000000"/>
                <w:spacing w:val="1"/>
                <w:shd w:val="solid" w:color="000000" w:fill="000000"/>
                <w:fitText w:val="230" w:id="-1032088317"/>
                <w14:textFill>
                  <w14:solidFill>
                    <w14:srgbClr w14:val="000000">
                      <w14:alpha w14:val="100000"/>
                    </w14:srgbClr>
                  </w14:solidFill>
                </w14:textFill>
              </w:rPr>
              <w:t>|</w:t>
            </w:r>
            <w:r w:rsidR="00766623" w:rsidRPr="00766623">
              <w:rPr>
                <w:vertAlign w:val="superscript"/>
              </w:rPr>
              <w:t>5</w:t>
            </w:r>
          </w:p>
        </w:tc>
      </w:tr>
      <w:tr w:rsidR="002901B9" w:rsidRPr="00743512" w14:paraId="5C18280F" w14:textId="77777777" w:rsidTr="002D5411">
        <w:trPr>
          <w:trHeight w:val="20"/>
        </w:trPr>
        <w:tc>
          <w:tcPr>
            <w:tcW w:w="611" w:type="pct"/>
          </w:tcPr>
          <w:p w14:paraId="084B7214" w14:textId="11A92602" w:rsidR="00A654A3" w:rsidRPr="00743512" w:rsidRDefault="00A654A3" w:rsidP="002901B9">
            <w:pPr>
              <w:pStyle w:val="TableText0"/>
              <w:keepNext w:val="0"/>
            </w:pPr>
            <w:r w:rsidRPr="00743512">
              <w:t>M</w:t>
            </w:r>
          </w:p>
        </w:tc>
        <w:tc>
          <w:tcPr>
            <w:tcW w:w="1538" w:type="pct"/>
            <w:noWrap/>
            <w:hideMark/>
          </w:tcPr>
          <w:p w14:paraId="78243980" w14:textId="7BDC7C25" w:rsidR="00A654A3" w:rsidRPr="00743512" w:rsidRDefault="00A654A3" w:rsidP="002901B9">
            <w:pPr>
              <w:pStyle w:val="TableText0"/>
              <w:keepNext w:val="0"/>
            </w:pPr>
            <w:r w:rsidRPr="00743512">
              <w:t>Uptake of g</w:t>
            </w:r>
            <w:r w:rsidRPr="00743512">
              <w:rPr>
                <w:i/>
              </w:rPr>
              <w:t>BRCA</w:t>
            </w:r>
            <w:r w:rsidRPr="00743512">
              <w:t xml:space="preserve"> testing in HR+ HER2− patients</w:t>
            </w:r>
            <w:r w:rsidR="00DA52E8">
              <w:t xml:space="preserve"> (%)</w:t>
            </w:r>
          </w:p>
        </w:tc>
        <w:tc>
          <w:tcPr>
            <w:tcW w:w="475" w:type="pct"/>
            <w:noWrap/>
            <w:hideMark/>
          </w:tcPr>
          <w:p w14:paraId="20BECBF4" w14:textId="64234F73"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16"/>
                <w14:textFill>
                  <w14:solidFill>
                    <w14:srgbClr w14:val="000000">
                      <w14:alpha w14:val="100000"/>
                    </w14:srgbClr>
                  </w14:solidFill>
                </w14:textFill>
              </w:rPr>
              <w:t>|</w:t>
            </w:r>
            <w:r w:rsidRPr="00632DCB">
              <w:rPr>
                <w:color w:val="000000"/>
                <w:spacing w:val="1"/>
                <w:shd w:val="solid" w:color="000000" w:fill="000000"/>
                <w:fitText w:val="170" w:id="-1032088316"/>
                <w14:textFill>
                  <w14:solidFill>
                    <w14:srgbClr w14:val="000000">
                      <w14:alpha w14:val="100000"/>
                    </w14:srgbClr>
                  </w14:solidFill>
                </w14:textFill>
              </w:rPr>
              <w:t>|</w:t>
            </w:r>
          </w:p>
        </w:tc>
        <w:tc>
          <w:tcPr>
            <w:tcW w:w="475" w:type="pct"/>
            <w:noWrap/>
            <w:hideMark/>
          </w:tcPr>
          <w:p w14:paraId="52A30B35" w14:textId="16B5F07A"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15"/>
                <w14:textFill>
                  <w14:solidFill>
                    <w14:srgbClr w14:val="000000">
                      <w14:alpha w14:val="100000"/>
                    </w14:srgbClr>
                  </w14:solidFill>
                </w14:textFill>
              </w:rPr>
              <w:t>|</w:t>
            </w:r>
            <w:r w:rsidRPr="00632DCB">
              <w:rPr>
                <w:color w:val="000000"/>
                <w:spacing w:val="1"/>
                <w:shd w:val="solid" w:color="000000" w:fill="000000"/>
                <w:fitText w:val="170" w:id="-1032088315"/>
                <w14:textFill>
                  <w14:solidFill>
                    <w14:srgbClr w14:val="000000">
                      <w14:alpha w14:val="100000"/>
                    </w14:srgbClr>
                  </w14:solidFill>
                </w14:textFill>
              </w:rPr>
              <w:t>|</w:t>
            </w:r>
          </w:p>
        </w:tc>
        <w:tc>
          <w:tcPr>
            <w:tcW w:w="475" w:type="pct"/>
            <w:noWrap/>
            <w:hideMark/>
          </w:tcPr>
          <w:p w14:paraId="53F1D99A" w14:textId="3C8195F4"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14"/>
                <w14:textFill>
                  <w14:solidFill>
                    <w14:srgbClr w14:val="000000">
                      <w14:alpha w14:val="100000"/>
                    </w14:srgbClr>
                  </w14:solidFill>
                </w14:textFill>
              </w:rPr>
              <w:t>|</w:t>
            </w:r>
            <w:r w:rsidRPr="00632DCB">
              <w:rPr>
                <w:color w:val="000000"/>
                <w:spacing w:val="1"/>
                <w:shd w:val="solid" w:color="000000" w:fill="000000"/>
                <w:fitText w:val="170" w:id="-1032088314"/>
                <w14:textFill>
                  <w14:solidFill>
                    <w14:srgbClr w14:val="000000">
                      <w14:alpha w14:val="100000"/>
                    </w14:srgbClr>
                  </w14:solidFill>
                </w14:textFill>
              </w:rPr>
              <w:t>|</w:t>
            </w:r>
          </w:p>
        </w:tc>
        <w:tc>
          <w:tcPr>
            <w:tcW w:w="475" w:type="pct"/>
            <w:noWrap/>
            <w:hideMark/>
          </w:tcPr>
          <w:p w14:paraId="0035D1A0" w14:textId="541DF03B"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13"/>
                <w14:textFill>
                  <w14:solidFill>
                    <w14:srgbClr w14:val="000000">
                      <w14:alpha w14:val="100000"/>
                    </w14:srgbClr>
                  </w14:solidFill>
                </w14:textFill>
              </w:rPr>
              <w:t>|</w:t>
            </w:r>
            <w:r w:rsidRPr="00632DCB">
              <w:rPr>
                <w:color w:val="000000"/>
                <w:spacing w:val="1"/>
                <w:shd w:val="solid" w:color="000000" w:fill="000000"/>
                <w:fitText w:val="170" w:id="-1032088313"/>
                <w14:textFill>
                  <w14:solidFill>
                    <w14:srgbClr w14:val="000000">
                      <w14:alpha w14:val="100000"/>
                    </w14:srgbClr>
                  </w14:solidFill>
                </w14:textFill>
              </w:rPr>
              <w:t>|</w:t>
            </w:r>
          </w:p>
        </w:tc>
        <w:tc>
          <w:tcPr>
            <w:tcW w:w="475" w:type="pct"/>
            <w:noWrap/>
            <w:hideMark/>
          </w:tcPr>
          <w:p w14:paraId="2BB79116" w14:textId="695D6813"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12"/>
                <w14:textFill>
                  <w14:solidFill>
                    <w14:srgbClr w14:val="000000">
                      <w14:alpha w14:val="100000"/>
                    </w14:srgbClr>
                  </w14:solidFill>
                </w14:textFill>
              </w:rPr>
              <w:t>|</w:t>
            </w:r>
            <w:r w:rsidRPr="00632DCB">
              <w:rPr>
                <w:color w:val="000000"/>
                <w:spacing w:val="1"/>
                <w:shd w:val="solid" w:color="000000" w:fill="000000"/>
                <w:fitText w:val="170" w:id="-1032088312"/>
                <w14:textFill>
                  <w14:solidFill>
                    <w14:srgbClr w14:val="000000">
                      <w14:alpha w14:val="100000"/>
                    </w14:srgbClr>
                  </w14:solidFill>
                </w14:textFill>
              </w:rPr>
              <w:t>|</w:t>
            </w:r>
          </w:p>
        </w:tc>
        <w:tc>
          <w:tcPr>
            <w:tcW w:w="476" w:type="pct"/>
            <w:noWrap/>
            <w:hideMark/>
          </w:tcPr>
          <w:p w14:paraId="3C45C80B" w14:textId="76772C5C"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11"/>
                <w14:textFill>
                  <w14:solidFill>
                    <w14:srgbClr w14:val="000000">
                      <w14:alpha w14:val="100000"/>
                    </w14:srgbClr>
                  </w14:solidFill>
                </w14:textFill>
              </w:rPr>
              <w:t>|</w:t>
            </w:r>
            <w:r w:rsidRPr="00632DCB">
              <w:rPr>
                <w:color w:val="000000"/>
                <w:spacing w:val="1"/>
                <w:shd w:val="solid" w:color="000000" w:fill="000000"/>
                <w:fitText w:val="170" w:id="-1032088311"/>
                <w14:textFill>
                  <w14:solidFill>
                    <w14:srgbClr w14:val="000000">
                      <w14:alpha w14:val="100000"/>
                    </w14:srgbClr>
                  </w14:solidFill>
                </w14:textFill>
              </w:rPr>
              <w:t>|</w:t>
            </w:r>
          </w:p>
        </w:tc>
      </w:tr>
      <w:tr w:rsidR="002901B9" w:rsidRPr="00743512" w14:paraId="4755137B" w14:textId="77777777" w:rsidTr="002D5411">
        <w:trPr>
          <w:trHeight w:val="20"/>
        </w:trPr>
        <w:tc>
          <w:tcPr>
            <w:tcW w:w="611" w:type="pct"/>
          </w:tcPr>
          <w:p w14:paraId="069BAEA0" w14:textId="3126A686" w:rsidR="00A654A3" w:rsidRPr="00743512" w:rsidRDefault="00A654A3" w:rsidP="002901B9">
            <w:pPr>
              <w:pStyle w:val="TableText0"/>
              <w:keepNext w:val="0"/>
            </w:pPr>
            <w:r w:rsidRPr="00743512">
              <w:t>N</w:t>
            </w:r>
          </w:p>
        </w:tc>
        <w:tc>
          <w:tcPr>
            <w:tcW w:w="1538" w:type="pct"/>
            <w:shd w:val="clear" w:color="auto" w:fill="auto"/>
            <w:noWrap/>
            <w:hideMark/>
          </w:tcPr>
          <w:p w14:paraId="25C5AE07" w14:textId="51640EE1" w:rsidR="00A654A3" w:rsidRPr="00743512" w:rsidRDefault="00A654A3" w:rsidP="002901B9">
            <w:pPr>
              <w:pStyle w:val="TableText0"/>
              <w:keepNext w:val="0"/>
            </w:pPr>
            <w:r w:rsidRPr="00743512">
              <w:t xml:space="preserve">HR+ HER2− patients tested </w:t>
            </w:r>
          </w:p>
        </w:tc>
        <w:tc>
          <w:tcPr>
            <w:tcW w:w="475" w:type="pct"/>
            <w:shd w:val="clear" w:color="auto" w:fill="auto"/>
            <w:noWrap/>
            <w:hideMark/>
          </w:tcPr>
          <w:p w14:paraId="2BB20F92" w14:textId="2F5F7C90"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0"/>
                <w14:textFill>
                  <w14:solidFill>
                    <w14:srgbClr w14:val="000000">
                      <w14:alpha w14:val="100000"/>
                    </w14:srgbClr>
                  </w14:solidFill>
                </w14:textFill>
              </w:rPr>
              <w:t>||</w:t>
            </w:r>
            <w:r w:rsidRPr="00632DCB">
              <w:rPr>
                <w:color w:val="000000"/>
                <w:spacing w:val="1"/>
                <w:shd w:val="solid" w:color="000000" w:fill="000000"/>
                <w:fitText w:val="230" w:id="-1032088310"/>
                <w14:textFill>
                  <w14:solidFill>
                    <w14:srgbClr w14:val="000000">
                      <w14:alpha w14:val="100000"/>
                    </w14:srgbClr>
                  </w14:solidFill>
                </w14:textFill>
              </w:rPr>
              <w:t>|</w:t>
            </w:r>
            <w:r w:rsidR="002F73D6" w:rsidRPr="006917BB">
              <w:rPr>
                <w:vertAlign w:val="superscript"/>
              </w:rPr>
              <w:t>2</w:t>
            </w:r>
          </w:p>
        </w:tc>
        <w:tc>
          <w:tcPr>
            <w:tcW w:w="475" w:type="pct"/>
            <w:shd w:val="clear" w:color="auto" w:fill="auto"/>
            <w:noWrap/>
            <w:hideMark/>
          </w:tcPr>
          <w:p w14:paraId="690C2363" w14:textId="77777777"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09"/>
                <w14:textFill>
                  <w14:solidFill>
                    <w14:srgbClr w14:val="000000">
                      <w14:alpha w14:val="100000"/>
                    </w14:srgbClr>
                  </w14:solidFill>
                </w14:textFill>
              </w:rPr>
              <w:t>|</w:t>
            </w:r>
            <w:r w:rsidRPr="00632DCB">
              <w:rPr>
                <w:color w:val="000000"/>
                <w:spacing w:val="1"/>
                <w:shd w:val="solid" w:color="000000" w:fill="000000"/>
                <w:fitText w:val="170" w:id="-1032088309"/>
                <w14:textFill>
                  <w14:solidFill>
                    <w14:srgbClr w14:val="000000">
                      <w14:alpha w14:val="100000"/>
                    </w14:srgbClr>
                  </w14:solidFill>
                </w14:textFill>
              </w:rPr>
              <w:t>|</w:t>
            </w:r>
          </w:p>
        </w:tc>
        <w:tc>
          <w:tcPr>
            <w:tcW w:w="475" w:type="pct"/>
            <w:shd w:val="clear" w:color="auto" w:fill="auto"/>
            <w:noWrap/>
            <w:hideMark/>
          </w:tcPr>
          <w:p w14:paraId="11B67485" w14:textId="15D68725"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8"/>
                <w14:textFill>
                  <w14:solidFill>
                    <w14:srgbClr w14:val="000000">
                      <w14:alpha w14:val="100000"/>
                    </w14:srgbClr>
                  </w14:solidFill>
                </w14:textFill>
              </w:rPr>
              <w:t>||</w:t>
            </w:r>
            <w:r w:rsidRPr="00632DCB">
              <w:rPr>
                <w:color w:val="000000"/>
                <w:spacing w:val="1"/>
                <w:shd w:val="solid" w:color="000000" w:fill="000000"/>
                <w:fitText w:val="230" w:id="-1032088308"/>
                <w14:textFill>
                  <w14:solidFill>
                    <w14:srgbClr w14:val="000000">
                      <w14:alpha w14:val="100000"/>
                    </w14:srgbClr>
                  </w14:solidFill>
                </w14:textFill>
              </w:rPr>
              <w:t>|</w:t>
            </w:r>
            <w:r w:rsidR="00766623" w:rsidRPr="00766623">
              <w:rPr>
                <w:vertAlign w:val="superscript"/>
              </w:rPr>
              <w:t>5</w:t>
            </w:r>
          </w:p>
        </w:tc>
        <w:tc>
          <w:tcPr>
            <w:tcW w:w="475" w:type="pct"/>
            <w:shd w:val="clear" w:color="auto" w:fill="auto"/>
            <w:noWrap/>
            <w:hideMark/>
          </w:tcPr>
          <w:p w14:paraId="1FA0C6D8" w14:textId="059365E5"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7"/>
                <w14:textFill>
                  <w14:solidFill>
                    <w14:srgbClr w14:val="000000">
                      <w14:alpha w14:val="100000"/>
                    </w14:srgbClr>
                  </w14:solidFill>
                </w14:textFill>
              </w:rPr>
              <w:t>||</w:t>
            </w:r>
            <w:r w:rsidRPr="00632DCB">
              <w:rPr>
                <w:color w:val="000000"/>
                <w:spacing w:val="1"/>
                <w:shd w:val="solid" w:color="000000" w:fill="000000"/>
                <w:fitText w:val="230" w:id="-1032088307"/>
                <w14:textFill>
                  <w14:solidFill>
                    <w14:srgbClr w14:val="000000">
                      <w14:alpha w14:val="100000"/>
                    </w14:srgbClr>
                  </w14:solidFill>
                </w14:textFill>
              </w:rPr>
              <w:t>|</w:t>
            </w:r>
            <w:r w:rsidR="00766623" w:rsidRPr="00766623">
              <w:rPr>
                <w:vertAlign w:val="superscript"/>
              </w:rPr>
              <w:t>5</w:t>
            </w:r>
          </w:p>
        </w:tc>
        <w:tc>
          <w:tcPr>
            <w:tcW w:w="475" w:type="pct"/>
            <w:shd w:val="clear" w:color="auto" w:fill="auto"/>
            <w:noWrap/>
            <w:hideMark/>
          </w:tcPr>
          <w:p w14:paraId="75F90C9B" w14:textId="44015A83"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6"/>
                <w14:textFill>
                  <w14:solidFill>
                    <w14:srgbClr w14:val="000000">
                      <w14:alpha w14:val="100000"/>
                    </w14:srgbClr>
                  </w14:solidFill>
                </w14:textFill>
              </w:rPr>
              <w:t>||</w:t>
            </w:r>
            <w:r w:rsidRPr="00632DCB">
              <w:rPr>
                <w:color w:val="000000"/>
                <w:spacing w:val="1"/>
                <w:shd w:val="solid" w:color="000000" w:fill="000000"/>
                <w:fitText w:val="230" w:id="-1032088306"/>
                <w14:textFill>
                  <w14:solidFill>
                    <w14:srgbClr w14:val="000000">
                      <w14:alpha w14:val="100000"/>
                    </w14:srgbClr>
                  </w14:solidFill>
                </w14:textFill>
              </w:rPr>
              <w:t>|</w:t>
            </w:r>
            <w:r w:rsidR="00766623" w:rsidRPr="00766623">
              <w:rPr>
                <w:vertAlign w:val="superscript"/>
              </w:rPr>
              <w:t>5</w:t>
            </w:r>
          </w:p>
        </w:tc>
        <w:tc>
          <w:tcPr>
            <w:tcW w:w="476" w:type="pct"/>
            <w:shd w:val="clear" w:color="auto" w:fill="auto"/>
            <w:noWrap/>
            <w:hideMark/>
          </w:tcPr>
          <w:p w14:paraId="6E6582BA" w14:textId="7C465C66"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5"/>
                <w14:textFill>
                  <w14:solidFill>
                    <w14:srgbClr w14:val="000000">
                      <w14:alpha w14:val="100000"/>
                    </w14:srgbClr>
                  </w14:solidFill>
                </w14:textFill>
              </w:rPr>
              <w:t>||</w:t>
            </w:r>
            <w:r w:rsidRPr="00632DCB">
              <w:rPr>
                <w:color w:val="000000"/>
                <w:spacing w:val="1"/>
                <w:shd w:val="solid" w:color="000000" w:fill="000000"/>
                <w:fitText w:val="230" w:id="-1032088305"/>
                <w14:textFill>
                  <w14:solidFill>
                    <w14:srgbClr w14:val="000000">
                      <w14:alpha w14:val="100000"/>
                    </w14:srgbClr>
                  </w14:solidFill>
                </w14:textFill>
              </w:rPr>
              <w:t>|</w:t>
            </w:r>
            <w:r w:rsidR="00766623" w:rsidRPr="00766623">
              <w:rPr>
                <w:vertAlign w:val="superscript"/>
              </w:rPr>
              <w:t>5</w:t>
            </w:r>
          </w:p>
        </w:tc>
      </w:tr>
      <w:tr w:rsidR="002901B9" w:rsidRPr="00743512" w14:paraId="54BF0F98" w14:textId="77777777" w:rsidTr="002D5411">
        <w:trPr>
          <w:trHeight w:val="20"/>
        </w:trPr>
        <w:tc>
          <w:tcPr>
            <w:tcW w:w="611" w:type="pct"/>
          </w:tcPr>
          <w:p w14:paraId="5A0A45CC" w14:textId="64C64149" w:rsidR="00A654A3" w:rsidRPr="00743512" w:rsidRDefault="00A654A3" w:rsidP="002901B9">
            <w:pPr>
              <w:pStyle w:val="TableText0"/>
              <w:keepNext w:val="0"/>
            </w:pPr>
            <w:r w:rsidRPr="00743512">
              <w:t>O</w:t>
            </w:r>
          </w:p>
        </w:tc>
        <w:tc>
          <w:tcPr>
            <w:tcW w:w="1538" w:type="pct"/>
            <w:noWrap/>
            <w:hideMark/>
          </w:tcPr>
          <w:p w14:paraId="25D91D8B" w14:textId="1D86DE49" w:rsidR="00A654A3" w:rsidRPr="00743512" w:rsidRDefault="00A654A3" w:rsidP="002901B9">
            <w:pPr>
              <w:pStyle w:val="TableText0"/>
              <w:keepNext w:val="0"/>
            </w:pPr>
            <w:r w:rsidRPr="00743512">
              <w:t>HR+ HER2− patients with g</w:t>
            </w:r>
            <w:r w:rsidRPr="00743512">
              <w:rPr>
                <w:i/>
              </w:rPr>
              <w:t>BRCA</w:t>
            </w:r>
            <w:r w:rsidRPr="00743512">
              <w:t xml:space="preserve"> variants (5.0%)</w:t>
            </w:r>
          </w:p>
        </w:tc>
        <w:tc>
          <w:tcPr>
            <w:tcW w:w="475" w:type="pct"/>
            <w:noWrap/>
            <w:hideMark/>
          </w:tcPr>
          <w:p w14:paraId="154F1865" w14:textId="396E86BC"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4"/>
                <w14:textFill>
                  <w14:solidFill>
                    <w14:srgbClr w14:val="000000">
                      <w14:alpha w14:val="100000"/>
                    </w14:srgbClr>
                  </w14:solidFill>
                </w14:textFill>
              </w:rPr>
              <w:t>||</w:t>
            </w:r>
            <w:r w:rsidRPr="00632DCB">
              <w:rPr>
                <w:color w:val="000000"/>
                <w:spacing w:val="1"/>
                <w:shd w:val="solid" w:color="000000" w:fill="000000"/>
                <w:fitText w:val="230" w:id="-1032088304"/>
                <w14:textFill>
                  <w14:solidFill>
                    <w14:srgbClr w14:val="000000">
                      <w14:alpha w14:val="100000"/>
                    </w14:srgbClr>
                  </w14:solidFill>
                </w14:textFill>
              </w:rPr>
              <w:t>|</w:t>
            </w:r>
            <w:r w:rsidR="002F73D6" w:rsidRPr="002F73D6">
              <w:rPr>
                <w:vertAlign w:val="superscript"/>
              </w:rPr>
              <w:t>3</w:t>
            </w:r>
          </w:p>
        </w:tc>
        <w:tc>
          <w:tcPr>
            <w:tcW w:w="475" w:type="pct"/>
            <w:noWrap/>
            <w:hideMark/>
          </w:tcPr>
          <w:p w14:paraId="16678554" w14:textId="3E69D996"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20"/>
                <w14:textFill>
                  <w14:solidFill>
                    <w14:srgbClr w14:val="000000">
                      <w14:alpha w14:val="100000"/>
                    </w14:srgbClr>
                  </w14:solidFill>
                </w14:textFill>
              </w:rPr>
              <w:t>||</w:t>
            </w:r>
            <w:r w:rsidRPr="00632DCB">
              <w:rPr>
                <w:color w:val="000000"/>
                <w:spacing w:val="1"/>
                <w:shd w:val="solid" w:color="000000" w:fill="000000"/>
                <w:fitText w:val="230" w:id="-1032088320"/>
                <w14:textFill>
                  <w14:solidFill>
                    <w14:srgbClr w14:val="000000">
                      <w14:alpha w14:val="100000"/>
                    </w14:srgbClr>
                  </w14:solidFill>
                </w14:textFill>
              </w:rPr>
              <w:t>|</w:t>
            </w:r>
            <w:r w:rsidR="002F73D6" w:rsidRPr="002F73D6">
              <w:rPr>
                <w:vertAlign w:val="superscript"/>
              </w:rPr>
              <w:t>3</w:t>
            </w:r>
          </w:p>
        </w:tc>
        <w:tc>
          <w:tcPr>
            <w:tcW w:w="475" w:type="pct"/>
            <w:noWrap/>
            <w:hideMark/>
          </w:tcPr>
          <w:p w14:paraId="1C72A88E" w14:textId="5A453792"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9"/>
                <w14:textFill>
                  <w14:solidFill>
                    <w14:srgbClr w14:val="000000">
                      <w14:alpha w14:val="100000"/>
                    </w14:srgbClr>
                  </w14:solidFill>
                </w14:textFill>
              </w:rPr>
              <w:t>||</w:t>
            </w:r>
            <w:r w:rsidRPr="00632DCB">
              <w:rPr>
                <w:color w:val="000000"/>
                <w:spacing w:val="1"/>
                <w:shd w:val="solid" w:color="000000" w:fill="000000"/>
                <w:fitText w:val="230" w:id="-1032088319"/>
                <w14:textFill>
                  <w14:solidFill>
                    <w14:srgbClr w14:val="000000">
                      <w14:alpha w14:val="100000"/>
                    </w14:srgbClr>
                  </w14:solidFill>
                </w14:textFill>
              </w:rPr>
              <w:t>|</w:t>
            </w:r>
            <w:r w:rsidR="002F73D6" w:rsidRPr="002F73D6">
              <w:rPr>
                <w:vertAlign w:val="superscript"/>
              </w:rPr>
              <w:t>3</w:t>
            </w:r>
          </w:p>
        </w:tc>
        <w:tc>
          <w:tcPr>
            <w:tcW w:w="475" w:type="pct"/>
            <w:noWrap/>
            <w:hideMark/>
          </w:tcPr>
          <w:p w14:paraId="75B91C89" w14:textId="1D9B1D5A"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8"/>
                <w14:textFill>
                  <w14:solidFill>
                    <w14:srgbClr w14:val="000000">
                      <w14:alpha w14:val="100000"/>
                    </w14:srgbClr>
                  </w14:solidFill>
                </w14:textFill>
              </w:rPr>
              <w:t>||</w:t>
            </w:r>
            <w:r w:rsidRPr="00632DCB">
              <w:rPr>
                <w:color w:val="000000"/>
                <w:spacing w:val="1"/>
                <w:shd w:val="solid" w:color="000000" w:fill="000000"/>
                <w:fitText w:val="230" w:id="-1032088318"/>
                <w14:textFill>
                  <w14:solidFill>
                    <w14:srgbClr w14:val="000000">
                      <w14:alpha w14:val="100000"/>
                    </w14:srgbClr>
                  </w14:solidFill>
                </w14:textFill>
              </w:rPr>
              <w:t>|</w:t>
            </w:r>
            <w:r w:rsidR="002F73D6" w:rsidRPr="002F73D6">
              <w:rPr>
                <w:vertAlign w:val="superscript"/>
              </w:rPr>
              <w:t>3</w:t>
            </w:r>
          </w:p>
        </w:tc>
        <w:tc>
          <w:tcPr>
            <w:tcW w:w="475" w:type="pct"/>
            <w:noWrap/>
            <w:hideMark/>
          </w:tcPr>
          <w:p w14:paraId="5988A283" w14:textId="1F5CE6F1"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7"/>
                <w14:textFill>
                  <w14:solidFill>
                    <w14:srgbClr w14:val="000000">
                      <w14:alpha w14:val="100000"/>
                    </w14:srgbClr>
                  </w14:solidFill>
                </w14:textFill>
              </w:rPr>
              <w:t>||</w:t>
            </w:r>
            <w:r w:rsidRPr="00632DCB">
              <w:rPr>
                <w:color w:val="000000"/>
                <w:spacing w:val="1"/>
                <w:shd w:val="solid" w:color="000000" w:fill="000000"/>
                <w:fitText w:val="230" w:id="-1032088317"/>
                <w14:textFill>
                  <w14:solidFill>
                    <w14:srgbClr w14:val="000000">
                      <w14:alpha w14:val="100000"/>
                    </w14:srgbClr>
                  </w14:solidFill>
                </w14:textFill>
              </w:rPr>
              <w:t>|</w:t>
            </w:r>
            <w:r w:rsidR="002F73D6" w:rsidRPr="002F73D6">
              <w:rPr>
                <w:vertAlign w:val="superscript"/>
              </w:rPr>
              <w:t>3</w:t>
            </w:r>
          </w:p>
        </w:tc>
        <w:tc>
          <w:tcPr>
            <w:tcW w:w="476" w:type="pct"/>
            <w:noWrap/>
            <w:hideMark/>
          </w:tcPr>
          <w:p w14:paraId="69CF6769" w14:textId="50E74C61"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6"/>
                <w14:textFill>
                  <w14:solidFill>
                    <w14:srgbClr w14:val="000000">
                      <w14:alpha w14:val="100000"/>
                    </w14:srgbClr>
                  </w14:solidFill>
                </w14:textFill>
              </w:rPr>
              <w:t>||</w:t>
            </w:r>
            <w:r w:rsidRPr="00632DCB">
              <w:rPr>
                <w:color w:val="000000"/>
                <w:spacing w:val="1"/>
                <w:shd w:val="solid" w:color="000000" w:fill="000000"/>
                <w:fitText w:val="230" w:id="-1032088316"/>
                <w14:textFill>
                  <w14:solidFill>
                    <w14:srgbClr w14:val="000000">
                      <w14:alpha w14:val="100000"/>
                    </w14:srgbClr>
                  </w14:solidFill>
                </w14:textFill>
              </w:rPr>
              <w:t>|</w:t>
            </w:r>
            <w:r w:rsidR="002F73D6" w:rsidRPr="002F73D6">
              <w:rPr>
                <w:vertAlign w:val="superscript"/>
              </w:rPr>
              <w:t>3</w:t>
            </w:r>
          </w:p>
        </w:tc>
      </w:tr>
      <w:tr w:rsidR="002901B9" w:rsidRPr="00743512" w14:paraId="3BA47760" w14:textId="77777777" w:rsidTr="002D5411">
        <w:trPr>
          <w:trHeight w:val="20"/>
        </w:trPr>
        <w:tc>
          <w:tcPr>
            <w:tcW w:w="611" w:type="pct"/>
          </w:tcPr>
          <w:p w14:paraId="3163BF36" w14:textId="5F3D65E3" w:rsidR="00A654A3" w:rsidRPr="00743512" w:rsidRDefault="00A654A3" w:rsidP="002901B9">
            <w:pPr>
              <w:pStyle w:val="TableText0"/>
              <w:keepNext w:val="0"/>
            </w:pPr>
            <w:r w:rsidRPr="00743512">
              <w:t>P</w:t>
            </w:r>
          </w:p>
        </w:tc>
        <w:tc>
          <w:tcPr>
            <w:tcW w:w="1538" w:type="pct"/>
            <w:noWrap/>
            <w:hideMark/>
          </w:tcPr>
          <w:p w14:paraId="40C61C00" w14:textId="5A55DA69" w:rsidR="00A654A3" w:rsidRPr="00743512" w:rsidRDefault="00A654A3" w:rsidP="00DC0ED4">
            <w:pPr>
              <w:pStyle w:val="TableText0"/>
              <w:keepNext w:val="0"/>
            </w:pPr>
            <w:bookmarkStart w:id="103" w:name="_Hlk147903669"/>
            <w:r w:rsidRPr="00743512">
              <w:t>High-risk HR+ HER2− patients (80%</w:t>
            </w:r>
            <w:r w:rsidR="009B0486" w:rsidRPr="00743512">
              <w:t>;</w:t>
            </w:r>
            <w:r w:rsidRPr="00743512">
              <w:t xml:space="preserve">estimated proportion of HR+ HER2− patients </w:t>
            </w:r>
            <w:r w:rsidR="00DC0ED4" w:rsidRPr="00743512">
              <w:t>that tested positive for g</w:t>
            </w:r>
            <w:r w:rsidR="00DC0ED4" w:rsidRPr="00743512">
              <w:rPr>
                <w:i/>
              </w:rPr>
              <w:t>BRCA</w:t>
            </w:r>
            <w:r w:rsidR="00DC0ED4" w:rsidRPr="00743512">
              <w:t xml:space="preserve"> variants </w:t>
            </w:r>
            <w:r w:rsidR="009B0486" w:rsidRPr="00743512">
              <w:t>who meet the proposed PBS eligibility requirements</w:t>
            </w:r>
            <w:bookmarkEnd w:id="103"/>
            <w:r w:rsidRPr="00743512">
              <w:t>)</w:t>
            </w:r>
          </w:p>
        </w:tc>
        <w:tc>
          <w:tcPr>
            <w:tcW w:w="475" w:type="pct"/>
            <w:noWrap/>
            <w:hideMark/>
          </w:tcPr>
          <w:p w14:paraId="0B2D076B" w14:textId="7BE0F2B3" w:rsidR="00A654A3" w:rsidRPr="00DA52E8" w:rsidRDefault="00632DCB" w:rsidP="009B0486">
            <w:pPr>
              <w:pStyle w:val="TableText0"/>
              <w:keepNext w:val="0"/>
              <w:jc w:val="right"/>
              <w:rPr>
                <w:highlight w:val="darkGray"/>
              </w:rPr>
            </w:pPr>
            <w:r>
              <w:t xml:space="preserve"> </w:t>
            </w:r>
            <w:r w:rsidRPr="00632DCB">
              <w:rPr>
                <w:color w:val="000000"/>
                <w:spacing w:val="51"/>
                <w:shd w:val="solid" w:color="000000" w:fill="000000"/>
                <w:fitText w:val="230" w:id="-1032088315"/>
                <w14:textFill>
                  <w14:solidFill>
                    <w14:srgbClr w14:val="000000">
                      <w14:alpha w14:val="100000"/>
                    </w14:srgbClr>
                  </w14:solidFill>
                </w14:textFill>
              </w:rPr>
              <w:t>||</w:t>
            </w:r>
            <w:r w:rsidRPr="00632DCB">
              <w:rPr>
                <w:color w:val="000000"/>
                <w:spacing w:val="1"/>
                <w:shd w:val="solid" w:color="000000" w:fill="000000"/>
                <w:fitText w:val="230" w:id="-1032088315"/>
                <w14:textFill>
                  <w14:solidFill>
                    <w14:srgbClr w14:val="000000">
                      <w14:alpha w14:val="100000"/>
                    </w14:srgbClr>
                  </w14:solidFill>
                </w14:textFill>
              </w:rPr>
              <w:t>|</w:t>
            </w:r>
            <w:r w:rsidR="002F73D6" w:rsidRPr="002F73D6">
              <w:rPr>
                <w:vertAlign w:val="superscript"/>
              </w:rPr>
              <w:t>3</w:t>
            </w:r>
          </w:p>
        </w:tc>
        <w:tc>
          <w:tcPr>
            <w:tcW w:w="475" w:type="pct"/>
            <w:noWrap/>
            <w:hideMark/>
          </w:tcPr>
          <w:p w14:paraId="5982380F" w14:textId="2599D1D7" w:rsidR="00A654A3" w:rsidRPr="00DA52E8" w:rsidRDefault="00632DCB" w:rsidP="009B0486">
            <w:pPr>
              <w:pStyle w:val="TableText0"/>
              <w:keepNext w:val="0"/>
              <w:jc w:val="right"/>
              <w:rPr>
                <w:highlight w:val="darkGray"/>
              </w:rPr>
            </w:pPr>
            <w:r>
              <w:t xml:space="preserve"> </w:t>
            </w:r>
            <w:r w:rsidRPr="00632DCB">
              <w:rPr>
                <w:color w:val="000000"/>
                <w:spacing w:val="51"/>
                <w:shd w:val="solid" w:color="000000" w:fill="000000"/>
                <w:fitText w:val="230" w:id="-1032088314"/>
                <w14:textFill>
                  <w14:solidFill>
                    <w14:srgbClr w14:val="000000">
                      <w14:alpha w14:val="100000"/>
                    </w14:srgbClr>
                  </w14:solidFill>
                </w14:textFill>
              </w:rPr>
              <w:t>||</w:t>
            </w:r>
            <w:r w:rsidRPr="00632DCB">
              <w:rPr>
                <w:color w:val="000000"/>
                <w:spacing w:val="1"/>
                <w:shd w:val="solid" w:color="000000" w:fill="000000"/>
                <w:fitText w:val="230" w:id="-1032088314"/>
                <w14:textFill>
                  <w14:solidFill>
                    <w14:srgbClr w14:val="000000">
                      <w14:alpha w14:val="100000"/>
                    </w14:srgbClr>
                  </w14:solidFill>
                </w14:textFill>
              </w:rPr>
              <w:t>|</w:t>
            </w:r>
            <w:r w:rsidR="002F73D6" w:rsidRPr="002F73D6">
              <w:rPr>
                <w:vertAlign w:val="superscript"/>
              </w:rPr>
              <w:t>3</w:t>
            </w:r>
          </w:p>
        </w:tc>
        <w:tc>
          <w:tcPr>
            <w:tcW w:w="475" w:type="pct"/>
            <w:noWrap/>
            <w:hideMark/>
          </w:tcPr>
          <w:p w14:paraId="73AD8D62" w14:textId="436AED68" w:rsidR="00A654A3" w:rsidRPr="00DA52E8" w:rsidRDefault="00632DCB" w:rsidP="009B0486">
            <w:pPr>
              <w:pStyle w:val="TableText0"/>
              <w:keepNext w:val="0"/>
              <w:jc w:val="right"/>
              <w:rPr>
                <w:highlight w:val="darkGray"/>
              </w:rPr>
            </w:pPr>
            <w:r>
              <w:t xml:space="preserve"> </w:t>
            </w:r>
            <w:r w:rsidRPr="00632DCB">
              <w:rPr>
                <w:color w:val="000000"/>
                <w:spacing w:val="51"/>
                <w:shd w:val="solid" w:color="000000" w:fill="000000"/>
                <w:fitText w:val="230" w:id="-1032088313"/>
                <w14:textFill>
                  <w14:solidFill>
                    <w14:srgbClr w14:val="000000">
                      <w14:alpha w14:val="100000"/>
                    </w14:srgbClr>
                  </w14:solidFill>
                </w14:textFill>
              </w:rPr>
              <w:t>||</w:t>
            </w:r>
            <w:r w:rsidRPr="00632DCB">
              <w:rPr>
                <w:color w:val="000000"/>
                <w:spacing w:val="1"/>
                <w:shd w:val="solid" w:color="000000" w:fill="000000"/>
                <w:fitText w:val="230" w:id="-1032088313"/>
                <w14:textFill>
                  <w14:solidFill>
                    <w14:srgbClr w14:val="000000">
                      <w14:alpha w14:val="100000"/>
                    </w14:srgbClr>
                  </w14:solidFill>
                </w14:textFill>
              </w:rPr>
              <w:t>|</w:t>
            </w:r>
            <w:r w:rsidR="002F73D6" w:rsidRPr="002F73D6">
              <w:rPr>
                <w:vertAlign w:val="superscript"/>
              </w:rPr>
              <w:t>3</w:t>
            </w:r>
          </w:p>
        </w:tc>
        <w:tc>
          <w:tcPr>
            <w:tcW w:w="475" w:type="pct"/>
            <w:noWrap/>
            <w:hideMark/>
          </w:tcPr>
          <w:p w14:paraId="6415E50E" w14:textId="60C4E8C0" w:rsidR="00A654A3" w:rsidRPr="00DA52E8" w:rsidRDefault="00632DCB" w:rsidP="009B0486">
            <w:pPr>
              <w:pStyle w:val="TableText0"/>
              <w:keepNext w:val="0"/>
              <w:jc w:val="right"/>
              <w:rPr>
                <w:highlight w:val="darkGray"/>
              </w:rPr>
            </w:pPr>
            <w:r>
              <w:t xml:space="preserve"> </w:t>
            </w:r>
            <w:r w:rsidRPr="00632DCB">
              <w:rPr>
                <w:color w:val="000000"/>
                <w:spacing w:val="51"/>
                <w:shd w:val="solid" w:color="000000" w:fill="000000"/>
                <w:fitText w:val="230" w:id="-1032088312"/>
                <w14:textFill>
                  <w14:solidFill>
                    <w14:srgbClr w14:val="000000">
                      <w14:alpha w14:val="100000"/>
                    </w14:srgbClr>
                  </w14:solidFill>
                </w14:textFill>
              </w:rPr>
              <w:t>||</w:t>
            </w:r>
            <w:r w:rsidRPr="00632DCB">
              <w:rPr>
                <w:color w:val="000000"/>
                <w:spacing w:val="1"/>
                <w:shd w:val="solid" w:color="000000" w:fill="000000"/>
                <w:fitText w:val="230" w:id="-1032088312"/>
                <w14:textFill>
                  <w14:solidFill>
                    <w14:srgbClr w14:val="000000">
                      <w14:alpha w14:val="100000"/>
                    </w14:srgbClr>
                  </w14:solidFill>
                </w14:textFill>
              </w:rPr>
              <w:t>|</w:t>
            </w:r>
            <w:r w:rsidR="002F73D6" w:rsidRPr="002F73D6">
              <w:rPr>
                <w:vertAlign w:val="superscript"/>
              </w:rPr>
              <w:t>3</w:t>
            </w:r>
          </w:p>
        </w:tc>
        <w:tc>
          <w:tcPr>
            <w:tcW w:w="475" w:type="pct"/>
            <w:noWrap/>
            <w:hideMark/>
          </w:tcPr>
          <w:p w14:paraId="37013F0D" w14:textId="3EA35387" w:rsidR="00A654A3" w:rsidRPr="00DA52E8" w:rsidRDefault="00632DCB" w:rsidP="009B0486">
            <w:pPr>
              <w:pStyle w:val="TableText0"/>
              <w:keepNext w:val="0"/>
              <w:jc w:val="right"/>
              <w:rPr>
                <w:highlight w:val="darkGray"/>
              </w:rPr>
            </w:pPr>
            <w:r>
              <w:t xml:space="preserve"> </w:t>
            </w:r>
            <w:r w:rsidRPr="00632DCB">
              <w:rPr>
                <w:color w:val="000000"/>
                <w:spacing w:val="51"/>
                <w:shd w:val="solid" w:color="000000" w:fill="000000"/>
                <w:fitText w:val="230" w:id="-1032088311"/>
                <w14:textFill>
                  <w14:solidFill>
                    <w14:srgbClr w14:val="000000">
                      <w14:alpha w14:val="100000"/>
                    </w14:srgbClr>
                  </w14:solidFill>
                </w14:textFill>
              </w:rPr>
              <w:t>||</w:t>
            </w:r>
            <w:r w:rsidRPr="00632DCB">
              <w:rPr>
                <w:color w:val="000000"/>
                <w:spacing w:val="1"/>
                <w:shd w:val="solid" w:color="000000" w:fill="000000"/>
                <w:fitText w:val="230" w:id="-1032088311"/>
                <w14:textFill>
                  <w14:solidFill>
                    <w14:srgbClr w14:val="000000">
                      <w14:alpha w14:val="100000"/>
                    </w14:srgbClr>
                  </w14:solidFill>
                </w14:textFill>
              </w:rPr>
              <w:t>|</w:t>
            </w:r>
            <w:r w:rsidR="00766623" w:rsidRPr="002F73D6">
              <w:rPr>
                <w:vertAlign w:val="superscript"/>
              </w:rPr>
              <w:t>3</w:t>
            </w:r>
          </w:p>
        </w:tc>
        <w:tc>
          <w:tcPr>
            <w:tcW w:w="476" w:type="pct"/>
            <w:noWrap/>
            <w:hideMark/>
          </w:tcPr>
          <w:p w14:paraId="45DC9DF4" w14:textId="27142E7F" w:rsidR="00A654A3" w:rsidRPr="00DA52E8" w:rsidRDefault="00632DCB" w:rsidP="009B0486">
            <w:pPr>
              <w:pStyle w:val="TableText0"/>
              <w:keepNext w:val="0"/>
              <w:jc w:val="right"/>
              <w:rPr>
                <w:highlight w:val="darkGray"/>
              </w:rPr>
            </w:pPr>
            <w:r>
              <w:t xml:space="preserve"> </w:t>
            </w:r>
            <w:r w:rsidRPr="00632DCB">
              <w:rPr>
                <w:color w:val="000000"/>
                <w:spacing w:val="51"/>
                <w:shd w:val="solid" w:color="000000" w:fill="000000"/>
                <w:fitText w:val="230" w:id="-1032088310"/>
                <w14:textFill>
                  <w14:solidFill>
                    <w14:srgbClr w14:val="000000">
                      <w14:alpha w14:val="100000"/>
                    </w14:srgbClr>
                  </w14:solidFill>
                </w14:textFill>
              </w:rPr>
              <w:t>||</w:t>
            </w:r>
            <w:r w:rsidRPr="00632DCB">
              <w:rPr>
                <w:color w:val="000000"/>
                <w:spacing w:val="1"/>
                <w:shd w:val="solid" w:color="000000" w:fill="000000"/>
                <w:fitText w:val="230" w:id="-1032088310"/>
                <w14:textFill>
                  <w14:solidFill>
                    <w14:srgbClr w14:val="000000">
                      <w14:alpha w14:val="100000"/>
                    </w14:srgbClr>
                  </w14:solidFill>
                </w14:textFill>
              </w:rPr>
              <w:t>|</w:t>
            </w:r>
            <w:r w:rsidR="00766623" w:rsidRPr="002F73D6">
              <w:rPr>
                <w:vertAlign w:val="superscript"/>
              </w:rPr>
              <w:t>3</w:t>
            </w:r>
          </w:p>
        </w:tc>
      </w:tr>
      <w:tr w:rsidR="002901B9" w:rsidRPr="00743512" w14:paraId="2F88DA45" w14:textId="77777777" w:rsidTr="002D5411">
        <w:trPr>
          <w:trHeight w:val="20"/>
        </w:trPr>
        <w:tc>
          <w:tcPr>
            <w:tcW w:w="611" w:type="pct"/>
          </w:tcPr>
          <w:p w14:paraId="7AB13437" w14:textId="5FB6FB06" w:rsidR="00A654A3" w:rsidRPr="00743512" w:rsidRDefault="00A654A3" w:rsidP="002901B9">
            <w:pPr>
              <w:pStyle w:val="TableText0"/>
              <w:keepNext w:val="0"/>
            </w:pPr>
            <w:r w:rsidRPr="00743512">
              <w:t>Q</w:t>
            </w:r>
          </w:p>
        </w:tc>
        <w:tc>
          <w:tcPr>
            <w:tcW w:w="1538" w:type="pct"/>
            <w:noWrap/>
            <w:hideMark/>
          </w:tcPr>
          <w:p w14:paraId="2F8480A2" w14:textId="7D5C1AF9" w:rsidR="00A654A3" w:rsidRPr="00743512" w:rsidRDefault="00A654A3" w:rsidP="002901B9">
            <w:pPr>
              <w:pStyle w:val="TableText0"/>
              <w:keepNext w:val="0"/>
            </w:pPr>
            <w:r w:rsidRPr="00743512">
              <w:t>Uptake of olaparib</w:t>
            </w:r>
            <w:r w:rsidR="00DA52E8">
              <w:t xml:space="preserve"> (%)</w:t>
            </w:r>
          </w:p>
        </w:tc>
        <w:tc>
          <w:tcPr>
            <w:tcW w:w="475" w:type="pct"/>
            <w:noWrap/>
            <w:hideMark/>
          </w:tcPr>
          <w:p w14:paraId="094789C4" w14:textId="0493FFDD"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09"/>
                <w14:textFill>
                  <w14:solidFill>
                    <w14:srgbClr w14:val="000000">
                      <w14:alpha w14:val="100000"/>
                    </w14:srgbClr>
                  </w14:solidFill>
                </w14:textFill>
              </w:rPr>
              <w:t>|</w:t>
            </w:r>
            <w:r w:rsidRPr="00632DCB">
              <w:rPr>
                <w:color w:val="000000"/>
                <w:spacing w:val="1"/>
                <w:shd w:val="solid" w:color="000000" w:fill="000000"/>
                <w:fitText w:val="170" w:id="-1032088309"/>
                <w14:textFill>
                  <w14:solidFill>
                    <w14:srgbClr w14:val="000000">
                      <w14:alpha w14:val="100000"/>
                    </w14:srgbClr>
                  </w14:solidFill>
                </w14:textFill>
              </w:rPr>
              <w:t>|</w:t>
            </w:r>
          </w:p>
        </w:tc>
        <w:tc>
          <w:tcPr>
            <w:tcW w:w="475" w:type="pct"/>
            <w:noWrap/>
            <w:hideMark/>
          </w:tcPr>
          <w:p w14:paraId="187CDF8D" w14:textId="4A4B4DA0"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08"/>
                <w14:textFill>
                  <w14:solidFill>
                    <w14:srgbClr w14:val="000000">
                      <w14:alpha w14:val="100000"/>
                    </w14:srgbClr>
                  </w14:solidFill>
                </w14:textFill>
              </w:rPr>
              <w:t>|</w:t>
            </w:r>
            <w:r w:rsidRPr="00632DCB">
              <w:rPr>
                <w:color w:val="000000"/>
                <w:spacing w:val="1"/>
                <w:shd w:val="solid" w:color="000000" w:fill="000000"/>
                <w:fitText w:val="170" w:id="-1032088308"/>
                <w14:textFill>
                  <w14:solidFill>
                    <w14:srgbClr w14:val="000000">
                      <w14:alpha w14:val="100000"/>
                    </w14:srgbClr>
                  </w14:solidFill>
                </w14:textFill>
              </w:rPr>
              <w:t>|</w:t>
            </w:r>
          </w:p>
        </w:tc>
        <w:tc>
          <w:tcPr>
            <w:tcW w:w="475" w:type="pct"/>
            <w:noWrap/>
            <w:hideMark/>
          </w:tcPr>
          <w:p w14:paraId="0998D24F" w14:textId="38C5DFC7"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07"/>
                <w14:textFill>
                  <w14:solidFill>
                    <w14:srgbClr w14:val="000000">
                      <w14:alpha w14:val="100000"/>
                    </w14:srgbClr>
                  </w14:solidFill>
                </w14:textFill>
              </w:rPr>
              <w:t>|</w:t>
            </w:r>
            <w:r w:rsidRPr="00632DCB">
              <w:rPr>
                <w:color w:val="000000"/>
                <w:spacing w:val="1"/>
                <w:shd w:val="solid" w:color="000000" w:fill="000000"/>
                <w:fitText w:val="170" w:id="-1032088307"/>
                <w14:textFill>
                  <w14:solidFill>
                    <w14:srgbClr w14:val="000000">
                      <w14:alpha w14:val="100000"/>
                    </w14:srgbClr>
                  </w14:solidFill>
                </w14:textFill>
              </w:rPr>
              <w:t>|</w:t>
            </w:r>
          </w:p>
        </w:tc>
        <w:tc>
          <w:tcPr>
            <w:tcW w:w="475" w:type="pct"/>
            <w:noWrap/>
            <w:hideMark/>
          </w:tcPr>
          <w:p w14:paraId="46C8C903" w14:textId="248AC99A"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06"/>
                <w14:textFill>
                  <w14:solidFill>
                    <w14:srgbClr w14:val="000000">
                      <w14:alpha w14:val="100000"/>
                    </w14:srgbClr>
                  </w14:solidFill>
                </w14:textFill>
              </w:rPr>
              <w:t>|</w:t>
            </w:r>
            <w:r w:rsidRPr="00632DCB">
              <w:rPr>
                <w:color w:val="000000"/>
                <w:spacing w:val="1"/>
                <w:shd w:val="solid" w:color="000000" w:fill="000000"/>
                <w:fitText w:val="170" w:id="-1032088306"/>
                <w14:textFill>
                  <w14:solidFill>
                    <w14:srgbClr w14:val="000000">
                      <w14:alpha w14:val="100000"/>
                    </w14:srgbClr>
                  </w14:solidFill>
                </w14:textFill>
              </w:rPr>
              <w:t>|</w:t>
            </w:r>
          </w:p>
        </w:tc>
        <w:tc>
          <w:tcPr>
            <w:tcW w:w="475" w:type="pct"/>
            <w:noWrap/>
            <w:hideMark/>
          </w:tcPr>
          <w:p w14:paraId="1FD4474B" w14:textId="3D2669FC"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05"/>
                <w14:textFill>
                  <w14:solidFill>
                    <w14:srgbClr w14:val="000000">
                      <w14:alpha w14:val="100000"/>
                    </w14:srgbClr>
                  </w14:solidFill>
                </w14:textFill>
              </w:rPr>
              <w:t>|</w:t>
            </w:r>
            <w:r w:rsidRPr="00632DCB">
              <w:rPr>
                <w:color w:val="000000"/>
                <w:spacing w:val="1"/>
                <w:shd w:val="solid" w:color="000000" w:fill="000000"/>
                <w:fitText w:val="170" w:id="-1032088305"/>
                <w14:textFill>
                  <w14:solidFill>
                    <w14:srgbClr w14:val="000000">
                      <w14:alpha w14:val="100000"/>
                    </w14:srgbClr>
                  </w14:solidFill>
                </w14:textFill>
              </w:rPr>
              <w:t>|</w:t>
            </w:r>
          </w:p>
        </w:tc>
        <w:tc>
          <w:tcPr>
            <w:tcW w:w="476" w:type="pct"/>
            <w:noWrap/>
            <w:hideMark/>
          </w:tcPr>
          <w:p w14:paraId="2DBFBB80" w14:textId="47D89F20" w:rsidR="00A654A3" w:rsidRPr="00DA52E8" w:rsidRDefault="00632DCB" w:rsidP="002901B9">
            <w:pPr>
              <w:pStyle w:val="TableText0"/>
              <w:keepNext w:val="0"/>
              <w:jc w:val="right"/>
              <w:rPr>
                <w:highlight w:val="darkGray"/>
              </w:rPr>
            </w:pPr>
            <w:r>
              <w:t xml:space="preserve"> </w:t>
            </w:r>
            <w:r w:rsidRPr="00632DCB">
              <w:rPr>
                <w:color w:val="000000"/>
                <w:spacing w:val="84"/>
                <w:shd w:val="solid" w:color="000000" w:fill="000000"/>
                <w:fitText w:val="170" w:id="-1032088304"/>
                <w14:textFill>
                  <w14:solidFill>
                    <w14:srgbClr w14:val="000000">
                      <w14:alpha w14:val="100000"/>
                    </w14:srgbClr>
                  </w14:solidFill>
                </w14:textFill>
              </w:rPr>
              <w:t>|</w:t>
            </w:r>
            <w:r w:rsidRPr="00632DCB">
              <w:rPr>
                <w:color w:val="000000"/>
                <w:spacing w:val="1"/>
                <w:shd w:val="solid" w:color="000000" w:fill="000000"/>
                <w:fitText w:val="170" w:id="-1032088304"/>
                <w14:textFill>
                  <w14:solidFill>
                    <w14:srgbClr w14:val="000000">
                      <w14:alpha w14:val="100000"/>
                    </w14:srgbClr>
                  </w14:solidFill>
                </w14:textFill>
              </w:rPr>
              <w:t>|</w:t>
            </w:r>
          </w:p>
        </w:tc>
      </w:tr>
      <w:tr w:rsidR="002901B9" w:rsidRPr="00743512" w14:paraId="7D555073" w14:textId="77777777" w:rsidTr="002D5411">
        <w:trPr>
          <w:trHeight w:val="20"/>
        </w:trPr>
        <w:tc>
          <w:tcPr>
            <w:tcW w:w="611" w:type="pct"/>
          </w:tcPr>
          <w:p w14:paraId="0BE469A7" w14:textId="6C367991" w:rsidR="00A654A3" w:rsidRPr="00743512" w:rsidRDefault="00A654A3" w:rsidP="002901B9">
            <w:pPr>
              <w:pStyle w:val="TableText0"/>
              <w:keepNext w:val="0"/>
            </w:pPr>
            <w:r w:rsidRPr="00743512">
              <w:t>R</w:t>
            </w:r>
          </w:p>
        </w:tc>
        <w:tc>
          <w:tcPr>
            <w:tcW w:w="1538" w:type="pct"/>
            <w:noWrap/>
            <w:hideMark/>
          </w:tcPr>
          <w:p w14:paraId="302A4875" w14:textId="7B2D1751" w:rsidR="00A654A3" w:rsidRPr="00743512" w:rsidRDefault="00A654A3" w:rsidP="002901B9">
            <w:pPr>
              <w:pStyle w:val="TableText0"/>
              <w:keepNext w:val="0"/>
            </w:pPr>
            <w:r w:rsidRPr="00743512">
              <w:t xml:space="preserve">HR+ HER2− patients treated with olaparib </w:t>
            </w:r>
          </w:p>
        </w:tc>
        <w:tc>
          <w:tcPr>
            <w:tcW w:w="475" w:type="pct"/>
            <w:noWrap/>
            <w:hideMark/>
          </w:tcPr>
          <w:p w14:paraId="612A7D9A" w14:textId="6794AC00"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20"/>
                <w14:textFill>
                  <w14:solidFill>
                    <w14:srgbClr w14:val="000000">
                      <w14:alpha w14:val="100000"/>
                    </w14:srgbClr>
                  </w14:solidFill>
                </w14:textFill>
              </w:rPr>
              <w:t>||</w:t>
            </w:r>
            <w:r w:rsidRPr="00632DCB">
              <w:rPr>
                <w:color w:val="000000"/>
                <w:spacing w:val="1"/>
                <w:shd w:val="solid" w:color="000000" w:fill="000000"/>
                <w:fitText w:val="230" w:id="-1032088320"/>
                <w14:textFill>
                  <w14:solidFill>
                    <w14:srgbClr w14:val="000000">
                      <w14:alpha w14:val="100000"/>
                    </w14:srgbClr>
                  </w14:solidFill>
                </w14:textFill>
              </w:rPr>
              <w:t>|</w:t>
            </w:r>
            <w:r w:rsidR="00766623" w:rsidRPr="002F73D6">
              <w:rPr>
                <w:vertAlign w:val="superscript"/>
              </w:rPr>
              <w:t>3</w:t>
            </w:r>
          </w:p>
        </w:tc>
        <w:tc>
          <w:tcPr>
            <w:tcW w:w="475" w:type="pct"/>
            <w:noWrap/>
            <w:hideMark/>
          </w:tcPr>
          <w:p w14:paraId="362179A0" w14:textId="0AC3F2A5"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9"/>
                <w14:textFill>
                  <w14:solidFill>
                    <w14:srgbClr w14:val="000000">
                      <w14:alpha w14:val="100000"/>
                    </w14:srgbClr>
                  </w14:solidFill>
                </w14:textFill>
              </w:rPr>
              <w:t>||</w:t>
            </w:r>
            <w:r w:rsidRPr="00632DCB">
              <w:rPr>
                <w:color w:val="000000"/>
                <w:spacing w:val="1"/>
                <w:shd w:val="solid" w:color="000000" w:fill="000000"/>
                <w:fitText w:val="230" w:id="-1032088319"/>
                <w14:textFill>
                  <w14:solidFill>
                    <w14:srgbClr w14:val="000000">
                      <w14:alpha w14:val="100000"/>
                    </w14:srgbClr>
                  </w14:solidFill>
                </w14:textFill>
              </w:rPr>
              <w:t>|</w:t>
            </w:r>
            <w:r w:rsidR="00766623" w:rsidRPr="002F73D6">
              <w:rPr>
                <w:vertAlign w:val="superscript"/>
              </w:rPr>
              <w:t>3</w:t>
            </w:r>
          </w:p>
        </w:tc>
        <w:tc>
          <w:tcPr>
            <w:tcW w:w="475" w:type="pct"/>
            <w:noWrap/>
            <w:hideMark/>
          </w:tcPr>
          <w:p w14:paraId="3D43D28E" w14:textId="259B1A2C"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8"/>
                <w14:textFill>
                  <w14:solidFill>
                    <w14:srgbClr w14:val="000000">
                      <w14:alpha w14:val="100000"/>
                    </w14:srgbClr>
                  </w14:solidFill>
                </w14:textFill>
              </w:rPr>
              <w:t>||</w:t>
            </w:r>
            <w:r w:rsidRPr="00632DCB">
              <w:rPr>
                <w:color w:val="000000"/>
                <w:spacing w:val="1"/>
                <w:shd w:val="solid" w:color="000000" w:fill="000000"/>
                <w:fitText w:val="230" w:id="-1032088318"/>
                <w14:textFill>
                  <w14:solidFill>
                    <w14:srgbClr w14:val="000000">
                      <w14:alpha w14:val="100000"/>
                    </w14:srgbClr>
                  </w14:solidFill>
                </w14:textFill>
              </w:rPr>
              <w:t>|</w:t>
            </w:r>
            <w:r w:rsidR="00766623" w:rsidRPr="002F73D6">
              <w:rPr>
                <w:vertAlign w:val="superscript"/>
              </w:rPr>
              <w:t>3</w:t>
            </w:r>
          </w:p>
        </w:tc>
        <w:tc>
          <w:tcPr>
            <w:tcW w:w="475" w:type="pct"/>
            <w:noWrap/>
            <w:hideMark/>
          </w:tcPr>
          <w:p w14:paraId="6DF16CD9" w14:textId="76341140"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7"/>
                <w14:textFill>
                  <w14:solidFill>
                    <w14:srgbClr w14:val="000000">
                      <w14:alpha w14:val="100000"/>
                    </w14:srgbClr>
                  </w14:solidFill>
                </w14:textFill>
              </w:rPr>
              <w:t>||</w:t>
            </w:r>
            <w:r w:rsidRPr="00632DCB">
              <w:rPr>
                <w:color w:val="000000"/>
                <w:spacing w:val="1"/>
                <w:shd w:val="solid" w:color="000000" w:fill="000000"/>
                <w:fitText w:val="230" w:id="-1032088317"/>
                <w14:textFill>
                  <w14:solidFill>
                    <w14:srgbClr w14:val="000000">
                      <w14:alpha w14:val="100000"/>
                    </w14:srgbClr>
                  </w14:solidFill>
                </w14:textFill>
              </w:rPr>
              <w:t>|</w:t>
            </w:r>
            <w:r w:rsidR="00766623" w:rsidRPr="002F73D6">
              <w:rPr>
                <w:vertAlign w:val="superscript"/>
              </w:rPr>
              <w:t>3</w:t>
            </w:r>
          </w:p>
        </w:tc>
        <w:tc>
          <w:tcPr>
            <w:tcW w:w="475" w:type="pct"/>
            <w:noWrap/>
            <w:hideMark/>
          </w:tcPr>
          <w:p w14:paraId="61E9A3D0" w14:textId="76CFD2CF"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6"/>
                <w14:textFill>
                  <w14:solidFill>
                    <w14:srgbClr w14:val="000000">
                      <w14:alpha w14:val="100000"/>
                    </w14:srgbClr>
                  </w14:solidFill>
                </w14:textFill>
              </w:rPr>
              <w:t>||</w:t>
            </w:r>
            <w:r w:rsidRPr="00632DCB">
              <w:rPr>
                <w:color w:val="000000"/>
                <w:spacing w:val="1"/>
                <w:shd w:val="solid" w:color="000000" w:fill="000000"/>
                <w:fitText w:val="230" w:id="-1032088316"/>
                <w14:textFill>
                  <w14:solidFill>
                    <w14:srgbClr w14:val="000000">
                      <w14:alpha w14:val="100000"/>
                    </w14:srgbClr>
                  </w14:solidFill>
                </w14:textFill>
              </w:rPr>
              <w:t>|</w:t>
            </w:r>
            <w:r w:rsidR="00766623" w:rsidRPr="002F73D6">
              <w:rPr>
                <w:vertAlign w:val="superscript"/>
              </w:rPr>
              <w:t>3</w:t>
            </w:r>
          </w:p>
        </w:tc>
        <w:tc>
          <w:tcPr>
            <w:tcW w:w="476" w:type="pct"/>
            <w:noWrap/>
            <w:hideMark/>
          </w:tcPr>
          <w:p w14:paraId="5B3E3A74" w14:textId="69951EF0"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5"/>
                <w14:textFill>
                  <w14:solidFill>
                    <w14:srgbClr w14:val="000000">
                      <w14:alpha w14:val="100000"/>
                    </w14:srgbClr>
                  </w14:solidFill>
                </w14:textFill>
              </w:rPr>
              <w:t>||</w:t>
            </w:r>
            <w:r w:rsidRPr="00632DCB">
              <w:rPr>
                <w:color w:val="000000"/>
                <w:spacing w:val="1"/>
                <w:shd w:val="solid" w:color="000000" w:fill="000000"/>
                <w:fitText w:val="230" w:id="-1032088315"/>
                <w14:textFill>
                  <w14:solidFill>
                    <w14:srgbClr w14:val="000000">
                      <w14:alpha w14:val="100000"/>
                    </w14:srgbClr>
                  </w14:solidFill>
                </w14:textFill>
              </w:rPr>
              <w:t>|</w:t>
            </w:r>
            <w:r w:rsidR="00766623" w:rsidRPr="002F73D6">
              <w:rPr>
                <w:vertAlign w:val="superscript"/>
              </w:rPr>
              <w:t>3</w:t>
            </w:r>
          </w:p>
        </w:tc>
      </w:tr>
      <w:tr w:rsidR="00A654A3" w:rsidRPr="00743512" w14:paraId="24BC79CB" w14:textId="77777777" w:rsidTr="002D5411">
        <w:trPr>
          <w:trHeight w:val="20"/>
        </w:trPr>
        <w:tc>
          <w:tcPr>
            <w:tcW w:w="611" w:type="pct"/>
          </w:tcPr>
          <w:p w14:paraId="5FD6E4C4" w14:textId="77777777" w:rsidR="00A654A3" w:rsidRPr="00743512" w:rsidRDefault="00A654A3" w:rsidP="002901B9">
            <w:pPr>
              <w:pStyle w:val="TableText0"/>
              <w:keepNext w:val="0"/>
              <w:rPr>
                <w:b/>
                <w:bCs w:val="0"/>
              </w:rPr>
            </w:pPr>
          </w:p>
        </w:tc>
        <w:tc>
          <w:tcPr>
            <w:tcW w:w="4389" w:type="pct"/>
            <w:gridSpan w:val="7"/>
            <w:noWrap/>
          </w:tcPr>
          <w:p w14:paraId="34406055" w14:textId="54B5DC72" w:rsidR="00A654A3" w:rsidRPr="00743512" w:rsidRDefault="00A654A3" w:rsidP="002901B9">
            <w:pPr>
              <w:pStyle w:val="TableText0"/>
              <w:keepNext w:val="0"/>
              <w:rPr>
                <w:b/>
                <w:bCs w:val="0"/>
              </w:rPr>
            </w:pPr>
            <w:r w:rsidRPr="00743512">
              <w:rPr>
                <w:b/>
                <w:bCs w:val="0"/>
              </w:rPr>
              <w:t>Grandfathered</w:t>
            </w:r>
          </w:p>
        </w:tc>
      </w:tr>
      <w:tr w:rsidR="002901B9" w:rsidRPr="00743512" w14:paraId="5ACDF6C3" w14:textId="77777777" w:rsidTr="002D5411">
        <w:trPr>
          <w:trHeight w:val="20"/>
        </w:trPr>
        <w:tc>
          <w:tcPr>
            <w:tcW w:w="611" w:type="pct"/>
          </w:tcPr>
          <w:p w14:paraId="44D33806" w14:textId="41CD6CBB" w:rsidR="00A654A3" w:rsidRPr="00743512" w:rsidRDefault="00A654A3" w:rsidP="002901B9">
            <w:pPr>
              <w:pStyle w:val="TableText0"/>
              <w:keepNext w:val="0"/>
            </w:pPr>
            <w:r w:rsidRPr="00743512">
              <w:t>S</w:t>
            </w:r>
          </w:p>
        </w:tc>
        <w:tc>
          <w:tcPr>
            <w:tcW w:w="1538" w:type="pct"/>
            <w:noWrap/>
            <w:hideMark/>
          </w:tcPr>
          <w:p w14:paraId="4CFC4396" w14:textId="52132DDC" w:rsidR="00A654A3" w:rsidRPr="00743512" w:rsidRDefault="00A654A3" w:rsidP="002901B9">
            <w:pPr>
              <w:pStyle w:val="TableText0"/>
              <w:keepNext w:val="0"/>
            </w:pPr>
            <w:r w:rsidRPr="00743512">
              <w:t>Grandfathered patients</w:t>
            </w:r>
          </w:p>
        </w:tc>
        <w:tc>
          <w:tcPr>
            <w:tcW w:w="475" w:type="pct"/>
            <w:noWrap/>
            <w:hideMark/>
          </w:tcPr>
          <w:p w14:paraId="04B9BC6B" w14:textId="36379E31"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4"/>
                <w14:textFill>
                  <w14:solidFill>
                    <w14:srgbClr w14:val="000000">
                      <w14:alpha w14:val="100000"/>
                    </w14:srgbClr>
                  </w14:solidFill>
                </w14:textFill>
              </w:rPr>
              <w:t>||</w:t>
            </w:r>
            <w:r w:rsidRPr="00632DCB">
              <w:rPr>
                <w:color w:val="000000"/>
                <w:spacing w:val="1"/>
                <w:shd w:val="solid" w:color="000000" w:fill="000000"/>
                <w:fitText w:val="230" w:id="-1032088314"/>
                <w14:textFill>
                  <w14:solidFill>
                    <w14:srgbClr w14:val="000000">
                      <w14:alpha w14:val="100000"/>
                    </w14:srgbClr>
                  </w14:solidFill>
                </w14:textFill>
              </w:rPr>
              <w:t>|</w:t>
            </w:r>
            <w:r w:rsidR="00766623" w:rsidRPr="002F73D6">
              <w:rPr>
                <w:vertAlign w:val="superscript"/>
              </w:rPr>
              <w:t>3</w:t>
            </w:r>
          </w:p>
        </w:tc>
        <w:tc>
          <w:tcPr>
            <w:tcW w:w="475" w:type="pct"/>
            <w:noWrap/>
            <w:hideMark/>
          </w:tcPr>
          <w:p w14:paraId="647E1010" w14:textId="682AB45C"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3"/>
                <w14:textFill>
                  <w14:solidFill>
                    <w14:srgbClr w14:val="000000">
                      <w14:alpha w14:val="100000"/>
                    </w14:srgbClr>
                  </w14:solidFill>
                </w14:textFill>
              </w:rPr>
              <w:t>||</w:t>
            </w:r>
            <w:r w:rsidRPr="00632DCB">
              <w:rPr>
                <w:color w:val="000000"/>
                <w:spacing w:val="1"/>
                <w:shd w:val="solid" w:color="000000" w:fill="000000"/>
                <w:fitText w:val="230" w:id="-1032088313"/>
                <w14:textFill>
                  <w14:solidFill>
                    <w14:srgbClr w14:val="000000">
                      <w14:alpha w14:val="100000"/>
                    </w14:srgbClr>
                  </w14:solidFill>
                </w14:textFill>
              </w:rPr>
              <w:t>|</w:t>
            </w:r>
            <w:r w:rsidR="00766623" w:rsidRPr="002F73D6">
              <w:rPr>
                <w:vertAlign w:val="superscript"/>
              </w:rPr>
              <w:t>3</w:t>
            </w:r>
          </w:p>
        </w:tc>
        <w:tc>
          <w:tcPr>
            <w:tcW w:w="475" w:type="pct"/>
            <w:noWrap/>
            <w:hideMark/>
          </w:tcPr>
          <w:p w14:paraId="533B22AF" w14:textId="2745A11E"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2"/>
                <w14:textFill>
                  <w14:solidFill>
                    <w14:srgbClr w14:val="000000">
                      <w14:alpha w14:val="100000"/>
                    </w14:srgbClr>
                  </w14:solidFill>
                </w14:textFill>
              </w:rPr>
              <w:t>||</w:t>
            </w:r>
            <w:r w:rsidRPr="00632DCB">
              <w:rPr>
                <w:color w:val="000000"/>
                <w:spacing w:val="1"/>
                <w:shd w:val="solid" w:color="000000" w:fill="000000"/>
                <w:fitText w:val="230" w:id="-1032088312"/>
                <w14:textFill>
                  <w14:solidFill>
                    <w14:srgbClr w14:val="000000">
                      <w14:alpha w14:val="100000"/>
                    </w14:srgbClr>
                  </w14:solidFill>
                </w14:textFill>
              </w:rPr>
              <w:t>|</w:t>
            </w:r>
            <w:r w:rsidR="00766623" w:rsidRPr="002F73D6">
              <w:rPr>
                <w:vertAlign w:val="superscript"/>
              </w:rPr>
              <w:t>3</w:t>
            </w:r>
          </w:p>
        </w:tc>
        <w:tc>
          <w:tcPr>
            <w:tcW w:w="475" w:type="pct"/>
            <w:noWrap/>
            <w:hideMark/>
          </w:tcPr>
          <w:p w14:paraId="1EAE6A7E" w14:textId="005CB5DA"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1"/>
                <w14:textFill>
                  <w14:solidFill>
                    <w14:srgbClr w14:val="000000">
                      <w14:alpha w14:val="100000"/>
                    </w14:srgbClr>
                  </w14:solidFill>
                </w14:textFill>
              </w:rPr>
              <w:t>||</w:t>
            </w:r>
            <w:r w:rsidRPr="00632DCB">
              <w:rPr>
                <w:color w:val="000000"/>
                <w:spacing w:val="1"/>
                <w:shd w:val="solid" w:color="000000" w:fill="000000"/>
                <w:fitText w:val="230" w:id="-1032088311"/>
                <w14:textFill>
                  <w14:solidFill>
                    <w14:srgbClr w14:val="000000">
                      <w14:alpha w14:val="100000"/>
                    </w14:srgbClr>
                  </w14:solidFill>
                </w14:textFill>
              </w:rPr>
              <w:t>|</w:t>
            </w:r>
            <w:r w:rsidR="00766623" w:rsidRPr="002F73D6">
              <w:rPr>
                <w:vertAlign w:val="superscript"/>
              </w:rPr>
              <w:t>3</w:t>
            </w:r>
          </w:p>
        </w:tc>
        <w:tc>
          <w:tcPr>
            <w:tcW w:w="475" w:type="pct"/>
            <w:noWrap/>
            <w:hideMark/>
          </w:tcPr>
          <w:p w14:paraId="2438323A" w14:textId="078E6419"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0"/>
                <w14:textFill>
                  <w14:solidFill>
                    <w14:srgbClr w14:val="000000">
                      <w14:alpha w14:val="100000"/>
                    </w14:srgbClr>
                  </w14:solidFill>
                </w14:textFill>
              </w:rPr>
              <w:t>||</w:t>
            </w:r>
            <w:r w:rsidRPr="00632DCB">
              <w:rPr>
                <w:color w:val="000000"/>
                <w:spacing w:val="1"/>
                <w:shd w:val="solid" w:color="000000" w:fill="000000"/>
                <w:fitText w:val="230" w:id="-1032088310"/>
                <w14:textFill>
                  <w14:solidFill>
                    <w14:srgbClr w14:val="000000">
                      <w14:alpha w14:val="100000"/>
                    </w14:srgbClr>
                  </w14:solidFill>
                </w14:textFill>
              </w:rPr>
              <w:t>|</w:t>
            </w:r>
            <w:r w:rsidR="00766623" w:rsidRPr="002F73D6">
              <w:rPr>
                <w:vertAlign w:val="superscript"/>
              </w:rPr>
              <w:t>3</w:t>
            </w:r>
          </w:p>
        </w:tc>
        <w:tc>
          <w:tcPr>
            <w:tcW w:w="476" w:type="pct"/>
            <w:noWrap/>
            <w:hideMark/>
          </w:tcPr>
          <w:p w14:paraId="1AEB955E" w14:textId="576358CE" w:rsidR="00A654A3"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09"/>
                <w14:textFill>
                  <w14:solidFill>
                    <w14:srgbClr w14:val="000000">
                      <w14:alpha w14:val="100000"/>
                    </w14:srgbClr>
                  </w14:solidFill>
                </w14:textFill>
              </w:rPr>
              <w:t>||</w:t>
            </w:r>
            <w:r w:rsidRPr="00632DCB">
              <w:rPr>
                <w:color w:val="000000"/>
                <w:spacing w:val="1"/>
                <w:shd w:val="solid" w:color="000000" w:fill="000000"/>
                <w:fitText w:val="230" w:id="-1032088309"/>
                <w14:textFill>
                  <w14:solidFill>
                    <w14:srgbClr w14:val="000000">
                      <w14:alpha w14:val="100000"/>
                    </w14:srgbClr>
                  </w14:solidFill>
                </w14:textFill>
              </w:rPr>
              <w:t>|</w:t>
            </w:r>
            <w:r w:rsidR="00766623" w:rsidRPr="002F73D6">
              <w:rPr>
                <w:vertAlign w:val="superscript"/>
              </w:rPr>
              <w:t>3</w:t>
            </w:r>
          </w:p>
        </w:tc>
      </w:tr>
      <w:tr w:rsidR="002901B9" w:rsidRPr="00743512" w14:paraId="157E7865" w14:textId="77777777" w:rsidTr="002D5411">
        <w:trPr>
          <w:trHeight w:val="20"/>
        </w:trPr>
        <w:tc>
          <w:tcPr>
            <w:tcW w:w="611" w:type="pct"/>
          </w:tcPr>
          <w:p w14:paraId="3B5F4DA1" w14:textId="235A609F" w:rsidR="00A654A3" w:rsidRPr="00743512" w:rsidRDefault="00A654A3" w:rsidP="002901B9">
            <w:pPr>
              <w:pStyle w:val="TableText0"/>
              <w:keepNext w:val="0"/>
              <w:rPr>
                <w:b/>
                <w:bCs w:val="0"/>
              </w:rPr>
            </w:pPr>
            <w:r w:rsidRPr="00743512">
              <w:rPr>
                <w:b/>
                <w:bCs w:val="0"/>
              </w:rPr>
              <w:t>T</w:t>
            </w:r>
          </w:p>
        </w:tc>
        <w:tc>
          <w:tcPr>
            <w:tcW w:w="1538" w:type="pct"/>
            <w:noWrap/>
            <w:hideMark/>
          </w:tcPr>
          <w:p w14:paraId="2A8078D9" w14:textId="7619159E" w:rsidR="00A654A3" w:rsidRPr="00743512" w:rsidRDefault="00A654A3" w:rsidP="002901B9">
            <w:pPr>
              <w:pStyle w:val="TableText0"/>
              <w:keepNext w:val="0"/>
              <w:rPr>
                <w:b/>
                <w:bCs w:val="0"/>
              </w:rPr>
            </w:pPr>
            <w:r w:rsidRPr="00743512">
              <w:rPr>
                <w:b/>
                <w:bCs w:val="0"/>
              </w:rPr>
              <w:t>Total patients treated with olaparib</w:t>
            </w:r>
          </w:p>
        </w:tc>
        <w:tc>
          <w:tcPr>
            <w:tcW w:w="475" w:type="pct"/>
            <w:noWrap/>
            <w:hideMark/>
          </w:tcPr>
          <w:p w14:paraId="1DA8E6CA" w14:textId="45AC744B" w:rsidR="00A654A3"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8"/>
                <w14:textFill>
                  <w14:solidFill>
                    <w14:srgbClr w14:val="000000">
                      <w14:alpha w14:val="100000"/>
                    </w14:srgbClr>
                  </w14:solidFill>
                </w14:textFill>
              </w:rPr>
              <w:t>|</w:t>
            </w:r>
            <w:r w:rsidRPr="00632DCB">
              <w:rPr>
                <w:b/>
                <w:bCs w:val="0"/>
                <w:color w:val="000000"/>
                <w:spacing w:val="1"/>
                <w:shd w:val="solid" w:color="000000" w:fill="000000"/>
                <w:fitText w:val="290" w:id="-1032088308"/>
                <w14:textFill>
                  <w14:solidFill>
                    <w14:srgbClr w14:val="000000">
                      <w14:alpha w14:val="100000"/>
                    </w14:srgbClr>
                  </w14:solidFill>
                </w14:textFill>
              </w:rPr>
              <w:t>|</w:t>
            </w:r>
            <w:r w:rsidR="00766623" w:rsidRPr="002F73D6">
              <w:rPr>
                <w:vertAlign w:val="superscript"/>
              </w:rPr>
              <w:t>3</w:t>
            </w:r>
          </w:p>
        </w:tc>
        <w:tc>
          <w:tcPr>
            <w:tcW w:w="475" w:type="pct"/>
            <w:noWrap/>
            <w:hideMark/>
          </w:tcPr>
          <w:p w14:paraId="73AA9192" w14:textId="4B227C60" w:rsidR="00A654A3"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7"/>
                <w14:textFill>
                  <w14:solidFill>
                    <w14:srgbClr w14:val="000000">
                      <w14:alpha w14:val="100000"/>
                    </w14:srgbClr>
                  </w14:solidFill>
                </w14:textFill>
              </w:rPr>
              <w:t>|</w:t>
            </w:r>
            <w:r w:rsidRPr="00632DCB">
              <w:rPr>
                <w:b/>
                <w:bCs w:val="0"/>
                <w:color w:val="000000"/>
                <w:spacing w:val="1"/>
                <w:shd w:val="solid" w:color="000000" w:fill="000000"/>
                <w:fitText w:val="290" w:id="-1032088307"/>
                <w14:textFill>
                  <w14:solidFill>
                    <w14:srgbClr w14:val="000000">
                      <w14:alpha w14:val="100000"/>
                    </w14:srgbClr>
                  </w14:solidFill>
                </w14:textFill>
              </w:rPr>
              <w:t>|</w:t>
            </w:r>
            <w:r w:rsidR="00766623" w:rsidRPr="002F73D6">
              <w:rPr>
                <w:vertAlign w:val="superscript"/>
              </w:rPr>
              <w:t>3</w:t>
            </w:r>
          </w:p>
        </w:tc>
        <w:tc>
          <w:tcPr>
            <w:tcW w:w="475" w:type="pct"/>
            <w:noWrap/>
            <w:hideMark/>
          </w:tcPr>
          <w:p w14:paraId="719F8519" w14:textId="61C0B86E" w:rsidR="00A654A3"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6"/>
                <w14:textFill>
                  <w14:solidFill>
                    <w14:srgbClr w14:val="000000">
                      <w14:alpha w14:val="100000"/>
                    </w14:srgbClr>
                  </w14:solidFill>
                </w14:textFill>
              </w:rPr>
              <w:t>|</w:t>
            </w:r>
            <w:r w:rsidRPr="00632DCB">
              <w:rPr>
                <w:b/>
                <w:bCs w:val="0"/>
                <w:color w:val="000000"/>
                <w:spacing w:val="1"/>
                <w:shd w:val="solid" w:color="000000" w:fill="000000"/>
                <w:fitText w:val="290" w:id="-1032088306"/>
                <w14:textFill>
                  <w14:solidFill>
                    <w14:srgbClr w14:val="000000">
                      <w14:alpha w14:val="100000"/>
                    </w14:srgbClr>
                  </w14:solidFill>
                </w14:textFill>
              </w:rPr>
              <w:t>|</w:t>
            </w:r>
            <w:r w:rsidR="002F73D6" w:rsidRPr="006917BB">
              <w:rPr>
                <w:vertAlign w:val="superscript"/>
              </w:rPr>
              <w:t>2</w:t>
            </w:r>
          </w:p>
        </w:tc>
        <w:tc>
          <w:tcPr>
            <w:tcW w:w="475" w:type="pct"/>
            <w:noWrap/>
            <w:hideMark/>
          </w:tcPr>
          <w:p w14:paraId="0FC2020D" w14:textId="75C1B634" w:rsidR="00A654A3"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5"/>
                <w14:textFill>
                  <w14:solidFill>
                    <w14:srgbClr w14:val="000000">
                      <w14:alpha w14:val="100000"/>
                    </w14:srgbClr>
                  </w14:solidFill>
                </w14:textFill>
              </w:rPr>
              <w:t>|</w:t>
            </w:r>
            <w:r w:rsidRPr="00632DCB">
              <w:rPr>
                <w:b/>
                <w:bCs w:val="0"/>
                <w:color w:val="000000"/>
                <w:spacing w:val="1"/>
                <w:shd w:val="solid" w:color="000000" w:fill="000000"/>
                <w:fitText w:val="290" w:id="-1032088305"/>
                <w14:textFill>
                  <w14:solidFill>
                    <w14:srgbClr w14:val="000000">
                      <w14:alpha w14:val="100000"/>
                    </w14:srgbClr>
                  </w14:solidFill>
                </w14:textFill>
              </w:rPr>
              <w:t>|</w:t>
            </w:r>
            <w:r w:rsidR="002F73D6" w:rsidRPr="006917BB">
              <w:rPr>
                <w:vertAlign w:val="superscript"/>
              </w:rPr>
              <w:t>2</w:t>
            </w:r>
          </w:p>
        </w:tc>
        <w:tc>
          <w:tcPr>
            <w:tcW w:w="475" w:type="pct"/>
            <w:noWrap/>
            <w:hideMark/>
          </w:tcPr>
          <w:p w14:paraId="20D56AD7" w14:textId="776F5843" w:rsidR="00A654A3"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4"/>
                <w14:textFill>
                  <w14:solidFill>
                    <w14:srgbClr w14:val="000000">
                      <w14:alpha w14:val="100000"/>
                    </w14:srgbClr>
                  </w14:solidFill>
                </w14:textFill>
              </w:rPr>
              <w:t>|</w:t>
            </w:r>
            <w:r w:rsidRPr="00632DCB">
              <w:rPr>
                <w:b/>
                <w:bCs w:val="0"/>
                <w:color w:val="000000"/>
                <w:spacing w:val="1"/>
                <w:shd w:val="solid" w:color="000000" w:fill="000000"/>
                <w:fitText w:val="290" w:id="-1032088304"/>
                <w14:textFill>
                  <w14:solidFill>
                    <w14:srgbClr w14:val="000000">
                      <w14:alpha w14:val="100000"/>
                    </w14:srgbClr>
                  </w14:solidFill>
                </w14:textFill>
              </w:rPr>
              <w:t>|</w:t>
            </w:r>
            <w:r w:rsidR="002F73D6" w:rsidRPr="006917BB">
              <w:rPr>
                <w:vertAlign w:val="superscript"/>
              </w:rPr>
              <w:t>2</w:t>
            </w:r>
          </w:p>
        </w:tc>
        <w:tc>
          <w:tcPr>
            <w:tcW w:w="476" w:type="pct"/>
            <w:noWrap/>
            <w:hideMark/>
          </w:tcPr>
          <w:p w14:paraId="367083D6" w14:textId="2A9FD281" w:rsidR="00A654A3"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20"/>
                <w14:textFill>
                  <w14:solidFill>
                    <w14:srgbClr w14:val="000000">
                      <w14:alpha w14:val="100000"/>
                    </w14:srgbClr>
                  </w14:solidFill>
                </w14:textFill>
              </w:rPr>
              <w:t>|</w:t>
            </w:r>
            <w:r w:rsidRPr="00632DCB">
              <w:rPr>
                <w:b/>
                <w:bCs w:val="0"/>
                <w:color w:val="000000"/>
                <w:spacing w:val="1"/>
                <w:shd w:val="solid" w:color="000000" w:fill="000000"/>
                <w:fitText w:val="290" w:id="-1032088320"/>
                <w14:textFill>
                  <w14:solidFill>
                    <w14:srgbClr w14:val="000000">
                      <w14:alpha w14:val="100000"/>
                    </w14:srgbClr>
                  </w14:solidFill>
                </w14:textFill>
              </w:rPr>
              <w:t>|</w:t>
            </w:r>
            <w:r w:rsidR="002F73D6" w:rsidRPr="006917BB">
              <w:rPr>
                <w:vertAlign w:val="superscript"/>
              </w:rPr>
              <w:t>2</w:t>
            </w:r>
          </w:p>
        </w:tc>
      </w:tr>
      <w:tr w:rsidR="000D56AD" w:rsidRPr="00743512" w14:paraId="445B9F52" w14:textId="77777777" w:rsidTr="002D5411">
        <w:trPr>
          <w:trHeight w:val="20"/>
        </w:trPr>
        <w:tc>
          <w:tcPr>
            <w:tcW w:w="5000" w:type="pct"/>
            <w:gridSpan w:val="8"/>
          </w:tcPr>
          <w:p w14:paraId="601EC653" w14:textId="1C57C445" w:rsidR="000D56AD" w:rsidRPr="00743512" w:rsidRDefault="000D56AD" w:rsidP="000D56AD">
            <w:pPr>
              <w:pStyle w:val="TableText0"/>
              <w:keepNext w:val="0"/>
              <w:rPr>
                <w:b/>
                <w:bCs w:val="0"/>
              </w:rPr>
            </w:pPr>
            <w:bookmarkStart w:id="104" w:name="_Hlk150422849"/>
            <w:r w:rsidRPr="00743512">
              <w:rPr>
                <w:rStyle w:val="CommentReference"/>
                <w:szCs w:val="24"/>
              </w:rPr>
              <w:t>Amendments recommended by the PBAC</w:t>
            </w:r>
          </w:p>
        </w:tc>
      </w:tr>
      <w:tr w:rsidR="002901B9" w:rsidRPr="00743512" w14:paraId="2AAD5E71" w14:textId="77777777" w:rsidTr="002D5411">
        <w:trPr>
          <w:trHeight w:val="20"/>
        </w:trPr>
        <w:tc>
          <w:tcPr>
            <w:tcW w:w="611" w:type="pct"/>
          </w:tcPr>
          <w:p w14:paraId="71CCCDCC" w14:textId="16C4BB4A" w:rsidR="00955E06" w:rsidRPr="00743512" w:rsidRDefault="00955E06" w:rsidP="002901B9">
            <w:pPr>
              <w:pStyle w:val="TableText0"/>
              <w:keepNext w:val="0"/>
            </w:pPr>
            <w:r w:rsidRPr="00743512">
              <w:t>Revised H</w:t>
            </w:r>
          </w:p>
        </w:tc>
        <w:tc>
          <w:tcPr>
            <w:tcW w:w="1538" w:type="pct"/>
            <w:noWrap/>
          </w:tcPr>
          <w:p w14:paraId="58FFF894" w14:textId="375BCFA0" w:rsidR="00955E06" w:rsidRPr="00743512" w:rsidRDefault="00955E06" w:rsidP="002901B9">
            <w:pPr>
              <w:pStyle w:val="TableText0"/>
              <w:keepNext w:val="0"/>
            </w:pPr>
            <w:r w:rsidRPr="00743512">
              <w:t xml:space="preserve">High-risk TNBC patients eligible for treatment (40% rather than 80%, see para </w:t>
            </w:r>
            <w:r w:rsidRPr="00743512">
              <w:fldChar w:fldCharType="begin"/>
            </w:r>
            <w:r w:rsidRPr="00743512">
              <w:instrText xml:space="preserve"> REF _Ref150422126 \r \h  \* MERGEFORMAT </w:instrText>
            </w:r>
            <w:r w:rsidRPr="00743512">
              <w:fldChar w:fldCharType="separate"/>
            </w:r>
            <w:r w:rsidR="00D2565D">
              <w:t>6.69</w:t>
            </w:r>
            <w:r w:rsidRPr="00743512">
              <w:fldChar w:fldCharType="end"/>
            </w:r>
            <w:r w:rsidRPr="00743512">
              <w:t>)</w:t>
            </w:r>
          </w:p>
        </w:tc>
        <w:tc>
          <w:tcPr>
            <w:tcW w:w="475" w:type="pct"/>
            <w:noWrap/>
          </w:tcPr>
          <w:p w14:paraId="6EF02E23" w14:textId="0C399632" w:rsidR="00955E06"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9"/>
                <w14:textFill>
                  <w14:solidFill>
                    <w14:srgbClr w14:val="000000">
                      <w14:alpha w14:val="100000"/>
                    </w14:srgbClr>
                  </w14:solidFill>
                </w14:textFill>
              </w:rPr>
              <w:t>||</w:t>
            </w:r>
            <w:r w:rsidRPr="00632DCB">
              <w:rPr>
                <w:color w:val="000000"/>
                <w:spacing w:val="1"/>
                <w:shd w:val="solid" w:color="000000" w:fill="000000"/>
                <w:fitText w:val="230" w:id="-1032088319"/>
                <w14:textFill>
                  <w14:solidFill>
                    <w14:srgbClr w14:val="000000">
                      <w14:alpha w14:val="100000"/>
                    </w14:srgbClr>
                  </w14:solidFill>
                </w14:textFill>
              </w:rPr>
              <w:t>|</w:t>
            </w:r>
            <w:r w:rsidR="00766623" w:rsidRPr="002F73D6">
              <w:rPr>
                <w:vertAlign w:val="superscript"/>
              </w:rPr>
              <w:t>3</w:t>
            </w:r>
            <w:r>
              <w:t xml:space="preserve"> </w:t>
            </w:r>
          </w:p>
        </w:tc>
        <w:tc>
          <w:tcPr>
            <w:tcW w:w="475" w:type="pct"/>
            <w:noWrap/>
          </w:tcPr>
          <w:p w14:paraId="0F26F5E5" w14:textId="304AACAA" w:rsidR="00955E06"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7"/>
                <w14:textFill>
                  <w14:solidFill>
                    <w14:srgbClr w14:val="000000">
                      <w14:alpha w14:val="100000"/>
                    </w14:srgbClr>
                  </w14:solidFill>
                </w14:textFill>
              </w:rPr>
              <w:t>||</w:t>
            </w:r>
            <w:r w:rsidRPr="00632DCB">
              <w:rPr>
                <w:color w:val="000000"/>
                <w:spacing w:val="1"/>
                <w:shd w:val="solid" w:color="000000" w:fill="000000"/>
                <w:fitText w:val="230" w:id="-1032088317"/>
                <w14:textFill>
                  <w14:solidFill>
                    <w14:srgbClr w14:val="000000">
                      <w14:alpha w14:val="100000"/>
                    </w14:srgbClr>
                  </w14:solidFill>
                </w14:textFill>
              </w:rPr>
              <w:t>|</w:t>
            </w:r>
            <w:r w:rsidR="00766623" w:rsidRPr="002F73D6">
              <w:rPr>
                <w:vertAlign w:val="superscript"/>
              </w:rPr>
              <w:t>3</w:t>
            </w:r>
            <w:r>
              <w:t xml:space="preserve"> </w:t>
            </w:r>
          </w:p>
        </w:tc>
        <w:tc>
          <w:tcPr>
            <w:tcW w:w="475" w:type="pct"/>
            <w:noWrap/>
          </w:tcPr>
          <w:p w14:paraId="64B40B5C" w14:textId="6811AABC" w:rsidR="00955E06"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5"/>
                <w14:textFill>
                  <w14:solidFill>
                    <w14:srgbClr w14:val="000000">
                      <w14:alpha w14:val="100000"/>
                    </w14:srgbClr>
                  </w14:solidFill>
                </w14:textFill>
              </w:rPr>
              <w:t>||</w:t>
            </w:r>
            <w:r w:rsidRPr="00632DCB">
              <w:rPr>
                <w:color w:val="000000"/>
                <w:spacing w:val="1"/>
                <w:shd w:val="solid" w:color="000000" w:fill="000000"/>
                <w:fitText w:val="230" w:id="-1032088315"/>
                <w14:textFill>
                  <w14:solidFill>
                    <w14:srgbClr w14:val="000000">
                      <w14:alpha w14:val="100000"/>
                    </w14:srgbClr>
                  </w14:solidFill>
                </w14:textFill>
              </w:rPr>
              <w:t>|</w:t>
            </w:r>
            <w:r w:rsidR="00766623" w:rsidRPr="002F73D6">
              <w:rPr>
                <w:vertAlign w:val="superscript"/>
              </w:rPr>
              <w:t>3</w:t>
            </w:r>
          </w:p>
        </w:tc>
        <w:tc>
          <w:tcPr>
            <w:tcW w:w="475" w:type="pct"/>
            <w:noWrap/>
          </w:tcPr>
          <w:p w14:paraId="6A24B8F6" w14:textId="43515BCF" w:rsidR="00955E06"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4"/>
                <w14:textFill>
                  <w14:solidFill>
                    <w14:srgbClr w14:val="000000">
                      <w14:alpha w14:val="100000"/>
                    </w14:srgbClr>
                  </w14:solidFill>
                </w14:textFill>
              </w:rPr>
              <w:t>||</w:t>
            </w:r>
            <w:r w:rsidRPr="00632DCB">
              <w:rPr>
                <w:color w:val="000000"/>
                <w:spacing w:val="1"/>
                <w:shd w:val="solid" w:color="000000" w:fill="000000"/>
                <w:fitText w:val="230" w:id="-1032088314"/>
                <w14:textFill>
                  <w14:solidFill>
                    <w14:srgbClr w14:val="000000">
                      <w14:alpha w14:val="100000"/>
                    </w14:srgbClr>
                  </w14:solidFill>
                </w14:textFill>
              </w:rPr>
              <w:t>|</w:t>
            </w:r>
            <w:r w:rsidR="00766623" w:rsidRPr="002F73D6">
              <w:rPr>
                <w:vertAlign w:val="superscript"/>
              </w:rPr>
              <w:t>3</w:t>
            </w:r>
            <w:r>
              <w:t xml:space="preserve"> </w:t>
            </w:r>
          </w:p>
        </w:tc>
        <w:tc>
          <w:tcPr>
            <w:tcW w:w="475" w:type="pct"/>
            <w:noWrap/>
          </w:tcPr>
          <w:p w14:paraId="1DD8AED4" w14:textId="6A8F8DBD" w:rsidR="00955E06"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2"/>
                <w14:textFill>
                  <w14:solidFill>
                    <w14:srgbClr w14:val="000000">
                      <w14:alpha w14:val="100000"/>
                    </w14:srgbClr>
                  </w14:solidFill>
                </w14:textFill>
              </w:rPr>
              <w:t>||</w:t>
            </w:r>
            <w:r w:rsidRPr="00632DCB">
              <w:rPr>
                <w:color w:val="000000"/>
                <w:spacing w:val="1"/>
                <w:shd w:val="solid" w:color="000000" w:fill="000000"/>
                <w:fitText w:val="230" w:id="-1032088312"/>
                <w14:textFill>
                  <w14:solidFill>
                    <w14:srgbClr w14:val="000000">
                      <w14:alpha w14:val="100000"/>
                    </w14:srgbClr>
                  </w14:solidFill>
                </w14:textFill>
              </w:rPr>
              <w:t>|</w:t>
            </w:r>
            <w:r w:rsidR="00766623" w:rsidRPr="002F73D6">
              <w:rPr>
                <w:vertAlign w:val="superscript"/>
              </w:rPr>
              <w:t>3</w:t>
            </w:r>
            <w:r>
              <w:t xml:space="preserve"> </w:t>
            </w:r>
          </w:p>
        </w:tc>
        <w:tc>
          <w:tcPr>
            <w:tcW w:w="476" w:type="pct"/>
            <w:noWrap/>
          </w:tcPr>
          <w:p w14:paraId="1CB7BF5A" w14:textId="558AF41B" w:rsidR="00955E06" w:rsidRPr="00DA52E8" w:rsidRDefault="00632DCB" w:rsidP="002901B9">
            <w:pPr>
              <w:pStyle w:val="TableText0"/>
              <w:keepNext w:val="0"/>
              <w:jc w:val="right"/>
              <w:rPr>
                <w:highlight w:val="darkGray"/>
              </w:rPr>
            </w:pPr>
            <w:r>
              <w:t xml:space="preserve"> </w:t>
            </w:r>
            <w:r w:rsidRPr="00632DCB">
              <w:rPr>
                <w:color w:val="000000"/>
                <w:spacing w:val="51"/>
                <w:shd w:val="solid" w:color="000000" w:fill="000000"/>
                <w:fitText w:val="230" w:id="-1032088310"/>
                <w14:textFill>
                  <w14:solidFill>
                    <w14:srgbClr w14:val="000000">
                      <w14:alpha w14:val="100000"/>
                    </w14:srgbClr>
                  </w14:solidFill>
                </w14:textFill>
              </w:rPr>
              <w:t>||</w:t>
            </w:r>
            <w:r w:rsidRPr="00632DCB">
              <w:rPr>
                <w:color w:val="000000"/>
                <w:spacing w:val="1"/>
                <w:shd w:val="solid" w:color="000000" w:fill="000000"/>
                <w:fitText w:val="230" w:id="-1032088310"/>
                <w14:textFill>
                  <w14:solidFill>
                    <w14:srgbClr w14:val="000000">
                      <w14:alpha w14:val="100000"/>
                    </w14:srgbClr>
                  </w14:solidFill>
                </w14:textFill>
              </w:rPr>
              <w:t>|</w:t>
            </w:r>
            <w:r w:rsidR="00766623" w:rsidRPr="002F73D6">
              <w:rPr>
                <w:vertAlign w:val="superscript"/>
              </w:rPr>
              <w:t>3</w:t>
            </w:r>
          </w:p>
        </w:tc>
      </w:tr>
      <w:tr w:rsidR="002901B9" w:rsidRPr="00743512" w14:paraId="4E9C4FC9" w14:textId="77777777" w:rsidTr="002D5411">
        <w:trPr>
          <w:trHeight w:val="20"/>
        </w:trPr>
        <w:tc>
          <w:tcPr>
            <w:tcW w:w="611" w:type="pct"/>
          </w:tcPr>
          <w:p w14:paraId="4682F328" w14:textId="1B82D201" w:rsidR="00955E06" w:rsidRPr="00743512" w:rsidRDefault="008F76EC" w:rsidP="002901B9">
            <w:pPr>
              <w:pStyle w:val="TableText0"/>
              <w:keepNext w:val="0"/>
            </w:pPr>
            <w:r w:rsidRPr="00743512">
              <w:t>Impact on</w:t>
            </w:r>
            <w:r w:rsidR="00955E06" w:rsidRPr="00743512">
              <w:t xml:space="preserve"> J</w:t>
            </w:r>
          </w:p>
        </w:tc>
        <w:tc>
          <w:tcPr>
            <w:tcW w:w="1538" w:type="pct"/>
            <w:noWrap/>
          </w:tcPr>
          <w:p w14:paraId="28B72DE8" w14:textId="2D9F3137" w:rsidR="00955E06" w:rsidRPr="00743512" w:rsidRDefault="00955E06" w:rsidP="002901B9">
            <w:pPr>
              <w:pStyle w:val="TableText0"/>
              <w:keepNext w:val="0"/>
              <w:rPr>
                <w:b/>
                <w:bCs w:val="0"/>
              </w:rPr>
            </w:pPr>
            <w:r w:rsidRPr="00743512">
              <w:t xml:space="preserve">TNBC patients treated with olaparib </w:t>
            </w:r>
          </w:p>
        </w:tc>
        <w:tc>
          <w:tcPr>
            <w:tcW w:w="475" w:type="pct"/>
            <w:noWrap/>
          </w:tcPr>
          <w:p w14:paraId="1668F819" w14:textId="03DBA2C4" w:rsidR="00955E06"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9"/>
                <w14:textFill>
                  <w14:solidFill>
                    <w14:srgbClr w14:val="000000">
                      <w14:alpha w14:val="100000"/>
                    </w14:srgbClr>
                  </w14:solidFill>
                </w14:textFill>
              </w:rPr>
              <w:t>|</w:t>
            </w:r>
            <w:r w:rsidRPr="00632DCB">
              <w:rPr>
                <w:b/>
                <w:bCs w:val="0"/>
                <w:color w:val="000000"/>
                <w:spacing w:val="1"/>
                <w:shd w:val="solid" w:color="000000" w:fill="000000"/>
                <w:fitText w:val="290" w:id="-1032088309"/>
                <w14:textFill>
                  <w14:solidFill>
                    <w14:srgbClr w14:val="000000">
                      <w14:alpha w14:val="100000"/>
                    </w14:srgbClr>
                  </w14:solidFill>
                </w14:textFill>
              </w:rPr>
              <w:t>|</w:t>
            </w:r>
            <w:r w:rsidR="00766623" w:rsidRPr="002F73D6">
              <w:rPr>
                <w:vertAlign w:val="superscript"/>
              </w:rPr>
              <w:t>3</w:t>
            </w:r>
          </w:p>
        </w:tc>
        <w:tc>
          <w:tcPr>
            <w:tcW w:w="475" w:type="pct"/>
            <w:noWrap/>
          </w:tcPr>
          <w:p w14:paraId="54029040" w14:textId="5DD2ABD2" w:rsidR="00955E06"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8"/>
                <w14:textFill>
                  <w14:solidFill>
                    <w14:srgbClr w14:val="000000">
                      <w14:alpha w14:val="100000"/>
                    </w14:srgbClr>
                  </w14:solidFill>
                </w14:textFill>
              </w:rPr>
              <w:t>|</w:t>
            </w:r>
            <w:r w:rsidRPr="00632DCB">
              <w:rPr>
                <w:b/>
                <w:bCs w:val="0"/>
                <w:color w:val="000000"/>
                <w:spacing w:val="1"/>
                <w:shd w:val="solid" w:color="000000" w:fill="000000"/>
                <w:fitText w:val="290" w:id="-1032088308"/>
                <w14:textFill>
                  <w14:solidFill>
                    <w14:srgbClr w14:val="000000">
                      <w14:alpha w14:val="100000"/>
                    </w14:srgbClr>
                  </w14:solidFill>
                </w14:textFill>
              </w:rPr>
              <w:t>|</w:t>
            </w:r>
            <w:r w:rsidR="00766623" w:rsidRPr="002F73D6">
              <w:rPr>
                <w:vertAlign w:val="superscript"/>
              </w:rPr>
              <w:t>3</w:t>
            </w:r>
          </w:p>
        </w:tc>
        <w:tc>
          <w:tcPr>
            <w:tcW w:w="475" w:type="pct"/>
            <w:noWrap/>
          </w:tcPr>
          <w:p w14:paraId="0164D7CC" w14:textId="4D9C2FB9" w:rsidR="00955E06"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7"/>
                <w14:textFill>
                  <w14:solidFill>
                    <w14:srgbClr w14:val="000000">
                      <w14:alpha w14:val="100000"/>
                    </w14:srgbClr>
                  </w14:solidFill>
                </w14:textFill>
              </w:rPr>
              <w:t>|</w:t>
            </w:r>
            <w:r w:rsidRPr="00632DCB">
              <w:rPr>
                <w:b/>
                <w:bCs w:val="0"/>
                <w:color w:val="000000"/>
                <w:spacing w:val="1"/>
                <w:shd w:val="solid" w:color="000000" w:fill="000000"/>
                <w:fitText w:val="290" w:id="-1032088307"/>
                <w14:textFill>
                  <w14:solidFill>
                    <w14:srgbClr w14:val="000000">
                      <w14:alpha w14:val="100000"/>
                    </w14:srgbClr>
                  </w14:solidFill>
                </w14:textFill>
              </w:rPr>
              <w:t>|</w:t>
            </w:r>
            <w:r w:rsidR="00766623" w:rsidRPr="002F73D6">
              <w:rPr>
                <w:vertAlign w:val="superscript"/>
              </w:rPr>
              <w:t>3</w:t>
            </w:r>
          </w:p>
        </w:tc>
        <w:tc>
          <w:tcPr>
            <w:tcW w:w="475" w:type="pct"/>
            <w:noWrap/>
          </w:tcPr>
          <w:p w14:paraId="14B759D8" w14:textId="41C6933E" w:rsidR="00955E06"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6"/>
                <w14:textFill>
                  <w14:solidFill>
                    <w14:srgbClr w14:val="000000">
                      <w14:alpha w14:val="100000"/>
                    </w14:srgbClr>
                  </w14:solidFill>
                </w14:textFill>
              </w:rPr>
              <w:t>|</w:t>
            </w:r>
            <w:r w:rsidRPr="00632DCB">
              <w:rPr>
                <w:b/>
                <w:bCs w:val="0"/>
                <w:color w:val="000000"/>
                <w:spacing w:val="1"/>
                <w:shd w:val="solid" w:color="000000" w:fill="000000"/>
                <w:fitText w:val="290" w:id="-1032088306"/>
                <w14:textFill>
                  <w14:solidFill>
                    <w14:srgbClr w14:val="000000">
                      <w14:alpha w14:val="100000"/>
                    </w14:srgbClr>
                  </w14:solidFill>
                </w14:textFill>
              </w:rPr>
              <w:t>|</w:t>
            </w:r>
            <w:r w:rsidR="00766623" w:rsidRPr="002F73D6">
              <w:rPr>
                <w:vertAlign w:val="superscript"/>
              </w:rPr>
              <w:t>3</w:t>
            </w:r>
          </w:p>
        </w:tc>
        <w:tc>
          <w:tcPr>
            <w:tcW w:w="475" w:type="pct"/>
            <w:noWrap/>
          </w:tcPr>
          <w:p w14:paraId="58FE77CE" w14:textId="3AB2FD4B" w:rsidR="00955E06"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5"/>
                <w14:textFill>
                  <w14:solidFill>
                    <w14:srgbClr w14:val="000000">
                      <w14:alpha w14:val="100000"/>
                    </w14:srgbClr>
                  </w14:solidFill>
                </w14:textFill>
              </w:rPr>
              <w:t>|</w:t>
            </w:r>
            <w:r w:rsidRPr="00632DCB">
              <w:rPr>
                <w:b/>
                <w:bCs w:val="0"/>
                <w:color w:val="000000"/>
                <w:spacing w:val="1"/>
                <w:shd w:val="solid" w:color="000000" w:fill="000000"/>
                <w:fitText w:val="290" w:id="-1032088305"/>
                <w14:textFill>
                  <w14:solidFill>
                    <w14:srgbClr w14:val="000000">
                      <w14:alpha w14:val="100000"/>
                    </w14:srgbClr>
                  </w14:solidFill>
                </w14:textFill>
              </w:rPr>
              <w:t>|</w:t>
            </w:r>
            <w:r w:rsidR="00766623" w:rsidRPr="002F73D6">
              <w:rPr>
                <w:vertAlign w:val="superscript"/>
              </w:rPr>
              <w:t>3</w:t>
            </w:r>
          </w:p>
        </w:tc>
        <w:tc>
          <w:tcPr>
            <w:tcW w:w="476" w:type="pct"/>
            <w:noWrap/>
          </w:tcPr>
          <w:p w14:paraId="3546F1FD" w14:textId="4802BA87" w:rsidR="00955E06" w:rsidRPr="00DA52E8" w:rsidRDefault="00632DCB" w:rsidP="002901B9">
            <w:pPr>
              <w:pStyle w:val="TableText0"/>
              <w:keepNext w:val="0"/>
              <w:jc w:val="right"/>
              <w:rPr>
                <w:b/>
                <w:bCs w:val="0"/>
                <w:highlight w:val="darkGray"/>
              </w:rPr>
            </w:pPr>
            <w:r>
              <w:rPr>
                <w:b/>
                <w:bCs w:val="0"/>
              </w:rPr>
              <w:t xml:space="preserve"> </w:t>
            </w:r>
            <w:r w:rsidRPr="00632DCB">
              <w:rPr>
                <w:b/>
                <w:bCs w:val="0"/>
                <w:color w:val="000000"/>
                <w:spacing w:val="198"/>
                <w:shd w:val="solid" w:color="000000" w:fill="000000"/>
                <w:fitText w:val="290" w:id="-1032088304"/>
                <w14:textFill>
                  <w14:solidFill>
                    <w14:srgbClr w14:val="000000">
                      <w14:alpha w14:val="100000"/>
                    </w14:srgbClr>
                  </w14:solidFill>
                </w14:textFill>
              </w:rPr>
              <w:t>|</w:t>
            </w:r>
            <w:r w:rsidRPr="00632DCB">
              <w:rPr>
                <w:b/>
                <w:bCs w:val="0"/>
                <w:color w:val="000000"/>
                <w:spacing w:val="1"/>
                <w:shd w:val="solid" w:color="000000" w:fill="000000"/>
                <w:fitText w:val="290" w:id="-1032088304"/>
                <w14:textFill>
                  <w14:solidFill>
                    <w14:srgbClr w14:val="000000">
                      <w14:alpha w14:val="100000"/>
                    </w14:srgbClr>
                  </w14:solidFill>
                </w14:textFill>
              </w:rPr>
              <w:t>|</w:t>
            </w:r>
            <w:r w:rsidR="00766623" w:rsidRPr="002F73D6">
              <w:rPr>
                <w:vertAlign w:val="superscript"/>
              </w:rPr>
              <w:t>3</w:t>
            </w:r>
          </w:p>
        </w:tc>
      </w:tr>
      <w:tr w:rsidR="00966A12" w:rsidRPr="00743512" w14:paraId="5DD09C9C" w14:textId="77777777" w:rsidTr="002D5411">
        <w:trPr>
          <w:trHeight w:val="20"/>
        </w:trPr>
        <w:tc>
          <w:tcPr>
            <w:tcW w:w="611" w:type="pct"/>
          </w:tcPr>
          <w:p w14:paraId="6ECB2256" w14:textId="20739BA2" w:rsidR="00966A12" w:rsidRPr="00743512" w:rsidRDefault="00966A12" w:rsidP="00966A12">
            <w:pPr>
              <w:pStyle w:val="TableText0"/>
              <w:keepNext w:val="0"/>
            </w:pPr>
            <w:r w:rsidRPr="00743512">
              <w:t>Revised L</w:t>
            </w:r>
            <w:r w:rsidR="00183AA9" w:rsidRPr="00743512">
              <w:rPr>
                <w:vertAlign w:val="superscript"/>
              </w:rPr>
              <w:t>a</w:t>
            </w:r>
          </w:p>
        </w:tc>
        <w:tc>
          <w:tcPr>
            <w:tcW w:w="1538" w:type="pct"/>
            <w:noWrap/>
          </w:tcPr>
          <w:p w14:paraId="01F1252C" w14:textId="4A4DA58E" w:rsidR="00966A12" w:rsidRPr="00743512" w:rsidRDefault="00966A12" w:rsidP="00966A12">
            <w:pPr>
              <w:pStyle w:val="TableText0"/>
              <w:keepNext w:val="0"/>
            </w:pPr>
            <w:r w:rsidRPr="00743512">
              <w:t>High-risk HR+ HER2− patients (25%) used for estimation of patients eligible for testing</w:t>
            </w:r>
          </w:p>
        </w:tc>
        <w:tc>
          <w:tcPr>
            <w:tcW w:w="475" w:type="pct"/>
            <w:noWrap/>
          </w:tcPr>
          <w:p w14:paraId="1B2BBA11" w14:textId="2B6E26F2"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320"/>
                <w14:textFill>
                  <w14:solidFill>
                    <w14:srgbClr w14:val="000000">
                      <w14:alpha w14:val="100000"/>
                    </w14:srgbClr>
                  </w14:solidFill>
                </w14:textFill>
              </w:rPr>
              <w:t>||</w:t>
            </w:r>
            <w:r w:rsidRPr="00632DCB">
              <w:rPr>
                <w:color w:val="000000"/>
                <w:spacing w:val="1"/>
                <w:shd w:val="solid" w:color="000000" w:fill="000000"/>
                <w:fitText w:val="230" w:id="-1032088320"/>
                <w14:textFill>
                  <w14:solidFill>
                    <w14:srgbClr w14:val="000000">
                      <w14:alpha w14:val="100000"/>
                    </w14:srgbClr>
                  </w14:solidFill>
                </w14:textFill>
              </w:rPr>
              <w:t>|</w:t>
            </w:r>
            <w:r w:rsidR="002F73D6" w:rsidRPr="006917BB">
              <w:rPr>
                <w:vertAlign w:val="superscript"/>
              </w:rPr>
              <w:t>2</w:t>
            </w:r>
          </w:p>
        </w:tc>
        <w:tc>
          <w:tcPr>
            <w:tcW w:w="475" w:type="pct"/>
            <w:noWrap/>
          </w:tcPr>
          <w:p w14:paraId="778DD0AD" w14:textId="097410A4"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319"/>
                <w14:textFill>
                  <w14:solidFill>
                    <w14:srgbClr w14:val="000000">
                      <w14:alpha w14:val="100000"/>
                    </w14:srgbClr>
                  </w14:solidFill>
                </w14:textFill>
              </w:rPr>
              <w:t>||</w:t>
            </w:r>
            <w:r w:rsidRPr="00632DCB">
              <w:rPr>
                <w:color w:val="000000"/>
                <w:spacing w:val="1"/>
                <w:shd w:val="solid" w:color="000000" w:fill="000000"/>
                <w:fitText w:val="230" w:id="-1032088319"/>
                <w14:textFill>
                  <w14:solidFill>
                    <w14:srgbClr w14:val="000000">
                      <w14:alpha w14:val="100000"/>
                    </w14:srgbClr>
                  </w14:solidFill>
                </w14:textFill>
              </w:rPr>
              <w:t>|</w:t>
            </w:r>
            <w:r w:rsidR="002F73D6" w:rsidRPr="006917BB">
              <w:rPr>
                <w:vertAlign w:val="superscript"/>
              </w:rPr>
              <w:t>2</w:t>
            </w:r>
          </w:p>
        </w:tc>
        <w:tc>
          <w:tcPr>
            <w:tcW w:w="475" w:type="pct"/>
            <w:noWrap/>
          </w:tcPr>
          <w:p w14:paraId="168B7E07" w14:textId="2C5A1AC4"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318"/>
                <w14:textFill>
                  <w14:solidFill>
                    <w14:srgbClr w14:val="000000">
                      <w14:alpha w14:val="100000"/>
                    </w14:srgbClr>
                  </w14:solidFill>
                </w14:textFill>
              </w:rPr>
              <w:t>||</w:t>
            </w:r>
            <w:r w:rsidRPr="00632DCB">
              <w:rPr>
                <w:color w:val="000000"/>
                <w:spacing w:val="1"/>
                <w:shd w:val="solid" w:color="000000" w:fill="000000"/>
                <w:fitText w:val="230" w:id="-1032088318"/>
                <w14:textFill>
                  <w14:solidFill>
                    <w14:srgbClr w14:val="000000">
                      <w14:alpha w14:val="100000"/>
                    </w14:srgbClr>
                  </w14:solidFill>
                </w14:textFill>
              </w:rPr>
              <w:t>|</w:t>
            </w:r>
            <w:r w:rsidR="002F73D6" w:rsidRPr="006917BB">
              <w:rPr>
                <w:vertAlign w:val="superscript"/>
              </w:rPr>
              <w:t>2</w:t>
            </w:r>
          </w:p>
        </w:tc>
        <w:tc>
          <w:tcPr>
            <w:tcW w:w="475" w:type="pct"/>
            <w:noWrap/>
          </w:tcPr>
          <w:p w14:paraId="006E8BB8" w14:textId="4CFE29C5"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317"/>
                <w14:textFill>
                  <w14:solidFill>
                    <w14:srgbClr w14:val="000000">
                      <w14:alpha w14:val="100000"/>
                    </w14:srgbClr>
                  </w14:solidFill>
                </w14:textFill>
              </w:rPr>
              <w:t>||</w:t>
            </w:r>
            <w:r w:rsidRPr="00632DCB">
              <w:rPr>
                <w:color w:val="000000"/>
                <w:spacing w:val="1"/>
                <w:shd w:val="solid" w:color="000000" w:fill="000000"/>
                <w:fitText w:val="230" w:id="-1032088317"/>
                <w14:textFill>
                  <w14:solidFill>
                    <w14:srgbClr w14:val="000000">
                      <w14:alpha w14:val="100000"/>
                    </w14:srgbClr>
                  </w14:solidFill>
                </w14:textFill>
              </w:rPr>
              <w:t>|</w:t>
            </w:r>
            <w:r w:rsidR="002F73D6" w:rsidRPr="006917BB">
              <w:rPr>
                <w:vertAlign w:val="superscript"/>
              </w:rPr>
              <w:t>2</w:t>
            </w:r>
          </w:p>
        </w:tc>
        <w:tc>
          <w:tcPr>
            <w:tcW w:w="475" w:type="pct"/>
            <w:noWrap/>
          </w:tcPr>
          <w:p w14:paraId="2BF2B5A9" w14:textId="27C33BFC"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316"/>
                <w14:textFill>
                  <w14:solidFill>
                    <w14:srgbClr w14:val="000000">
                      <w14:alpha w14:val="100000"/>
                    </w14:srgbClr>
                  </w14:solidFill>
                </w14:textFill>
              </w:rPr>
              <w:t>||</w:t>
            </w:r>
            <w:r w:rsidRPr="00632DCB">
              <w:rPr>
                <w:color w:val="000000"/>
                <w:spacing w:val="1"/>
                <w:shd w:val="solid" w:color="000000" w:fill="000000"/>
                <w:fitText w:val="230" w:id="-1032088316"/>
                <w14:textFill>
                  <w14:solidFill>
                    <w14:srgbClr w14:val="000000">
                      <w14:alpha w14:val="100000"/>
                    </w14:srgbClr>
                  </w14:solidFill>
                </w14:textFill>
              </w:rPr>
              <w:t>|</w:t>
            </w:r>
            <w:r w:rsidR="002F73D6" w:rsidRPr="006917BB">
              <w:rPr>
                <w:vertAlign w:val="superscript"/>
              </w:rPr>
              <w:t>2</w:t>
            </w:r>
          </w:p>
        </w:tc>
        <w:tc>
          <w:tcPr>
            <w:tcW w:w="476" w:type="pct"/>
            <w:noWrap/>
          </w:tcPr>
          <w:p w14:paraId="192FE77E" w14:textId="2C93AC89"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64"/>
                <w14:textFill>
                  <w14:solidFill>
                    <w14:srgbClr w14:val="000000">
                      <w14:alpha w14:val="100000"/>
                    </w14:srgbClr>
                  </w14:solidFill>
                </w14:textFill>
              </w:rPr>
              <w:t>||</w:t>
            </w:r>
            <w:r w:rsidRPr="00632DCB">
              <w:rPr>
                <w:color w:val="000000"/>
                <w:spacing w:val="1"/>
                <w:shd w:val="solid" w:color="000000" w:fill="000000"/>
                <w:fitText w:val="230" w:id="-1032088064"/>
                <w14:textFill>
                  <w14:solidFill>
                    <w14:srgbClr w14:val="000000">
                      <w14:alpha w14:val="100000"/>
                    </w14:srgbClr>
                  </w14:solidFill>
                </w14:textFill>
              </w:rPr>
              <w:t>|</w:t>
            </w:r>
            <w:r w:rsidR="002F73D6" w:rsidRPr="006917BB">
              <w:rPr>
                <w:vertAlign w:val="superscript"/>
              </w:rPr>
              <w:t>2</w:t>
            </w:r>
          </w:p>
        </w:tc>
      </w:tr>
      <w:tr w:rsidR="00966A12" w:rsidRPr="00743512" w14:paraId="11FC5568" w14:textId="77777777" w:rsidTr="002D5411">
        <w:trPr>
          <w:trHeight w:val="20"/>
        </w:trPr>
        <w:tc>
          <w:tcPr>
            <w:tcW w:w="611" w:type="pct"/>
          </w:tcPr>
          <w:p w14:paraId="58D41B65" w14:textId="04A62DAE" w:rsidR="00966A12" w:rsidRPr="00743512" w:rsidRDefault="00966A12" w:rsidP="00966A12">
            <w:pPr>
              <w:pStyle w:val="TableText0"/>
              <w:keepNext w:val="0"/>
              <w:rPr>
                <w:b/>
                <w:bCs w:val="0"/>
              </w:rPr>
            </w:pPr>
            <w:r w:rsidRPr="00743512">
              <w:t>Impact on R</w:t>
            </w:r>
          </w:p>
        </w:tc>
        <w:tc>
          <w:tcPr>
            <w:tcW w:w="1538" w:type="pct"/>
            <w:noWrap/>
          </w:tcPr>
          <w:p w14:paraId="5C2BCAA1" w14:textId="32B70F36" w:rsidR="00966A12" w:rsidRPr="00743512" w:rsidRDefault="00966A12" w:rsidP="00966A12">
            <w:pPr>
              <w:pStyle w:val="TableText0"/>
              <w:keepNext w:val="0"/>
              <w:rPr>
                <w:b/>
                <w:bCs w:val="0"/>
              </w:rPr>
            </w:pPr>
            <w:r w:rsidRPr="00743512">
              <w:t xml:space="preserve">HR+ HER2− patients treated with olaparib </w:t>
            </w:r>
          </w:p>
        </w:tc>
        <w:tc>
          <w:tcPr>
            <w:tcW w:w="475" w:type="pct"/>
            <w:noWrap/>
          </w:tcPr>
          <w:p w14:paraId="170973A2" w14:textId="33BE8C7C"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63"/>
                <w14:textFill>
                  <w14:solidFill>
                    <w14:srgbClr w14:val="000000">
                      <w14:alpha w14:val="100000"/>
                    </w14:srgbClr>
                  </w14:solidFill>
                </w14:textFill>
              </w:rPr>
              <w:t>||</w:t>
            </w:r>
            <w:r w:rsidRPr="00632DCB">
              <w:rPr>
                <w:color w:val="000000"/>
                <w:spacing w:val="1"/>
                <w:shd w:val="solid" w:color="000000" w:fill="000000"/>
                <w:fitText w:val="230" w:id="-1032088063"/>
                <w14:textFill>
                  <w14:solidFill>
                    <w14:srgbClr w14:val="000000">
                      <w14:alpha w14:val="100000"/>
                    </w14:srgbClr>
                  </w14:solidFill>
                </w14:textFill>
              </w:rPr>
              <w:t>|</w:t>
            </w:r>
            <w:r w:rsidR="00766623" w:rsidRPr="002F73D6">
              <w:rPr>
                <w:vertAlign w:val="superscript"/>
              </w:rPr>
              <w:t>3</w:t>
            </w:r>
          </w:p>
        </w:tc>
        <w:tc>
          <w:tcPr>
            <w:tcW w:w="475" w:type="pct"/>
            <w:noWrap/>
          </w:tcPr>
          <w:p w14:paraId="60A5CBF7" w14:textId="42E70F7D"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62"/>
                <w14:textFill>
                  <w14:solidFill>
                    <w14:srgbClr w14:val="000000">
                      <w14:alpha w14:val="100000"/>
                    </w14:srgbClr>
                  </w14:solidFill>
                </w14:textFill>
              </w:rPr>
              <w:t>||</w:t>
            </w:r>
            <w:r w:rsidRPr="00632DCB">
              <w:rPr>
                <w:color w:val="000000"/>
                <w:spacing w:val="1"/>
                <w:shd w:val="solid" w:color="000000" w:fill="000000"/>
                <w:fitText w:val="230" w:id="-1032088062"/>
                <w14:textFill>
                  <w14:solidFill>
                    <w14:srgbClr w14:val="000000">
                      <w14:alpha w14:val="100000"/>
                    </w14:srgbClr>
                  </w14:solidFill>
                </w14:textFill>
              </w:rPr>
              <w:t>|</w:t>
            </w:r>
            <w:r w:rsidR="00766623" w:rsidRPr="002F73D6">
              <w:rPr>
                <w:vertAlign w:val="superscript"/>
              </w:rPr>
              <w:t>3</w:t>
            </w:r>
          </w:p>
        </w:tc>
        <w:tc>
          <w:tcPr>
            <w:tcW w:w="475" w:type="pct"/>
            <w:noWrap/>
          </w:tcPr>
          <w:p w14:paraId="538EB2D3" w14:textId="283C5919"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61"/>
                <w14:textFill>
                  <w14:solidFill>
                    <w14:srgbClr w14:val="000000">
                      <w14:alpha w14:val="100000"/>
                    </w14:srgbClr>
                  </w14:solidFill>
                </w14:textFill>
              </w:rPr>
              <w:t>||</w:t>
            </w:r>
            <w:r w:rsidRPr="00632DCB">
              <w:rPr>
                <w:color w:val="000000"/>
                <w:spacing w:val="1"/>
                <w:shd w:val="solid" w:color="000000" w:fill="000000"/>
                <w:fitText w:val="230" w:id="-1032088061"/>
                <w14:textFill>
                  <w14:solidFill>
                    <w14:srgbClr w14:val="000000">
                      <w14:alpha w14:val="100000"/>
                    </w14:srgbClr>
                  </w14:solidFill>
                </w14:textFill>
              </w:rPr>
              <w:t>|</w:t>
            </w:r>
            <w:r w:rsidR="00766623" w:rsidRPr="002F73D6">
              <w:rPr>
                <w:vertAlign w:val="superscript"/>
              </w:rPr>
              <w:t>3</w:t>
            </w:r>
            <w:r>
              <w:t xml:space="preserve"> </w:t>
            </w:r>
          </w:p>
        </w:tc>
        <w:tc>
          <w:tcPr>
            <w:tcW w:w="475" w:type="pct"/>
            <w:noWrap/>
          </w:tcPr>
          <w:p w14:paraId="246F184E" w14:textId="44592173"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59"/>
                <w14:textFill>
                  <w14:solidFill>
                    <w14:srgbClr w14:val="000000">
                      <w14:alpha w14:val="100000"/>
                    </w14:srgbClr>
                  </w14:solidFill>
                </w14:textFill>
              </w:rPr>
              <w:t>||</w:t>
            </w:r>
            <w:r w:rsidRPr="00632DCB">
              <w:rPr>
                <w:color w:val="000000"/>
                <w:spacing w:val="1"/>
                <w:shd w:val="solid" w:color="000000" w:fill="000000"/>
                <w:fitText w:val="230" w:id="-1032088059"/>
                <w14:textFill>
                  <w14:solidFill>
                    <w14:srgbClr w14:val="000000">
                      <w14:alpha w14:val="100000"/>
                    </w14:srgbClr>
                  </w14:solidFill>
                </w14:textFill>
              </w:rPr>
              <w:t>|</w:t>
            </w:r>
            <w:r w:rsidR="00766623" w:rsidRPr="002F73D6">
              <w:rPr>
                <w:vertAlign w:val="superscript"/>
              </w:rPr>
              <w:t>3</w:t>
            </w:r>
            <w:r>
              <w:t xml:space="preserve"> </w:t>
            </w:r>
          </w:p>
        </w:tc>
        <w:tc>
          <w:tcPr>
            <w:tcW w:w="475" w:type="pct"/>
            <w:noWrap/>
          </w:tcPr>
          <w:p w14:paraId="55041F08" w14:textId="5F0B066B"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57"/>
                <w14:textFill>
                  <w14:solidFill>
                    <w14:srgbClr w14:val="000000">
                      <w14:alpha w14:val="100000"/>
                    </w14:srgbClr>
                  </w14:solidFill>
                </w14:textFill>
              </w:rPr>
              <w:t>||</w:t>
            </w:r>
            <w:r w:rsidRPr="00632DCB">
              <w:rPr>
                <w:color w:val="000000"/>
                <w:spacing w:val="1"/>
                <w:shd w:val="solid" w:color="000000" w:fill="000000"/>
                <w:fitText w:val="230" w:id="-1032088057"/>
                <w14:textFill>
                  <w14:solidFill>
                    <w14:srgbClr w14:val="000000">
                      <w14:alpha w14:val="100000"/>
                    </w14:srgbClr>
                  </w14:solidFill>
                </w14:textFill>
              </w:rPr>
              <w:t>|</w:t>
            </w:r>
            <w:r w:rsidR="00766623" w:rsidRPr="002F73D6">
              <w:rPr>
                <w:vertAlign w:val="superscript"/>
              </w:rPr>
              <w:t>3</w:t>
            </w:r>
            <w:r>
              <w:t xml:space="preserve"> </w:t>
            </w:r>
          </w:p>
        </w:tc>
        <w:tc>
          <w:tcPr>
            <w:tcW w:w="476" w:type="pct"/>
            <w:noWrap/>
          </w:tcPr>
          <w:p w14:paraId="1A2766AD" w14:textId="466C0105"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55"/>
                <w14:textFill>
                  <w14:solidFill>
                    <w14:srgbClr w14:val="000000">
                      <w14:alpha w14:val="100000"/>
                    </w14:srgbClr>
                  </w14:solidFill>
                </w14:textFill>
              </w:rPr>
              <w:t>||</w:t>
            </w:r>
            <w:r w:rsidRPr="00632DCB">
              <w:rPr>
                <w:color w:val="000000"/>
                <w:spacing w:val="1"/>
                <w:shd w:val="solid" w:color="000000" w:fill="000000"/>
                <w:fitText w:val="230" w:id="-1032088055"/>
                <w14:textFill>
                  <w14:solidFill>
                    <w14:srgbClr w14:val="000000">
                      <w14:alpha w14:val="100000"/>
                    </w14:srgbClr>
                  </w14:solidFill>
                </w14:textFill>
              </w:rPr>
              <w:t>|</w:t>
            </w:r>
            <w:r w:rsidR="00766623" w:rsidRPr="002F73D6">
              <w:rPr>
                <w:vertAlign w:val="superscript"/>
              </w:rPr>
              <w:t>3</w:t>
            </w:r>
          </w:p>
        </w:tc>
      </w:tr>
      <w:tr w:rsidR="00966A12" w:rsidRPr="00743512" w14:paraId="3ED0D77C" w14:textId="77777777" w:rsidTr="002D5411">
        <w:trPr>
          <w:trHeight w:val="20"/>
        </w:trPr>
        <w:tc>
          <w:tcPr>
            <w:tcW w:w="611" w:type="pct"/>
          </w:tcPr>
          <w:p w14:paraId="6327A77E" w14:textId="6390BA56" w:rsidR="00966A12" w:rsidRPr="00743512" w:rsidRDefault="00966A12" w:rsidP="00966A12">
            <w:pPr>
              <w:pStyle w:val="TableText0"/>
              <w:keepNext w:val="0"/>
              <w:rPr>
                <w:b/>
                <w:bCs w:val="0"/>
              </w:rPr>
            </w:pPr>
            <w:r w:rsidRPr="00743512">
              <w:rPr>
                <w:b/>
                <w:bCs w:val="0"/>
              </w:rPr>
              <w:t>Total after revisions</w:t>
            </w:r>
          </w:p>
        </w:tc>
        <w:tc>
          <w:tcPr>
            <w:tcW w:w="1538" w:type="pct"/>
            <w:noWrap/>
          </w:tcPr>
          <w:p w14:paraId="03517A53" w14:textId="56EEF644" w:rsidR="00966A12" w:rsidRPr="00743512" w:rsidRDefault="00966A12" w:rsidP="00966A12">
            <w:pPr>
              <w:pStyle w:val="TableText0"/>
              <w:keepNext w:val="0"/>
              <w:rPr>
                <w:b/>
                <w:bCs w:val="0"/>
              </w:rPr>
            </w:pPr>
            <w:r w:rsidRPr="00743512">
              <w:rPr>
                <w:b/>
                <w:bCs w:val="0"/>
              </w:rPr>
              <w:t>Total patients treated with olaparib</w:t>
            </w:r>
          </w:p>
        </w:tc>
        <w:tc>
          <w:tcPr>
            <w:tcW w:w="475" w:type="pct"/>
            <w:noWrap/>
          </w:tcPr>
          <w:p w14:paraId="67CE64B1" w14:textId="0275E097"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54"/>
                <w14:textFill>
                  <w14:solidFill>
                    <w14:srgbClr w14:val="000000">
                      <w14:alpha w14:val="100000"/>
                    </w14:srgbClr>
                  </w14:solidFill>
                </w14:textFill>
              </w:rPr>
              <w:t>||</w:t>
            </w:r>
            <w:r w:rsidRPr="00632DCB">
              <w:rPr>
                <w:color w:val="000000"/>
                <w:spacing w:val="1"/>
                <w:shd w:val="solid" w:color="000000" w:fill="000000"/>
                <w:fitText w:val="230" w:id="-1032088054"/>
                <w14:textFill>
                  <w14:solidFill>
                    <w14:srgbClr w14:val="000000">
                      <w14:alpha w14:val="100000"/>
                    </w14:srgbClr>
                  </w14:solidFill>
                </w14:textFill>
              </w:rPr>
              <w:t>|</w:t>
            </w:r>
            <w:r w:rsidR="00766623" w:rsidRPr="002F73D6">
              <w:rPr>
                <w:vertAlign w:val="superscript"/>
              </w:rPr>
              <w:t>3</w:t>
            </w:r>
          </w:p>
        </w:tc>
        <w:tc>
          <w:tcPr>
            <w:tcW w:w="475" w:type="pct"/>
            <w:noWrap/>
          </w:tcPr>
          <w:p w14:paraId="73F9D063" w14:textId="3E24E77F"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53"/>
                <w14:textFill>
                  <w14:solidFill>
                    <w14:srgbClr w14:val="000000">
                      <w14:alpha w14:val="100000"/>
                    </w14:srgbClr>
                  </w14:solidFill>
                </w14:textFill>
              </w:rPr>
              <w:t>||</w:t>
            </w:r>
            <w:r w:rsidRPr="00632DCB">
              <w:rPr>
                <w:color w:val="000000"/>
                <w:spacing w:val="1"/>
                <w:shd w:val="solid" w:color="000000" w:fill="000000"/>
                <w:fitText w:val="230" w:id="-1032088053"/>
                <w14:textFill>
                  <w14:solidFill>
                    <w14:srgbClr w14:val="000000">
                      <w14:alpha w14:val="100000"/>
                    </w14:srgbClr>
                  </w14:solidFill>
                </w14:textFill>
              </w:rPr>
              <w:t>|</w:t>
            </w:r>
            <w:r w:rsidR="00766623" w:rsidRPr="002F73D6">
              <w:rPr>
                <w:vertAlign w:val="superscript"/>
              </w:rPr>
              <w:t>3</w:t>
            </w:r>
          </w:p>
        </w:tc>
        <w:tc>
          <w:tcPr>
            <w:tcW w:w="475" w:type="pct"/>
            <w:noWrap/>
          </w:tcPr>
          <w:p w14:paraId="51BC60FF" w14:textId="50912720"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52"/>
                <w14:textFill>
                  <w14:solidFill>
                    <w14:srgbClr w14:val="000000">
                      <w14:alpha w14:val="100000"/>
                    </w14:srgbClr>
                  </w14:solidFill>
                </w14:textFill>
              </w:rPr>
              <w:t>||</w:t>
            </w:r>
            <w:r w:rsidRPr="00632DCB">
              <w:rPr>
                <w:color w:val="000000"/>
                <w:spacing w:val="1"/>
                <w:shd w:val="solid" w:color="000000" w:fill="000000"/>
                <w:fitText w:val="230" w:id="-1032088052"/>
                <w14:textFill>
                  <w14:solidFill>
                    <w14:srgbClr w14:val="000000">
                      <w14:alpha w14:val="100000"/>
                    </w14:srgbClr>
                  </w14:solidFill>
                </w14:textFill>
              </w:rPr>
              <w:t>|</w:t>
            </w:r>
            <w:r w:rsidR="00766623" w:rsidRPr="002F73D6">
              <w:rPr>
                <w:vertAlign w:val="superscript"/>
              </w:rPr>
              <w:t>3</w:t>
            </w:r>
            <w:r>
              <w:t xml:space="preserve"> </w:t>
            </w:r>
          </w:p>
        </w:tc>
        <w:tc>
          <w:tcPr>
            <w:tcW w:w="475" w:type="pct"/>
            <w:noWrap/>
          </w:tcPr>
          <w:p w14:paraId="42E1FA5E" w14:textId="537D6F25"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50"/>
                <w14:textFill>
                  <w14:solidFill>
                    <w14:srgbClr w14:val="000000">
                      <w14:alpha w14:val="100000"/>
                    </w14:srgbClr>
                  </w14:solidFill>
                </w14:textFill>
              </w:rPr>
              <w:t>||</w:t>
            </w:r>
            <w:r w:rsidRPr="00632DCB">
              <w:rPr>
                <w:color w:val="000000"/>
                <w:spacing w:val="1"/>
                <w:shd w:val="solid" w:color="000000" w:fill="000000"/>
                <w:fitText w:val="230" w:id="-1032088050"/>
                <w14:textFill>
                  <w14:solidFill>
                    <w14:srgbClr w14:val="000000">
                      <w14:alpha w14:val="100000"/>
                    </w14:srgbClr>
                  </w14:solidFill>
                </w14:textFill>
              </w:rPr>
              <w:t>|</w:t>
            </w:r>
            <w:r w:rsidR="00766623" w:rsidRPr="002F73D6">
              <w:rPr>
                <w:vertAlign w:val="superscript"/>
              </w:rPr>
              <w:t>3</w:t>
            </w:r>
          </w:p>
        </w:tc>
        <w:tc>
          <w:tcPr>
            <w:tcW w:w="475" w:type="pct"/>
            <w:noWrap/>
          </w:tcPr>
          <w:p w14:paraId="724EB8EB" w14:textId="689866C8"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49"/>
                <w14:textFill>
                  <w14:solidFill>
                    <w14:srgbClr w14:val="000000">
                      <w14:alpha w14:val="100000"/>
                    </w14:srgbClr>
                  </w14:solidFill>
                </w14:textFill>
              </w:rPr>
              <w:t>||</w:t>
            </w:r>
            <w:r w:rsidRPr="00632DCB">
              <w:rPr>
                <w:color w:val="000000"/>
                <w:spacing w:val="1"/>
                <w:shd w:val="solid" w:color="000000" w:fill="000000"/>
                <w:fitText w:val="230" w:id="-1032088049"/>
                <w14:textFill>
                  <w14:solidFill>
                    <w14:srgbClr w14:val="000000">
                      <w14:alpha w14:val="100000"/>
                    </w14:srgbClr>
                  </w14:solidFill>
                </w14:textFill>
              </w:rPr>
              <w:t>|</w:t>
            </w:r>
            <w:r w:rsidR="00766623" w:rsidRPr="002F73D6">
              <w:rPr>
                <w:vertAlign w:val="superscript"/>
              </w:rPr>
              <w:t>3</w:t>
            </w:r>
            <w:r>
              <w:t xml:space="preserve"> </w:t>
            </w:r>
          </w:p>
        </w:tc>
        <w:tc>
          <w:tcPr>
            <w:tcW w:w="476" w:type="pct"/>
            <w:noWrap/>
          </w:tcPr>
          <w:p w14:paraId="5119083B" w14:textId="79783F24" w:rsidR="00966A12" w:rsidRPr="00DA52E8" w:rsidRDefault="00632DCB" w:rsidP="00966A12">
            <w:pPr>
              <w:pStyle w:val="TableText0"/>
              <w:keepNext w:val="0"/>
              <w:jc w:val="right"/>
              <w:rPr>
                <w:b/>
                <w:bCs w:val="0"/>
                <w:highlight w:val="darkGray"/>
              </w:rPr>
            </w:pPr>
            <w:r>
              <w:t xml:space="preserve"> </w:t>
            </w:r>
            <w:r w:rsidRPr="00632DCB">
              <w:rPr>
                <w:color w:val="000000"/>
                <w:spacing w:val="51"/>
                <w:shd w:val="solid" w:color="000000" w:fill="000000"/>
                <w:fitText w:val="230" w:id="-1032088064"/>
                <w14:textFill>
                  <w14:solidFill>
                    <w14:srgbClr w14:val="000000">
                      <w14:alpha w14:val="100000"/>
                    </w14:srgbClr>
                  </w14:solidFill>
                </w14:textFill>
              </w:rPr>
              <w:t>||</w:t>
            </w:r>
            <w:r w:rsidRPr="00632DCB">
              <w:rPr>
                <w:color w:val="000000"/>
                <w:spacing w:val="1"/>
                <w:shd w:val="solid" w:color="000000" w:fill="000000"/>
                <w:fitText w:val="230" w:id="-1032088064"/>
                <w14:textFill>
                  <w14:solidFill>
                    <w14:srgbClr w14:val="000000">
                      <w14:alpha w14:val="100000"/>
                    </w14:srgbClr>
                  </w14:solidFill>
                </w14:textFill>
              </w:rPr>
              <w:t>|</w:t>
            </w:r>
            <w:r w:rsidR="00766623" w:rsidRPr="002F73D6">
              <w:rPr>
                <w:vertAlign w:val="superscript"/>
              </w:rPr>
              <w:t>3</w:t>
            </w:r>
          </w:p>
        </w:tc>
      </w:tr>
    </w:tbl>
    <w:bookmarkEnd w:id="104"/>
    <w:p w14:paraId="7BA2F033" w14:textId="532FCDCD" w:rsidR="00183AA9" w:rsidRPr="00743512" w:rsidRDefault="00183AA9" w:rsidP="00A8111C">
      <w:pPr>
        <w:pStyle w:val="FooterTableFigure"/>
      </w:pPr>
      <w:r w:rsidRPr="00743512">
        <w:t xml:space="preserve">a. </w:t>
      </w:r>
      <w:r w:rsidR="005379E8" w:rsidRPr="00743512">
        <w:t xml:space="preserve">Proportion applied in </w:t>
      </w:r>
      <w:r w:rsidRPr="00743512">
        <w:t xml:space="preserve">Row L </w:t>
      </w:r>
      <w:r w:rsidR="005379E8" w:rsidRPr="00743512">
        <w:t>was</w:t>
      </w:r>
      <w:r w:rsidRPr="00743512">
        <w:t xml:space="preserve"> revised, and Row P </w:t>
      </w:r>
      <w:r w:rsidR="005379E8" w:rsidRPr="00743512">
        <w:t>was removed</w:t>
      </w:r>
      <w:r w:rsidRPr="00743512">
        <w:t>.</w:t>
      </w:r>
    </w:p>
    <w:p w14:paraId="2FDD7164" w14:textId="75A5FB34" w:rsidR="00A8111C" w:rsidRPr="00743512" w:rsidRDefault="00A8111C" w:rsidP="00A8111C">
      <w:pPr>
        <w:pStyle w:val="FooterTableFigure"/>
        <w:rPr>
          <w:sz w:val="20"/>
        </w:rPr>
      </w:pPr>
      <w:r w:rsidRPr="00743512">
        <w:t>Source: Constructed during the evaluation from Table 4.13, p275; Table 4.15, p280; Table 4.17, pp281−2; and Table 4.19, pp282−3 of the resubmission.</w:t>
      </w:r>
    </w:p>
    <w:p w14:paraId="67FAD50E" w14:textId="52CCC1D9" w:rsidR="00A8111C" w:rsidRDefault="00A8111C" w:rsidP="001D647E">
      <w:pPr>
        <w:pStyle w:val="FooterTableFigure"/>
      </w:pPr>
      <w:r w:rsidRPr="00743512">
        <w:t>g</w:t>
      </w:r>
      <w:r w:rsidR="00CD50D4" w:rsidRPr="00743512">
        <w:rPr>
          <w:i/>
        </w:rPr>
        <w:t>BRCA</w:t>
      </w:r>
      <w:r w:rsidRPr="00743512">
        <w:t xml:space="preserve"> = germline breast cancer gene; HER2 = human epidermal growth factor receptor 2; HR = hormone receptor; TNBC = triple negative breast cancer.</w:t>
      </w:r>
    </w:p>
    <w:p w14:paraId="19D60499" w14:textId="77777777" w:rsidR="006917BB" w:rsidRPr="006917BB" w:rsidRDefault="006917BB" w:rsidP="006917BB">
      <w:pPr>
        <w:pStyle w:val="FooterTableFigure"/>
        <w:rPr>
          <w:i/>
        </w:rPr>
      </w:pPr>
      <w:r w:rsidRPr="006917BB">
        <w:rPr>
          <w:i/>
        </w:rPr>
        <w:t xml:space="preserve">The redacted values correspond to the following ranges: </w:t>
      </w:r>
    </w:p>
    <w:p w14:paraId="36E0DDE8" w14:textId="236989A1" w:rsidR="006917BB" w:rsidRDefault="006917BB" w:rsidP="006917BB">
      <w:pPr>
        <w:pStyle w:val="FooterTableFigure"/>
        <w:rPr>
          <w:i/>
          <w:iCs/>
        </w:rPr>
      </w:pPr>
      <w:r w:rsidRPr="006917BB">
        <w:rPr>
          <w:i/>
          <w:iCs/>
          <w:vertAlign w:val="superscript"/>
        </w:rPr>
        <w:t>1</w:t>
      </w:r>
      <w:r>
        <w:rPr>
          <w:i/>
          <w:iCs/>
        </w:rPr>
        <w:t xml:space="preserve"> </w:t>
      </w:r>
      <w:r w:rsidRPr="006917BB">
        <w:rPr>
          <w:i/>
          <w:iCs/>
        </w:rPr>
        <w:t>20,000 to &lt; 30,000</w:t>
      </w:r>
    </w:p>
    <w:p w14:paraId="73F47BF0" w14:textId="6B96E9A3" w:rsidR="002F73D6" w:rsidRPr="002F73D6" w:rsidRDefault="002F73D6" w:rsidP="002F73D6">
      <w:pPr>
        <w:pStyle w:val="FooterTableFigure"/>
        <w:rPr>
          <w:i/>
          <w:iCs/>
        </w:rPr>
      </w:pPr>
      <w:r w:rsidRPr="002F73D6">
        <w:rPr>
          <w:i/>
          <w:iCs/>
          <w:vertAlign w:val="superscript"/>
        </w:rPr>
        <w:t>2</w:t>
      </w:r>
      <w:r w:rsidR="002D5411">
        <w:rPr>
          <w:i/>
          <w:iCs/>
          <w:vertAlign w:val="superscript"/>
        </w:rPr>
        <w:t xml:space="preserve"> </w:t>
      </w:r>
      <w:r w:rsidRPr="002F73D6">
        <w:rPr>
          <w:i/>
          <w:iCs/>
        </w:rPr>
        <w:t>500 to &lt; 5,000</w:t>
      </w:r>
    </w:p>
    <w:p w14:paraId="3A2774EC" w14:textId="4B1C1A88" w:rsidR="00766623" w:rsidRDefault="00766623" w:rsidP="00766623">
      <w:pPr>
        <w:pStyle w:val="FooterTableFigure"/>
        <w:rPr>
          <w:i/>
          <w:iCs/>
        </w:rPr>
      </w:pPr>
      <w:r w:rsidRPr="00766623">
        <w:rPr>
          <w:i/>
          <w:iCs/>
          <w:vertAlign w:val="superscript"/>
        </w:rPr>
        <w:t>3</w:t>
      </w:r>
      <w:r w:rsidRPr="00766623">
        <w:rPr>
          <w:i/>
          <w:iCs/>
        </w:rPr>
        <w:t xml:space="preserve"> &lt; 500</w:t>
      </w:r>
    </w:p>
    <w:p w14:paraId="547D4ADF" w14:textId="77777777" w:rsidR="00766623" w:rsidRPr="00766623" w:rsidRDefault="00766623" w:rsidP="00766623">
      <w:pPr>
        <w:pStyle w:val="FooterTableFigure"/>
        <w:rPr>
          <w:i/>
          <w:iCs/>
        </w:rPr>
      </w:pPr>
      <w:r w:rsidRPr="00766623">
        <w:rPr>
          <w:i/>
          <w:iCs/>
          <w:vertAlign w:val="superscript"/>
        </w:rPr>
        <w:t>4</w:t>
      </w:r>
      <w:r w:rsidRPr="00766623">
        <w:rPr>
          <w:i/>
          <w:iCs/>
        </w:rPr>
        <w:t xml:space="preserve"> 10,000 to &lt; 20,000</w:t>
      </w:r>
    </w:p>
    <w:p w14:paraId="2B70E756" w14:textId="20B46053" w:rsidR="006917BB" w:rsidRPr="00F32823" w:rsidRDefault="00572963" w:rsidP="001D647E">
      <w:pPr>
        <w:pStyle w:val="FooterTableFigure"/>
        <w:rPr>
          <w:i/>
          <w:iCs/>
        </w:rPr>
      </w:pPr>
      <w:r>
        <w:rPr>
          <w:i/>
          <w:iCs/>
          <w:vertAlign w:val="superscript"/>
        </w:rPr>
        <w:t xml:space="preserve">5 </w:t>
      </w:r>
      <w:r w:rsidR="00766623" w:rsidRPr="00766623">
        <w:rPr>
          <w:i/>
          <w:iCs/>
        </w:rPr>
        <w:t>5,000 to &lt; 10,000</w:t>
      </w:r>
    </w:p>
    <w:p w14:paraId="064AF5C3" w14:textId="5CC95F10" w:rsidR="00F4781C" w:rsidRPr="00743512" w:rsidRDefault="00F4781C" w:rsidP="00F4781C">
      <w:pPr>
        <w:pStyle w:val="3-BodyText"/>
      </w:pPr>
      <w:bookmarkStart w:id="105" w:name="_Ref150418024"/>
      <w:bookmarkEnd w:id="101"/>
      <w:r w:rsidRPr="00743512">
        <w:t xml:space="preserve">The resubmission indicated that </w:t>
      </w:r>
      <w:r w:rsidR="005542C1">
        <w:t>&lt; 500</w:t>
      </w:r>
      <w:r w:rsidRPr="00743512">
        <w:t xml:space="preserve"> patients would be expected to be grandfathered once olaparib was listed on the PBS. While this was reduced from the previous submission (</w:t>
      </w:r>
      <w:r w:rsidR="005542C1">
        <w:t>&lt; 500</w:t>
      </w:r>
      <w:r w:rsidRPr="00743512">
        <w:t>), the basis for this number of patients remains unclear. Furthermore, grandfathered patients were also assumed to receive the entire treatment course, which was not reasonable, given that they initiate treatment prior to PBS listing.</w:t>
      </w:r>
      <w:bookmarkEnd w:id="105"/>
    </w:p>
    <w:p w14:paraId="5D737FED" w14:textId="46603805" w:rsidR="00883096" w:rsidRPr="00743512" w:rsidRDefault="00883096" w:rsidP="004F5B47">
      <w:pPr>
        <w:pStyle w:val="3-BodyText"/>
      </w:pPr>
      <w:bookmarkStart w:id="106" w:name="_Hlk150532723"/>
      <w:r w:rsidRPr="00743512">
        <w:t>The estimated use and cost of g</w:t>
      </w:r>
      <w:r w:rsidR="00CD50D4" w:rsidRPr="00743512">
        <w:rPr>
          <w:i/>
        </w:rPr>
        <w:t>BRCA</w:t>
      </w:r>
      <w:r w:rsidRPr="00743512">
        <w:t xml:space="preserve"> testing and olaparib treatment estimated in the resubmission is presented in </w:t>
      </w:r>
      <w:r w:rsidRPr="00743512">
        <w:fldChar w:fldCharType="begin"/>
      </w:r>
      <w:r w:rsidRPr="00743512">
        <w:instrText xml:space="preserve"> REF _Ref104805295 \h  \* MERGEFORMAT </w:instrText>
      </w:r>
      <w:r w:rsidRPr="00743512">
        <w:fldChar w:fldCharType="separate"/>
      </w:r>
      <w:r w:rsidR="00D2565D" w:rsidRPr="00743512">
        <w:t xml:space="preserve">Table </w:t>
      </w:r>
      <w:r w:rsidR="00D2565D">
        <w:t>21</w:t>
      </w:r>
      <w:r w:rsidRPr="00743512">
        <w:fldChar w:fldCharType="end"/>
      </w:r>
      <w:r w:rsidR="00157B92" w:rsidRPr="00743512">
        <w:t xml:space="preserve">. </w:t>
      </w:r>
      <w:r w:rsidR="002C62E8" w:rsidRPr="00743512">
        <w:t xml:space="preserve">This table reflects the resubmission’s estimates and does not reflect the amendments recommended by the PBAC (see </w:t>
      </w:r>
      <w:bookmarkStart w:id="107" w:name="_Hlk150532693"/>
      <w:r w:rsidR="002C62E8" w:rsidRPr="00743512">
        <w:fldChar w:fldCharType="begin"/>
      </w:r>
      <w:r w:rsidR="002C62E8" w:rsidRPr="00743512">
        <w:instrText xml:space="preserve"> REF _Ref147930509 \h </w:instrText>
      </w:r>
      <w:r w:rsidR="002C62E8" w:rsidRPr="00743512">
        <w:fldChar w:fldCharType="separate"/>
      </w:r>
      <w:r w:rsidR="00D2565D" w:rsidRPr="00743512">
        <w:t xml:space="preserve">Table </w:t>
      </w:r>
      <w:r w:rsidR="00D2565D">
        <w:rPr>
          <w:noProof/>
        </w:rPr>
        <w:t>20</w:t>
      </w:r>
      <w:r w:rsidR="002C62E8" w:rsidRPr="00743512">
        <w:fldChar w:fldCharType="end"/>
      </w:r>
      <w:r w:rsidR="002C62E8" w:rsidRPr="00743512">
        <w:t>), and does not reflect the price proposed in the pre-PBAC response.</w:t>
      </w:r>
    </w:p>
    <w:p w14:paraId="32FF8A61" w14:textId="5692A407" w:rsidR="00883096" w:rsidRPr="00743512" w:rsidRDefault="00883096" w:rsidP="00883096">
      <w:pPr>
        <w:pStyle w:val="Caption"/>
      </w:pPr>
      <w:bookmarkStart w:id="108" w:name="_Ref104805295"/>
      <w:bookmarkEnd w:id="106"/>
      <w:r w:rsidRPr="00743512">
        <w:t xml:space="preserve">Table </w:t>
      </w:r>
      <w:r w:rsidR="00D2565D">
        <w:fldChar w:fldCharType="begin"/>
      </w:r>
      <w:r w:rsidR="00D2565D">
        <w:instrText xml:space="preserve"> SEQ Table \* ARABIC </w:instrText>
      </w:r>
      <w:r w:rsidR="00D2565D">
        <w:fldChar w:fldCharType="separate"/>
      </w:r>
      <w:r w:rsidR="00D2565D">
        <w:rPr>
          <w:noProof/>
        </w:rPr>
        <w:t>21</w:t>
      </w:r>
      <w:r w:rsidR="00D2565D">
        <w:rPr>
          <w:noProof/>
        </w:rPr>
        <w:fldChar w:fldCharType="end"/>
      </w:r>
      <w:bookmarkEnd w:id="108"/>
      <w:r w:rsidRPr="00743512">
        <w:t>:</w:t>
      </w:r>
      <w:r w:rsidRPr="00743512">
        <w:rPr>
          <w:rStyle w:val="CommentReference"/>
          <w:b/>
          <w:szCs w:val="24"/>
        </w:rPr>
        <w:t xml:space="preserve"> Base case use and financial implications estimated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Base case use and financial implications estimated in the resubmission"/>
      </w:tblPr>
      <w:tblGrid>
        <w:gridCol w:w="2405"/>
        <w:gridCol w:w="1102"/>
        <w:gridCol w:w="1102"/>
        <w:gridCol w:w="1102"/>
        <w:gridCol w:w="1102"/>
        <w:gridCol w:w="1102"/>
        <w:gridCol w:w="1102"/>
      </w:tblGrid>
      <w:tr w:rsidR="00883096" w:rsidRPr="00743512" w14:paraId="76B155C2" w14:textId="77777777" w:rsidTr="004F5B47">
        <w:trPr>
          <w:tblHeader/>
        </w:trPr>
        <w:tc>
          <w:tcPr>
            <w:tcW w:w="1334" w:type="pct"/>
            <w:shd w:val="clear" w:color="auto" w:fill="auto"/>
            <w:vAlign w:val="center"/>
          </w:tcPr>
          <w:p w14:paraId="106C7891" w14:textId="77777777" w:rsidR="00883096" w:rsidRPr="00743512" w:rsidRDefault="00883096" w:rsidP="004F5B47">
            <w:pPr>
              <w:pStyle w:val="In-tableHeading"/>
              <w:jc w:val="center"/>
              <w:rPr>
                <w:lang w:val="en-AU"/>
              </w:rPr>
            </w:pPr>
          </w:p>
        </w:tc>
        <w:tc>
          <w:tcPr>
            <w:tcW w:w="611" w:type="pct"/>
            <w:shd w:val="clear" w:color="auto" w:fill="auto"/>
            <w:vAlign w:val="center"/>
          </w:tcPr>
          <w:p w14:paraId="2C5A1789" w14:textId="77777777" w:rsidR="00883096" w:rsidRPr="00743512" w:rsidRDefault="00883096" w:rsidP="004F5B47">
            <w:pPr>
              <w:pStyle w:val="In-tableHeading"/>
              <w:jc w:val="center"/>
              <w:rPr>
                <w:lang w:val="en-AU"/>
              </w:rPr>
            </w:pPr>
            <w:r w:rsidRPr="00743512">
              <w:rPr>
                <w:lang w:val="en-AU"/>
              </w:rPr>
              <w:t>Year 1</w:t>
            </w:r>
          </w:p>
        </w:tc>
        <w:tc>
          <w:tcPr>
            <w:tcW w:w="611" w:type="pct"/>
            <w:shd w:val="clear" w:color="auto" w:fill="auto"/>
            <w:vAlign w:val="center"/>
          </w:tcPr>
          <w:p w14:paraId="1745B9D7" w14:textId="77777777" w:rsidR="00883096" w:rsidRPr="00743512" w:rsidRDefault="00883096" w:rsidP="004F5B47">
            <w:pPr>
              <w:pStyle w:val="In-tableHeading"/>
              <w:jc w:val="center"/>
              <w:rPr>
                <w:lang w:val="en-AU"/>
              </w:rPr>
            </w:pPr>
            <w:r w:rsidRPr="00743512">
              <w:rPr>
                <w:lang w:val="en-AU"/>
              </w:rPr>
              <w:t>Year 2</w:t>
            </w:r>
          </w:p>
        </w:tc>
        <w:tc>
          <w:tcPr>
            <w:tcW w:w="611" w:type="pct"/>
            <w:shd w:val="clear" w:color="auto" w:fill="auto"/>
            <w:vAlign w:val="center"/>
          </w:tcPr>
          <w:p w14:paraId="68F72320" w14:textId="77777777" w:rsidR="00883096" w:rsidRPr="00743512" w:rsidRDefault="00883096" w:rsidP="004F5B47">
            <w:pPr>
              <w:pStyle w:val="In-tableHeading"/>
              <w:jc w:val="center"/>
              <w:rPr>
                <w:lang w:val="en-AU"/>
              </w:rPr>
            </w:pPr>
            <w:r w:rsidRPr="00743512">
              <w:rPr>
                <w:lang w:val="en-AU"/>
              </w:rPr>
              <w:t>Year 3</w:t>
            </w:r>
          </w:p>
        </w:tc>
        <w:tc>
          <w:tcPr>
            <w:tcW w:w="611" w:type="pct"/>
            <w:shd w:val="clear" w:color="auto" w:fill="auto"/>
            <w:vAlign w:val="center"/>
          </w:tcPr>
          <w:p w14:paraId="6C0B8167" w14:textId="77777777" w:rsidR="00883096" w:rsidRPr="00743512" w:rsidRDefault="00883096" w:rsidP="004F5B47">
            <w:pPr>
              <w:pStyle w:val="In-tableHeading"/>
              <w:jc w:val="center"/>
              <w:rPr>
                <w:lang w:val="en-AU"/>
              </w:rPr>
            </w:pPr>
            <w:r w:rsidRPr="00743512">
              <w:rPr>
                <w:lang w:val="en-AU"/>
              </w:rPr>
              <w:t>Year 4</w:t>
            </w:r>
          </w:p>
        </w:tc>
        <w:tc>
          <w:tcPr>
            <w:tcW w:w="611" w:type="pct"/>
            <w:shd w:val="clear" w:color="auto" w:fill="auto"/>
            <w:vAlign w:val="center"/>
          </w:tcPr>
          <w:p w14:paraId="10703326" w14:textId="77777777" w:rsidR="00883096" w:rsidRPr="00743512" w:rsidRDefault="00883096" w:rsidP="004F5B47">
            <w:pPr>
              <w:pStyle w:val="In-tableHeading"/>
              <w:jc w:val="center"/>
              <w:rPr>
                <w:lang w:val="en-AU"/>
              </w:rPr>
            </w:pPr>
            <w:r w:rsidRPr="00743512">
              <w:rPr>
                <w:lang w:val="en-AU"/>
              </w:rPr>
              <w:t>Year 5</w:t>
            </w:r>
          </w:p>
        </w:tc>
        <w:tc>
          <w:tcPr>
            <w:tcW w:w="611" w:type="pct"/>
          </w:tcPr>
          <w:p w14:paraId="3B66ED7B" w14:textId="77777777" w:rsidR="00883096" w:rsidRPr="00743512" w:rsidRDefault="00883096" w:rsidP="004F5B47">
            <w:pPr>
              <w:pStyle w:val="In-tableHeading"/>
              <w:jc w:val="center"/>
              <w:rPr>
                <w:lang w:val="en-AU"/>
              </w:rPr>
            </w:pPr>
            <w:r w:rsidRPr="00743512">
              <w:rPr>
                <w:lang w:val="en-AU"/>
              </w:rPr>
              <w:t>Year 6</w:t>
            </w:r>
          </w:p>
        </w:tc>
      </w:tr>
      <w:tr w:rsidR="00883096" w:rsidRPr="00743512" w14:paraId="3BE51C53" w14:textId="77777777" w:rsidTr="004F5B47">
        <w:tc>
          <w:tcPr>
            <w:tcW w:w="5000" w:type="pct"/>
            <w:gridSpan w:val="7"/>
            <w:shd w:val="clear" w:color="auto" w:fill="auto"/>
            <w:vAlign w:val="center"/>
          </w:tcPr>
          <w:p w14:paraId="0C33D7A9" w14:textId="77777777" w:rsidR="00883096" w:rsidRPr="00743512" w:rsidRDefault="00883096" w:rsidP="004F5B47">
            <w:pPr>
              <w:pStyle w:val="In-tableHeading"/>
              <w:rPr>
                <w:bCs/>
                <w:color w:val="000000"/>
                <w:lang w:val="en-AU"/>
              </w:rPr>
            </w:pPr>
            <w:r w:rsidRPr="00743512">
              <w:rPr>
                <w:bCs/>
                <w:color w:val="000000"/>
                <w:lang w:val="en-AU"/>
              </w:rPr>
              <w:t>Estimated extent of use</w:t>
            </w:r>
          </w:p>
        </w:tc>
      </w:tr>
      <w:tr w:rsidR="00883096" w:rsidRPr="00743512" w14:paraId="2DB21CD6" w14:textId="77777777" w:rsidTr="004F5B47">
        <w:tc>
          <w:tcPr>
            <w:tcW w:w="1334" w:type="pct"/>
            <w:tcBorders>
              <w:bottom w:val="single" w:sz="4" w:space="0" w:color="auto"/>
            </w:tcBorders>
            <w:shd w:val="clear" w:color="auto" w:fill="auto"/>
            <w:vAlign w:val="center"/>
          </w:tcPr>
          <w:p w14:paraId="5F7C8341" w14:textId="763E1B0F" w:rsidR="00883096" w:rsidRPr="00743512" w:rsidRDefault="00883096" w:rsidP="004F5B47">
            <w:pPr>
              <w:pStyle w:val="TableText0"/>
            </w:pPr>
            <w:r w:rsidRPr="00743512">
              <w:t xml:space="preserve">Incremental </w:t>
            </w:r>
            <w:r w:rsidR="000E5ADA" w:rsidRPr="00743512">
              <w:t xml:space="preserve">incident </w:t>
            </w:r>
            <w:r w:rsidRPr="00743512">
              <w:t>patients tested</w:t>
            </w:r>
          </w:p>
        </w:tc>
        <w:tc>
          <w:tcPr>
            <w:tcW w:w="611" w:type="pct"/>
            <w:tcBorders>
              <w:bottom w:val="single" w:sz="4" w:space="0" w:color="auto"/>
            </w:tcBorders>
            <w:shd w:val="clear" w:color="auto" w:fill="auto"/>
          </w:tcPr>
          <w:p w14:paraId="46C42C0E" w14:textId="05E0CB77"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3"/>
                <w14:textFill>
                  <w14:solidFill>
                    <w14:srgbClr w14:val="000000">
                      <w14:alpha w14:val="100000"/>
                    </w14:srgbClr>
                  </w14:solidFill>
                </w14:textFill>
              </w:rPr>
              <w:t>|||</w:t>
            </w:r>
            <w:r w:rsidRPr="00632DCB">
              <w:rPr>
                <w:color w:val="000000"/>
                <w:spacing w:val="1"/>
                <w:shd w:val="solid" w:color="000000" w:fill="000000"/>
                <w:fitText w:val="330" w:id="-1032088063"/>
                <w14:textFill>
                  <w14:solidFill>
                    <w14:srgbClr w14:val="000000">
                      <w14:alpha w14:val="100000"/>
                    </w14:srgbClr>
                  </w14:solidFill>
                </w14:textFill>
              </w:rPr>
              <w:t>|</w:t>
            </w:r>
            <w:r w:rsidR="00572963" w:rsidRPr="00572963">
              <w:rPr>
                <w:vertAlign w:val="superscript"/>
              </w:rPr>
              <w:t>1</w:t>
            </w:r>
          </w:p>
        </w:tc>
        <w:tc>
          <w:tcPr>
            <w:tcW w:w="611" w:type="pct"/>
            <w:tcBorders>
              <w:bottom w:val="single" w:sz="4" w:space="0" w:color="auto"/>
            </w:tcBorders>
            <w:shd w:val="clear" w:color="auto" w:fill="auto"/>
          </w:tcPr>
          <w:p w14:paraId="6EDAEDF3" w14:textId="0907B485"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2"/>
                <w14:textFill>
                  <w14:solidFill>
                    <w14:srgbClr w14:val="000000">
                      <w14:alpha w14:val="100000"/>
                    </w14:srgbClr>
                  </w14:solidFill>
                </w14:textFill>
              </w:rPr>
              <w:t>|||</w:t>
            </w:r>
            <w:r w:rsidRPr="00632DCB">
              <w:rPr>
                <w:color w:val="000000"/>
                <w:spacing w:val="1"/>
                <w:shd w:val="solid" w:color="000000" w:fill="000000"/>
                <w:fitText w:val="330" w:id="-1032088062"/>
                <w14:textFill>
                  <w14:solidFill>
                    <w14:srgbClr w14:val="000000">
                      <w14:alpha w14:val="100000"/>
                    </w14:srgbClr>
                  </w14:solidFill>
                </w14:textFill>
              </w:rPr>
              <w:t>|</w:t>
            </w:r>
            <w:r w:rsidR="00572963" w:rsidRPr="00572963">
              <w:rPr>
                <w:vertAlign w:val="superscript"/>
              </w:rPr>
              <w:t>1</w:t>
            </w:r>
          </w:p>
        </w:tc>
        <w:tc>
          <w:tcPr>
            <w:tcW w:w="611" w:type="pct"/>
            <w:tcBorders>
              <w:bottom w:val="single" w:sz="4" w:space="0" w:color="auto"/>
            </w:tcBorders>
            <w:shd w:val="clear" w:color="auto" w:fill="auto"/>
          </w:tcPr>
          <w:p w14:paraId="5FE76D73" w14:textId="0C7920A7"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1"/>
                <w14:textFill>
                  <w14:solidFill>
                    <w14:srgbClr w14:val="000000">
                      <w14:alpha w14:val="100000"/>
                    </w14:srgbClr>
                  </w14:solidFill>
                </w14:textFill>
              </w:rPr>
              <w:t>|||</w:t>
            </w:r>
            <w:r w:rsidRPr="00632DCB">
              <w:rPr>
                <w:color w:val="000000"/>
                <w:spacing w:val="1"/>
                <w:shd w:val="solid" w:color="000000" w:fill="000000"/>
                <w:fitText w:val="330" w:id="-1032088061"/>
                <w14:textFill>
                  <w14:solidFill>
                    <w14:srgbClr w14:val="000000">
                      <w14:alpha w14:val="100000"/>
                    </w14:srgbClr>
                  </w14:solidFill>
                </w14:textFill>
              </w:rPr>
              <w:t>|</w:t>
            </w:r>
            <w:r w:rsidR="00572963" w:rsidRPr="00572963">
              <w:rPr>
                <w:vertAlign w:val="superscript"/>
              </w:rPr>
              <w:t>1</w:t>
            </w:r>
          </w:p>
        </w:tc>
        <w:tc>
          <w:tcPr>
            <w:tcW w:w="611" w:type="pct"/>
            <w:tcBorders>
              <w:bottom w:val="single" w:sz="4" w:space="0" w:color="auto"/>
            </w:tcBorders>
            <w:shd w:val="clear" w:color="auto" w:fill="auto"/>
          </w:tcPr>
          <w:p w14:paraId="4C5EBD74" w14:textId="6572833C"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0"/>
                <w14:textFill>
                  <w14:solidFill>
                    <w14:srgbClr w14:val="000000">
                      <w14:alpha w14:val="100000"/>
                    </w14:srgbClr>
                  </w14:solidFill>
                </w14:textFill>
              </w:rPr>
              <w:t>|||</w:t>
            </w:r>
            <w:r w:rsidRPr="00632DCB">
              <w:rPr>
                <w:color w:val="000000"/>
                <w:spacing w:val="1"/>
                <w:shd w:val="solid" w:color="000000" w:fill="000000"/>
                <w:fitText w:val="330" w:id="-1032088060"/>
                <w14:textFill>
                  <w14:solidFill>
                    <w14:srgbClr w14:val="000000">
                      <w14:alpha w14:val="100000"/>
                    </w14:srgbClr>
                  </w14:solidFill>
                </w14:textFill>
              </w:rPr>
              <w:t>|</w:t>
            </w:r>
            <w:r w:rsidR="001B07FE">
              <w:rPr>
                <w:vertAlign w:val="superscript"/>
              </w:rPr>
              <w:t>2</w:t>
            </w:r>
          </w:p>
        </w:tc>
        <w:tc>
          <w:tcPr>
            <w:tcW w:w="611" w:type="pct"/>
            <w:tcBorders>
              <w:bottom w:val="single" w:sz="4" w:space="0" w:color="auto"/>
            </w:tcBorders>
            <w:shd w:val="clear" w:color="auto" w:fill="auto"/>
          </w:tcPr>
          <w:p w14:paraId="6996DB76" w14:textId="185E6401"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9"/>
                <w14:textFill>
                  <w14:solidFill>
                    <w14:srgbClr w14:val="000000">
                      <w14:alpha w14:val="100000"/>
                    </w14:srgbClr>
                  </w14:solidFill>
                </w14:textFill>
              </w:rPr>
              <w:t>|||</w:t>
            </w:r>
            <w:r w:rsidRPr="00632DCB">
              <w:rPr>
                <w:color w:val="000000"/>
                <w:spacing w:val="1"/>
                <w:shd w:val="solid" w:color="000000" w:fill="000000"/>
                <w:fitText w:val="330" w:id="-1032088059"/>
                <w14:textFill>
                  <w14:solidFill>
                    <w14:srgbClr w14:val="000000">
                      <w14:alpha w14:val="100000"/>
                    </w14:srgbClr>
                  </w14:solidFill>
                </w14:textFill>
              </w:rPr>
              <w:t>|</w:t>
            </w:r>
            <w:r w:rsidR="001B07FE">
              <w:rPr>
                <w:vertAlign w:val="superscript"/>
              </w:rPr>
              <w:t>2</w:t>
            </w:r>
          </w:p>
        </w:tc>
        <w:tc>
          <w:tcPr>
            <w:tcW w:w="611" w:type="pct"/>
            <w:tcBorders>
              <w:bottom w:val="single" w:sz="4" w:space="0" w:color="auto"/>
            </w:tcBorders>
          </w:tcPr>
          <w:p w14:paraId="5B6E3347" w14:textId="07ADDE1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8"/>
                <w14:textFill>
                  <w14:solidFill>
                    <w14:srgbClr w14:val="000000">
                      <w14:alpha w14:val="100000"/>
                    </w14:srgbClr>
                  </w14:solidFill>
                </w14:textFill>
              </w:rPr>
              <w:t>|||</w:t>
            </w:r>
            <w:r w:rsidRPr="00632DCB">
              <w:rPr>
                <w:color w:val="000000"/>
                <w:spacing w:val="1"/>
                <w:shd w:val="solid" w:color="000000" w:fill="000000"/>
                <w:fitText w:val="330" w:id="-1032088058"/>
                <w14:textFill>
                  <w14:solidFill>
                    <w14:srgbClr w14:val="000000">
                      <w14:alpha w14:val="100000"/>
                    </w14:srgbClr>
                  </w14:solidFill>
                </w14:textFill>
              </w:rPr>
              <w:t>|</w:t>
            </w:r>
            <w:r w:rsidR="001B07FE">
              <w:rPr>
                <w:vertAlign w:val="superscript"/>
              </w:rPr>
              <w:t>2</w:t>
            </w:r>
          </w:p>
        </w:tc>
      </w:tr>
      <w:tr w:rsidR="00883096" w:rsidRPr="00743512" w14:paraId="58298B27" w14:textId="77777777" w:rsidTr="004F5B47">
        <w:tc>
          <w:tcPr>
            <w:tcW w:w="1334" w:type="pct"/>
            <w:tcBorders>
              <w:bottom w:val="nil"/>
            </w:tcBorders>
            <w:shd w:val="clear" w:color="auto" w:fill="auto"/>
            <w:vAlign w:val="center"/>
          </w:tcPr>
          <w:p w14:paraId="250902C1" w14:textId="10FD60B0" w:rsidR="00883096" w:rsidRPr="00743512" w:rsidRDefault="00883096" w:rsidP="004F5B47">
            <w:pPr>
              <w:pStyle w:val="TableText0"/>
            </w:pPr>
            <w:r w:rsidRPr="00743512">
              <w:t>N</w:t>
            </w:r>
            <w:r w:rsidR="00655FB9" w:rsidRPr="00743512">
              <w:t>umber of</w:t>
            </w:r>
            <w:r w:rsidRPr="00743512">
              <w:t xml:space="preserve"> cascade tests</w:t>
            </w:r>
          </w:p>
        </w:tc>
        <w:tc>
          <w:tcPr>
            <w:tcW w:w="611" w:type="pct"/>
            <w:tcBorders>
              <w:bottom w:val="nil"/>
            </w:tcBorders>
            <w:shd w:val="clear" w:color="auto" w:fill="auto"/>
          </w:tcPr>
          <w:p w14:paraId="65BB64C0" w14:textId="5D6B583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7"/>
                <w14:textFill>
                  <w14:solidFill>
                    <w14:srgbClr w14:val="000000">
                      <w14:alpha w14:val="100000"/>
                    </w14:srgbClr>
                  </w14:solidFill>
                </w14:textFill>
              </w:rPr>
              <w:t>|||</w:t>
            </w:r>
            <w:r w:rsidRPr="00632DCB">
              <w:rPr>
                <w:color w:val="000000"/>
                <w:spacing w:val="1"/>
                <w:shd w:val="solid" w:color="000000" w:fill="000000"/>
                <w:fitText w:val="330" w:id="-1032088057"/>
                <w14:textFill>
                  <w14:solidFill>
                    <w14:srgbClr w14:val="000000">
                      <w14:alpha w14:val="100000"/>
                    </w14:srgbClr>
                  </w14:solidFill>
                </w14:textFill>
              </w:rPr>
              <w:t>|</w:t>
            </w:r>
            <w:r w:rsidR="00572963" w:rsidRPr="00572963">
              <w:rPr>
                <w:vertAlign w:val="superscript"/>
              </w:rPr>
              <w:t>1</w:t>
            </w:r>
          </w:p>
        </w:tc>
        <w:tc>
          <w:tcPr>
            <w:tcW w:w="611" w:type="pct"/>
            <w:tcBorders>
              <w:bottom w:val="nil"/>
            </w:tcBorders>
            <w:shd w:val="clear" w:color="auto" w:fill="auto"/>
          </w:tcPr>
          <w:p w14:paraId="61151442" w14:textId="761113C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6"/>
                <w14:textFill>
                  <w14:solidFill>
                    <w14:srgbClr w14:val="000000">
                      <w14:alpha w14:val="100000"/>
                    </w14:srgbClr>
                  </w14:solidFill>
                </w14:textFill>
              </w:rPr>
              <w:t>|||</w:t>
            </w:r>
            <w:r w:rsidRPr="00632DCB">
              <w:rPr>
                <w:color w:val="000000"/>
                <w:spacing w:val="1"/>
                <w:shd w:val="solid" w:color="000000" w:fill="000000"/>
                <w:fitText w:val="330" w:id="-1032088056"/>
                <w14:textFill>
                  <w14:solidFill>
                    <w14:srgbClr w14:val="000000">
                      <w14:alpha w14:val="100000"/>
                    </w14:srgbClr>
                  </w14:solidFill>
                </w14:textFill>
              </w:rPr>
              <w:t>|</w:t>
            </w:r>
            <w:r w:rsidR="00572963" w:rsidRPr="00572963">
              <w:rPr>
                <w:vertAlign w:val="superscript"/>
              </w:rPr>
              <w:t>1</w:t>
            </w:r>
          </w:p>
        </w:tc>
        <w:tc>
          <w:tcPr>
            <w:tcW w:w="611" w:type="pct"/>
            <w:tcBorders>
              <w:bottom w:val="nil"/>
            </w:tcBorders>
            <w:shd w:val="clear" w:color="auto" w:fill="auto"/>
          </w:tcPr>
          <w:p w14:paraId="00B70125" w14:textId="2B5C82E6"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5"/>
                <w14:textFill>
                  <w14:solidFill>
                    <w14:srgbClr w14:val="000000">
                      <w14:alpha w14:val="100000"/>
                    </w14:srgbClr>
                  </w14:solidFill>
                </w14:textFill>
              </w:rPr>
              <w:t>|||</w:t>
            </w:r>
            <w:r w:rsidRPr="00632DCB">
              <w:rPr>
                <w:color w:val="000000"/>
                <w:spacing w:val="1"/>
                <w:shd w:val="solid" w:color="000000" w:fill="000000"/>
                <w:fitText w:val="330" w:id="-1032088055"/>
                <w14:textFill>
                  <w14:solidFill>
                    <w14:srgbClr w14:val="000000">
                      <w14:alpha w14:val="100000"/>
                    </w14:srgbClr>
                  </w14:solidFill>
                </w14:textFill>
              </w:rPr>
              <w:t>|</w:t>
            </w:r>
            <w:r w:rsidR="00572963" w:rsidRPr="00572963">
              <w:rPr>
                <w:vertAlign w:val="superscript"/>
              </w:rPr>
              <w:t>1</w:t>
            </w:r>
          </w:p>
        </w:tc>
        <w:tc>
          <w:tcPr>
            <w:tcW w:w="611" w:type="pct"/>
            <w:tcBorders>
              <w:bottom w:val="nil"/>
            </w:tcBorders>
            <w:shd w:val="clear" w:color="auto" w:fill="auto"/>
          </w:tcPr>
          <w:p w14:paraId="07B3A1C4" w14:textId="6D69770B"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4"/>
                <w14:textFill>
                  <w14:solidFill>
                    <w14:srgbClr w14:val="000000">
                      <w14:alpha w14:val="100000"/>
                    </w14:srgbClr>
                  </w14:solidFill>
                </w14:textFill>
              </w:rPr>
              <w:t>|||</w:t>
            </w:r>
            <w:r w:rsidRPr="00632DCB">
              <w:rPr>
                <w:color w:val="000000"/>
                <w:spacing w:val="1"/>
                <w:shd w:val="solid" w:color="000000" w:fill="000000"/>
                <w:fitText w:val="330" w:id="-1032088054"/>
                <w14:textFill>
                  <w14:solidFill>
                    <w14:srgbClr w14:val="000000">
                      <w14:alpha w14:val="100000"/>
                    </w14:srgbClr>
                  </w14:solidFill>
                </w14:textFill>
              </w:rPr>
              <w:t>|</w:t>
            </w:r>
            <w:r w:rsidR="00572963" w:rsidRPr="00572963">
              <w:rPr>
                <w:vertAlign w:val="superscript"/>
              </w:rPr>
              <w:t>1</w:t>
            </w:r>
          </w:p>
        </w:tc>
        <w:tc>
          <w:tcPr>
            <w:tcW w:w="611" w:type="pct"/>
            <w:tcBorders>
              <w:bottom w:val="nil"/>
            </w:tcBorders>
            <w:shd w:val="clear" w:color="auto" w:fill="auto"/>
          </w:tcPr>
          <w:p w14:paraId="11518DF6" w14:textId="5E10029D"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3"/>
                <w14:textFill>
                  <w14:solidFill>
                    <w14:srgbClr w14:val="000000">
                      <w14:alpha w14:val="100000"/>
                    </w14:srgbClr>
                  </w14:solidFill>
                </w14:textFill>
              </w:rPr>
              <w:t>|||</w:t>
            </w:r>
            <w:r w:rsidRPr="00632DCB">
              <w:rPr>
                <w:color w:val="000000"/>
                <w:spacing w:val="1"/>
                <w:shd w:val="solid" w:color="000000" w:fill="000000"/>
                <w:fitText w:val="330" w:id="-1032088053"/>
                <w14:textFill>
                  <w14:solidFill>
                    <w14:srgbClr w14:val="000000">
                      <w14:alpha w14:val="100000"/>
                    </w14:srgbClr>
                  </w14:solidFill>
                </w14:textFill>
              </w:rPr>
              <w:t>|</w:t>
            </w:r>
            <w:r w:rsidR="00572963" w:rsidRPr="00572963">
              <w:rPr>
                <w:vertAlign w:val="superscript"/>
              </w:rPr>
              <w:t>1</w:t>
            </w:r>
          </w:p>
        </w:tc>
        <w:tc>
          <w:tcPr>
            <w:tcW w:w="611" w:type="pct"/>
            <w:tcBorders>
              <w:bottom w:val="nil"/>
            </w:tcBorders>
          </w:tcPr>
          <w:p w14:paraId="00BFC65D" w14:textId="4C3B15D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2"/>
                <w14:textFill>
                  <w14:solidFill>
                    <w14:srgbClr w14:val="000000">
                      <w14:alpha w14:val="100000"/>
                    </w14:srgbClr>
                  </w14:solidFill>
                </w14:textFill>
              </w:rPr>
              <w:t>|||</w:t>
            </w:r>
            <w:r w:rsidRPr="00632DCB">
              <w:rPr>
                <w:color w:val="000000"/>
                <w:spacing w:val="1"/>
                <w:shd w:val="solid" w:color="000000" w:fill="000000"/>
                <w:fitText w:val="330" w:id="-1032088052"/>
                <w14:textFill>
                  <w14:solidFill>
                    <w14:srgbClr w14:val="000000">
                      <w14:alpha w14:val="100000"/>
                    </w14:srgbClr>
                  </w14:solidFill>
                </w14:textFill>
              </w:rPr>
              <w:t>|</w:t>
            </w:r>
            <w:r w:rsidR="00572963" w:rsidRPr="00572963">
              <w:rPr>
                <w:vertAlign w:val="superscript"/>
              </w:rPr>
              <w:t>1</w:t>
            </w:r>
          </w:p>
        </w:tc>
      </w:tr>
      <w:tr w:rsidR="00883096" w:rsidRPr="00743512" w14:paraId="1B6B969F" w14:textId="77777777" w:rsidTr="004F5B47">
        <w:tc>
          <w:tcPr>
            <w:tcW w:w="1334" w:type="pct"/>
            <w:tcBorders>
              <w:top w:val="nil"/>
            </w:tcBorders>
            <w:shd w:val="clear" w:color="auto" w:fill="auto"/>
            <w:vAlign w:val="center"/>
          </w:tcPr>
          <w:p w14:paraId="4CCC438D" w14:textId="77777777" w:rsidR="00883096" w:rsidRPr="00743512" w:rsidRDefault="00883096" w:rsidP="004F5B47">
            <w:pPr>
              <w:pStyle w:val="TableText0"/>
              <w:ind w:firstLine="164"/>
              <w:rPr>
                <w:i/>
                <w:iCs/>
              </w:rPr>
            </w:pPr>
            <w:r w:rsidRPr="00743512">
              <w:t xml:space="preserve">Revised </w:t>
            </w:r>
            <w:r w:rsidRPr="00743512">
              <w:rPr>
                <w:vertAlign w:val="superscript"/>
              </w:rPr>
              <w:t>a</w:t>
            </w:r>
          </w:p>
        </w:tc>
        <w:tc>
          <w:tcPr>
            <w:tcW w:w="611" w:type="pct"/>
            <w:tcBorders>
              <w:top w:val="nil"/>
            </w:tcBorders>
            <w:shd w:val="clear" w:color="auto" w:fill="auto"/>
          </w:tcPr>
          <w:p w14:paraId="534866E4" w14:textId="7A3B08D3" w:rsidR="00883096" w:rsidRPr="001B07FE" w:rsidRDefault="00632DCB" w:rsidP="00B5747F">
            <w:pPr>
              <w:pStyle w:val="TableText0"/>
              <w:rPr>
                <w:i/>
                <w:iCs/>
                <w:highlight w:val="darkGray"/>
              </w:rPr>
            </w:pPr>
            <w:r>
              <w:t xml:space="preserve"> </w:t>
            </w:r>
            <w:r w:rsidRPr="00632DCB">
              <w:rPr>
                <w:color w:val="000000"/>
                <w:spacing w:val="53"/>
                <w:shd w:val="solid" w:color="000000" w:fill="000000"/>
                <w:fitText w:val="330" w:id="-1032088051"/>
                <w14:textFill>
                  <w14:solidFill>
                    <w14:srgbClr w14:val="000000">
                      <w14:alpha w14:val="100000"/>
                    </w14:srgbClr>
                  </w14:solidFill>
                </w14:textFill>
              </w:rPr>
              <w:t>|||</w:t>
            </w:r>
            <w:r w:rsidRPr="00632DCB">
              <w:rPr>
                <w:color w:val="000000"/>
                <w:spacing w:val="1"/>
                <w:shd w:val="solid" w:color="000000" w:fill="000000"/>
                <w:fitText w:val="330" w:id="-1032088051"/>
                <w14:textFill>
                  <w14:solidFill>
                    <w14:srgbClr w14:val="000000">
                      <w14:alpha w14:val="100000"/>
                    </w14:srgbClr>
                  </w14:solidFill>
                </w14:textFill>
              </w:rPr>
              <w:t>|</w:t>
            </w:r>
            <w:r w:rsidR="001B07FE" w:rsidRPr="001B07FE">
              <w:rPr>
                <w:vertAlign w:val="superscript"/>
              </w:rPr>
              <w:t>3</w:t>
            </w:r>
          </w:p>
        </w:tc>
        <w:tc>
          <w:tcPr>
            <w:tcW w:w="611" w:type="pct"/>
            <w:tcBorders>
              <w:top w:val="nil"/>
            </w:tcBorders>
            <w:shd w:val="clear" w:color="auto" w:fill="auto"/>
          </w:tcPr>
          <w:p w14:paraId="1BA01D89" w14:textId="4E312746" w:rsidR="00883096" w:rsidRPr="001B07FE" w:rsidRDefault="00632DCB" w:rsidP="00B5747F">
            <w:pPr>
              <w:pStyle w:val="TableText0"/>
              <w:rPr>
                <w:i/>
                <w:iCs/>
                <w:highlight w:val="darkGray"/>
              </w:rPr>
            </w:pPr>
            <w:r>
              <w:t xml:space="preserve"> </w:t>
            </w:r>
            <w:r w:rsidRPr="00632DCB">
              <w:rPr>
                <w:color w:val="000000"/>
                <w:spacing w:val="53"/>
                <w:shd w:val="solid" w:color="000000" w:fill="000000"/>
                <w:fitText w:val="330" w:id="-1032088050"/>
                <w14:textFill>
                  <w14:solidFill>
                    <w14:srgbClr w14:val="000000">
                      <w14:alpha w14:val="100000"/>
                    </w14:srgbClr>
                  </w14:solidFill>
                </w14:textFill>
              </w:rPr>
              <w:t>|||</w:t>
            </w:r>
            <w:r w:rsidRPr="00632DCB">
              <w:rPr>
                <w:color w:val="000000"/>
                <w:spacing w:val="1"/>
                <w:shd w:val="solid" w:color="000000" w:fill="000000"/>
                <w:fitText w:val="330" w:id="-1032088050"/>
                <w14:textFill>
                  <w14:solidFill>
                    <w14:srgbClr w14:val="000000">
                      <w14:alpha w14:val="100000"/>
                    </w14:srgbClr>
                  </w14:solidFill>
                </w14:textFill>
              </w:rPr>
              <w:t>|</w:t>
            </w:r>
            <w:r w:rsidR="001B07FE" w:rsidRPr="001B07FE">
              <w:rPr>
                <w:vertAlign w:val="superscript"/>
              </w:rPr>
              <w:t>3</w:t>
            </w:r>
          </w:p>
        </w:tc>
        <w:tc>
          <w:tcPr>
            <w:tcW w:w="611" w:type="pct"/>
            <w:tcBorders>
              <w:top w:val="nil"/>
            </w:tcBorders>
            <w:shd w:val="clear" w:color="auto" w:fill="auto"/>
          </w:tcPr>
          <w:p w14:paraId="6899C90A" w14:textId="5F7A3DF7"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49"/>
                <w14:textFill>
                  <w14:solidFill>
                    <w14:srgbClr w14:val="000000">
                      <w14:alpha w14:val="100000"/>
                    </w14:srgbClr>
                  </w14:solidFill>
                </w14:textFill>
              </w:rPr>
              <w:t>|||</w:t>
            </w:r>
            <w:r w:rsidRPr="00632DCB">
              <w:rPr>
                <w:color w:val="000000"/>
                <w:spacing w:val="1"/>
                <w:shd w:val="solid" w:color="000000" w:fill="000000"/>
                <w:fitText w:val="330" w:id="-1032088049"/>
                <w14:textFill>
                  <w14:solidFill>
                    <w14:srgbClr w14:val="000000">
                      <w14:alpha w14:val="100000"/>
                    </w14:srgbClr>
                  </w14:solidFill>
                </w14:textFill>
              </w:rPr>
              <w:t>|</w:t>
            </w:r>
            <w:r w:rsidR="00572963" w:rsidRPr="00572963">
              <w:rPr>
                <w:vertAlign w:val="superscript"/>
              </w:rPr>
              <w:t>1</w:t>
            </w:r>
          </w:p>
        </w:tc>
        <w:tc>
          <w:tcPr>
            <w:tcW w:w="611" w:type="pct"/>
            <w:tcBorders>
              <w:top w:val="nil"/>
            </w:tcBorders>
            <w:shd w:val="clear" w:color="auto" w:fill="auto"/>
          </w:tcPr>
          <w:p w14:paraId="6EC26E47" w14:textId="5C5ED39B"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48"/>
                <w14:textFill>
                  <w14:solidFill>
                    <w14:srgbClr w14:val="000000">
                      <w14:alpha w14:val="100000"/>
                    </w14:srgbClr>
                  </w14:solidFill>
                </w14:textFill>
              </w:rPr>
              <w:t>|||</w:t>
            </w:r>
            <w:r w:rsidRPr="00632DCB">
              <w:rPr>
                <w:color w:val="000000"/>
                <w:spacing w:val="1"/>
                <w:shd w:val="solid" w:color="000000" w:fill="000000"/>
                <w:fitText w:val="330" w:id="-1032088048"/>
                <w14:textFill>
                  <w14:solidFill>
                    <w14:srgbClr w14:val="000000">
                      <w14:alpha w14:val="100000"/>
                    </w14:srgbClr>
                  </w14:solidFill>
                </w14:textFill>
              </w:rPr>
              <w:t>|</w:t>
            </w:r>
            <w:r w:rsidR="00572963" w:rsidRPr="00572963">
              <w:rPr>
                <w:vertAlign w:val="superscript"/>
              </w:rPr>
              <w:t>1</w:t>
            </w:r>
          </w:p>
        </w:tc>
        <w:tc>
          <w:tcPr>
            <w:tcW w:w="611" w:type="pct"/>
            <w:tcBorders>
              <w:top w:val="nil"/>
            </w:tcBorders>
            <w:shd w:val="clear" w:color="auto" w:fill="auto"/>
          </w:tcPr>
          <w:p w14:paraId="340D9E58" w14:textId="058CE45C"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64"/>
                <w14:textFill>
                  <w14:solidFill>
                    <w14:srgbClr w14:val="000000">
                      <w14:alpha w14:val="100000"/>
                    </w14:srgbClr>
                  </w14:solidFill>
                </w14:textFill>
              </w:rPr>
              <w:t>|||</w:t>
            </w:r>
            <w:r w:rsidRPr="00632DCB">
              <w:rPr>
                <w:color w:val="000000"/>
                <w:spacing w:val="1"/>
                <w:shd w:val="solid" w:color="000000" w:fill="000000"/>
                <w:fitText w:val="330" w:id="-1032088064"/>
                <w14:textFill>
                  <w14:solidFill>
                    <w14:srgbClr w14:val="000000">
                      <w14:alpha w14:val="100000"/>
                    </w14:srgbClr>
                  </w14:solidFill>
                </w14:textFill>
              </w:rPr>
              <w:t>|</w:t>
            </w:r>
            <w:r w:rsidR="00572963" w:rsidRPr="00572963">
              <w:rPr>
                <w:vertAlign w:val="superscript"/>
              </w:rPr>
              <w:t>1</w:t>
            </w:r>
          </w:p>
        </w:tc>
        <w:tc>
          <w:tcPr>
            <w:tcW w:w="611" w:type="pct"/>
            <w:tcBorders>
              <w:top w:val="nil"/>
            </w:tcBorders>
          </w:tcPr>
          <w:p w14:paraId="098055E3" w14:textId="4EEF92FF"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3"/>
                <w14:textFill>
                  <w14:solidFill>
                    <w14:srgbClr w14:val="000000">
                      <w14:alpha w14:val="100000"/>
                    </w14:srgbClr>
                  </w14:solidFill>
                </w14:textFill>
              </w:rPr>
              <w:t>|||</w:t>
            </w:r>
            <w:r w:rsidRPr="00632DCB">
              <w:rPr>
                <w:color w:val="000000"/>
                <w:spacing w:val="1"/>
                <w:shd w:val="solid" w:color="000000" w:fill="000000"/>
                <w:fitText w:val="330" w:id="-1032088063"/>
                <w14:textFill>
                  <w14:solidFill>
                    <w14:srgbClr w14:val="000000">
                      <w14:alpha w14:val="100000"/>
                    </w14:srgbClr>
                  </w14:solidFill>
                </w14:textFill>
              </w:rPr>
              <w:t>|</w:t>
            </w:r>
            <w:r w:rsidR="00572963" w:rsidRPr="00572963">
              <w:rPr>
                <w:vertAlign w:val="superscript"/>
              </w:rPr>
              <w:t>1</w:t>
            </w:r>
          </w:p>
        </w:tc>
      </w:tr>
      <w:tr w:rsidR="00883096" w:rsidRPr="00743512" w14:paraId="5D4A7842" w14:textId="77777777" w:rsidTr="004F5B47">
        <w:tc>
          <w:tcPr>
            <w:tcW w:w="1334" w:type="pct"/>
            <w:shd w:val="clear" w:color="auto" w:fill="auto"/>
            <w:vAlign w:val="center"/>
          </w:tcPr>
          <w:p w14:paraId="097E0B3C" w14:textId="77777777" w:rsidR="00883096" w:rsidRPr="00743512" w:rsidRDefault="00883096" w:rsidP="004F5B47">
            <w:pPr>
              <w:pStyle w:val="TableText0"/>
              <w:rPr>
                <w:rFonts w:ascii="Times" w:hAnsi="Times"/>
              </w:rPr>
            </w:pPr>
            <w:r w:rsidRPr="00743512">
              <w:t>Number of patients treated</w:t>
            </w:r>
          </w:p>
        </w:tc>
        <w:tc>
          <w:tcPr>
            <w:tcW w:w="611" w:type="pct"/>
            <w:shd w:val="clear" w:color="auto" w:fill="auto"/>
          </w:tcPr>
          <w:p w14:paraId="4381BC7C" w14:textId="528FF24D" w:rsidR="00883096" w:rsidRPr="001B07FE" w:rsidRDefault="00632DCB" w:rsidP="00B5747F">
            <w:pPr>
              <w:pStyle w:val="TableText0"/>
              <w:rPr>
                <w:highlight w:val="darkGray"/>
              </w:rPr>
            </w:pPr>
            <w:r>
              <w:t xml:space="preserve"> </w:t>
            </w:r>
            <w:r w:rsidRPr="00632DCB">
              <w:rPr>
                <w:color w:val="000000"/>
                <w:spacing w:val="53"/>
                <w:shd w:val="solid" w:color="000000" w:fill="000000"/>
                <w:fitText w:val="330" w:id="-1032088062"/>
                <w14:textFill>
                  <w14:solidFill>
                    <w14:srgbClr w14:val="000000">
                      <w14:alpha w14:val="100000"/>
                    </w14:srgbClr>
                  </w14:solidFill>
                </w14:textFill>
              </w:rPr>
              <w:t>|||</w:t>
            </w:r>
            <w:r w:rsidRPr="00632DCB">
              <w:rPr>
                <w:color w:val="000000"/>
                <w:spacing w:val="1"/>
                <w:shd w:val="solid" w:color="000000" w:fill="000000"/>
                <w:fitText w:val="330" w:id="-1032088062"/>
                <w14:textFill>
                  <w14:solidFill>
                    <w14:srgbClr w14:val="000000">
                      <w14:alpha w14:val="100000"/>
                    </w14:srgbClr>
                  </w14:solidFill>
                </w14:textFill>
              </w:rPr>
              <w:t>|</w:t>
            </w:r>
            <w:r w:rsidR="001B07FE" w:rsidRPr="001B07FE">
              <w:rPr>
                <w:vertAlign w:val="superscript"/>
              </w:rPr>
              <w:t>3</w:t>
            </w:r>
          </w:p>
        </w:tc>
        <w:tc>
          <w:tcPr>
            <w:tcW w:w="611" w:type="pct"/>
            <w:shd w:val="clear" w:color="auto" w:fill="auto"/>
          </w:tcPr>
          <w:p w14:paraId="6328CA05" w14:textId="225EEA04" w:rsidR="00883096" w:rsidRPr="001B07FE" w:rsidRDefault="00632DCB" w:rsidP="00B5747F">
            <w:pPr>
              <w:pStyle w:val="TableText0"/>
              <w:rPr>
                <w:highlight w:val="darkGray"/>
              </w:rPr>
            </w:pPr>
            <w:r>
              <w:t xml:space="preserve"> </w:t>
            </w:r>
            <w:r w:rsidRPr="00632DCB">
              <w:rPr>
                <w:color w:val="000000"/>
                <w:spacing w:val="53"/>
                <w:shd w:val="solid" w:color="000000" w:fill="000000"/>
                <w:fitText w:val="330" w:id="-1032088061"/>
                <w14:textFill>
                  <w14:solidFill>
                    <w14:srgbClr w14:val="000000">
                      <w14:alpha w14:val="100000"/>
                    </w14:srgbClr>
                  </w14:solidFill>
                </w14:textFill>
              </w:rPr>
              <w:t>|||</w:t>
            </w:r>
            <w:r w:rsidRPr="00632DCB">
              <w:rPr>
                <w:color w:val="000000"/>
                <w:spacing w:val="1"/>
                <w:shd w:val="solid" w:color="000000" w:fill="000000"/>
                <w:fitText w:val="330" w:id="-1032088061"/>
                <w14:textFill>
                  <w14:solidFill>
                    <w14:srgbClr w14:val="000000">
                      <w14:alpha w14:val="100000"/>
                    </w14:srgbClr>
                  </w14:solidFill>
                </w14:textFill>
              </w:rPr>
              <w:t>|</w:t>
            </w:r>
            <w:r w:rsidR="001B07FE" w:rsidRPr="001B07FE">
              <w:rPr>
                <w:vertAlign w:val="superscript"/>
              </w:rPr>
              <w:t>3</w:t>
            </w:r>
          </w:p>
        </w:tc>
        <w:tc>
          <w:tcPr>
            <w:tcW w:w="611" w:type="pct"/>
            <w:shd w:val="clear" w:color="auto" w:fill="auto"/>
          </w:tcPr>
          <w:p w14:paraId="2EDB0E04" w14:textId="3011426F"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60"/>
                <w14:textFill>
                  <w14:solidFill>
                    <w14:srgbClr w14:val="000000">
                      <w14:alpha w14:val="100000"/>
                    </w14:srgbClr>
                  </w14:solidFill>
                </w14:textFill>
              </w:rPr>
              <w:t>|||</w:t>
            </w:r>
            <w:r w:rsidRPr="00632DCB">
              <w:rPr>
                <w:color w:val="000000"/>
                <w:spacing w:val="1"/>
                <w:shd w:val="solid" w:color="000000" w:fill="000000"/>
                <w:fitText w:val="330" w:id="-1032088060"/>
                <w14:textFill>
                  <w14:solidFill>
                    <w14:srgbClr w14:val="000000">
                      <w14:alpha w14:val="100000"/>
                    </w14:srgbClr>
                  </w14:solidFill>
                </w14:textFill>
              </w:rPr>
              <w:t>|</w:t>
            </w:r>
            <w:r w:rsidR="00572963" w:rsidRPr="00572963">
              <w:rPr>
                <w:vertAlign w:val="superscript"/>
              </w:rPr>
              <w:t>1</w:t>
            </w:r>
          </w:p>
        </w:tc>
        <w:tc>
          <w:tcPr>
            <w:tcW w:w="611" w:type="pct"/>
            <w:shd w:val="clear" w:color="auto" w:fill="auto"/>
          </w:tcPr>
          <w:p w14:paraId="24B56E05" w14:textId="5EB7BDA1"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9"/>
                <w14:textFill>
                  <w14:solidFill>
                    <w14:srgbClr w14:val="000000">
                      <w14:alpha w14:val="100000"/>
                    </w14:srgbClr>
                  </w14:solidFill>
                </w14:textFill>
              </w:rPr>
              <w:t>|||</w:t>
            </w:r>
            <w:r w:rsidRPr="00632DCB">
              <w:rPr>
                <w:color w:val="000000"/>
                <w:spacing w:val="1"/>
                <w:shd w:val="solid" w:color="000000" w:fill="000000"/>
                <w:fitText w:val="330" w:id="-1032088059"/>
                <w14:textFill>
                  <w14:solidFill>
                    <w14:srgbClr w14:val="000000">
                      <w14:alpha w14:val="100000"/>
                    </w14:srgbClr>
                  </w14:solidFill>
                </w14:textFill>
              </w:rPr>
              <w:t>|</w:t>
            </w:r>
            <w:r w:rsidR="00572963" w:rsidRPr="00572963">
              <w:rPr>
                <w:vertAlign w:val="superscript"/>
              </w:rPr>
              <w:t>1</w:t>
            </w:r>
          </w:p>
        </w:tc>
        <w:tc>
          <w:tcPr>
            <w:tcW w:w="611" w:type="pct"/>
            <w:shd w:val="clear" w:color="auto" w:fill="auto"/>
          </w:tcPr>
          <w:p w14:paraId="5F4A82FE" w14:textId="27701AC6"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8"/>
                <w14:textFill>
                  <w14:solidFill>
                    <w14:srgbClr w14:val="000000">
                      <w14:alpha w14:val="100000"/>
                    </w14:srgbClr>
                  </w14:solidFill>
                </w14:textFill>
              </w:rPr>
              <w:t>|||</w:t>
            </w:r>
            <w:r w:rsidRPr="00632DCB">
              <w:rPr>
                <w:color w:val="000000"/>
                <w:spacing w:val="1"/>
                <w:shd w:val="solid" w:color="000000" w:fill="000000"/>
                <w:fitText w:val="330" w:id="-1032088058"/>
                <w14:textFill>
                  <w14:solidFill>
                    <w14:srgbClr w14:val="000000">
                      <w14:alpha w14:val="100000"/>
                    </w14:srgbClr>
                  </w14:solidFill>
                </w14:textFill>
              </w:rPr>
              <w:t>|</w:t>
            </w:r>
            <w:r w:rsidR="00572963" w:rsidRPr="00572963">
              <w:rPr>
                <w:vertAlign w:val="superscript"/>
              </w:rPr>
              <w:t>1</w:t>
            </w:r>
          </w:p>
        </w:tc>
        <w:tc>
          <w:tcPr>
            <w:tcW w:w="611" w:type="pct"/>
          </w:tcPr>
          <w:p w14:paraId="4890278F" w14:textId="6C85CC09"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7"/>
                <w14:textFill>
                  <w14:solidFill>
                    <w14:srgbClr w14:val="000000">
                      <w14:alpha w14:val="100000"/>
                    </w14:srgbClr>
                  </w14:solidFill>
                </w14:textFill>
              </w:rPr>
              <w:t>|||</w:t>
            </w:r>
            <w:r w:rsidRPr="00632DCB">
              <w:rPr>
                <w:color w:val="000000"/>
                <w:spacing w:val="1"/>
                <w:shd w:val="solid" w:color="000000" w:fill="000000"/>
                <w:fitText w:val="330" w:id="-1032088057"/>
                <w14:textFill>
                  <w14:solidFill>
                    <w14:srgbClr w14:val="000000">
                      <w14:alpha w14:val="100000"/>
                    </w14:srgbClr>
                  </w14:solidFill>
                </w14:textFill>
              </w:rPr>
              <w:t>|</w:t>
            </w:r>
            <w:r w:rsidR="00572963" w:rsidRPr="00572963">
              <w:rPr>
                <w:vertAlign w:val="superscript"/>
              </w:rPr>
              <w:t>1</w:t>
            </w:r>
          </w:p>
        </w:tc>
      </w:tr>
      <w:tr w:rsidR="00883096" w:rsidRPr="00743512" w14:paraId="3B6EECC8" w14:textId="77777777" w:rsidTr="004F5B47">
        <w:tc>
          <w:tcPr>
            <w:tcW w:w="1334" w:type="pct"/>
            <w:shd w:val="clear" w:color="auto" w:fill="auto"/>
            <w:vAlign w:val="center"/>
          </w:tcPr>
          <w:p w14:paraId="0CF4579E" w14:textId="77777777" w:rsidR="00883096" w:rsidRPr="00743512" w:rsidRDefault="00883096" w:rsidP="004F5B47">
            <w:pPr>
              <w:pStyle w:val="TableText0"/>
              <w:rPr>
                <w:rFonts w:ascii="Times" w:hAnsi="Times"/>
              </w:rPr>
            </w:pPr>
            <w:r w:rsidRPr="00743512">
              <w:t xml:space="preserve">Number of scripts dispensed </w:t>
            </w:r>
            <w:r w:rsidRPr="00743512">
              <w:rPr>
                <w:vertAlign w:val="superscript"/>
              </w:rPr>
              <w:t>b</w:t>
            </w:r>
          </w:p>
        </w:tc>
        <w:tc>
          <w:tcPr>
            <w:tcW w:w="611" w:type="pct"/>
            <w:shd w:val="clear" w:color="auto" w:fill="auto"/>
          </w:tcPr>
          <w:p w14:paraId="14D2017F" w14:textId="6F12F05F"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6"/>
                <w14:textFill>
                  <w14:solidFill>
                    <w14:srgbClr w14:val="000000">
                      <w14:alpha w14:val="100000"/>
                    </w14:srgbClr>
                  </w14:solidFill>
                </w14:textFill>
              </w:rPr>
              <w:t>|||</w:t>
            </w:r>
            <w:r w:rsidRPr="00632DCB">
              <w:rPr>
                <w:color w:val="000000"/>
                <w:spacing w:val="1"/>
                <w:shd w:val="solid" w:color="000000" w:fill="000000"/>
                <w:fitText w:val="330" w:id="-1032088056"/>
                <w14:textFill>
                  <w14:solidFill>
                    <w14:srgbClr w14:val="000000">
                      <w14:alpha w14:val="100000"/>
                    </w14:srgbClr>
                  </w14:solidFill>
                </w14:textFill>
              </w:rPr>
              <w:t>|</w:t>
            </w:r>
            <w:r w:rsidR="00572963" w:rsidRPr="00572963">
              <w:rPr>
                <w:vertAlign w:val="superscript"/>
              </w:rPr>
              <w:t>1</w:t>
            </w:r>
          </w:p>
        </w:tc>
        <w:tc>
          <w:tcPr>
            <w:tcW w:w="611" w:type="pct"/>
            <w:shd w:val="clear" w:color="auto" w:fill="auto"/>
          </w:tcPr>
          <w:p w14:paraId="57902859" w14:textId="6DFFF0E1"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5"/>
                <w14:textFill>
                  <w14:solidFill>
                    <w14:srgbClr w14:val="000000">
                      <w14:alpha w14:val="100000"/>
                    </w14:srgbClr>
                  </w14:solidFill>
                </w14:textFill>
              </w:rPr>
              <w:t>|||</w:t>
            </w:r>
            <w:r w:rsidRPr="00632DCB">
              <w:rPr>
                <w:color w:val="000000"/>
                <w:spacing w:val="1"/>
                <w:shd w:val="solid" w:color="000000" w:fill="000000"/>
                <w:fitText w:val="330" w:id="-1032088055"/>
                <w14:textFill>
                  <w14:solidFill>
                    <w14:srgbClr w14:val="000000">
                      <w14:alpha w14:val="100000"/>
                    </w14:srgbClr>
                  </w14:solidFill>
                </w14:textFill>
              </w:rPr>
              <w:t>|</w:t>
            </w:r>
            <w:r w:rsidR="00572963" w:rsidRPr="00572963">
              <w:rPr>
                <w:vertAlign w:val="superscript"/>
              </w:rPr>
              <w:t>1</w:t>
            </w:r>
          </w:p>
        </w:tc>
        <w:tc>
          <w:tcPr>
            <w:tcW w:w="611" w:type="pct"/>
            <w:shd w:val="clear" w:color="auto" w:fill="auto"/>
          </w:tcPr>
          <w:p w14:paraId="5068B58C" w14:textId="51D91A2A"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4"/>
                <w14:textFill>
                  <w14:solidFill>
                    <w14:srgbClr w14:val="000000">
                      <w14:alpha w14:val="100000"/>
                    </w14:srgbClr>
                  </w14:solidFill>
                </w14:textFill>
              </w:rPr>
              <w:t>|||</w:t>
            </w:r>
            <w:r w:rsidRPr="00632DCB">
              <w:rPr>
                <w:color w:val="000000"/>
                <w:spacing w:val="1"/>
                <w:shd w:val="solid" w:color="000000" w:fill="000000"/>
                <w:fitText w:val="330" w:id="-1032088054"/>
                <w14:textFill>
                  <w14:solidFill>
                    <w14:srgbClr w14:val="000000">
                      <w14:alpha w14:val="100000"/>
                    </w14:srgbClr>
                  </w14:solidFill>
                </w14:textFill>
              </w:rPr>
              <w:t>|</w:t>
            </w:r>
            <w:r w:rsidR="001B07FE">
              <w:rPr>
                <w:vertAlign w:val="superscript"/>
              </w:rPr>
              <w:t>2</w:t>
            </w:r>
          </w:p>
        </w:tc>
        <w:tc>
          <w:tcPr>
            <w:tcW w:w="611" w:type="pct"/>
            <w:shd w:val="clear" w:color="auto" w:fill="auto"/>
          </w:tcPr>
          <w:p w14:paraId="5C09A62E" w14:textId="0775E1C6"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3"/>
                <w14:textFill>
                  <w14:solidFill>
                    <w14:srgbClr w14:val="000000">
                      <w14:alpha w14:val="100000"/>
                    </w14:srgbClr>
                  </w14:solidFill>
                </w14:textFill>
              </w:rPr>
              <w:t>|||</w:t>
            </w:r>
            <w:r w:rsidRPr="00632DCB">
              <w:rPr>
                <w:color w:val="000000"/>
                <w:spacing w:val="1"/>
                <w:shd w:val="solid" w:color="000000" w:fill="000000"/>
                <w:fitText w:val="330" w:id="-1032088053"/>
                <w14:textFill>
                  <w14:solidFill>
                    <w14:srgbClr w14:val="000000">
                      <w14:alpha w14:val="100000"/>
                    </w14:srgbClr>
                  </w14:solidFill>
                </w14:textFill>
              </w:rPr>
              <w:t>|</w:t>
            </w:r>
            <w:r w:rsidR="001B07FE">
              <w:rPr>
                <w:vertAlign w:val="superscript"/>
              </w:rPr>
              <w:t>2</w:t>
            </w:r>
          </w:p>
        </w:tc>
        <w:tc>
          <w:tcPr>
            <w:tcW w:w="611" w:type="pct"/>
            <w:shd w:val="clear" w:color="auto" w:fill="auto"/>
          </w:tcPr>
          <w:p w14:paraId="7939293F" w14:textId="331D1015"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2"/>
                <w14:textFill>
                  <w14:solidFill>
                    <w14:srgbClr w14:val="000000">
                      <w14:alpha w14:val="100000"/>
                    </w14:srgbClr>
                  </w14:solidFill>
                </w14:textFill>
              </w:rPr>
              <w:t>|||</w:t>
            </w:r>
            <w:r w:rsidRPr="00632DCB">
              <w:rPr>
                <w:color w:val="000000"/>
                <w:spacing w:val="1"/>
                <w:shd w:val="solid" w:color="000000" w:fill="000000"/>
                <w:fitText w:val="330" w:id="-1032088052"/>
                <w14:textFill>
                  <w14:solidFill>
                    <w14:srgbClr w14:val="000000">
                      <w14:alpha w14:val="100000"/>
                    </w14:srgbClr>
                  </w14:solidFill>
                </w14:textFill>
              </w:rPr>
              <w:t>|</w:t>
            </w:r>
            <w:r w:rsidR="001B07FE">
              <w:rPr>
                <w:vertAlign w:val="superscript"/>
              </w:rPr>
              <w:t>2</w:t>
            </w:r>
          </w:p>
        </w:tc>
        <w:tc>
          <w:tcPr>
            <w:tcW w:w="611" w:type="pct"/>
          </w:tcPr>
          <w:p w14:paraId="20F03D5D" w14:textId="64B06AF6" w:rsidR="00883096" w:rsidRPr="00B5747F" w:rsidRDefault="00632DCB" w:rsidP="00B5747F">
            <w:pPr>
              <w:pStyle w:val="TableText0"/>
              <w:rPr>
                <w:color w:val="000000"/>
                <w:highlight w:val="darkGray"/>
              </w:rPr>
            </w:pPr>
            <w:r>
              <w:t xml:space="preserve"> </w:t>
            </w:r>
            <w:r w:rsidRPr="00632DCB">
              <w:rPr>
                <w:color w:val="000000"/>
                <w:spacing w:val="53"/>
                <w:shd w:val="solid" w:color="000000" w:fill="000000"/>
                <w:fitText w:val="330" w:id="-1032088051"/>
                <w14:textFill>
                  <w14:solidFill>
                    <w14:srgbClr w14:val="000000">
                      <w14:alpha w14:val="100000"/>
                    </w14:srgbClr>
                  </w14:solidFill>
                </w14:textFill>
              </w:rPr>
              <w:t>|||</w:t>
            </w:r>
            <w:r w:rsidRPr="00632DCB">
              <w:rPr>
                <w:color w:val="000000"/>
                <w:spacing w:val="1"/>
                <w:shd w:val="solid" w:color="000000" w:fill="000000"/>
                <w:fitText w:val="330" w:id="-1032088051"/>
                <w14:textFill>
                  <w14:solidFill>
                    <w14:srgbClr w14:val="000000">
                      <w14:alpha w14:val="100000"/>
                    </w14:srgbClr>
                  </w14:solidFill>
                </w14:textFill>
              </w:rPr>
              <w:t>|</w:t>
            </w:r>
            <w:r w:rsidR="001B07FE">
              <w:rPr>
                <w:vertAlign w:val="superscript"/>
              </w:rPr>
              <w:t>2</w:t>
            </w:r>
          </w:p>
        </w:tc>
      </w:tr>
      <w:tr w:rsidR="00883096" w:rsidRPr="00743512" w14:paraId="74FCE906" w14:textId="77777777" w:rsidTr="004F5B47">
        <w:tc>
          <w:tcPr>
            <w:tcW w:w="5000" w:type="pct"/>
            <w:gridSpan w:val="7"/>
            <w:shd w:val="clear" w:color="auto" w:fill="auto"/>
            <w:vAlign w:val="center"/>
          </w:tcPr>
          <w:p w14:paraId="297E7FE3" w14:textId="77777777" w:rsidR="00883096" w:rsidRPr="00743512" w:rsidRDefault="00883096" w:rsidP="004F5B47">
            <w:pPr>
              <w:pStyle w:val="In-tableHeading"/>
              <w:rPr>
                <w:lang w:val="en-AU"/>
              </w:rPr>
            </w:pPr>
            <w:r w:rsidRPr="00743512">
              <w:rPr>
                <w:lang w:val="en-AU"/>
              </w:rPr>
              <w:t>Estimated financial implications of olaparib</w:t>
            </w:r>
          </w:p>
        </w:tc>
      </w:tr>
      <w:tr w:rsidR="00883096" w:rsidRPr="00743512" w14:paraId="00F7104C" w14:textId="77777777" w:rsidTr="004F5B47">
        <w:tc>
          <w:tcPr>
            <w:tcW w:w="1334" w:type="pct"/>
            <w:shd w:val="clear" w:color="auto" w:fill="auto"/>
            <w:vAlign w:val="center"/>
          </w:tcPr>
          <w:p w14:paraId="258488E9" w14:textId="169E19F8" w:rsidR="00883096" w:rsidRPr="00743512" w:rsidRDefault="00883096" w:rsidP="004F5B47">
            <w:pPr>
              <w:pStyle w:val="TableText0"/>
              <w:rPr>
                <w:sz w:val="19"/>
                <w:szCs w:val="19"/>
              </w:rPr>
            </w:pPr>
            <w:r w:rsidRPr="00743512">
              <w:rPr>
                <w:sz w:val="19"/>
                <w:szCs w:val="19"/>
              </w:rPr>
              <w:t xml:space="preserve">Cost to PBS/RPBS less </w:t>
            </w:r>
            <w:r w:rsidR="00157B92" w:rsidRPr="00743512">
              <w:rPr>
                <w:sz w:val="19"/>
                <w:szCs w:val="19"/>
              </w:rPr>
              <w:t>co-payments</w:t>
            </w:r>
          </w:p>
        </w:tc>
        <w:tc>
          <w:tcPr>
            <w:tcW w:w="611" w:type="pct"/>
            <w:shd w:val="clear" w:color="auto" w:fill="auto"/>
          </w:tcPr>
          <w:p w14:paraId="688524B0" w14:textId="71DEBEA7"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0"/>
                <w14:textFill>
                  <w14:solidFill>
                    <w14:srgbClr w14:val="000000">
                      <w14:alpha w14:val="100000"/>
                    </w14:srgbClr>
                  </w14:solidFill>
                </w14:textFill>
              </w:rPr>
              <w:t>|||</w:t>
            </w:r>
            <w:r w:rsidRPr="00632DCB">
              <w:rPr>
                <w:color w:val="000000"/>
                <w:spacing w:val="1"/>
                <w:shd w:val="solid" w:color="000000" w:fill="000000"/>
                <w:fitText w:val="330" w:id="-1032088050"/>
                <w14:textFill>
                  <w14:solidFill>
                    <w14:srgbClr w14:val="000000">
                      <w14:alpha w14:val="100000"/>
                    </w14:srgbClr>
                  </w14:solidFill>
                </w14:textFill>
              </w:rPr>
              <w:t>|</w:t>
            </w:r>
            <w:r w:rsidR="001B07FE">
              <w:rPr>
                <w:vertAlign w:val="superscript"/>
              </w:rPr>
              <w:t>4</w:t>
            </w:r>
          </w:p>
        </w:tc>
        <w:tc>
          <w:tcPr>
            <w:tcW w:w="611" w:type="pct"/>
            <w:shd w:val="clear" w:color="auto" w:fill="auto"/>
          </w:tcPr>
          <w:p w14:paraId="56DD702B" w14:textId="6922C77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49"/>
                <w14:textFill>
                  <w14:solidFill>
                    <w14:srgbClr w14:val="000000">
                      <w14:alpha w14:val="100000"/>
                    </w14:srgbClr>
                  </w14:solidFill>
                </w14:textFill>
              </w:rPr>
              <w:t>|||</w:t>
            </w:r>
            <w:r w:rsidRPr="00632DCB">
              <w:rPr>
                <w:color w:val="000000"/>
                <w:spacing w:val="1"/>
                <w:shd w:val="solid" w:color="000000" w:fill="000000"/>
                <w:fitText w:val="330" w:id="-1032088049"/>
                <w14:textFill>
                  <w14:solidFill>
                    <w14:srgbClr w14:val="000000">
                      <w14:alpha w14:val="100000"/>
                    </w14:srgbClr>
                  </w14:solidFill>
                </w14:textFill>
              </w:rPr>
              <w:t>|</w:t>
            </w:r>
            <w:r w:rsidR="001B07FE">
              <w:rPr>
                <w:vertAlign w:val="superscript"/>
              </w:rPr>
              <w:t>4</w:t>
            </w:r>
          </w:p>
        </w:tc>
        <w:tc>
          <w:tcPr>
            <w:tcW w:w="611" w:type="pct"/>
            <w:shd w:val="clear" w:color="auto" w:fill="auto"/>
          </w:tcPr>
          <w:p w14:paraId="0825019C" w14:textId="64EDEE66"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48"/>
                <w14:textFill>
                  <w14:solidFill>
                    <w14:srgbClr w14:val="000000">
                      <w14:alpha w14:val="100000"/>
                    </w14:srgbClr>
                  </w14:solidFill>
                </w14:textFill>
              </w:rPr>
              <w:t>|||</w:t>
            </w:r>
            <w:r w:rsidRPr="00632DCB">
              <w:rPr>
                <w:color w:val="000000"/>
                <w:spacing w:val="1"/>
                <w:shd w:val="solid" w:color="000000" w:fill="000000"/>
                <w:fitText w:val="330" w:id="-1032088048"/>
                <w14:textFill>
                  <w14:solidFill>
                    <w14:srgbClr w14:val="000000">
                      <w14:alpha w14:val="100000"/>
                    </w14:srgbClr>
                  </w14:solidFill>
                </w14:textFill>
              </w:rPr>
              <w:t>|</w:t>
            </w:r>
            <w:r w:rsidR="00B64402">
              <w:rPr>
                <w:vertAlign w:val="superscript"/>
              </w:rPr>
              <w:t>5</w:t>
            </w:r>
          </w:p>
        </w:tc>
        <w:tc>
          <w:tcPr>
            <w:tcW w:w="611" w:type="pct"/>
            <w:shd w:val="clear" w:color="auto" w:fill="auto"/>
          </w:tcPr>
          <w:p w14:paraId="0EBB64F0" w14:textId="48BA2091"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4"/>
                <w14:textFill>
                  <w14:solidFill>
                    <w14:srgbClr w14:val="000000">
                      <w14:alpha w14:val="100000"/>
                    </w14:srgbClr>
                  </w14:solidFill>
                </w14:textFill>
              </w:rPr>
              <w:t>|||</w:t>
            </w:r>
            <w:r w:rsidRPr="00632DCB">
              <w:rPr>
                <w:color w:val="000000"/>
                <w:spacing w:val="1"/>
                <w:shd w:val="solid" w:color="000000" w:fill="000000"/>
                <w:fitText w:val="330" w:id="-1032088064"/>
                <w14:textFill>
                  <w14:solidFill>
                    <w14:srgbClr w14:val="000000">
                      <w14:alpha w14:val="100000"/>
                    </w14:srgbClr>
                  </w14:solidFill>
                </w14:textFill>
              </w:rPr>
              <w:t>|</w:t>
            </w:r>
            <w:r w:rsidR="00B64402">
              <w:rPr>
                <w:vertAlign w:val="superscript"/>
              </w:rPr>
              <w:t>5</w:t>
            </w:r>
          </w:p>
        </w:tc>
        <w:tc>
          <w:tcPr>
            <w:tcW w:w="611" w:type="pct"/>
            <w:shd w:val="clear" w:color="auto" w:fill="auto"/>
          </w:tcPr>
          <w:p w14:paraId="461C058E" w14:textId="2F3395F1"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3"/>
                <w14:textFill>
                  <w14:solidFill>
                    <w14:srgbClr w14:val="000000">
                      <w14:alpha w14:val="100000"/>
                    </w14:srgbClr>
                  </w14:solidFill>
                </w14:textFill>
              </w:rPr>
              <w:t>|||</w:t>
            </w:r>
            <w:r w:rsidRPr="00632DCB">
              <w:rPr>
                <w:color w:val="000000"/>
                <w:spacing w:val="1"/>
                <w:shd w:val="solid" w:color="000000" w:fill="000000"/>
                <w:fitText w:val="330" w:id="-1032088063"/>
                <w14:textFill>
                  <w14:solidFill>
                    <w14:srgbClr w14:val="000000">
                      <w14:alpha w14:val="100000"/>
                    </w14:srgbClr>
                  </w14:solidFill>
                </w14:textFill>
              </w:rPr>
              <w:t>|</w:t>
            </w:r>
            <w:r w:rsidR="00B64402">
              <w:rPr>
                <w:vertAlign w:val="superscript"/>
              </w:rPr>
              <w:t>5</w:t>
            </w:r>
          </w:p>
        </w:tc>
        <w:tc>
          <w:tcPr>
            <w:tcW w:w="611" w:type="pct"/>
          </w:tcPr>
          <w:p w14:paraId="3C0E0588" w14:textId="740C4EF9"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2"/>
                <w14:textFill>
                  <w14:solidFill>
                    <w14:srgbClr w14:val="000000">
                      <w14:alpha w14:val="100000"/>
                    </w14:srgbClr>
                  </w14:solidFill>
                </w14:textFill>
              </w:rPr>
              <w:t>|||</w:t>
            </w:r>
            <w:r w:rsidRPr="00632DCB">
              <w:rPr>
                <w:color w:val="000000"/>
                <w:spacing w:val="1"/>
                <w:shd w:val="solid" w:color="000000" w:fill="000000"/>
                <w:fitText w:val="330" w:id="-1032088062"/>
                <w14:textFill>
                  <w14:solidFill>
                    <w14:srgbClr w14:val="000000">
                      <w14:alpha w14:val="100000"/>
                    </w14:srgbClr>
                  </w14:solidFill>
                </w14:textFill>
              </w:rPr>
              <w:t>|</w:t>
            </w:r>
            <w:r w:rsidR="00B64402">
              <w:rPr>
                <w:vertAlign w:val="superscript"/>
              </w:rPr>
              <w:t>5</w:t>
            </w:r>
          </w:p>
        </w:tc>
      </w:tr>
      <w:tr w:rsidR="00883096" w:rsidRPr="00743512" w14:paraId="1CB30370" w14:textId="77777777" w:rsidTr="004F5B47">
        <w:tc>
          <w:tcPr>
            <w:tcW w:w="5000" w:type="pct"/>
            <w:gridSpan w:val="7"/>
            <w:shd w:val="clear" w:color="auto" w:fill="auto"/>
            <w:vAlign w:val="center"/>
          </w:tcPr>
          <w:p w14:paraId="2138D794" w14:textId="77777777" w:rsidR="00883096" w:rsidRPr="00743512" w:rsidRDefault="00883096" w:rsidP="004F5B47">
            <w:pPr>
              <w:pStyle w:val="In-tableHeading"/>
              <w:rPr>
                <w:lang w:val="en-AU"/>
              </w:rPr>
            </w:pPr>
            <w:r w:rsidRPr="00743512">
              <w:rPr>
                <w:lang w:val="en-AU"/>
              </w:rPr>
              <w:t>Net financial implications</w:t>
            </w:r>
          </w:p>
        </w:tc>
      </w:tr>
      <w:tr w:rsidR="00883096" w:rsidRPr="00743512" w14:paraId="1469A806" w14:textId="77777777" w:rsidTr="004F5B47">
        <w:tc>
          <w:tcPr>
            <w:tcW w:w="1334" w:type="pct"/>
            <w:tcBorders>
              <w:bottom w:val="single" w:sz="4" w:space="0" w:color="auto"/>
            </w:tcBorders>
            <w:shd w:val="clear" w:color="auto" w:fill="auto"/>
            <w:vAlign w:val="center"/>
          </w:tcPr>
          <w:p w14:paraId="1A97A749" w14:textId="77777777" w:rsidR="00883096" w:rsidRPr="00743512" w:rsidRDefault="00883096" w:rsidP="004F5B47">
            <w:pPr>
              <w:pStyle w:val="TableText0"/>
              <w:rPr>
                <w:sz w:val="19"/>
                <w:szCs w:val="19"/>
              </w:rPr>
            </w:pPr>
            <w:r w:rsidRPr="00743512">
              <w:rPr>
                <w:sz w:val="19"/>
                <w:szCs w:val="19"/>
              </w:rPr>
              <w:t>Net cost to PBS/RPBS</w:t>
            </w:r>
          </w:p>
        </w:tc>
        <w:tc>
          <w:tcPr>
            <w:tcW w:w="611" w:type="pct"/>
            <w:tcBorders>
              <w:bottom w:val="single" w:sz="4" w:space="0" w:color="auto"/>
            </w:tcBorders>
            <w:shd w:val="clear" w:color="auto" w:fill="auto"/>
          </w:tcPr>
          <w:p w14:paraId="46F95135" w14:textId="035DB564"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1"/>
                <w14:textFill>
                  <w14:solidFill>
                    <w14:srgbClr w14:val="000000">
                      <w14:alpha w14:val="100000"/>
                    </w14:srgbClr>
                  </w14:solidFill>
                </w14:textFill>
              </w:rPr>
              <w:t>|||</w:t>
            </w:r>
            <w:r w:rsidRPr="00632DCB">
              <w:rPr>
                <w:color w:val="000000"/>
                <w:spacing w:val="1"/>
                <w:shd w:val="solid" w:color="000000" w:fill="000000"/>
                <w:fitText w:val="330" w:id="-1032088061"/>
                <w14:textFill>
                  <w14:solidFill>
                    <w14:srgbClr w14:val="000000">
                      <w14:alpha w14:val="100000"/>
                    </w14:srgbClr>
                  </w14:solidFill>
                </w14:textFill>
              </w:rPr>
              <w:t>|</w:t>
            </w:r>
            <w:r w:rsidR="001B07FE">
              <w:rPr>
                <w:vertAlign w:val="superscript"/>
              </w:rPr>
              <w:t>4</w:t>
            </w:r>
          </w:p>
        </w:tc>
        <w:tc>
          <w:tcPr>
            <w:tcW w:w="611" w:type="pct"/>
            <w:tcBorders>
              <w:bottom w:val="single" w:sz="4" w:space="0" w:color="auto"/>
            </w:tcBorders>
            <w:shd w:val="clear" w:color="auto" w:fill="auto"/>
          </w:tcPr>
          <w:p w14:paraId="65AD2A7E" w14:textId="7EF2F48C"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0"/>
                <w14:textFill>
                  <w14:solidFill>
                    <w14:srgbClr w14:val="000000">
                      <w14:alpha w14:val="100000"/>
                    </w14:srgbClr>
                  </w14:solidFill>
                </w14:textFill>
              </w:rPr>
              <w:t>|||</w:t>
            </w:r>
            <w:r w:rsidRPr="00632DCB">
              <w:rPr>
                <w:color w:val="000000"/>
                <w:spacing w:val="1"/>
                <w:shd w:val="solid" w:color="000000" w:fill="000000"/>
                <w:fitText w:val="330" w:id="-1032088060"/>
                <w14:textFill>
                  <w14:solidFill>
                    <w14:srgbClr w14:val="000000">
                      <w14:alpha w14:val="100000"/>
                    </w14:srgbClr>
                  </w14:solidFill>
                </w14:textFill>
              </w:rPr>
              <w:t>|</w:t>
            </w:r>
          </w:p>
        </w:tc>
        <w:tc>
          <w:tcPr>
            <w:tcW w:w="611" w:type="pct"/>
            <w:tcBorders>
              <w:bottom w:val="single" w:sz="4" w:space="0" w:color="auto"/>
            </w:tcBorders>
            <w:shd w:val="clear" w:color="auto" w:fill="auto"/>
          </w:tcPr>
          <w:p w14:paraId="3F4409D3" w14:textId="51385F64"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9"/>
                <w14:textFill>
                  <w14:solidFill>
                    <w14:srgbClr w14:val="000000">
                      <w14:alpha w14:val="100000"/>
                    </w14:srgbClr>
                  </w14:solidFill>
                </w14:textFill>
              </w:rPr>
              <w:t>|||</w:t>
            </w:r>
            <w:r w:rsidRPr="00632DCB">
              <w:rPr>
                <w:color w:val="000000"/>
                <w:spacing w:val="1"/>
                <w:shd w:val="solid" w:color="000000" w:fill="000000"/>
                <w:fitText w:val="330" w:id="-1032088059"/>
                <w14:textFill>
                  <w14:solidFill>
                    <w14:srgbClr w14:val="000000">
                      <w14:alpha w14:val="100000"/>
                    </w14:srgbClr>
                  </w14:solidFill>
                </w14:textFill>
              </w:rPr>
              <w:t>|</w:t>
            </w:r>
            <w:r w:rsidR="00B64402">
              <w:rPr>
                <w:vertAlign w:val="superscript"/>
              </w:rPr>
              <w:t>5</w:t>
            </w:r>
          </w:p>
        </w:tc>
        <w:tc>
          <w:tcPr>
            <w:tcW w:w="611" w:type="pct"/>
            <w:tcBorders>
              <w:bottom w:val="single" w:sz="4" w:space="0" w:color="auto"/>
            </w:tcBorders>
            <w:shd w:val="clear" w:color="auto" w:fill="auto"/>
          </w:tcPr>
          <w:p w14:paraId="3039CCA1" w14:textId="35F605B2"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8"/>
                <w14:textFill>
                  <w14:solidFill>
                    <w14:srgbClr w14:val="000000">
                      <w14:alpha w14:val="100000"/>
                    </w14:srgbClr>
                  </w14:solidFill>
                </w14:textFill>
              </w:rPr>
              <w:t>|||</w:t>
            </w:r>
            <w:r w:rsidRPr="00632DCB">
              <w:rPr>
                <w:color w:val="000000"/>
                <w:spacing w:val="1"/>
                <w:shd w:val="solid" w:color="000000" w:fill="000000"/>
                <w:fitText w:val="330" w:id="-1032088058"/>
                <w14:textFill>
                  <w14:solidFill>
                    <w14:srgbClr w14:val="000000">
                      <w14:alpha w14:val="100000"/>
                    </w14:srgbClr>
                  </w14:solidFill>
                </w14:textFill>
              </w:rPr>
              <w:t>|</w:t>
            </w:r>
            <w:r w:rsidR="00B64402">
              <w:rPr>
                <w:vertAlign w:val="superscript"/>
              </w:rPr>
              <w:t>5</w:t>
            </w:r>
          </w:p>
        </w:tc>
        <w:tc>
          <w:tcPr>
            <w:tcW w:w="611" w:type="pct"/>
            <w:tcBorders>
              <w:bottom w:val="single" w:sz="4" w:space="0" w:color="auto"/>
            </w:tcBorders>
            <w:shd w:val="clear" w:color="auto" w:fill="auto"/>
          </w:tcPr>
          <w:p w14:paraId="346C0253" w14:textId="767EB36D"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7"/>
                <w14:textFill>
                  <w14:solidFill>
                    <w14:srgbClr w14:val="000000">
                      <w14:alpha w14:val="100000"/>
                    </w14:srgbClr>
                  </w14:solidFill>
                </w14:textFill>
              </w:rPr>
              <w:t>|||</w:t>
            </w:r>
            <w:r w:rsidRPr="00632DCB">
              <w:rPr>
                <w:color w:val="000000"/>
                <w:spacing w:val="1"/>
                <w:shd w:val="solid" w:color="000000" w:fill="000000"/>
                <w:fitText w:val="330" w:id="-1032088057"/>
                <w14:textFill>
                  <w14:solidFill>
                    <w14:srgbClr w14:val="000000">
                      <w14:alpha w14:val="100000"/>
                    </w14:srgbClr>
                  </w14:solidFill>
                </w14:textFill>
              </w:rPr>
              <w:t>|</w:t>
            </w:r>
            <w:r w:rsidR="00B64402">
              <w:rPr>
                <w:vertAlign w:val="superscript"/>
              </w:rPr>
              <w:t>5</w:t>
            </w:r>
          </w:p>
        </w:tc>
        <w:tc>
          <w:tcPr>
            <w:tcW w:w="611" w:type="pct"/>
            <w:tcBorders>
              <w:bottom w:val="single" w:sz="4" w:space="0" w:color="auto"/>
            </w:tcBorders>
          </w:tcPr>
          <w:p w14:paraId="2EA1E8B8" w14:textId="716C8D74"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6"/>
                <w14:textFill>
                  <w14:solidFill>
                    <w14:srgbClr w14:val="000000">
                      <w14:alpha w14:val="100000"/>
                    </w14:srgbClr>
                  </w14:solidFill>
                </w14:textFill>
              </w:rPr>
              <w:t>|||</w:t>
            </w:r>
            <w:r w:rsidRPr="00632DCB">
              <w:rPr>
                <w:color w:val="000000"/>
                <w:spacing w:val="1"/>
                <w:shd w:val="solid" w:color="000000" w:fill="000000"/>
                <w:fitText w:val="330" w:id="-1032088056"/>
                <w14:textFill>
                  <w14:solidFill>
                    <w14:srgbClr w14:val="000000">
                      <w14:alpha w14:val="100000"/>
                    </w14:srgbClr>
                  </w14:solidFill>
                </w14:textFill>
              </w:rPr>
              <w:t>|</w:t>
            </w:r>
            <w:r w:rsidR="00B64402">
              <w:rPr>
                <w:vertAlign w:val="superscript"/>
              </w:rPr>
              <w:t>5</w:t>
            </w:r>
          </w:p>
        </w:tc>
      </w:tr>
      <w:tr w:rsidR="00883096" w:rsidRPr="00743512" w14:paraId="617C5AA6" w14:textId="77777777" w:rsidTr="004F5B47">
        <w:tc>
          <w:tcPr>
            <w:tcW w:w="1334" w:type="pct"/>
            <w:tcBorders>
              <w:bottom w:val="nil"/>
            </w:tcBorders>
            <w:shd w:val="clear" w:color="auto" w:fill="auto"/>
            <w:vAlign w:val="center"/>
          </w:tcPr>
          <w:p w14:paraId="345FA51A" w14:textId="77777777" w:rsidR="00883096" w:rsidRPr="00743512" w:rsidRDefault="00883096" w:rsidP="004F5B47">
            <w:pPr>
              <w:pStyle w:val="TableText0"/>
              <w:rPr>
                <w:rFonts w:ascii="Times" w:hAnsi="Times"/>
              </w:rPr>
            </w:pPr>
            <w:r w:rsidRPr="00743512">
              <w:rPr>
                <w:sz w:val="19"/>
                <w:szCs w:val="19"/>
              </w:rPr>
              <w:t xml:space="preserve">Net cost to MBS </w:t>
            </w:r>
            <w:r w:rsidRPr="00743512">
              <w:rPr>
                <w:sz w:val="19"/>
                <w:szCs w:val="19"/>
                <w:vertAlign w:val="superscript"/>
              </w:rPr>
              <w:t>c</w:t>
            </w:r>
          </w:p>
        </w:tc>
        <w:tc>
          <w:tcPr>
            <w:tcW w:w="611" w:type="pct"/>
            <w:tcBorders>
              <w:bottom w:val="nil"/>
            </w:tcBorders>
            <w:shd w:val="clear" w:color="auto" w:fill="auto"/>
          </w:tcPr>
          <w:p w14:paraId="544DB5C1" w14:textId="67D1C9C3"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5"/>
                <w14:textFill>
                  <w14:solidFill>
                    <w14:srgbClr w14:val="000000">
                      <w14:alpha w14:val="100000"/>
                    </w14:srgbClr>
                  </w14:solidFill>
                </w14:textFill>
              </w:rPr>
              <w:t>|||</w:t>
            </w:r>
            <w:r w:rsidRPr="00632DCB">
              <w:rPr>
                <w:color w:val="000000"/>
                <w:spacing w:val="1"/>
                <w:shd w:val="solid" w:color="000000" w:fill="000000"/>
                <w:fitText w:val="330" w:id="-1032088055"/>
                <w14:textFill>
                  <w14:solidFill>
                    <w14:srgbClr w14:val="000000">
                      <w14:alpha w14:val="100000"/>
                    </w14:srgbClr>
                  </w14:solidFill>
                </w14:textFill>
              </w:rPr>
              <w:t>|</w:t>
            </w:r>
            <w:r w:rsidR="007816BC">
              <w:rPr>
                <w:vertAlign w:val="superscript"/>
              </w:rPr>
              <w:t>6</w:t>
            </w:r>
          </w:p>
        </w:tc>
        <w:tc>
          <w:tcPr>
            <w:tcW w:w="611" w:type="pct"/>
            <w:tcBorders>
              <w:bottom w:val="nil"/>
            </w:tcBorders>
            <w:shd w:val="clear" w:color="auto" w:fill="auto"/>
          </w:tcPr>
          <w:p w14:paraId="444288C0" w14:textId="641BFF8A"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4"/>
                <w14:textFill>
                  <w14:solidFill>
                    <w14:srgbClr w14:val="000000">
                      <w14:alpha w14:val="100000"/>
                    </w14:srgbClr>
                  </w14:solidFill>
                </w14:textFill>
              </w:rPr>
              <w:t>|||</w:t>
            </w:r>
            <w:r w:rsidRPr="00632DCB">
              <w:rPr>
                <w:color w:val="000000"/>
                <w:spacing w:val="1"/>
                <w:shd w:val="solid" w:color="000000" w:fill="000000"/>
                <w:fitText w:val="330" w:id="-1032088054"/>
                <w14:textFill>
                  <w14:solidFill>
                    <w14:srgbClr w14:val="000000">
                      <w14:alpha w14:val="100000"/>
                    </w14:srgbClr>
                  </w14:solidFill>
                </w14:textFill>
              </w:rPr>
              <w:t>|</w:t>
            </w:r>
            <w:r w:rsidR="007816BC">
              <w:rPr>
                <w:vertAlign w:val="superscript"/>
              </w:rPr>
              <w:t>6</w:t>
            </w:r>
          </w:p>
        </w:tc>
        <w:tc>
          <w:tcPr>
            <w:tcW w:w="611" w:type="pct"/>
            <w:tcBorders>
              <w:bottom w:val="nil"/>
            </w:tcBorders>
            <w:shd w:val="clear" w:color="auto" w:fill="auto"/>
          </w:tcPr>
          <w:p w14:paraId="47850D35" w14:textId="76BABAAB"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3"/>
                <w14:textFill>
                  <w14:solidFill>
                    <w14:srgbClr w14:val="000000">
                      <w14:alpha w14:val="100000"/>
                    </w14:srgbClr>
                  </w14:solidFill>
                </w14:textFill>
              </w:rPr>
              <w:t>|||</w:t>
            </w:r>
            <w:r w:rsidRPr="00632DCB">
              <w:rPr>
                <w:color w:val="000000"/>
                <w:spacing w:val="1"/>
                <w:shd w:val="solid" w:color="000000" w:fill="000000"/>
                <w:fitText w:val="330" w:id="-1032088053"/>
                <w14:textFill>
                  <w14:solidFill>
                    <w14:srgbClr w14:val="000000">
                      <w14:alpha w14:val="100000"/>
                    </w14:srgbClr>
                  </w14:solidFill>
                </w14:textFill>
              </w:rPr>
              <w:t>|</w:t>
            </w:r>
            <w:r w:rsidR="007816BC">
              <w:rPr>
                <w:vertAlign w:val="superscript"/>
              </w:rPr>
              <w:t>6</w:t>
            </w:r>
          </w:p>
        </w:tc>
        <w:tc>
          <w:tcPr>
            <w:tcW w:w="611" w:type="pct"/>
            <w:tcBorders>
              <w:bottom w:val="nil"/>
            </w:tcBorders>
            <w:shd w:val="clear" w:color="auto" w:fill="auto"/>
          </w:tcPr>
          <w:p w14:paraId="565893D4" w14:textId="77F2AA65"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2"/>
                <w14:textFill>
                  <w14:solidFill>
                    <w14:srgbClr w14:val="000000">
                      <w14:alpha w14:val="100000"/>
                    </w14:srgbClr>
                  </w14:solidFill>
                </w14:textFill>
              </w:rPr>
              <w:t>|||</w:t>
            </w:r>
            <w:r w:rsidRPr="00632DCB">
              <w:rPr>
                <w:color w:val="000000"/>
                <w:spacing w:val="1"/>
                <w:shd w:val="solid" w:color="000000" w:fill="000000"/>
                <w:fitText w:val="330" w:id="-1032088052"/>
                <w14:textFill>
                  <w14:solidFill>
                    <w14:srgbClr w14:val="000000">
                      <w14:alpha w14:val="100000"/>
                    </w14:srgbClr>
                  </w14:solidFill>
                </w14:textFill>
              </w:rPr>
              <w:t>|</w:t>
            </w:r>
            <w:r w:rsidR="007816BC">
              <w:rPr>
                <w:vertAlign w:val="superscript"/>
              </w:rPr>
              <w:t>6</w:t>
            </w:r>
          </w:p>
        </w:tc>
        <w:tc>
          <w:tcPr>
            <w:tcW w:w="611" w:type="pct"/>
            <w:tcBorders>
              <w:bottom w:val="nil"/>
            </w:tcBorders>
            <w:shd w:val="clear" w:color="auto" w:fill="auto"/>
          </w:tcPr>
          <w:p w14:paraId="1F2C033C" w14:textId="1E6CC0E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1"/>
                <w14:textFill>
                  <w14:solidFill>
                    <w14:srgbClr w14:val="000000">
                      <w14:alpha w14:val="100000"/>
                    </w14:srgbClr>
                  </w14:solidFill>
                </w14:textFill>
              </w:rPr>
              <w:t>|||</w:t>
            </w:r>
            <w:r w:rsidRPr="00632DCB">
              <w:rPr>
                <w:color w:val="000000"/>
                <w:spacing w:val="1"/>
                <w:shd w:val="solid" w:color="000000" w:fill="000000"/>
                <w:fitText w:val="330" w:id="-1032088051"/>
                <w14:textFill>
                  <w14:solidFill>
                    <w14:srgbClr w14:val="000000">
                      <w14:alpha w14:val="100000"/>
                    </w14:srgbClr>
                  </w14:solidFill>
                </w14:textFill>
              </w:rPr>
              <w:t>|</w:t>
            </w:r>
            <w:r w:rsidR="007816BC">
              <w:rPr>
                <w:vertAlign w:val="superscript"/>
              </w:rPr>
              <w:t>6</w:t>
            </w:r>
          </w:p>
        </w:tc>
        <w:tc>
          <w:tcPr>
            <w:tcW w:w="611" w:type="pct"/>
            <w:tcBorders>
              <w:bottom w:val="nil"/>
            </w:tcBorders>
          </w:tcPr>
          <w:p w14:paraId="7684D8C1" w14:textId="70DE01B2"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0"/>
                <w14:textFill>
                  <w14:solidFill>
                    <w14:srgbClr w14:val="000000">
                      <w14:alpha w14:val="100000"/>
                    </w14:srgbClr>
                  </w14:solidFill>
                </w14:textFill>
              </w:rPr>
              <w:t>|||</w:t>
            </w:r>
            <w:r w:rsidRPr="00632DCB">
              <w:rPr>
                <w:color w:val="000000"/>
                <w:spacing w:val="1"/>
                <w:shd w:val="solid" w:color="000000" w:fill="000000"/>
                <w:fitText w:val="330" w:id="-1032088050"/>
                <w14:textFill>
                  <w14:solidFill>
                    <w14:srgbClr w14:val="000000">
                      <w14:alpha w14:val="100000"/>
                    </w14:srgbClr>
                  </w14:solidFill>
                </w14:textFill>
              </w:rPr>
              <w:t>|</w:t>
            </w:r>
            <w:r w:rsidR="007816BC">
              <w:rPr>
                <w:vertAlign w:val="superscript"/>
              </w:rPr>
              <w:t>6</w:t>
            </w:r>
          </w:p>
        </w:tc>
      </w:tr>
      <w:tr w:rsidR="00883096" w:rsidRPr="00743512" w14:paraId="412F472E" w14:textId="77777777" w:rsidTr="004F5B47">
        <w:tc>
          <w:tcPr>
            <w:tcW w:w="1334" w:type="pct"/>
            <w:tcBorders>
              <w:top w:val="nil"/>
              <w:bottom w:val="single" w:sz="4" w:space="0" w:color="auto"/>
            </w:tcBorders>
            <w:shd w:val="clear" w:color="auto" w:fill="auto"/>
            <w:vAlign w:val="center"/>
          </w:tcPr>
          <w:p w14:paraId="7AAE79ED" w14:textId="77777777" w:rsidR="00883096" w:rsidRPr="00743512" w:rsidRDefault="00883096" w:rsidP="004F5B47">
            <w:pPr>
              <w:pStyle w:val="TableText0"/>
              <w:ind w:firstLine="164"/>
              <w:rPr>
                <w:i/>
                <w:iCs/>
                <w:sz w:val="19"/>
                <w:szCs w:val="19"/>
              </w:rPr>
            </w:pPr>
            <w:r w:rsidRPr="00743512">
              <w:rPr>
                <w:sz w:val="19"/>
                <w:szCs w:val="19"/>
              </w:rPr>
              <w:t xml:space="preserve">Revised </w:t>
            </w:r>
            <w:r w:rsidRPr="00743512">
              <w:rPr>
                <w:sz w:val="19"/>
                <w:szCs w:val="19"/>
                <w:vertAlign w:val="superscript"/>
              </w:rPr>
              <w:t>d</w:t>
            </w:r>
          </w:p>
        </w:tc>
        <w:tc>
          <w:tcPr>
            <w:tcW w:w="611" w:type="pct"/>
            <w:tcBorders>
              <w:top w:val="nil"/>
              <w:bottom w:val="single" w:sz="4" w:space="0" w:color="auto"/>
            </w:tcBorders>
            <w:shd w:val="clear" w:color="auto" w:fill="auto"/>
          </w:tcPr>
          <w:p w14:paraId="12888152" w14:textId="39C1ABB6"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49"/>
                <w14:textFill>
                  <w14:solidFill>
                    <w14:srgbClr w14:val="000000">
                      <w14:alpha w14:val="100000"/>
                    </w14:srgbClr>
                  </w14:solidFill>
                </w14:textFill>
              </w:rPr>
              <w:t>|||</w:t>
            </w:r>
            <w:r w:rsidRPr="00632DCB">
              <w:rPr>
                <w:color w:val="000000"/>
                <w:spacing w:val="1"/>
                <w:shd w:val="solid" w:color="000000" w:fill="000000"/>
                <w:fitText w:val="330" w:id="-1032088049"/>
                <w14:textFill>
                  <w14:solidFill>
                    <w14:srgbClr w14:val="000000">
                      <w14:alpha w14:val="100000"/>
                    </w14:srgbClr>
                  </w14:solidFill>
                </w14:textFill>
              </w:rPr>
              <w:t>|</w:t>
            </w:r>
            <w:r w:rsidR="007816BC">
              <w:rPr>
                <w:vertAlign w:val="superscript"/>
              </w:rPr>
              <w:t>6</w:t>
            </w:r>
          </w:p>
        </w:tc>
        <w:tc>
          <w:tcPr>
            <w:tcW w:w="611" w:type="pct"/>
            <w:tcBorders>
              <w:top w:val="nil"/>
              <w:bottom w:val="single" w:sz="4" w:space="0" w:color="auto"/>
            </w:tcBorders>
            <w:shd w:val="clear" w:color="auto" w:fill="auto"/>
          </w:tcPr>
          <w:p w14:paraId="19D5E2F6" w14:textId="304CAF67"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48"/>
                <w14:textFill>
                  <w14:solidFill>
                    <w14:srgbClr w14:val="000000">
                      <w14:alpha w14:val="100000"/>
                    </w14:srgbClr>
                  </w14:solidFill>
                </w14:textFill>
              </w:rPr>
              <w:t>|||</w:t>
            </w:r>
            <w:r w:rsidRPr="00632DCB">
              <w:rPr>
                <w:color w:val="000000"/>
                <w:spacing w:val="1"/>
                <w:shd w:val="solid" w:color="000000" w:fill="000000"/>
                <w:fitText w:val="330" w:id="-1032088048"/>
                <w14:textFill>
                  <w14:solidFill>
                    <w14:srgbClr w14:val="000000">
                      <w14:alpha w14:val="100000"/>
                    </w14:srgbClr>
                  </w14:solidFill>
                </w14:textFill>
              </w:rPr>
              <w:t>|</w:t>
            </w:r>
            <w:r w:rsidR="007816BC">
              <w:rPr>
                <w:vertAlign w:val="superscript"/>
              </w:rPr>
              <w:t>6</w:t>
            </w:r>
          </w:p>
        </w:tc>
        <w:tc>
          <w:tcPr>
            <w:tcW w:w="611" w:type="pct"/>
            <w:tcBorders>
              <w:top w:val="nil"/>
              <w:bottom w:val="single" w:sz="4" w:space="0" w:color="auto"/>
            </w:tcBorders>
            <w:shd w:val="clear" w:color="auto" w:fill="auto"/>
          </w:tcPr>
          <w:p w14:paraId="3D70A560" w14:textId="2398E251"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64"/>
                <w14:textFill>
                  <w14:solidFill>
                    <w14:srgbClr w14:val="000000">
                      <w14:alpha w14:val="100000"/>
                    </w14:srgbClr>
                  </w14:solidFill>
                </w14:textFill>
              </w:rPr>
              <w:t>|||</w:t>
            </w:r>
            <w:r w:rsidRPr="00632DCB">
              <w:rPr>
                <w:color w:val="000000"/>
                <w:spacing w:val="1"/>
                <w:shd w:val="solid" w:color="000000" w:fill="000000"/>
                <w:fitText w:val="330" w:id="-1032088064"/>
                <w14:textFill>
                  <w14:solidFill>
                    <w14:srgbClr w14:val="000000">
                      <w14:alpha w14:val="100000"/>
                    </w14:srgbClr>
                  </w14:solidFill>
                </w14:textFill>
              </w:rPr>
              <w:t>|</w:t>
            </w:r>
            <w:r w:rsidR="007816BC">
              <w:rPr>
                <w:vertAlign w:val="superscript"/>
              </w:rPr>
              <w:t>6</w:t>
            </w:r>
          </w:p>
        </w:tc>
        <w:tc>
          <w:tcPr>
            <w:tcW w:w="611" w:type="pct"/>
            <w:tcBorders>
              <w:top w:val="nil"/>
              <w:bottom w:val="single" w:sz="4" w:space="0" w:color="auto"/>
            </w:tcBorders>
            <w:shd w:val="clear" w:color="auto" w:fill="auto"/>
          </w:tcPr>
          <w:p w14:paraId="25851B95" w14:textId="47C2582C"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63"/>
                <w14:textFill>
                  <w14:solidFill>
                    <w14:srgbClr w14:val="000000">
                      <w14:alpha w14:val="100000"/>
                    </w14:srgbClr>
                  </w14:solidFill>
                </w14:textFill>
              </w:rPr>
              <w:t>|||</w:t>
            </w:r>
            <w:r w:rsidRPr="00632DCB">
              <w:rPr>
                <w:color w:val="000000"/>
                <w:spacing w:val="1"/>
                <w:shd w:val="solid" w:color="000000" w:fill="000000"/>
                <w:fitText w:val="330" w:id="-1032088063"/>
                <w14:textFill>
                  <w14:solidFill>
                    <w14:srgbClr w14:val="000000">
                      <w14:alpha w14:val="100000"/>
                    </w14:srgbClr>
                  </w14:solidFill>
                </w14:textFill>
              </w:rPr>
              <w:t>|</w:t>
            </w:r>
            <w:r w:rsidR="007816BC">
              <w:rPr>
                <w:vertAlign w:val="superscript"/>
              </w:rPr>
              <w:t>6</w:t>
            </w:r>
          </w:p>
        </w:tc>
        <w:tc>
          <w:tcPr>
            <w:tcW w:w="611" w:type="pct"/>
            <w:tcBorders>
              <w:top w:val="nil"/>
              <w:bottom w:val="single" w:sz="4" w:space="0" w:color="auto"/>
            </w:tcBorders>
            <w:shd w:val="clear" w:color="auto" w:fill="auto"/>
          </w:tcPr>
          <w:p w14:paraId="7E7FF672" w14:textId="209689CE"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62"/>
                <w14:textFill>
                  <w14:solidFill>
                    <w14:srgbClr w14:val="000000">
                      <w14:alpha w14:val="100000"/>
                    </w14:srgbClr>
                  </w14:solidFill>
                </w14:textFill>
              </w:rPr>
              <w:t>|||</w:t>
            </w:r>
            <w:r w:rsidRPr="00632DCB">
              <w:rPr>
                <w:color w:val="000000"/>
                <w:spacing w:val="1"/>
                <w:shd w:val="solid" w:color="000000" w:fill="000000"/>
                <w:fitText w:val="330" w:id="-1032088062"/>
                <w14:textFill>
                  <w14:solidFill>
                    <w14:srgbClr w14:val="000000">
                      <w14:alpha w14:val="100000"/>
                    </w14:srgbClr>
                  </w14:solidFill>
                </w14:textFill>
              </w:rPr>
              <w:t>|</w:t>
            </w:r>
            <w:r w:rsidR="007816BC">
              <w:rPr>
                <w:vertAlign w:val="superscript"/>
              </w:rPr>
              <w:t>6</w:t>
            </w:r>
          </w:p>
        </w:tc>
        <w:tc>
          <w:tcPr>
            <w:tcW w:w="611" w:type="pct"/>
            <w:tcBorders>
              <w:top w:val="nil"/>
              <w:bottom w:val="single" w:sz="4" w:space="0" w:color="auto"/>
            </w:tcBorders>
          </w:tcPr>
          <w:p w14:paraId="0E1E7305" w14:textId="33167E36"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1"/>
                <w14:textFill>
                  <w14:solidFill>
                    <w14:srgbClr w14:val="000000">
                      <w14:alpha w14:val="100000"/>
                    </w14:srgbClr>
                  </w14:solidFill>
                </w14:textFill>
              </w:rPr>
              <w:t>|||</w:t>
            </w:r>
            <w:r w:rsidRPr="00632DCB">
              <w:rPr>
                <w:color w:val="000000"/>
                <w:spacing w:val="1"/>
                <w:shd w:val="solid" w:color="000000" w:fill="000000"/>
                <w:fitText w:val="330" w:id="-1032088061"/>
                <w14:textFill>
                  <w14:solidFill>
                    <w14:srgbClr w14:val="000000">
                      <w14:alpha w14:val="100000"/>
                    </w14:srgbClr>
                  </w14:solidFill>
                </w14:textFill>
              </w:rPr>
              <w:t>|</w:t>
            </w:r>
            <w:r w:rsidR="007816BC">
              <w:rPr>
                <w:vertAlign w:val="superscript"/>
              </w:rPr>
              <w:t>6</w:t>
            </w:r>
          </w:p>
        </w:tc>
      </w:tr>
      <w:tr w:rsidR="00883096" w:rsidRPr="00743512" w14:paraId="7D6B1AD1" w14:textId="77777777" w:rsidTr="004F5B47">
        <w:tc>
          <w:tcPr>
            <w:tcW w:w="1334" w:type="pct"/>
            <w:tcBorders>
              <w:bottom w:val="nil"/>
            </w:tcBorders>
            <w:shd w:val="clear" w:color="auto" w:fill="auto"/>
            <w:vAlign w:val="center"/>
          </w:tcPr>
          <w:p w14:paraId="4DCA8AAC" w14:textId="77777777" w:rsidR="00883096" w:rsidRPr="00743512" w:rsidRDefault="00883096" w:rsidP="004F5B47">
            <w:pPr>
              <w:pStyle w:val="TableText0"/>
              <w:rPr>
                <w:sz w:val="19"/>
                <w:szCs w:val="19"/>
              </w:rPr>
            </w:pPr>
            <w:r w:rsidRPr="00743512">
              <w:rPr>
                <w:sz w:val="19"/>
                <w:szCs w:val="19"/>
              </w:rPr>
              <w:t>Net cost to Government</w:t>
            </w:r>
          </w:p>
        </w:tc>
        <w:tc>
          <w:tcPr>
            <w:tcW w:w="611" w:type="pct"/>
            <w:tcBorders>
              <w:bottom w:val="nil"/>
            </w:tcBorders>
            <w:shd w:val="clear" w:color="auto" w:fill="auto"/>
          </w:tcPr>
          <w:p w14:paraId="6E36D5F4" w14:textId="430B59D6"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0"/>
                <w14:textFill>
                  <w14:solidFill>
                    <w14:srgbClr w14:val="000000">
                      <w14:alpha w14:val="100000"/>
                    </w14:srgbClr>
                  </w14:solidFill>
                </w14:textFill>
              </w:rPr>
              <w:t>|||</w:t>
            </w:r>
            <w:r w:rsidRPr="00632DCB">
              <w:rPr>
                <w:color w:val="000000"/>
                <w:spacing w:val="1"/>
                <w:shd w:val="solid" w:color="000000" w:fill="000000"/>
                <w:fitText w:val="330" w:id="-1032088060"/>
                <w14:textFill>
                  <w14:solidFill>
                    <w14:srgbClr w14:val="000000">
                      <w14:alpha w14:val="100000"/>
                    </w14:srgbClr>
                  </w14:solidFill>
                </w14:textFill>
              </w:rPr>
              <w:t>|</w:t>
            </w:r>
            <w:r w:rsidR="001B07FE">
              <w:rPr>
                <w:vertAlign w:val="superscript"/>
              </w:rPr>
              <w:t>4</w:t>
            </w:r>
          </w:p>
        </w:tc>
        <w:tc>
          <w:tcPr>
            <w:tcW w:w="611" w:type="pct"/>
            <w:tcBorders>
              <w:bottom w:val="nil"/>
            </w:tcBorders>
            <w:shd w:val="clear" w:color="auto" w:fill="auto"/>
          </w:tcPr>
          <w:p w14:paraId="48BAD9F1" w14:textId="79194B35"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9"/>
                <w14:textFill>
                  <w14:solidFill>
                    <w14:srgbClr w14:val="000000">
                      <w14:alpha w14:val="100000"/>
                    </w14:srgbClr>
                  </w14:solidFill>
                </w14:textFill>
              </w:rPr>
              <w:t>|||</w:t>
            </w:r>
            <w:r w:rsidRPr="00632DCB">
              <w:rPr>
                <w:color w:val="000000"/>
                <w:spacing w:val="1"/>
                <w:shd w:val="solid" w:color="000000" w:fill="000000"/>
                <w:fitText w:val="330" w:id="-1032088059"/>
                <w14:textFill>
                  <w14:solidFill>
                    <w14:srgbClr w14:val="000000">
                      <w14:alpha w14:val="100000"/>
                    </w14:srgbClr>
                  </w14:solidFill>
                </w14:textFill>
              </w:rPr>
              <w:t>|</w:t>
            </w:r>
            <w:r w:rsidR="00B64402">
              <w:rPr>
                <w:vertAlign w:val="superscript"/>
              </w:rPr>
              <w:t>5</w:t>
            </w:r>
          </w:p>
        </w:tc>
        <w:tc>
          <w:tcPr>
            <w:tcW w:w="611" w:type="pct"/>
            <w:tcBorders>
              <w:bottom w:val="nil"/>
            </w:tcBorders>
            <w:shd w:val="clear" w:color="auto" w:fill="auto"/>
          </w:tcPr>
          <w:p w14:paraId="4347C665" w14:textId="1D04AFA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8"/>
                <w14:textFill>
                  <w14:solidFill>
                    <w14:srgbClr w14:val="000000">
                      <w14:alpha w14:val="100000"/>
                    </w14:srgbClr>
                  </w14:solidFill>
                </w14:textFill>
              </w:rPr>
              <w:t>|||</w:t>
            </w:r>
            <w:r w:rsidRPr="00632DCB">
              <w:rPr>
                <w:color w:val="000000"/>
                <w:spacing w:val="1"/>
                <w:shd w:val="solid" w:color="000000" w:fill="000000"/>
                <w:fitText w:val="330" w:id="-1032088058"/>
                <w14:textFill>
                  <w14:solidFill>
                    <w14:srgbClr w14:val="000000">
                      <w14:alpha w14:val="100000"/>
                    </w14:srgbClr>
                  </w14:solidFill>
                </w14:textFill>
              </w:rPr>
              <w:t>|</w:t>
            </w:r>
            <w:r w:rsidR="00B64402">
              <w:rPr>
                <w:vertAlign w:val="superscript"/>
              </w:rPr>
              <w:t>5</w:t>
            </w:r>
          </w:p>
        </w:tc>
        <w:tc>
          <w:tcPr>
            <w:tcW w:w="611" w:type="pct"/>
            <w:tcBorders>
              <w:bottom w:val="nil"/>
            </w:tcBorders>
            <w:shd w:val="clear" w:color="auto" w:fill="auto"/>
          </w:tcPr>
          <w:p w14:paraId="3392F459" w14:textId="183AC3EF"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7"/>
                <w14:textFill>
                  <w14:solidFill>
                    <w14:srgbClr w14:val="000000">
                      <w14:alpha w14:val="100000"/>
                    </w14:srgbClr>
                  </w14:solidFill>
                </w14:textFill>
              </w:rPr>
              <w:t>|||</w:t>
            </w:r>
            <w:r w:rsidRPr="00632DCB">
              <w:rPr>
                <w:color w:val="000000"/>
                <w:spacing w:val="1"/>
                <w:shd w:val="solid" w:color="000000" w:fill="000000"/>
                <w:fitText w:val="330" w:id="-1032088057"/>
                <w14:textFill>
                  <w14:solidFill>
                    <w14:srgbClr w14:val="000000">
                      <w14:alpha w14:val="100000"/>
                    </w14:srgbClr>
                  </w14:solidFill>
                </w14:textFill>
              </w:rPr>
              <w:t>|</w:t>
            </w:r>
            <w:r w:rsidR="00B64402">
              <w:rPr>
                <w:vertAlign w:val="superscript"/>
              </w:rPr>
              <w:t>5</w:t>
            </w:r>
          </w:p>
        </w:tc>
        <w:tc>
          <w:tcPr>
            <w:tcW w:w="611" w:type="pct"/>
            <w:tcBorders>
              <w:bottom w:val="nil"/>
            </w:tcBorders>
            <w:shd w:val="clear" w:color="auto" w:fill="auto"/>
          </w:tcPr>
          <w:p w14:paraId="27B4C423" w14:textId="5B301536"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6"/>
                <w14:textFill>
                  <w14:solidFill>
                    <w14:srgbClr w14:val="000000">
                      <w14:alpha w14:val="100000"/>
                    </w14:srgbClr>
                  </w14:solidFill>
                </w14:textFill>
              </w:rPr>
              <w:t>|||</w:t>
            </w:r>
            <w:r w:rsidRPr="00632DCB">
              <w:rPr>
                <w:color w:val="000000"/>
                <w:spacing w:val="1"/>
                <w:shd w:val="solid" w:color="000000" w:fill="000000"/>
                <w:fitText w:val="330" w:id="-1032088056"/>
                <w14:textFill>
                  <w14:solidFill>
                    <w14:srgbClr w14:val="000000">
                      <w14:alpha w14:val="100000"/>
                    </w14:srgbClr>
                  </w14:solidFill>
                </w14:textFill>
              </w:rPr>
              <w:t>|</w:t>
            </w:r>
            <w:r w:rsidR="00B64402">
              <w:rPr>
                <w:vertAlign w:val="superscript"/>
              </w:rPr>
              <w:t>5</w:t>
            </w:r>
          </w:p>
        </w:tc>
        <w:tc>
          <w:tcPr>
            <w:tcW w:w="611" w:type="pct"/>
            <w:tcBorders>
              <w:bottom w:val="nil"/>
            </w:tcBorders>
          </w:tcPr>
          <w:p w14:paraId="5CD54955" w14:textId="77F09C1C"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5"/>
                <w14:textFill>
                  <w14:solidFill>
                    <w14:srgbClr w14:val="000000">
                      <w14:alpha w14:val="100000"/>
                    </w14:srgbClr>
                  </w14:solidFill>
                </w14:textFill>
              </w:rPr>
              <w:t>|||</w:t>
            </w:r>
            <w:r w:rsidRPr="00632DCB">
              <w:rPr>
                <w:color w:val="000000"/>
                <w:spacing w:val="1"/>
                <w:shd w:val="solid" w:color="000000" w:fill="000000"/>
                <w:fitText w:val="330" w:id="-1032088055"/>
                <w14:textFill>
                  <w14:solidFill>
                    <w14:srgbClr w14:val="000000">
                      <w14:alpha w14:val="100000"/>
                    </w14:srgbClr>
                  </w14:solidFill>
                </w14:textFill>
              </w:rPr>
              <w:t>|</w:t>
            </w:r>
            <w:r w:rsidR="00B64402">
              <w:rPr>
                <w:vertAlign w:val="superscript"/>
              </w:rPr>
              <w:t>5</w:t>
            </w:r>
          </w:p>
        </w:tc>
      </w:tr>
      <w:tr w:rsidR="00883096" w:rsidRPr="00743512" w14:paraId="77D2DC9D" w14:textId="77777777" w:rsidTr="004F5B47">
        <w:tc>
          <w:tcPr>
            <w:tcW w:w="1334" w:type="pct"/>
            <w:tcBorders>
              <w:top w:val="nil"/>
            </w:tcBorders>
            <w:shd w:val="clear" w:color="auto" w:fill="auto"/>
            <w:vAlign w:val="center"/>
          </w:tcPr>
          <w:p w14:paraId="10F0B512" w14:textId="77777777" w:rsidR="00883096" w:rsidRPr="00743512" w:rsidRDefault="00883096" w:rsidP="004F5B47">
            <w:pPr>
              <w:pStyle w:val="TableText0"/>
              <w:ind w:firstLine="164"/>
              <w:rPr>
                <w:i/>
                <w:iCs/>
                <w:sz w:val="19"/>
                <w:szCs w:val="19"/>
              </w:rPr>
            </w:pPr>
            <w:r w:rsidRPr="00743512">
              <w:rPr>
                <w:sz w:val="19"/>
                <w:szCs w:val="19"/>
              </w:rPr>
              <w:t>Revised</w:t>
            </w:r>
          </w:p>
        </w:tc>
        <w:tc>
          <w:tcPr>
            <w:tcW w:w="611" w:type="pct"/>
            <w:tcBorders>
              <w:top w:val="nil"/>
            </w:tcBorders>
            <w:shd w:val="clear" w:color="auto" w:fill="auto"/>
          </w:tcPr>
          <w:p w14:paraId="7D5F31CD" w14:textId="04260B0C"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54"/>
                <w14:textFill>
                  <w14:solidFill>
                    <w14:srgbClr w14:val="000000">
                      <w14:alpha w14:val="100000"/>
                    </w14:srgbClr>
                  </w14:solidFill>
                </w14:textFill>
              </w:rPr>
              <w:t>|||</w:t>
            </w:r>
            <w:r w:rsidRPr="00632DCB">
              <w:rPr>
                <w:color w:val="000000"/>
                <w:spacing w:val="1"/>
                <w:shd w:val="solid" w:color="000000" w:fill="000000"/>
                <w:fitText w:val="330" w:id="-1032088054"/>
                <w14:textFill>
                  <w14:solidFill>
                    <w14:srgbClr w14:val="000000">
                      <w14:alpha w14:val="100000"/>
                    </w14:srgbClr>
                  </w14:solidFill>
                </w14:textFill>
              </w:rPr>
              <w:t>|</w:t>
            </w:r>
            <w:r w:rsidR="001B07FE">
              <w:rPr>
                <w:vertAlign w:val="superscript"/>
              </w:rPr>
              <w:t>4</w:t>
            </w:r>
          </w:p>
        </w:tc>
        <w:tc>
          <w:tcPr>
            <w:tcW w:w="611" w:type="pct"/>
            <w:tcBorders>
              <w:top w:val="nil"/>
            </w:tcBorders>
            <w:shd w:val="clear" w:color="auto" w:fill="auto"/>
          </w:tcPr>
          <w:p w14:paraId="48068380" w14:textId="771DA023"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53"/>
                <w14:textFill>
                  <w14:solidFill>
                    <w14:srgbClr w14:val="000000">
                      <w14:alpha w14:val="100000"/>
                    </w14:srgbClr>
                  </w14:solidFill>
                </w14:textFill>
              </w:rPr>
              <w:t>|||</w:t>
            </w:r>
            <w:r w:rsidRPr="00632DCB">
              <w:rPr>
                <w:color w:val="000000"/>
                <w:spacing w:val="1"/>
                <w:shd w:val="solid" w:color="000000" w:fill="000000"/>
                <w:fitText w:val="330" w:id="-1032088053"/>
                <w14:textFill>
                  <w14:solidFill>
                    <w14:srgbClr w14:val="000000">
                      <w14:alpha w14:val="100000"/>
                    </w14:srgbClr>
                  </w14:solidFill>
                </w14:textFill>
              </w:rPr>
              <w:t>|</w:t>
            </w:r>
            <w:r w:rsidR="00B64402">
              <w:rPr>
                <w:vertAlign w:val="superscript"/>
              </w:rPr>
              <w:t>5</w:t>
            </w:r>
          </w:p>
        </w:tc>
        <w:tc>
          <w:tcPr>
            <w:tcW w:w="611" w:type="pct"/>
            <w:tcBorders>
              <w:top w:val="nil"/>
            </w:tcBorders>
            <w:shd w:val="clear" w:color="auto" w:fill="auto"/>
          </w:tcPr>
          <w:p w14:paraId="3CEFB36C" w14:textId="7257171B"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52"/>
                <w14:textFill>
                  <w14:solidFill>
                    <w14:srgbClr w14:val="000000">
                      <w14:alpha w14:val="100000"/>
                    </w14:srgbClr>
                  </w14:solidFill>
                </w14:textFill>
              </w:rPr>
              <w:t>|||</w:t>
            </w:r>
            <w:r w:rsidRPr="00632DCB">
              <w:rPr>
                <w:color w:val="000000"/>
                <w:spacing w:val="1"/>
                <w:shd w:val="solid" w:color="000000" w:fill="000000"/>
                <w:fitText w:val="330" w:id="-1032088052"/>
                <w14:textFill>
                  <w14:solidFill>
                    <w14:srgbClr w14:val="000000">
                      <w14:alpha w14:val="100000"/>
                    </w14:srgbClr>
                  </w14:solidFill>
                </w14:textFill>
              </w:rPr>
              <w:t>|</w:t>
            </w:r>
            <w:r w:rsidR="00B64402">
              <w:rPr>
                <w:vertAlign w:val="superscript"/>
              </w:rPr>
              <w:t>5</w:t>
            </w:r>
          </w:p>
        </w:tc>
        <w:tc>
          <w:tcPr>
            <w:tcW w:w="611" w:type="pct"/>
            <w:tcBorders>
              <w:top w:val="nil"/>
            </w:tcBorders>
            <w:shd w:val="clear" w:color="auto" w:fill="auto"/>
          </w:tcPr>
          <w:p w14:paraId="52C2FB9E" w14:textId="576CE43B"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51"/>
                <w14:textFill>
                  <w14:solidFill>
                    <w14:srgbClr w14:val="000000">
                      <w14:alpha w14:val="100000"/>
                    </w14:srgbClr>
                  </w14:solidFill>
                </w14:textFill>
              </w:rPr>
              <w:t>|||</w:t>
            </w:r>
            <w:r w:rsidRPr="00632DCB">
              <w:rPr>
                <w:color w:val="000000"/>
                <w:spacing w:val="1"/>
                <w:shd w:val="solid" w:color="000000" w:fill="000000"/>
                <w:fitText w:val="330" w:id="-1032088051"/>
                <w14:textFill>
                  <w14:solidFill>
                    <w14:srgbClr w14:val="000000">
                      <w14:alpha w14:val="100000"/>
                    </w14:srgbClr>
                  </w14:solidFill>
                </w14:textFill>
              </w:rPr>
              <w:t>|</w:t>
            </w:r>
            <w:r w:rsidR="00B64402">
              <w:rPr>
                <w:vertAlign w:val="superscript"/>
              </w:rPr>
              <w:t>5</w:t>
            </w:r>
          </w:p>
        </w:tc>
        <w:tc>
          <w:tcPr>
            <w:tcW w:w="611" w:type="pct"/>
            <w:tcBorders>
              <w:top w:val="nil"/>
            </w:tcBorders>
            <w:shd w:val="clear" w:color="auto" w:fill="auto"/>
          </w:tcPr>
          <w:p w14:paraId="1D3BBDE2" w14:textId="16FE7B70"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8050"/>
                <w14:textFill>
                  <w14:solidFill>
                    <w14:srgbClr w14:val="000000">
                      <w14:alpha w14:val="100000"/>
                    </w14:srgbClr>
                  </w14:solidFill>
                </w14:textFill>
              </w:rPr>
              <w:t>|||</w:t>
            </w:r>
            <w:r w:rsidRPr="00632DCB">
              <w:rPr>
                <w:color w:val="000000"/>
                <w:spacing w:val="1"/>
                <w:shd w:val="solid" w:color="000000" w:fill="000000"/>
                <w:fitText w:val="330" w:id="-1032088050"/>
                <w14:textFill>
                  <w14:solidFill>
                    <w14:srgbClr w14:val="000000">
                      <w14:alpha w14:val="100000"/>
                    </w14:srgbClr>
                  </w14:solidFill>
                </w14:textFill>
              </w:rPr>
              <w:t>|</w:t>
            </w:r>
            <w:r w:rsidR="00B64402">
              <w:rPr>
                <w:vertAlign w:val="superscript"/>
              </w:rPr>
              <w:t>5</w:t>
            </w:r>
          </w:p>
        </w:tc>
        <w:tc>
          <w:tcPr>
            <w:tcW w:w="611" w:type="pct"/>
            <w:tcBorders>
              <w:top w:val="nil"/>
            </w:tcBorders>
          </w:tcPr>
          <w:p w14:paraId="17F046A5" w14:textId="142C3EFE"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49"/>
                <w14:textFill>
                  <w14:solidFill>
                    <w14:srgbClr w14:val="000000">
                      <w14:alpha w14:val="100000"/>
                    </w14:srgbClr>
                  </w14:solidFill>
                </w14:textFill>
              </w:rPr>
              <w:t>|||</w:t>
            </w:r>
            <w:r w:rsidRPr="00632DCB">
              <w:rPr>
                <w:color w:val="000000"/>
                <w:spacing w:val="1"/>
                <w:shd w:val="solid" w:color="000000" w:fill="000000"/>
                <w:fitText w:val="330" w:id="-1032088049"/>
                <w14:textFill>
                  <w14:solidFill>
                    <w14:srgbClr w14:val="000000">
                      <w14:alpha w14:val="100000"/>
                    </w14:srgbClr>
                  </w14:solidFill>
                </w14:textFill>
              </w:rPr>
              <w:t>|</w:t>
            </w:r>
            <w:r w:rsidR="00B64402">
              <w:rPr>
                <w:vertAlign w:val="superscript"/>
              </w:rPr>
              <w:t>6</w:t>
            </w:r>
          </w:p>
        </w:tc>
      </w:tr>
      <w:tr w:rsidR="00883096" w:rsidRPr="00743512" w14:paraId="469C7149" w14:textId="77777777" w:rsidTr="004F5B47">
        <w:tc>
          <w:tcPr>
            <w:tcW w:w="5000" w:type="pct"/>
            <w:gridSpan w:val="7"/>
            <w:tcBorders>
              <w:bottom w:val="single" w:sz="4" w:space="0" w:color="auto"/>
            </w:tcBorders>
            <w:shd w:val="clear" w:color="auto" w:fill="B8CCE4" w:themeFill="accent1" w:themeFillTint="66"/>
            <w:vAlign w:val="center"/>
          </w:tcPr>
          <w:p w14:paraId="6F666779" w14:textId="77777777" w:rsidR="00883096" w:rsidRPr="00743512" w:rsidRDefault="00883096" w:rsidP="004F5B47">
            <w:pPr>
              <w:pStyle w:val="In-tableHeading"/>
              <w:rPr>
                <w:lang w:val="en-AU"/>
              </w:rPr>
            </w:pPr>
            <w:r w:rsidRPr="00743512">
              <w:rPr>
                <w:lang w:val="en-AU"/>
              </w:rPr>
              <w:t>Previous submission (March 2023 PBAC meeting)</w:t>
            </w:r>
          </w:p>
        </w:tc>
      </w:tr>
      <w:tr w:rsidR="00883096" w:rsidRPr="00743512" w14:paraId="7352098E" w14:textId="77777777" w:rsidTr="004F5B47">
        <w:tc>
          <w:tcPr>
            <w:tcW w:w="1334" w:type="pct"/>
            <w:tcBorders>
              <w:bottom w:val="nil"/>
            </w:tcBorders>
            <w:shd w:val="clear" w:color="auto" w:fill="B8CCE4" w:themeFill="accent1" w:themeFillTint="66"/>
            <w:vAlign w:val="center"/>
          </w:tcPr>
          <w:p w14:paraId="7AB2DFBF" w14:textId="77777777" w:rsidR="00883096" w:rsidRPr="00743512" w:rsidRDefault="00883096" w:rsidP="004F5B47">
            <w:pPr>
              <w:pStyle w:val="TableText0"/>
              <w:rPr>
                <w:sz w:val="19"/>
                <w:szCs w:val="19"/>
              </w:rPr>
            </w:pPr>
            <w:r w:rsidRPr="00743512">
              <w:t>Number of patients treated</w:t>
            </w:r>
          </w:p>
        </w:tc>
        <w:tc>
          <w:tcPr>
            <w:tcW w:w="611" w:type="pct"/>
            <w:tcBorders>
              <w:bottom w:val="nil"/>
            </w:tcBorders>
            <w:shd w:val="clear" w:color="auto" w:fill="B8CCE4" w:themeFill="accent1" w:themeFillTint="66"/>
          </w:tcPr>
          <w:p w14:paraId="3B3EA79C" w14:textId="117A930A"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48"/>
                <w14:textFill>
                  <w14:solidFill>
                    <w14:srgbClr w14:val="000000">
                      <w14:alpha w14:val="100000"/>
                    </w14:srgbClr>
                  </w14:solidFill>
                </w14:textFill>
              </w:rPr>
              <w:t>|||</w:t>
            </w:r>
            <w:r w:rsidRPr="00632DCB">
              <w:rPr>
                <w:color w:val="000000"/>
                <w:spacing w:val="1"/>
                <w:shd w:val="solid" w:color="000000" w:fill="000000"/>
                <w:fitText w:val="330" w:id="-1032088048"/>
                <w14:textFill>
                  <w14:solidFill>
                    <w14:srgbClr w14:val="000000">
                      <w14:alpha w14:val="100000"/>
                    </w14:srgbClr>
                  </w14:solidFill>
                </w14:textFill>
              </w:rPr>
              <w:t>|</w:t>
            </w:r>
            <w:r w:rsidR="001B07FE" w:rsidRPr="00572963">
              <w:rPr>
                <w:vertAlign w:val="superscript"/>
              </w:rPr>
              <w:t>1</w:t>
            </w:r>
          </w:p>
        </w:tc>
        <w:tc>
          <w:tcPr>
            <w:tcW w:w="611" w:type="pct"/>
            <w:tcBorders>
              <w:bottom w:val="nil"/>
            </w:tcBorders>
            <w:shd w:val="clear" w:color="auto" w:fill="B8CCE4" w:themeFill="accent1" w:themeFillTint="66"/>
          </w:tcPr>
          <w:p w14:paraId="6DB0E403" w14:textId="06520B8D"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4"/>
                <w14:textFill>
                  <w14:solidFill>
                    <w14:srgbClr w14:val="000000">
                      <w14:alpha w14:val="100000"/>
                    </w14:srgbClr>
                  </w14:solidFill>
                </w14:textFill>
              </w:rPr>
              <w:t>|||</w:t>
            </w:r>
            <w:r w:rsidRPr="00632DCB">
              <w:rPr>
                <w:color w:val="000000"/>
                <w:spacing w:val="1"/>
                <w:shd w:val="solid" w:color="000000" w:fill="000000"/>
                <w:fitText w:val="330" w:id="-1032088064"/>
                <w14:textFill>
                  <w14:solidFill>
                    <w14:srgbClr w14:val="000000">
                      <w14:alpha w14:val="100000"/>
                    </w14:srgbClr>
                  </w14:solidFill>
                </w14:textFill>
              </w:rPr>
              <w:t>|</w:t>
            </w:r>
            <w:r w:rsidR="001B07FE" w:rsidRPr="00572963">
              <w:rPr>
                <w:vertAlign w:val="superscript"/>
              </w:rPr>
              <w:t>1</w:t>
            </w:r>
          </w:p>
        </w:tc>
        <w:tc>
          <w:tcPr>
            <w:tcW w:w="611" w:type="pct"/>
            <w:tcBorders>
              <w:bottom w:val="nil"/>
            </w:tcBorders>
            <w:shd w:val="clear" w:color="auto" w:fill="B8CCE4" w:themeFill="accent1" w:themeFillTint="66"/>
          </w:tcPr>
          <w:p w14:paraId="362826D9" w14:textId="785F4ABE"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3"/>
                <w14:textFill>
                  <w14:solidFill>
                    <w14:srgbClr w14:val="000000">
                      <w14:alpha w14:val="100000"/>
                    </w14:srgbClr>
                  </w14:solidFill>
                </w14:textFill>
              </w:rPr>
              <w:t>|||</w:t>
            </w:r>
            <w:r w:rsidRPr="00632DCB">
              <w:rPr>
                <w:color w:val="000000"/>
                <w:spacing w:val="1"/>
                <w:shd w:val="solid" w:color="000000" w:fill="000000"/>
                <w:fitText w:val="330" w:id="-1032088063"/>
                <w14:textFill>
                  <w14:solidFill>
                    <w14:srgbClr w14:val="000000">
                      <w14:alpha w14:val="100000"/>
                    </w14:srgbClr>
                  </w14:solidFill>
                </w14:textFill>
              </w:rPr>
              <w:t>|</w:t>
            </w:r>
            <w:r w:rsidR="001B07FE" w:rsidRPr="00572963">
              <w:rPr>
                <w:vertAlign w:val="superscript"/>
              </w:rPr>
              <w:t>1</w:t>
            </w:r>
          </w:p>
        </w:tc>
        <w:tc>
          <w:tcPr>
            <w:tcW w:w="611" w:type="pct"/>
            <w:tcBorders>
              <w:bottom w:val="nil"/>
            </w:tcBorders>
            <w:shd w:val="clear" w:color="auto" w:fill="B8CCE4" w:themeFill="accent1" w:themeFillTint="66"/>
          </w:tcPr>
          <w:p w14:paraId="3D673211" w14:textId="6302DB08"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2"/>
                <w14:textFill>
                  <w14:solidFill>
                    <w14:srgbClr w14:val="000000">
                      <w14:alpha w14:val="100000"/>
                    </w14:srgbClr>
                  </w14:solidFill>
                </w14:textFill>
              </w:rPr>
              <w:t>|||</w:t>
            </w:r>
            <w:r w:rsidRPr="00632DCB">
              <w:rPr>
                <w:color w:val="000000"/>
                <w:spacing w:val="1"/>
                <w:shd w:val="solid" w:color="000000" w:fill="000000"/>
                <w:fitText w:val="330" w:id="-1032088062"/>
                <w14:textFill>
                  <w14:solidFill>
                    <w14:srgbClr w14:val="000000">
                      <w14:alpha w14:val="100000"/>
                    </w14:srgbClr>
                  </w14:solidFill>
                </w14:textFill>
              </w:rPr>
              <w:t>|</w:t>
            </w:r>
            <w:r w:rsidR="001B07FE" w:rsidRPr="00572963">
              <w:rPr>
                <w:vertAlign w:val="superscript"/>
              </w:rPr>
              <w:t>1</w:t>
            </w:r>
          </w:p>
        </w:tc>
        <w:tc>
          <w:tcPr>
            <w:tcW w:w="611" w:type="pct"/>
            <w:tcBorders>
              <w:bottom w:val="nil"/>
            </w:tcBorders>
            <w:shd w:val="clear" w:color="auto" w:fill="B8CCE4" w:themeFill="accent1" w:themeFillTint="66"/>
          </w:tcPr>
          <w:p w14:paraId="3AF88AD8" w14:textId="46D010D2"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1"/>
                <w14:textFill>
                  <w14:solidFill>
                    <w14:srgbClr w14:val="000000">
                      <w14:alpha w14:val="100000"/>
                    </w14:srgbClr>
                  </w14:solidFill>
                </w14:textFill>
              </w:rPr>
              <w:t>|||</w:t>
            </w:r>
            <w:r w:rsidRPr="00632DCB">
              <w:rPr>
                <w:color w:val="000000"/>
                <w:spacing w:val="1"/>
                <w:shd w:val="solid" w:color="000000" w:fill="000000"/>
                <w:fitText w:val="330" w:id="-1032088061"/>
                <w14:textFill>
                  <w14:solidFill>
                    <w14:srgbClr w14:val="000000">
                      <w14:alpha w14:val="100000"/>
                    </w14:srgbClr>
                  </w14:solidFill>
                </w14:textFill>
              </w:rPr>
              <w:t>|</w:t>
            </w:r>
            <w:r w:rsidR="001B07FE" w:rsidRPr="00572963">
              <w:rPr>
                <w:vertAlign w:val="superscript"/>
              </w:rPr>
              <w:t>1</w:t>
            </w:r>
          </w:p>
        </w:tc>
        <w:tc>
          <w:tcPr>
            <w:tcW w:w="611" w:type="pct"/>
            <w:tcBorders>
              <w:bottom w:val="nil"/>
            </w:tcBorders>
            <w:shd w:val="clear" w:color="auto" w:fill="B8CCE4" w:themeFill="accent1" w:themeFillTint="66"/>
          </w:tcPr>
          <w:p w14:paraId="6BF3640C" w14:textId="7AEB6127"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60"/>
                <w14:textFill>
                  <w14:solidFill>
                    <w14:srgbClr w14:val="000000">
                      <w14:alpha w14:val="100000"/>
                    </w14:srgbClr>
                  </w14:solidFill>
                </w14:textFill>
              </w:rPr>
              <w:t>|||</w:t>
            </w:r>
            <w:r w:rsidRPr="00632DCB">
              <w:rPr>
                <w:color w:val="000000"/>
                <w:spacing w:val="1"/>
                <w:shd w:val="solid" w:color="000000" w:fill="000000"/>
                <w:fitText w:val="330" w:id="-1032088060"/>
                <w14:textFill>
                  <w14:solidFill>
                    <w14:srgbClr w14:val="000000">
                      <w14:alpha w14:val="100000"/>
                    </w14:srgbClr>
                  </w14:solidFill>
                </w14:textFill>
              </w:rPr>
              <w:t>|</w:t>
            </w:r>
            <w:r w:rsidR="001B07FE" w:rsidRPr="00572963">
              <w:rPr>
                <w:vertAlign w:val="superscript"/>
              </w:rPr>
              <w:t>1</w:t>
            </w:r>
          </w:p>
        </w:tc>
      </w:tr>
      <w:tr w:rsidR="00883096" w:rsidRPr="00743512" w14:paraId="45E7EB35" w14:textId="77777777" w:rsidTr="004F5B47">
        <w:tc>
          <w:tcPr>
            <w:tcW w:w="1334" w:type="pct"/>
            <w:tcBorders>
              <w:bottom w:val="nil"/>
            </w:tcBorders>
            <w:shd w:val="clear" w:color="auto" w:fill="B8CCE4" w:themeFill="accent1" w:themeFillTint="66"/>
            <w:vAlign w:val="center"/>
          </w:tcPr>
          <w:p w14:paraId="2D458DB0" w14:textId="77777777" w:rsidR="00883096" w:rsidRPr="00743512" w:rsidRDefault="00883096" w:rsidP="004F5B47">
            <w:pPr>
              <w:pStyle w:val="TableText0"/>
              <w:rPr>
                <w:sz w:val="19"/>
                <w:szCs w:val="19"/>
              </w:rPr>
            </w:pPr>
            <w:r w:rsidRPr="00743512">
              <w:rPr>
                <w:sz w:val="19"/>
                <w:szCs w:val="19"/>
              </w:rPr>
              <w:t>Net cost to PBS/RPBS</w:t>
            </w:r>
          </w:p>
        </w:tc>
        <w:tc>
          <w:tcPr>
            <w:tcW w:w="611" w:type="pct"/>
            <w:tcBorders>
              <w:bottom w:val="nil"/>
            </w:tcBorders>
            <w:shd w:val="clear" w:color="auto" w:fill="B8CCE4" w:themeFill="accent1" w:themeFillTint="66"/>
          </w:tcPr>
          <w:p w14:paraId="60597193" w14:textId="4A137905"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9"/>
                <w14:textFill>
                  <w14:solidFill>
                    <w14:srgbClr w14:val="000000">
                      <w14:alpha w14:val="100000"/>
                    </w14:srgbClr>
                  </w14:solidFill>
                </w14:textFill>
              </w:rPr>
              <w:t>|||</w:t>
            </w:r>
            <w:r w:rsidRPr="00632DCB">
              <w:rPr>
                <w:color w:val="000000"/>
                <w:spacing w:val="1"/>
                <w:shd w:val="solid" w:color="000000" w:fill="000000"/>
                <w:fitText w:val="330" w:id="-1032088059"/>
                <w14:textFill>
                  <w14:solidFill>
                    <w14:srgbClr w14:val="000000">
                      <w14:alpha w14:val="100000"/>
                    </w14:srgbClr>
                  </w14:solidFill>
                </w14:textFill>
              </w:rPr>
              <w:t>|</w:t>
            </w:r>
            <w:r w:rsidR="007816BC" w:rsidRPr="007816BC">
              <w:rPr>
                <w:vertAlign w:val="superscript"/>
              </w:rPr>
              <w:t>7</w:t>
            </w:r>
          </w:p>
        </w:tc>
        <w:tc>
          <w:tcPr>
            <w:tcW w:w="611" w:type="pct"/>
            <w:tcBorders>
              <w:bottom w:val="nil"/>
            </w:tcBorders>
            <w:shd w:val="clear" w:color="auto" w:fill="B8CCE4" w:themeFill="accent1" w:themeFillTint="66"/>
          </w:tcPr>
          <w:p w14:paraId="62671008" w14:textId="687583F3"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8"/>
                <w14:textFill>
                  <w14:solidFill>
                    <w14:srgbClr w14:val="000000">
                      <w14:alpha w14:val="100000"/>
                    </w14:srgbClr>
                  </w14:solidFill>
                </w14:textFill>
              </w:rPr>
              <w:t>|||</w:t>
            </w:r>
            <w:r w:rsidRPr="00632DCB">
              <w:rPr>
                <w:color w:val="000000"/>
                <w:spacing w:val="1"/>
                <w:shd w:val="solid" w:color="000000" w:fill="000000"/>
                <w:fitText w:val="330" w:id="-1032088058"/>
                <w14:textFill>
                  <w14:solidFill>
                    <w14:srgbClr w14:val="000000">
                      <w14:alpha w14:val="100000"/>
                    </w14:srgbClr>
                  </w14:solidFill>
                </w14:textFill>
              </w:rPr>
              <w:t>|</w:t>
            </w:r>
            <w:r w:rsidR="00B64402">
              <w:rPr>
                <w:vertAlign w:val="superscript"/>
              </w:rPr>
              <w:t>5</w:t>
            </w:r>
          </w:p>
        </w:tc>
        <w:tc>
          <w:tcPr>
            <w:tcW w:w="611" w:type="pct"/>
            <w:tcBorders>
              <w:bottom w:val="nil"/>
            </w:tcBorders>
            <w:shd w:val="clear" w:color="auto" w:fill="B8CCE4" w:themeFill="accent1" w:themeFillTint="66"/>
          </w:tcPr>
          <w:p w14:paraId="26DEF7DF" w14:textId="343AC955"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7"/>
                <w14:textFill>
                  <w14:solidFill>
                    <w14:srgbClr w14:val="000000">
                      <w14:alpha w14:val="100000"/>
                    </w14:srgbClr>
                  </w14:solidFill>
                </w14:textFill>
              </w:rPr>
              <w:t>|||</w:t>
            </w:r>
            <w:r w:rsidRPr="00632DCB">
              <w:rPr>
                <w:color w:val="000000"/>
                <w:spacing w:val="1"/>
                <w:shd w:val="solid" w:color="000000" w:fill="000000"/>
                <w:fitText w:val="330" w:id="-1032088057"/>
                <w14:textFill>
                  <w14:solidFill>
                    <w14:srgbClr w14:val="000000">
                      <w14:alpha w14:val="100000"/>
                    </w14:srgbClr>
                  </w14:solidFill>
                </w14:textFill>
              </w:rPr>
              <w:t>|</w:t>
            </w:r>
            <w:r w:rsidR="00475E3E">
              <w:rPr>
                <w:vertAlign w:val="superscript"/>
              </w:rPr>
              <w:t>6</w:t>
            </w:r>
          </w:p>
        </w:tc>
        <w:tc>
          <w:tcPr>
            <w:tcW w:w="611" w:type="pct"/>
            <w:tcBorders>
              <w:bottom w:val="nil"/>
            </w:tcBorders>
            <w:shd w:val="clear" w:color="auto" w:fill="B8CCE4" w:themeFill="accent1" w:themeFillTint="66"/>
          </w:tcPr>
          <w:p w14:paraId="52D7EE3E" w14:textId="0D244A72"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8056"/>
                <w14:textFill>
                  <w14:solidFill>
                    <w14:srgbClr w14:val="000000">
                      <w14:alpha w14:val="100000"/>
                    </w14:srgbClr>
                  </w14:solidFill>
                </w14:textFill>
              </w:rPr>
              <w:t>|||</w:t>
            </w:r>
            <w:r w:rsidRPr="00632DCB">
              <w:rPr>
                <w:color w:val="000000"/>
                <w:spacing w:val="1"/>
                <w:shd w:val="solid" w:color="000000" w:fill="000000"/>
                <w:fitText w:val="330" w:id="-1032088056"/>
                <w14:textFill>
                  <w14:solidFill>
                    <w14:srgbClr w14:val="000000">
                      <w14:alpha w14:val="100000"/>
                    </w14:srgbClr>
                  </w14:solidFill>
                </w14:textFill>
              </w:rPr>
              <w:t>|</w:t>
            </w:r>
            <w:r w:rsidR="00475E3E">
              <w:rPr>
                <w:vertAlign w:val="superscript"/>
              </w:rPr>
              <w:t>6</w:t>
            </w:r>
          </w:p>
        </w:tc>
        <w:tc>
          <w:tcPr>
            <w:tcW w:w="611" w:type="pct"/>
            <w:tcBorders>
              <w:bottom w:val="nil"/>
            </w:tcBorders>
            <w:shd w:val="clear" w:color="auto" w:fill="B8CCE4" w:themeFill="accent1" w:themeFillTint="66"/>
          </w:tcPr>
          <w:p w14:paraId="40DB9E42" w14:textId="6128DA5F"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7808"/>
                <w14:textFill>
                  <w14:solidFill>
                    <w14:srgbClr w14:val="000000">
                      <w14:alpha w14:val="100000"/>
                    </w14:srgbClr>
                  </w14:solidFill>
                </w14:textFill>
              </w:rPr>
              <w:t>|||</w:t>
            </w:r>
            <w:r w:rsidRPr="00632DCB">
              <w:rPr>
                <w:color w:val="000000"/>
                <w:spacing w:val="1"/>
                <w:shd w:val="solid" w:color="000000" w:fill="000000"/>
                <w:fitText w:val="330" w:id="-1032087808"/>
                <w14:textFill>
                  <w14:solidFill>
                    <w14:srgbClr w14:val="000000">
                      <w14:alpha w14:val="100000"/>
                    </w14:srgbClr>
                  </w14:solidFill>
                </w14:textFill>
              </w:rPr>
              <w:t>|</w:t>
            </w:r>
            <w:r w:rsidR="00475E3E">
              <w:rPr>
                <w:vertAlign w:val="superscript"/>
              </w:rPr>
              <w:t>6</w:t>
            </w:r>
          </w:p>
        </w:tc>
        <w:tc>
          <w:tcPr>
            <w:tcW w:w="611" w:type="pct"/>
            <w:tcBorders>
              <w:bottom w:val="nil"/>
            </w:tcBorders>
            <w:shd w:val="clear" w:color="auto" w:fill="B8CCE4" w:themeFill="accent1" w:themeFillTint="66"/>
          </w:tcPr>
          <w:p w14:paraId="44532CBB" w14:textId="01E861D0"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7807"/>
                <w14:textFill>
                  <w14:solidFill>
                    <w14:srgbClr w14:val="000000">
                      <w14:alpha w14:val="100000"/>
                    </w14:srgbClr>
                  </w14:solidFill>
                </w14:textFill>
              </w:rPr>
              <w:t>|||</w:t>
            </w:r>
            <w:r w:rsidRPr="00632DCB">
              <w:rPr>
                <w:color w:val="000000"/>
                <w:spacing w:val="1"/>
                <w:shd w:val="solid" w:color="000000" w:fill="000000"/>
                <w:fitText w:val="330" w:id="-1032087807"/>
                <w14:textFill>
                  <w14:solidFill>
                    <w14:srgbClr w14:val="000000">
                      <w14:alpha w14:val="100000"/>
                    </w14:srgbClr>
                  </w14:solidFill>
                </w14:textFill>
              </w:rPr>
              <w:t>|</w:t>
            </w:r>
            <w:r w:rsidR="00475E3E">
              <w:rPr>
                <w:vertAlign w:val="superscript"/>
              </w:rPr>
              <w:t>6</w:t>
            </w:r>
          </w:p>
        </w:tc>
      </w:tr>
      <w:tr w:rsidR="00883096" w:rsidRPr="00743512" w14:paraId="553560C7" w14:textId="77777777" w:rsidTr="004F5B47">
        <w:tc>
          <w:tcPr>
            <w:tcW w:w="1334" w:type="pct"/>
            <w:tcBorders>
              <w:top w:val="nil"/>
            </w:tcBorders>
            <w:shd w:val="clear" w:color="auto" w:fill="B8CCE4" w:themeFill="accent1" w:themeFillTint="66"/>
            <w:vAlign w:val="center"/>
          </w:tcPr>
          <w:p w14:paraId="6D3731F5" w14:textId="77777777" w:rsidR="00883096" w:rsidRPr="00743512" w:rsidRDefault="00883096" w:rsidP="004F5B47">
            <w:pPr>
              <w:pStyle w:val="TableText0"/>
              <w:ind w:firstLine="164"/>
              <w:rPr>
                <w:i/>
                <w:iCs/>
                <w:sz w:val="19"/>
                <w:szCs w:val="19"/>
              </w:rPr>
            </w:pPr>
            <w:r w:rsidRPr="00743512">
              <w:rPr>
                <w:sz w:val="19"/>
                <w:szCs w:val="19"/>
              </w:rPr>
              <w:t xml:space="preserve">Revised </w:t>
            </w:r>
            <w:r w:rsidRPr="00743512">
              <w:rPr>
                <w:sz w:val="19"/>
                <w:szCs w:val="19"/>
                <w:vertAlign w:val="superscript"/>
              </w:rPr>
              <w:t>e</w:t>
            </w:r>
          </w:p>
        </w:tc>
        <w:tc>
          <w:tcPr>
            <w:tcW w:w="611" w:type="pct"/>
            <w:tcBorders>
              <w:top w:val="nil"/>
            </w:tcBorders>
            <w:shd w:val="clear" w:color="auto" w:fill="B8CCE4" w:themeFill="accent1" w:themeFillTint="66"/>
          </w:tcPr>
          <w:p w14:paraId="79847ECF" w14:textId="7780418A"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7806"/>
                <w14:textFill>
                  <w14:solidFill>
                    <w14:srgbClr w14:val="000000">
                      <w14:alpha w14:val="100000"/>
                    </w14:srgbClr>
                  </w14:solidFill>
                </w14:textFill>
              </w:rPr>
              <w:t>|||</w:t>
            </w:r>
            <w:r w:rsidRPr="00632DCB">
              <w:rPr>
                <w:color w:val="000000"/>
                <w:spacing w:val="1"/>
                <w:shd w:val="solid" w:color="000000" w:fill="000000"/>
                <w:fitText w:val="330" w:id="-1032087806"/>
                <w14:textFill>
                  <w14:solidFill>
                    <w14:srgbClr w14:val="000000">
                      <w14:alpha w14:val="100000"/>
                    </w14:srgbClr>
                  </w14:solidFill>
                </w14:textFill>
              </w:rPr>
              <w:t>|</w:t>
            </w:r>
            <w:r w:rsidR="00475E3E">
              <w:rPr>
                <w:vertAlign w:val="superscript"/>
              </w:rPr>
              <w:t>7</w:t>
            </w:r>
          </w:p>
        </w:tc>
        <w:tc>
          <w:tcPr>
            <w:tcW w:w="611" w:type="pct"/>
            <w:tcBorders>
              <w:top w:val="nil"/>
            </w:tcBorders>
            <w:shd w:val="clear" w:color="auto" w:fill="B8CCE4" w:themeFill="accent1" w:themeFillTint="66"/>
          </w:tcPr>
          <w:p w14:paraId="6B01C04F" w14:textId="2FF8BB3D"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7805"/>
                <w14:textFill>
                  <w14:solidFill>
                    <w14:srgbClr w14:val="000000">
                      <w14:alpha w14:val="100000"/>
                    </w14:srgbClr>
                  </w14:solidFill>
                </w14:textFill>
              </w:rPr>
              <w:t>|||</w:t>
            </w:r>
            <w:r w:rsidRPr="00632DCB">
              <w:rPr>
                <w:color w:val="000000"/>
                <w:spacing w:val="1"/>
                <w:shd w:val="solid" w:color="000000" w:fill="000000"/>
                <w:fitText w:val="330" w:id="-1032087805"/>
                <w14:textFill>
                  <w14:solidFill>
                    <w14:srgbClr w14:val="000000">
                      <w14:alpha w14:val="100000"/>
                    </w14:srgbClr>
                  </w14:solidFill>
                </w14:textFill>
              </w:rPr>
              <w:t>|</w:t>
            </w:r>
            <w:r w:rsidR="00B55917" w:rsidRPr="00B55917">
              <w:rPr>
                <w:vertAlign w:val="superscript"/>
              </w:rPr>
              <w:t>8</w:t>
            </w:r>
          </w:p>
        </w:tc>
        <w:tc>
          <w:tcPr>
            <w:tcW w:w="611" w:type="pct"/>
            <w:tcBorders>
              <w:top w:val="nil"/>
            </w:tcBorders>
            <w:shd w:val="clear" w:color="auto" w:fill="B8CCE4" w:themeFill="accent1" w:themeFillTint="66"/>
          </w:tcPr>
          <w:p w14:paraId="3D3B934E" w14:textId="5AE05484"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7804"/>
                <w14:textFill>
                  <w14:solidFill>
                    <w14:srgbClr w14:val="000000">
                      <w14:alpha w14:val="100000"/>
                    </w14:srgbClr>
                  </w14:solidFill>
                </w14:textFill>
              </w:rPr>
              <w:t>|||</w:t>
            </w:r>
            <w:r w:rsidRPr="00632DCB">
              <w:rPr>
                <w:color w:val="000000"/>
                <w:spacing w:val="1"/>
                <w:shd w:val="solid" w:color="000000" w:fill="000000"/>
                <w:fitText w:val="330" w:id="-1032087804"/>
                <w14:textFill>
                  <w14:solidFill>
                    <w14:srgbClr w14:val="000000">
                      <w14:alpha w14:val="100000"/>
                    </w14:srgbClr>
                  </w14:solidFill>
                </w14:textFill>
              </w:rPr>
              <w:t>|</w:t>
            </w:r>
            <w:r w:rsidR="00E405FF">
              <w:rPr>
                <w:vertAlign w:val="superscript"/>
              </w:rPr>
              <w:t>9</w:t>
            </w:r>
          </w:p>
        </w:tc>
        <w:tc>
          <w:tcPr>
            <w:tcW w:w="611" w:type="pct"/>
            <w:tcBorders>
              <w:top w:val="nil"/>
            </w:tcBorders>
            <w:shd w:val="clear" w:color="auto" w:fill="B8CCE4" w:themeFill="accent1" w:themeFillTint="66"/>
          </w:tcPr>
          <w:p w14:paraId="318EF3E0" w14:textId="26C74706"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7803"/>
                <w14:textFill>
                  <w14:solidFill>
                    <w14:srgbClr w14:val="000000">
                      <w14:alpha w14:val="100000"/>
                    </w14:srgbClr>
                  </w14:solidFill>
                </w14:textFill>
              </w:rPr>
              <w:t>|||</w:t>
            </w:r>
            <w:r w:rsidRPr="00632DCB">
              <w:rPr>
                <w:color w:val="000000"/>
                <w:spacing w:val="1"/>
                <w:shd w:val="solid" w:color="000000" w:fill="000000"/>
                <w:fitText w:val="330" w:id="-1032087803"/>
                <w14:textFill>
                  <w14:solidFill>
                    <w14:srgbClr w14:val="000000">
                      <w14:alpha w14:val="100000"/>
                    </w14:srgbClr>
                  </w14:solidFill>
                </w14:textFill>
              </w:rPr>
              <w:t>|</w:t>
            </w:r>
            <w:r w:rsidR="00E405FF" w:rsidRPr="00E405FF">
              <w:rPr>
                <w:vertAlign w:val="superscript"/>
              </w:rPr>
              <w:t>10</w:t>
            </w:r>
          </w:p>
        </w:tc>
        <w:tc>
          <w:tcPr>
            <w:tcW w:w="611" w:type="pct"/>
            <w:tcBorders>
              <w:top w:val="nil"/>
            </w:tcBorders>
            <w:shd w:val="clear" w:color="auto" w:fill="B8CCE4" w:themeFill="accent1" w:themeFillTint="66"/>
          </w:tcPr>
          <w:p w14:paraId="542E985D" w14:textId="6631104D" w:rsidR="00883096" w:rsidRPr="00B5747F" w:rsidRDefault="00632DCB" w:rsidP="00B5747F">
            <w:pPr>
              <w:pStyle w:val="TableText0"/>
              <w:rPr>
                <w:i/>
                <w:iCs/>
                <w:highlight w:val="darkGray"/>
              </w:rPr>
            </w:pPr>
            <w:r>
              <w:t xml:space="preserve"> </w:t>
            </w:r>
            <w:r w:rsidRPr="00632DCB">
              <w:rPr>
                <w:color w:val="000000"/>
                <w:spacing w:val="53"/>
                <w:shd w:val="solid" w:color="000000" w:fill="000000"/>
                <w:fitText w:val="330" w:id="-1032087802"/>
                <w14:textFill>
                  <w14:solidFill>
                    <w14:srgbClr w14:val="000000">
                      <w14:alpha w14:val="100000"/>
                    </w14:srgbClr>
                  </w14:solidFill>
                </w14:textFill>
              </w:rPr>
              <w:t>|||</w:t>
            </w:r>
            <w:r w:rsidRPr="00632DCB">
              <w:rPr>
                <w:color w:val="000000"/>
                <w:spacing w:val="1"/>
                <w:shd w:val="solid" w:color="000000" w:fill="000000"/>
                <w:fitText w:val="330" w:id="-1032087802"/>
                <w14:textFill>
                  <w14:solidFill>
                    <w14:srgbClr w14:val="000000">
                      <w14:alpha w14:val="100000"/>
                    </w14:srgbClr>
                  </w14:solidFill>
                </w14:textFill>
              </w:rPr>
              <w:t>|</w:t>
            </w:r>
            <w:r w:rsidR="00E405FF" w:rsidRPr="00E405FF">
              <w:rPr>
                <w:vertAlign w:val="superscript"/>
              </w:rPr>
              <w:t>10</w:t>
            </w:r>
          </w:p>
        </w:tc>
        <w:tc>
          <w:tcPr>
            <w:tcW w:w="611" w:type="pct"/>
            <w:tcBorders>
              <w:top w:val="nil"/>
            </w:tcBorders>
            <w:shd w:val="clear" w:color="auto" w:fill="B8CCE4" w:themeFill="accent1" w:themeFillTint="66"/>
          </w:tcPr>
          <w:p w14:paraId="1A980646" w14:textId="00DCFF62" w:rsidR="00883096" w:rsidRPr="00B5747F" w:rsidRDefault="00632DCB" w:rsidP="00B5747F">
            <w:pPr>
              <w:pStyle w:val="TableText0"/>
              <w:rPr>
                <w:highlight w:val="darkGray"/>
              </w:rPr>
            </w:pPr>
            <w:r>
              <w:t xml:space="preserve"> </w:t>
            </w:r>
            <w:r w:rsidRPr="00632DCB">
              <w:rPr>
                <w:color w:val="000000"/>
                <w:spacing w:val="53"/>
                <w:shd w:val="solid" w:color="000000" w:fill="000000"/>
                <w:fitText w:val="330" w:id="-1032087801"/>
                <w14:textFill>
                  <w14:solidFill>
                    <w14:srgbClr w14:val="000000">
                      <w14:alpha w14:val="100000"/>
                    </w14:srgbClr>
                  </w14:solidFill>
                </w14:textFill>
              </w:rPr>
              <w:t>|||</w:t>
            </w:r>
            <w:r w:rsidRPr="00632DCB">
              <w:rPr>
                <w:color w:val="000000"/>
                <w:spacing w:val="1"/>
                <w:shd w:val="solid" w:color="000000" w:fill="000000"/>
                <w:fitText w:val="330" w:id="-1032087801"/>
                <w14:textFill>
                  <w14:solidFill>
                    <w14:srgbClr w14:val="000000">
                      <w14:alpha w14:val="100000"/>
                    </w14:srgbClr>
                  </w14:solidFill>
                </w14:textFill>
              </w:rPr>
              <w:t>|</w:t>
            </w:r>
            <w:r w:rsidR="00E405FF" w:rsidRPr="00E405FF">
              <w:rPr>
                <w:vertAlign w:val="superscript"/>
              </w:rPr>
              <w:t>10</w:t>
            </w:r>
          </w:p>
        </w:tc>
      </w:tr>
    </w:tbl>
    <w:p w14:paraId="7BCE98B7" w14:textId="77777777" w:rsidR="00883096" w:rsidRPr="00743512" w:rsidRDefault="00883096" w:rsidP="00883096">
      <w:pPr>
        <w:pStyle w:val="FooterTableFigure"/>
      </w:pPr>
      <w:r w:rsidRPr="00743512">
        <w:t>Source: Constructed during the evaluation from Section 4 of the resubmission and from the ‘Att_4.1_OlympiA UCM_AZ Resubmission_FINAL.xlsx’ file.</w:t>
      </w:r>
    </w:p>
    <w:bookmarkEnd w:id="107"/>
    <w:p w14:paraId="3FC5B04C" w14:textId="77777777" w:rsidR="00883096" w:rsidRPr="00743512" w:rsidRDefault="00883096" w:rsidP="00883096">
      <w:pPr>
        <w:pStyle w:val="FooterTableFigure"/>
      </w:pPr>
      <w:r w:rsidRPr="00743512">
        <w:rPr>
          <w:vertAlign w:val="superscript"/>
        </w:rPr>
        <w:t>a</w:t>
      </w:r>
      <w:r w:rsidRPr="00743512">
        <w:t xml:space="preserve"> Revised to reflect the incremental number of relatives tested due to the listing of olaparib.</w:t>
      </w:r>
    </w:p>
    <w:p w14:paraId="1E092B5A" w14:textId="5EA03082" w:rsidR="00883096" w:rsidRPr="00743512" w:rsidRDefault="00883096" w:rsidP="00883096">
      <w:pPr>
        <w:pStyle w:val="FooterTableFigure"/>
      </w:pPr>
      <w:r w:rsidRPr="00743512">
        <w:rPr>
          <w:vertAlign w:val="superscript"/>
        </w:rPr>
        <w:t>b</w:t>
      </w:r>
      <w:r w:rsidRPr="00743512">
        <w:t xml:space="preserve"> Assuming 10.54 scripts per patient as estimated by the resubmission</w:t>
      </w:r>
      <w:r w:rsidR="00F4781C" w:rsidRPr="00743512">
        <w:t xml:space="preserve"> (9.7 months </w:t>
      </w:r>
      <w:r w:rsidR="00F4781C" w:rsidRPr="00743512">
        <w:rPr>
          <w:rFonts w:cs="Calibri"/>
        </w:rPr>
        <w:t>×</w:t>
      </w:r>
      <w:r w:rsidR="00F4781C" w:rsidRPr="00743512">
        <w:t xml:space="preserve"> (365.25 </w:t>
      </w:r>
      <w:r w:rsidR="00F4781C" w:rsidRPr="00743512">
        <w:rPr>
          <w:rFonts w:cs="Calibri"/>
        </w:rPr>
        <w:t>÷</w:t>
      </w:r>
      <w:r w:rsidR="00F4781C" w:rsidRPr="00743512">
        <w:t xml:space="preserve"> 12) = 295 days </w:t>
      </w:r>
      <w:r w:rsidR="00F4781C" w:rsidRPr="00743512">
        <w:rPr>
          <w:rFonts w:cs="Calibri"/>
        </w:rPr>
        <w:t>÷</w:t>
      </w:r>
      <w:r w:rsidR="00F4781C" w:rsidRPr="00743512">
        <w:t xml:space="preserve"> 28 day duration per script = 10.54 scripts)</w:t>
      </w:r>
      <w:r w:rsidRPr="00743512">
        <w:t>.</w:t>
      </w:r>
    </w:p>
    <w:p w14:paraId="60D0EA12" w14:textId="77777777" w:rsidR="00883096" w:rsidRPr="005542C1" w:rsidRDefault="00883096" w:rsidP="00883096">
      <w:pPr>
        <w:pStyle w:val="FooterTableFigure"/>
      </w:pPr>
      <w:r w:rsidRPr="00743512">
        <w:rPr>
          <w:vertAlign w:val="superscript"/>
        </w:rPr>
        <w:t>c</w:t>
      </w:r>
      <w:r w:rsidRPr="00743512">
        <w:t xml:space="preserve"> Assuming a cost to the </w:t>
      </w:r>
      <w:r w:rsidRPr="005542C1">
        <w:t>MBS of $850.00 per additional patient tested. Cascade testing was not included in the base case financial estimates.</w:t>
      </w:r>
    </w:p>
    <w:p w14:paraId="49B08E3A" w14:textId="77777777" w:rsidR="00883096" w:rsidRPr="005542C1" w:rsidRDefault="00883096" w:rsidP="00883096">
      <w:pPr>
        <w:pStyle w:val="FooterTableFigure"/>
      </w:pPr>
      <w:r w:rsidRPr="005542C1">
        <w:rPr>
          <w:vertAlign w:val="superscript"/>
        </w:rPr>
        <w:t>d</w:t>
      </w:r>
      <w:r w:rsidRPr="005542C1">
        <w:t xml:space="preserve"> Revised to assume a schedule fee of $1,200</w:t>
      </w:r>
      <w:r w:rsidRPr="00743512">
        <w:t xml:space="preserve"> per test in incident </w:t>
      </w:r>
      <w:r w:rsidRPr="005542C1">
        <w:t>patients, with 85% rebate applied that accounted for the greatest permissible gap; to include the cost of incremental cascade testing only due to the listing of olaparib; and to assume a schedule fee of $400 per relative tested (based on MBS item 73297)</w:t>
      </w:r>
    </w:p>
    <w:p w14:paraId="154D312C" w14:textId="470CB44B" w:rsidR="00883096" w:rsidRDefault="00883096" w:rsidP="00D57AC2">
      <w:pPr>
        <w:pStyle w:val="FooterTableFigure"/>
        <w:spacing w:after="0"/>
      </w:pPr>
      <w:r w:rsidRPr="005542C1">
        <w:rPr>
          <w:vertAlign w:val="superscript"/>
        </w:rPr>
        <w:t>e</w:t>
      </w:r>
      <w:r w:rsidRPr="005542C1">
        <w:t xml:space="preserve"> The estimates in the previous submission were revised to correct an error that effectively only applied half the number of scripts.</w:t>
      </w:r>
    </w:p>
    <w:p w14:paraId="75380184" w14:textId="08B0B4DE" w:rsidR="00B5747F" w:rsidRDefault="00B5747F" w:rsidP="00D57AC2">
      <w:pPr>
        <w:pStyle w:val="TableFooter"/>
        <w:keepNext/>
        <w:tabs>
          <w:tab w:val="left" w:pos="142"/>
        </w:tabs>
        <w:rPr>
          <w:bCs/>
          <w:i/>
          <w:iCs/>
        </w:rPr>
      </w:pPr>
      <w:bookmarkStart w:id="109" w:name="_Hlk155607473"/>
      <w:r w:rsidRPr="001E19B2">
        <w:rPr>
          <w:bCs/>
          <w:i/>
          <w:iCs/>
        </w:rPr>
        <w:t>The redacted values correspond to the following ranges:</w:t>
      </w:r>
    </w:p>
    <w:p w14:paraId="3C439509" w14:textId="3F5A10B8" w:rsidR="001B07FE" w:rsidRPr="001B07FE" w:rsidRDefault="001B07FE" w:rsidP="00D57AC2">
      <w:pPr>
        <w:pStyle w:val="TableFooter"/>
        <w:rPr>
          <w:bCs/>
          <w:i/>
          <w:iCs/>
        </w:rPr>
      </w:pPr>
      <w:r w:rsidRPr="001B07FE">
        <w:rPr>
          <w:bCs/>
          <w:i/>
          <w:iCs/>
          <w:vertAlign w:val="superscript"/>
        </w:rPr>
        <w:t>1</w:t>
      </w:r>
      <w:r w:rsidR="002D5411">
        <w:rPr>
          <w:bCs/>
          <w:i/>
          <w:iCs/>
          <w:vertAlign w:val="superscript"/>
        </w:rPr>
        <w:t xml:space="preserve"> </w:t>
      </w:r>
      <w:r w:rsidRPr="001B07FE">
        <w:rPr>
          <w:bCs/>
          <w:i/>
          <w:iCs/>
        </w:rPr>
        <w:t>500 to &lt; 5,000</w:t>
      </w:r>
    </w:p>
    <w:p w14:paraId="054249B7" w14:textId="77777777" w:rsidR="001B07FE" w:rsidRPr="001B07FE" w:rsidRDefault="001B07FE" w:rsidP="00D57AC2">
      <w:pPr>
        <w:pStyle w:val="TableFooter"/>
        <w:rPr>
          <w:bCs/>
          <w:i/>
          <w:iCs/>
        </w:rPr>
      </w:pPr>
      <w:r w:rsidRPr="001B07FE">
        <w:rPr>
          <w:bCs/>
          <w:i/>
          <w:iCs/>
          <w:vertAlign w:val="superscript"/>
        </w:rPr>
        <w:t>2</w:t>
      </w:r>
      <w:r w:rsidRPr="001B07FE">
        <w:rPr>
          <w:bCs/>
          <w:i/>
          <w:iCs/>
        </w:rPr>
        <w:t xml:space="preserve"> 5,000 to &lt; 10,000</w:t>
      </w:r>
    </w:p>
    <w:p w14:paraId="7D4E0DD8" w14:textId="77777777" w:rsidR="00B64402" w:rsidRDefault="00B64402" w:rsidP="00B5747F">
      <w:pPr>
        <w:keepNext/>
        <w:tabs>
          <w:tab w:val="left" w:pos="142"/>
        </w:tabs>
        <w:rPr>
          <w:rFonts w:ascii="Arial Narrow" w:hAnsi="Arial Narrow"/>
          <w:bCs/>
          <w:i/>
          <w:iCs/>
          <w:sz w:val="18"/>
        </w:rPr>
      </w:pPr>
      <w:r>
        <w:rPr>
          <w:rFonts w:ascii="Arial Narrow" w:hAnsi="Arial Narrow"/>
          <w:bCs/>
          <w:i/>
          <w:iCs/>
          <w:sz w:val="18"/>
          <w:vertAlign w:val="superscript"/>
        </w:rPr>
        <w:t>3</w:t>
      </w:r>
      <w:r w:rsidR="00B5747F" w:rsidRPr="003B0938">
        <w:rPr>
          <w:rFonts w:ascii="Arial Narrow" w:hAnsi="Arial Narrow"/>
          <w:bCs/>
          <w:i/>
          <w:iCs/>
          <w:sz w:val="18"/>
        </w:rPr>
        <w:t xml:space="preserve"> </w:t>
      </w:r>
      <w:r w:rsidR="00B5747F">
        <w:rPr>
          <w:rFonts w:ascii="Arial Narrow" w:hAnsi="Arial Narrow"/>
          <w:bCs/>
          <w:i/>
          <w:iCs/>
          <w:sz w:val="18"/>
        </w:rPr>
        <w:t>&lt;</w:t>
      </w:r>
      <w:r w:rsidR="00B5747F" w:rsidRPr="003B0938">
        <w:rPr>
          <w:rFonts w:ascii="Arial Narrow" w:hAnsi="Arial Narrow"/>
          <w:bCs/>
          <w:i/>
          <w:iCs/>
          <w:sz w:val="18"/>
        </w:rPr>
        <w:t>500</w:t>
      </w:r>
    </w:p>
    <w:p w14:paraId="5E05E355" w14:textId="38B3F916" w:rsidR="00B64402" w:rsidRDefault="00B64402" w:rsidP="00B64402">
      <w:pPr>
        <w:keepNext/>
        <w:tabs>
          <w:tab w:val="left" w:pos="142"/>
        </w:tabs>
        <w:rPr>
          <w:rFonts w:ascii="Arial Narrow" w:hAnsi="Arial Narrow"/>
          <w:bCs/>
          <w:i/>
          <w:iCs/>
          <w:sz w:val="18"/>
        </w:rPr>
      </w:pPr>
      <w:r>
        <w:rPr>
          <w:rFonts w:ascii="Arial Narrow" w:hAnsi="Arial Narrow"/>
          <w:bCs/>
          <w:i/>
          <w:iCs/>
          <w:sz w:val="18"/>
          <w:vertAlign w:val="superscript"/>
        </w:rPr>
        <w:t>4</w:t>
      </w:r>
      <w:r w:rsidRPr="00B64402">
        <w:rPr>
          <w:rFonts w:ascii="Arial Narrow" w:hAnsi="Arial Narrow"/>
          <w:bCs/>
          <w:i/>
          <w:iCs/>
          <w:sz w:val="18"/>
        </w:rPr>
        <w:t xml:space="preserve"> $10 million to &lt; $20 million</w:t>
      </w:r>
    </w:p>
    <w:p w14:paraId="3307D356" w14:textId="21D86589" w:rsidR="00B64402" w:rsidRDefault="00B64402" w:rsidP="00B64402">
      <w:pPr>
        <w:keepNext/>
        <w:tabs>
          <w:tab w:val="left" w:pos="142"/>
        </w:tabs>
        <w:rPr>
          <w:rFonts w:ascii="Arial Narrow" w:hAnsi="Arial Narrow"/>
          <w:bCs/>
          <w:i/>
          <w:iCs/>
          <w:sz w:val="18"/>
        </w:rPr>
      </w:pPr>
      <w:r>
        <w:rPr>
          <w:rFonts w:ascii="Arial Narrow" w:hAnsi="Arial Narrow"/>
          <w:bCs/>
          <w:i/>
          <w:iCs/>
          <w:sz w:val="18"/>
          <w:vertAlign w:val="superscript"/>
        </w:rPr>
        <w:t>5</w:t>
      </w:r>
      <w:r w:rsidRPr="00B64402">
        <w:rPr>
          <w:rFonts w:ascii="Arial Narrow" w:hAnsi="Arial Narrow"/>
          <w:bCs/>
          <w:i/>
          <w:iCs/>
          <w:sz w:val="18"/>
          <w:vertAlign w:val="superscript"/>
        </w:rPr>
        <w:t xml:space="preserve"> </w:t>
      </w:r>
      <w:r w:rsidRPr="00B64402">
        <w:rPr>
          <w:rFonts w:ascii="Arial Narrow" w:hAnsi="Arial Narrow"/>
          <w:bCs/>
          <w:i/>
          <w:iCs/>
          <w:sz w:val="18"/>
        </w:rPr>
        <w:t>$20 million to &lt; $30 million</w:t>
      </w:r>
    </w:p>
    <w:p w14:paraId="609035E9" w14:textId="03745EDA" w:rsidR="007816BC" w:rsidRPr="007816BC" w:rsidRDefault="007816BC" w:rsidP="007816BC">
      <w:pPr>
        <w:keepNext/>
        <w:tabs>
          <w:tab w:val="left" w:pos="142"/>
        </w:tabs>
        <w:rPr>
          <w:rFonts w:ascii="Arial Narrow" w:hAnsi="Arial Narrow"/>
          <w:bCs/>
          <w:i/>
          <w:iCs/>
          <w:sz w:val="18"/>
        </w:rPr>
      </w:pPr>
      <w:r>
        <w:rPr>
          <w:rFonts w:ascii="Arial Narrow" w:hAnsi="Arial Narrow"/>
          <w:bCs/>
          <w:i/>
          <w:iCs/>
          <w:sz w:val="18"/>
          <w:vertAlign w:val="superscript"/>
        </w:rPr>
        <w:t>6</w:t>
      </w:r>
      <w:r w:rsidRPr="007816BC">
        <w:rPr>
          <w:rFonts w:ascii="Arial Narrow" w:hAnsi="Arial Narrow"/>
          <w:bCs/>
          <w:i/>
          <w:iCs/>
          <w:sz w:val="18"/>
          <w:vertAlign w:val="superscript"/>
        </w:rPr>
        <w:t xml:space="preserve"> </w:t>
      </w:r>
      <w:r w:rsidRPr="007816BC">
        <w:rPr>
          <w:rFonts w:ascii="Arial Narrow" w:hAnsi="Arial Narrow"/>
          <w:bCs/>
          <w:i/>
          <w:iCs/>
          <w:sz w:val="18"/>
        </w:rPr>
        <w:t>$0 to &lt; $10 million</w:t>
      </w:r>
    </w:p>
    <w:p w14:paraId="6AF02B05" w14:textId="5160A584" w:rsidR="00475E3E" w:rsidRPr="00475E3E" w:rsidRDefault="007816BC" w:rsidP="00475E3E">
      <w:pPr>
        <w:keepNext/>
        <w:tabs>
          <w:tab w:val="left" w:pos="142"/>
        </w:tabs>
        <w:rPr>
          <w:rFonts w:ascii="Arial Narrow" w:hAnsi="Arial Narrow"/>
          <w:bCs/>
          <w:i/>
          <w:iCs/>
          <w:sz w:val="18"/>
        </w:rPr>
      </w:pPr>
      <w:r>
        <w:rPr>
          <w:rFonts w:ascii="Arial Narrow" w:hAnsi="Arial Narrow"/>
          <w:bCs/>
          <w:i/>
          <w:iCs/>
          <w:sz w:val="18"/>
          <w:vertAlign w:val="superscript"/>
        </w:rPr>
        <w:t>7</w:t>
      </w:r>
      <w:r w:rsidR="00475E3E" w:rsidRPr="00475E3E">
        <w:rPr>
          <w:rFonts w:ascii="Arial Narrow" w:hAnsi="Arial Narrow"/>
          <w:bCs/>
          <w:i/>
          <w:iCs/>
          <w:sz w:val="18"/>
          <w:vertAlign w:val="superscript"/>
        </w:rPr>
        <w:t xml:space="preserve"> </w:t>
      </w:r>
      <w:r w:rsidR="00475E3E" w:rsidRPr="00475E3E">
        <w:rPr>
          <w:rFonts w:ascii="Arial Narrow" w:hAnsi="Arial Narrow"/>
          <w:bCs/>
          <w:i/>
          <w:iCs/>
          <w:sz w:val="18"/>
        </w:rPr>
        <w:t>$30 million to &lt; $40 million</w:t>
      </w:r>
    </w:p>
    <w:p w14:paraId="6325A410" w14:textId="684F91B6" w:rsidR="00475E3E" w:rsidRPr="00475E3E" w:rsidRDefault="007816BC" w:rsidP="00475E3E">
      <w:pPr>
        <w:keepNext/>
        <w:tabs>
          <w:tab w:val="left" w:pos="142"/>
        </w:tabs>
        <w:rPr>
          <w:rFonts w:ascii="Arial Narrow" w:hAnsi="Arial Narrow"/>
          <w:bCs/>
          <w:i/>
          <w:iCs/>
          <w:sz w:val="18"/>
        </w:rPr>
      </w:pPr>
      <w:r>
        <w:rPr>
          <w:rFonts w:ascii="Arial Narrow" w:hAnsi="Arial Narrow"/>
          <w:bCs/>
          <w:i/>
          <w:iCs/>
          <w:sz w:val="18"/>
          <w:vertAlign w:val="superscript"/>
        </w:rPr>
        <w:t>8</w:t>
      </w:r>
      <w:r w:rsidR="00475E3E" w:rsidRPr="00475E3E">
        <w:rPr>
          <w:rFonts w:ascii="Arial Narrow" w:hAnsi="Arial Narrow"/>
          <w:bCs/>
          <w:i/>
          <w:iCs/>
          <w:sz w:val="18"/>
        </w:rPr>
        <w:t xml:space="preserve"> $60 million to &lt; $70 million</w:t>
      </w:r>
    </w:p>
    <w:p w14:paraId="57730938" w14:textId="2FDA1A6E" w:rsidR="00475E3E" w:rsidRPr="00475E3E" w:rsidRDefault="007816BC" w:rsidP="00475E3E">
      <w:pPr>
        <w:keepNext/>
        <w:tabs>
          <w:tab w:val="left" w:pos="142"/>
        </w:tabs>
        <w:rPr>
          <w:rFonts w:ascii="Arial Narrow" w:hAnsi="Arial Narrow"/>
          <w:bCs/>
          <w:i/>
          <w:iCs/>
          <w:sz w:val="18"/>
        </w:rPr>
      </w:pPr>
      <w:r>
        <w:rPr>
          <w:rFonts w:ascii="Arial Narrow" w:hAnsi="Arial Narrow"/>
          <w:bCs/>
          <w:i/>
          <w:iCs/>
          <w:sz w:val="18"/>
          <w:vertAlign w:val="superscript"/>
        </w:rPr>
        <w:t>9</w:t>
      </w:r>
      <w:r w:rsidR="00475E3E" w:rsidRPr="00475E3E">
        <w:rPr>
          <w:rFonts w:ascii="Arial Narrow" w:hAnsi="Arial Narrow"/>
          <w:bCs/>
          <w:i/>
          <w:iCs/>
          <w:sz w:val="18"/>
        </w:rPr>
        <w:t xml:space="preserve"> $50 million to &lt; $60 million</w:t>
      </w:r>
    </w:p>
    <w:bookmarkEnd w:id="109"/>
    <w:p w14:paraId="4D6D89B2" w14:textId="511EEDFD" w:rsidR="00B5747F" w:rsidRPr="00F32823" w:rsidRDefault="00E405FF" w:rsidP="00F32823">
      <w:pPr>
        <w:pStyle w:val="TableFooter"/>
        <w:keepNext/>
        <w:tabs>
          <w:tab w:val="left" w:pos="142"/>
        </w:tabs>
        <w:spacing w:after="120"/>
        <w:rPr>
          <w:bCs/>
          <w:i/>
          <w:iCs/>
        </w:rPr>
      </w:pPr>
      <w:r w:rsidRPr="00E405FF">
        <w:rPr>
          <w:bCs/>
          <w:i/>
          <w:iCs/>
          <w:vertAlign w:val="superscript"/>
        </w:rPr>
        <w:t>10</w:t>
      </w:r>
      <w:r>
        <w:rPr>
          <w:bCs/>
          <w:i/>
          <w:iCs/>
        </w:rPr>
        <w:t xml:space="preserve"> </w:t>
      </w:r>
      <w:r w:rsidR="0029671C" w:rsidRPr="0029671C">
        <w:rPr>
          <w:bCs/>
          <w:i/>
          <w:iCs/>
        </w:rPr>
        <w:t>$70 million to &lt; $80 million</w:t>
      </w:r>
    </w:p>
    <w:p w14:paraId="4D642041" w14:textId="57402922" w:rsidR="00883096" w:rsidRPr="00743512" w:rsidRDefault="00883096" w:rsidP="00883096">
      <w:pPr>
        <w:pStyle w:val="3-BodyText"/>
      </w:pPr>
      <w:r w:rsidRPr="00743512">
        <w:t>The total cost to the PBS/RPBS of listing olaparib was estimated to be $</w:t>
      </w:r>
      <w:r w:rsidR="00E405FF" w:rsidRPr="00E405FF">
        <w:t>20 million to &lt; $30</w:t>
      </w:r>
      <w:r w:rsidR="00F32823" w:rsidRPr="00F32823">
        <w:t xml:space="preserve"> </w:t>
      </w:r>
      <w:r w:rsidRPr="00743512">
        <w:t>million in Year 6, and total of $</w:t>
      </w:r>
      <w:r w:rsidR="00E405FF" w:rsidRPr="00E405FF">
        <w:t>100 million to &lt; $200</w:t>
      </w:r>
      <w:r w:rsidRPr="00743512">
        <w:t xml:space="preserve"> million </w:t>
      </w:r>
      <w:r w:rsidR="00F4781C" w:rsidRPr="00743512">
        <w:t xml:space="preserve">over </w:t>
      </w:r>
      <w:r w:rsidRPr="00743512">
        <w:t>the first 6 years of listing. This was reduced from previously revised estimates of $</w:t>
      </w:r>
      <w:r w:rsidR="004C0E34" w:rsidRPr="004C0E34">
        <w:t>70 million to &lt; $80</w:t>
      </w:r>
      <w:r w:rsidR="00F32823" w:rsidRPr="00F32823">
        <w:t xml:space="preserve"> </w:t>
      </w:r>
      <w:r w:rsidRPr="00743512">
        <w:t>million in Year 6 and $</w:t>
      </w:r>
      <w:r w:rsidR="004C0E34" w:rsidRPr="004C0E34">
        <w:t>300 million to &lt; $400</w:t>
      </w:r>
      <w:r w:rsidRPr="00743512">
        <w:t xml:space="preserve"> million over the first 6 years of listing. The reduction in cost to the PBS/RPBS was predominantly due to a reduction in the number of patients who </w:t>
      </w:r>
      <w:r w:rsidR="00157B92" w:rsidRPr="00743512">
        <w:t xml:space="preserve">commence </w:t>
      </w:r>
      <w:r w:rsidRPr="00743512">
        <w:t>treatment, though the analys</w:t>
      </w:r>
      <w:r w:rsidR="00F4781C" w:rsidRPr="00743512">
        <w:t>i</w:t>
      </w:r>
      <w:r w:rsidRPr="00743512">
        <w:t>s also reflect</w:t>
      </w:r>
      <w:r w:rsidR="00F4781C" w:rsidRPr="00743512">
        <w:t>s</w:t>
      </w:r>
      <w:r w:rsidRPr="00743512">
        <w:t xml:space="preserve"> a reduction in the number of scripts per patient </w:t>
      </w:r>
      <w:r w:rsidR="000E5ADA" w:rsidRPr="00743512">
        <w:t xml:space="preserve">(from the maximum to the average number of scripts per patient, which was consistent with PBAC advice) (para 7.14, olaparib PSD, March 2023 PBAC meeting) </w:t>
      </w:r>
      <w:r w:rsidRPr="00743512">
        <w:t>and a reduction in the proposed effective price of olaparib.</w:t>
      </w:r>
    </w:p>
    <w:p w14:paraId="15362B18" w14:textId="6F7F3A77" w:rsidR="00883096" w:rsidRPr="00743512" w:rsidRDefault="00883096" w:rsidP="00AB531A">
      <w:pPr>
        <w:pStyle w:val="3-BodyText"/>
      </w:pPr>
      <w:r w:rsidRPr="00743512">
        <w:t xml:space="preserve">In general, </w:t>
      </w:r>
      <w:r w:rsidR="00F4781C" w:rsidRPr="00743512">
        <w:t xml:space="preserve">the March 2023 PBAC advice regarding the estimates was incorporated into the </w:t>
      </w:r>
      <w:r w:rsidRPr="00743512">
        <w:t>resubmission except for the extent of g</w:t>
      </w:r>
      <w:r w:rsidR="00CD50D4" w:rsidRPr="00743512">
        <w:rPr>
          <w:i/>
        </w:rPr>
        <w:t>BRCA</w:t>
      </w:r>
      <w:r w:rsidRPr="00743512">
        <w:t xml:space="preserve"> testing uptake and proportion of patients considered to have a high-risk of recurrence. </w:t>
      </w:r>
      <w:r w:rsidR="00157B92" w:rsidRPr="00743512">
        <w:t xml:space="preserve">. </w:t>
      </w:r>
      <w:r w:rsidR="00AB531A" w:rsidRPr="00743512">
        <w:t>The PBAC considered that the resubmission’s estimates of the extent of g</w:t>
      </w:r>
      <w:r w:rsidR="00AB531A" w:rsidRPr="00743512">
        <w:rPr>
          <w:i/>
        </w:rPr>
        <w:t>BRCA</w:t>
      </w:r>
      <w:r w:rsidR="00AB531A" w:rsidRPr="00743512">
        <w:t xml:space="preserve"> testing uptake were uncertain but acceptable.</w:t>
      </w:r>
    </w:p>
    <w:p w14:paraId="1FFB3F69" w14:textId="08905CDE" w:rsidR="00883096" w:rsidRPr="00743512" w:rsidRDefault="00883096" w:rsidP="00883096">
      <w:pPr>
        <w:pStyle w:val="3-BodyText"/>
      </w:pPr>
      <w:bookmarkStart w:id="110" w:name="_Ref150257014"/>
      <w:bookmarkStart w:id="111" w:name="_Ref150422126"/>
      <w:bookmarkStart w:id="112" w:name="_Hlk150766714"/>
      <w:r w:rsidRPr="00743512">
        <w:t>Eligibility for olaparib is restricted to patients who are considered to have a high risk of recurrence. The PBAC previously considered that approx</w:t>
      </w:r>
      <w:r w:rsidR="00F4781C" w:rsidRPr="00743512">
        <w:t>imately</w:t>
      </w:r>
      <w:r w:rsidRPr="00743512">
        <w:t xml:space="preserve"> 40% of TNBC patients would meet these additional criteria, based on trial data in the neoadjuvant setting that indicated a complete response rate of 50−65% (Table 20, olaparib PSD March 2023 PBAC meeting). The resubmission applied an estimate of 80%, as it considered that </w:t>
      </w:r>
      <w:r w:rsidR="00CD50D4" w:rsidRPr="00743512">
        <w:rPr>
          <w:i/>
        </w:rPr>
        <w:t>BRCA</w:t>
      </w:r>
      <w:r w:rsidRPr="00743512">
        <w:t xml:space="preserve"> status in this trial was unknown and that due to poorer prognoses in patients with g</w:t>
      </w:r>
      <w:r w:rsidR="00CD50D4" w:rsidRPr="00743512">
        <w:rPr>
          <w:i/>
        </w:rPr>
        <w:t>BRCA</w:t>
      </w:r>
      <w:r w:rsidRPr="00743512">
        <w:t xml:space="preserve"> variants, a higher risk of recurrence was likely. This argument may not be reasonable given that previous studies</w:t>
      </w:r>
      <w:r w:rsidRPr="00743512">
        <w:rPr>
          <w:rStyle w:val="FootnoteReference"/>
        </w:rPr>
        <w:footnoteReference w:id="18"/>
      </w:r>
      <w:r w:rsidRPr="00743512">
        <w:t xml:space="preserve"> suggest that the complete response rate with neoadjuvant chemotherapy may be higher in those with g</w:t>
      </w:r>
      <w:r w:rsidR="00CD50D4" w:rsidRPr="00743512">
        <w:rPr>
          <w:i/>
        </w:rPr>
        <w:t>BRCA</w:t>
      </w:r>
      <w:r w:rsidRPr="00743512">
        <w:t xml:space="preserve"> variants</w:t>
      </w:r>
      <w:bookmarkEnd w:id="110"/>
      <w:r w:rsidR="00157B92" w:rsidRPr="00743512">
        <w:t xml:space="preserve">. </w:t>
      </w:r>
      <w:r w:rsidR="005E5D26" w:rsidRPr="00743512">
        <w:t>The PBAC maintained that 40% of TNBC patients would be classified as high risk, and this was based not only on an estimate of complete response rates, but also related to disease stage</w:t>
      </w:r>
      <w:r w:rsidR="00157B92" w:rsidRPr="00743512">
        <w:t xml:space="preserve">. </w:t>
      </w:r>
      <w:r w:rsidR="005E5D26" w:rsidRPr="00743512">
        <w:t>For a patient to be considered high risk they would need to have Stage II/Stage III disease and not have a complete response to chemotherapy (Stage I patients not included).</w:t>
      </w:r>
      <w:bookmarkEnd w:id="111"/>
      <w:r w:rsidR="005E5D26" w:rsidRPr="00743512">
        <w:t xml:space="preserve"> </w:t>
      </w:r>
    </w:p>
    <w:p w14:paraId="04BC7085" w14:textId="0ECB4181" w:rsidR="00883096" w:rsidRPr="00743512" w:rsidRDefault="00883096" w:rsidP="004F5B47">
      <w:pPr>
        <w:pStyle w:val="3-BodyText"/>
      </w:pPr>
      <w:bookmarkStart w:id="113" w:name="_Ref150257062"/>
      <w:r w:rsidRPr="00743512">
        <w:t>The resubmission maintained that 49.0% of HR+ HER2</w:t>
      </w:r>
      <w:r w:rsidRPr="00743512">
        <w:rPr>
          <w:rFonts w:cstheme="minorHAnsi"/>
        </w:rPr>
        <w:t>−</w:t>
      </w:r>
      <w:r w:rsidRPr="00743512">
        <w:t xml:space="preserve"> patients would have high-risk characteristics eligible for testing (i.e. tumour histology grade ≥3; tumour size ≥20 mm; or any positive lymph nodes). The PBAC previously considered that 25.0% would be a more appropriate estimate of the proportion at high-risk in the HR+ population. Overall, the proportion of high-risk patients estimated </w:t>
      </w:r>
      <w:r w:rsidR="005379E8" w:rsidRPr="00743512">
        <w:t xml:space="preserve">in the resubmission for </w:t>
      </w:r>
      <w:r w:rsidRPr="00743512">
        <w:t xml:space="preserve">the HR+ population was 39.2% (49% with high-risk characteristics </w:t>
      </w:r>
      <w:r w:rsidRPr="00743512">
        <w:rPr>
          <w:rFonts w:cs="Calibri"/>
        </w:rPr>
        <w:t>×</w:t>
      </w:r>
      <w:r w:rsidRPr="00743512">
        <w:t xml:space="preserve"> 80% with a high risk of recurrence). </w:t>
      </w:r>
      <w:r w:rsidR="005379E8" w:rsidRPr="00743512">
        <w:t xml:space="preserve">The PBAC maintained that 25% of HR+ patients would be </w:t>
      </w:r>
      <w:r w:rsidR="00356158" w:rsidRPr="00743512">
        <w:t xml:space="preserve">deemed high risk. </w:t>
      </w:r>
      <w:r w:rsidR="005379E8" w:rsidRPr="00743512">
        <w:t xml:space="preserve">Updated estimates are presented in </w:t>
      </w:r>
      <w:r w:rsidR="005379E8" w:rsidRPr="00743512">
        <w:fldChar w:fldCharType="begin"/>
      </w:r>
      <w:r w:rsidR="005379E8" w:rsidRPr="00743512">
        <w:instrText xml:space="preserve"> REF _Ref147930509 \h </w:instrText>
      </w:r>
      <w:r w:rsidR="005379E8" w:rsidRPr="00743512">
        <w:fldChar w:fldCharType="separate"/>
      </w:r>
      <w:r w:rsidR="00D2565D" w:rsidRPr="00743512">
        <w:t xml:space="preserve">Table </w:t>
      </w:r>
      <w:r w:rsidR="00D2565D">
        <w:rPr>
          <w:noProof/>
        </w:rPr>
        <w:t>20</w:t>
      </w:r>
      <w:r w:rsidR="005379E8" w:rsidRPr="00743512">
        <w:fldChar w:fldCharType="end"/>
      </w:r>
      <w:r w:rsidR="005379E8" w:rsidRPr="00743512">
        <w:t xml:space="preserve"> reflecting this advice.</w:t>
      </w:r>
      <w:r w:rsidR="00F32823" w:rsidRPr="00F32823">
        <w:t xml:space="preserve"> </w:t>
      </w:r>
      <w:bookmarkEnd w:id="113"/>
    </w:p>
    <w:bookmarkEnd w:id="112"/>
    <w:p w14:paraId="0BF52657" w14:textId="62A32B8E" w:rsidR="00883096" w:rsidRPr="00743512" w:rsidRDefault="00883096" w:rsidP="004F5B47">
      <w:pPr>
        <w:pStyle w:val="3-BodyText"/>
      </w:pPr>
      <w:r w:rsidRPr="00743512">
        <w:t>The net impact to Australian Government health budgets</w:t>
      </w:r>
      <w:r w:rsidR="00BC304F" w:rsidRPr="00743512">
        <w:t xml:space="preserve"> estimated in the resubmission </w:t>
      </w:r>
      <w:r w:rsidR="00BC304F" w:rsidRPr="005542C1">
        <w:t xml:space="preserve">is presented in </w:t>
      </w:r>
      <w:r w:rsidR="00BC304F" w:rsidRPr="005542C1">
        <w:fldChar w:fldCharType="begin"/>
      </w:r>
      <w:r w:rsidR="00BC304F" w:rsidRPr="005542C1">
        <w:instrText xml:space="preserve"> REF _Ref104805295 \h </w:instrText>
      </w:r>
      <w:r w:rsidR="005542C1">
        <w:instrText xml:space="preserve"> \* MERGEFORMAT </w:instrText>
      </w:r>
      <w:r w:rsidR="00BC304F" w:rsidRPr="005542C1">
        <w:fldChar w:fldCharType="separate"/>
      </w:r>
      <w:r w:rsidR="00D2565D" w:rsidRPr="00743512">
        <w:t xml:space="preserve">Table </w:t>
      </w:r>
      <w:r w:rsidR="00D2565D">
        <w:t>21</w:t>
      </w:r>
      <w:r w:rsidR="00BC304F" w:rsidRPr="005542C1">
        <w:fldChar w:fldCharType="end"/>
      </w:r>
      <w:r w:rsidR="00BC304F" w:rsidRPr="005542C1">
        <w:t>.</w:t>
      </w:r>
      <w:r w:rsidRPr="005542C1">
        <w:t xml:space="preserve"> These have also been revised to apply a schedule fee of $1,200 per test</w:t>
      </w:r>
      <w:r w:rsidRPr="00743512">
        <w:t xml:space="preserve"> in incident patients (with 85% rebate that </w:t>
      </w:r>
      <w:r w:rsidR="00C43D0B" w:rsidRPr="00743512">
        <w:t xml:space="preserve">appropriately </w:t>
      </w:r>
      <w:r w:rsidRPr="00743512">
        <w:t xml:space="preserve">accounted for the </w:t>
      </w:r>
      <w:r w:rsidR="00C43D0B" w:rsidRPr="00743512">
        <w:t>greatest permissible gap (</w:t>
      </w:r>
      <w:r w:rsidRPr="00743512">
        <w:t>GPG</w:t>
      </w:r>
      <w:r w:rsidR="00C43D0B" w:rsidRPr="00743512">
        <w:t>) allowed for MBS fees</w:t>
      </w:r>
      <w:r w:rsidRPr="00743512">
        <w:t xml:space="preserve">); to include the cost of </w:t>
      </w:r>
      <w:r w:rsidRPr="005542C1">
        <w:t>incremental cascade testing only due to the listing of olaparib; and to assume a schedule fee of $400 p</w:t>
      </w:r>
      <w:r w:rsidRPr="00743512">
        <w:t>er relative tested (</w:t>
      </w:r>
      <w:r w:rsidRPr="005542C1">
        <w:t>based on MBS item 73297)</w:t>
      </w:r>
      <w:r w:rsidR="00157B92" w:rsidRPr="005542C1">
        <w:t xml:space="preserve">. </w:t>
      </w:r>
      <w:r w:rsidR="002B4852" w:rsidRPr="005542C1">
        <w:t>As mentioned in para</w:t>
      </w:r>
      <w:r w:rsidR="00D356DC" w:rsidRPr="005542C1">
        <w:t xml:space="preserve">graph </w:t>
      </w:r>
      <w:r w:rsidR="00D356DC" w:rsidRPr="005542C1">
        <w:fldChar w:fldCharType="begin"/>
      </w:r>
      <w:r w:rsidR="00D356DC" w:rsidRPr="005542C1">
        <w:instrText xml:space="preserve"> REF _Ref147954665 \r \h  \* MERGEFORMAT </w:instrText>
      </w:r>
      <w:r w:rsidR="00D356DC" w:rsidRPr="005542C1">
        <w:fldChar w:fldCharType="separate"/>
      </w:r>
      <w:r w:rsidR="00D2565D">
        <w:t>2.6</w:t>
      </w:r>
      <w:r w:rsidR="00D356DC" w:rsidRPr="005542C1">
        <w:fldChar w:fldCharType="end"/>
      </w:r>
      <w:r w:rsidR="002B4852" w:rsidRPr="005542C1">
        <w:t>, the PSCR proposed that the MBS fee should be $1,000</w:t>
      </w:r>
      <w:r w:rsidR="00157B92" w:rsidRPr="005542C1">
        <w:t xml:space="preserve">. </w:t>
      </w:r>
      <w:r w:rsidR="00BC304F" w:rsidRPr="005542C1">
        <w:t>T</w:t>
      </w:r>
      <w:r w:rsidR="000B78F4" w:rsidRPr="005542C1">
        <w:t xml:space="preserve">he amendments recommended by the PBAC (see </w:t>
      </w:r>
      <w:r w:rsidR="000B78F4" w:rsidRPr="005542C1">
        <w:fldChar w:fldCharType="begin"/>
      </w:r>
      <w:r w:rsidR="000B78F4" w:rsidRPr="005542C1">
        <w:instrText xml:space="preserve"> REF _Ref147930509 \h </w:instrText>
      </w:r>
      <w:r w:rsidR="005542C1">
        <w:instrText xml:space="preserve"> \* MERGEFORMAT </w:instrText>
      </w:r>
      <w:r w:rsidR="000B78F4" w:rsidRPr="005542C1">
        <w:fldChar w:fldCharType="separate"/>
      </w:r>
      <w:r w:rsidR="00D2565D" w:rsidRPr="00743512">
        <w:t xml:space="preserve">Table </w:t>
      </w:r>
      <w:r w:rsidR="00D2565D">
        <w:t>20</w:t>
      </w:r>
      <w:r w:rsidR="000B78F4" w:rsidRPr="005542C1">
        <w:fldChar w:fldCharType="end"/>
      </w:r>
      <w:r w:rsidR="000B78F4" w:rsidRPr="005542C1">
        <w:t>)</w:t>
      </w:r>
      <w:r w:rsidR="00BC304F" w:rsidRPr="005542C1">
        <w:t xml:space="preserve"> are not reflected in </w:t>
      </w:r>
      <w:r w:rsidR="00BC304F" w:rsidRPr="005542C1">
        <w:fldChar w:fldCharType="begin"/>
      </w:r>
      <w:r w:rsidR="00BC304F" w:rsidRPr="005542C1">
        <w:instrText xml:space="preserve"> REF _Ref104805295 \h </w:instrText>
      </w:r>
      <w:r w:rsidR="005542C1">
        <w:instrText xml:space="preserve"> \* MERGEFORMAT </w:instrText>
      </w:r>
      <w:r w:rsidR="00BC304F" w:rsidRPr="005542C1">
        <w:fldChar w:fldCharType="separate"/>
      </w:r>
      <w:r w:rsidR="00D2565D" w:rsidRPr="00743512">
        <w:t xml:space="preserve">Table </w:t>
      </w:r>
      <w:r w:rsidR="00D2565D">
        <w:t>21</w:t>
      </w:r>
      <w:r w:rsidR="00BC304F" w:rsidRPr="005542C1">
        <w:fldChar w:fldCharType="end"/>
      </w:r>
      <w:r w:rsidR="00157B92" w:rsidRPr="00743512">
        <w:t xml:space="preserve">. </w:t>
      </w:r>
      <w:r w:rsidR="00BC304F" w:rsidRPr="00743512">
        <w:t>The PBAC noted that the costs to the MBS remain for MSAC consideration.</w:t>
      </w:r>
    </w:p>
    <w:p w14:paraId="2D139CC6" w14:textId="77777777" w:rsidR="00883096" w:rsidRPr="00743512" w:rsidRDefault="00883096" w:rsidP="00883096">
      <w:pPr>
        <w:pStyle w:val="4-SubsectionHeading"/>
        <w:rPr>
          <w:iCs/>
        </w:rPr>
      </w:pPr>
      <w:bookmarkStart w:id="114" w:name="_Toc144280791"/>
      <w:bookmarkStart w:id="115" w:name="_Toc145501127"/>
      <w:r w:rsidRPr="00743512">
        <w:rPr>
          <w:iCs/>
        </w:rPr>
        <w:t>Quality Use of Medicines</w:t>
      </w:r>
      <w:bookmarkEnd w:id="96"/>
      <w:bookmarkEnd w:id="114"/>
      <w:bookmarkEnd w:id="115"/>
    </w:p>
    <w:p w14:paraId="3DD9FCE0" w14:textId="57C5302D" w:rsidR="00F04CFC" w:rsidRPr="00743512" w:rsidRDefault="00883096" w:rsidP="0066006F">
      <w:pPr>
        <w:pStyle w:val="3-BodyText"/>
      </w:pPr>
      <w:bookmarkStart w:id="116" w:name="_Toc22897649"/>
      <w:bookmarkStart w:id="117" w:name="_Toc144280792"/>
      <w:r w:rsidRPr="00743512">
        <w:t xml:space="preserve">The resubmission stated that the biomarker testing ensures the provision of the most appropriate treatment for the patient, which is in line with the objectives of quality use of medicines (QUM). The sponsor-initiated activities (current and future) to promote and support QUM include educational and training programs to prescribers and patients. </w:t>
      </w:r>
    </w:p>
    <w:p w14:paraId="6D3DA0C4" w14:textId="77777777" w:rsidR="00F04CFC" w:rsidRPr="00743512" w:rsidRDefault="00F04CFC" w:rsidP="00F04CFC">
      <w:pPr>
        <w:pStyle w:val="4-SubsectionHeading"/>
      </w:pPr>
      <w:bookmarkStart w:id="118" w:name="_Toc145501128"/>
      <w:bookmarkEnd w:id="116"/>
      <w:bookmarkEnd w:id="117"/>
      <w:r w:rsidRPr="00743512">
        <w:t>Financial Management – Risk Sharing Arrangements</w:t>
      </w:r>
      <w:bookmarkEnd w:id="118"/>
    </w:p>
    <w:p w14:paraId="72036EDE" w14:textId="29933334" w:rsidR="001074C6" w:rsidRPr="00743512" w:rsidRDefault="00883096" w:rsidP="00F04CFC">
      <w:pPr>
        <w:pStyle w:val="3-BodyText"/>
      </w:pPr>
      <w:r w:rsidRPr="00743512">
        <w:t xml:space="preserve">No </w:t>
      </w:r>
      <w:r w:rsidR="00157B92" w:rsidRPr="00743512">
        <w:t xml:space="preserve">Risk Sharing Arrangement was </w:t>
      </w:r>
      <w:r w:rsidRPr="00743512">
        <w:t>proposed in the resubmission, however the sponsor did indicate a willingness to work with the PBAC and Department to determine appropriate terms for PBS listing.</w:t>
      </w:r>
      <w:r w:rsidR="001074C6" w:rsidRPr="00743512">
        <w:t xml:space="preserve"> </w:t>
      </w:r>
    </w:p>
    <w:p w14:paraId="4E3B6FD7" w14:textId="528C78CF" w:rsidR="00883096" w:rsidRPr="00743512" w:rsidRDefault="001074C6" w:rsidP="001074C6">
      <w:pPr>
        <w:pStyle w:val="3-BodyText"/>
        <w:numPr>
          <w:ilvl w:val="0"/>
          <w:numId w:val="0"/>
        </w:numPr>
        <w:ind w:left="720"/>
        <w:rPr>
          <w:i/>
          <w:iCs/>
        </w:rPr>
      </w:pPr>
      <w:r w:rsidRPr="00743512">
        <w:rPr>
          <w:i/>
          <w:iCs/>
        </w:rPr>
        <w:t>For more detail on PBAC’s view, see section 7 PBAC outcome.</w:t>
      </w:r>
    </w:p>
    <w:p w14:paraId="7ED32A6D" w14:textId="77777777" w:rsidR="001074C6" w:rsidRPr="00743512" w:rsidRDefault="001074C6" w:rsidP="001074C6">
      <w:pPr>
        <w:pStyle w:val="2-SectionHeading"/>
      </w:pPr>
      <w:bookmarkStart w:id="119" w:name="_Hlk76381249"/>
      <w:bookmarkStart w:id="120" w:name="_Hlk76377955"/>
      <w:r w:rsidRPr="00743512">
        <w:t>PBAC Outcome</w:t>
      </w:r>
    </w:p>
    <w:p w14:paraId="155D1202" w14:textId="1E5A2CF3" w:rsidR="0052461A" w:rsidRPr="00743512" w:rsidRDefault="005A5F28" w:rsidP="005A5F28">
      <w:pPr>
        <w:widowControl w:val="0"/>
        <w:numPr>
          <w:ilvl w:val="1"/>
          <w:numId w:val="1"/>
        </w:numPr>
        <w:spacing w:after="120"/>
        <w:rPr>
          <w:rFonts w:asciiTheme="minorHAnsi" w:hAnsiTheme="minorHAnsi"/>
          <w:snapToGrid w:val="0"/>
        </w:rPr>
      </w:pPr>
      <w:r w:rsidRPr="00743512">
        <w:t>The PBAC recommended olaparib for the treatment of patients with human epidermal growth factor receptor 2 negative (HER2-) high risk early breast cancer (eBC) with a confirmed germline Breast Cancer Gene 1 (g</w:t>
      </w:r>
      <w:r w:rsidRPr="00743512">
        <w:rPr>
          <w:i/>
          <w:iCs/>
        </w:rPr>
        <w:t>BRCA</w:t>
      </w:r>
      <w:r w:rsidRPr="00743512">
        <w:t>1) or g</w:t>
      </w:r>
      <w:r w:rsidRPr="00743512">
        <w:rPr>
          <w:i/>
          <w:iCs/>
        </w:rPr>
        <w:t>BRCA</w:t>
      </w:r>
      <w:r w:rsidRPr="00743512">
        <w:t xml:space="preserve">2 mutation who have previously been treated with neoadjuvant or adjuvant chemotherapy. The PBAC noted there was a high need for effective treatment in this population, which is a small subset of breast cancer patients. The PBAC considered that </w:t>
      </w:r>
      <w:r w:rsidR="00F04CFC" w:rsidRPr="00743512">
        <w:t xml:space="preserve">the revised economic evaluation </w:t>
      </w:r>
      <w:r w:rsidRPr="00743512">
        <w:t>addressed most of the outstanding issues; however</w:t>
      </w:r>
      <w:r w:rsidR="00F4781C" w:rsidRPr="00743512">
        <w:t>,</w:t>
      </w:r>
      <w:r w:rsidRPr="00743512">
        <w:t xml:space="preserve"> an additional price reduction was required to account for remaining uncertainty in the modelled benefit of olaparib. The PBAC noted the revised financial estimates and advised that further amendments were necessary to reflect the likely use in practice</w:t>
      </w:r>
      <w:r w:rsidR="00157B92" w:rsidRPr="00743512">
        <w:t xml:space="preserve">. </w:t>
      </w:r>
    </w:p>
    <w:p w14:paraId="33B4FC99" w14:textId="3BA802E3" w:rsidR="005A5F28" w:rsidRPr="00743512" w:rsidRDefault="005A5F28" w:rsidP="005A5F28">
      <w:pPr>
        <w:widowControl w:val="0"/>
        <w:numPr>
          <w:ilvl w:val="1"/>
          <w:numId w:val="1"/>
        </w:numPr>
        <w:spacing w:after="120"/>
        <w:rPr>
          <w:rFonts w:asciiTheme="minorHAnsi" w:hAnsiTheme="minorHAnsi"/>
          <w:snapToGrid w:val="0"/>
        </w:rPr>
      </w:pPr>
      <w:r w:rsidRPr="00743512">
        <w:t xml:space="preserve">The PBAC noted that the previous submission was a streamlined codependent submission and was </w:t>
      </w:r>
      <w:r w:rsidR="00F04CFC" w:rsidRPr="00743512">
        <w:t>deferred</w:t>
      </w:r>
      <w:r w:rsidRPr="00743512">
        <w:t xml:space="preserve"> by the MSAC at its March 2023 meeting. The MSAC foreshadowed that it would reconsider if olaparib was recommended by the PBAC</w:t>
      </w:r>
      <w:r w:rsidR="00157B92" w:rsidRPr="00743512">
        <w:t xml:space="preserve">. </w:t>
      </w:r>
      <w:r w:rsidRPr="00743512">
        <w:t xml:space="preserve">The PBAC noted that an application for germline </w:t>
      </w:r>
      <w:r w:rsidRPr="00743512">
        <w:rPr>
          <w:i/>
          <w:iCs/>
        </w:rPr>
        <w:t>BRCA</w:t>
      </w:r>
      <w:r w:rsidRPr="00743512">
        <w:t xml:space="preserve"> mutation test to detect </w:t>
      </w:r>
      <w:r w:rsidRPr="00743512">
        <w:rPr>
          <w:i/>
          <w:iCs/>
        </w:rPr>
        <w:t>BRCA</w:t>
      </w:r>
      <w:r w:rsidRPr="00743512">
        <w:t xml:space="preserve">1 or </w:t>
      </w:r>
      <w:r w:rsidRPr="00743512">
        <w:rPr>
          <w:i/>
          <w:iCs/>
        </w:rPr>
        <w:t>BRCA</w:t>
      </w:r>
      <w:r w:rsidRPr="00743512">
        <w:t>2 mutations in patients with HER2-negative high risk early breast cancer to determine eligibility for PBS-listed olaparib treatment (Application number 1716) will be considered by MSAC at the meeting on 23-24 November 2024</w:t>
      </w:r>
      <w:r w:rsidR="00157B92" w:rsidRPr="00743512">
        <w:t xml:space="preserve">. </w:t>
      </w:r>
    </w:p>
    <w:p w14:paraId="2B043889" w14:textId="23C0B2FE" w:rsidR="00F04CFC" w:rsidRPr="00743512" w:rsidRDefault="00F04CFC" w:rsidP="005A5F28">
      <w:pPr>
        <w:widowControl w:val="0"/>
        <w:numPr>
          <w:ilvl w:val="1"/>
          <w:numId w:val="1"/>
        </w:numPr>
        <w:spacing w:after="120"/>
        <w:rPr>
          <w:rFonts w:asciiTheme="minorHAnsi" w:hAnsiTheme="minorHAnsi"/>
          <w:snapToGrid w:val="0"/>
        </w:rPr>
      </w:pPr>
      <w:r w:rsidRPr="00743512">
        <w:t>The PBAC noted the input from individuals and organisations which supported the resubmission and acknowledged that the Medical Oncology Group of Australia (MOGA) had again expressed its strong support for the resubmission.</w:t>
      </w:r>
    </w:p>
    <w:p w14:paraId="366C60EF" w14:textId="57DE340E" w:rsidR="00F04CFC" w:rsidRPr="00743512" w:rsidRDefault="00F04CFC" w:rsidP="005A5F28">
      <w:pPr>
        <w:widowControl w:val="0"/>
        <w:numPr>
          <w:ilvl w:val="1"/>
          <w:numId w:val="1"/>
        </w:numPr>
        <w:spacing w:after="120"/>
        <w:rPr>
          <w:rFonts w:asciiTheme="minorHAnsi" w:hAnsiTheme="minorHAnsi"/>
          <w:snapToGrid w:val="0"/>
        </w:rPr>
      </w:pPr>
      <w:r w:rsidRPr="00743512">
        <w:rPr>
          <w:rFonts w:asciiTheme="minorHAnsi" w:hAnsiTheme="minorHAnsi"/>
          <w:snapToGrid w:val="0"/>
        </w:rPr>
        <w:t xml:space="preserve">The PBAC noted that no additional clinical data were presented, </w:t>
      </w:r>
      <w:r w:rsidR="00AB22B5" w:rsidRPr="00743512">
        <w:rPr>
          <w:rFonts w:asciiTheme="minorHAnsi" w:hAnsiTheme="minorHAnsi"/>
          <w:snapToGrid w:val="0"/>
        </w:rPr>
        <w:t xml:space="preserve">and that the previously considered </w:t>
      </w:r>
      <w:r w:rsidRPr="00743512">
        <w:rPr>
          <w:rFonts w:asciiTheme="minorHAnsi" w:hAnsiTheme="minorHAnsi"/>
          <w:snapToGrid w:val="0"/>
        </w:rPr>
        <w:t xml:space="preserve">results from the OlympiA trial </w:t>
      </w:r>
      <w:r w:rsidR="00AB22B5" w:rsidRPr="00743512">
        <w:rPr>
          <w:rFonts w:asciiTheme="minorHAnsi" w:hAnsiTheme="minorHAnsi"/>
          <w:snapToGrid w:val="0"/>
        </w:rPr>
        <w:t xml:space="preserve">were </w:t>
      </w:r>
      <w:r w:rsidRPr="00743512">
        <w:rPr>
          <w:rFonts w:asciiTheme="minorHAnsi" w:hAnsiTheme="minorHAnsi"/>
          <w:snapToGrid w:val="0"/>
        </w:rPr>
        <w:t xml:space="preserve">presented </w:t>
      </w:r>
      <w:r w:rsidR="00F4781C" w:rsidRPr="00743512">
        <w:rPr>
          <w:rFonts w:asciiTheme="minorHAnsi" w:hAnsiTheme="minorHAnsi"/>
          <w:snapToGrid w:val="0"/>
        </w:rPr>
        <w:t xml:space="preserve">again </w:t>
      </w:r>
      <w:r w:rsidRPr="00743512">
        <w:rPr>
          <w:rFonts w:asciiTheme="minorHAnsi" w:hAnsiTheme="minorHAnsi"/>
          <w:snapToGrid w:val="0"/>
        </w:rPr>
        <w:t>to support the clinical claims.</w:t>
      </w:r>
    </w:p>
    <w:p w14:paraId="329F7CF6" w14:textId="778B4F41" w:rsidR="00F04CFC" w:rsidRPr="00743512" w:rsidRDefault="00F04CFC" w:rsidP="005A5F28">
      <w:pPr>
        <w:widowControl w:val="0"/>
        <w:numPr>
          <w:ilvl w:val="1"/>
          <w:numId w:val="1"/>
        </w:numPr>
        <w:spacing w:after="120"/>
        <w:rPr>
          <w:rFonts w:asciiTheme="minorHAnsi" w:hAnsiTheme="minorHAnsi"/>
          <w:snapToGrid w:val="0"/>
        </w:rPr>
      </w:pPr>
      <w:r w:rsidRPr="00743512">
        <w:rPr>
          <w:rFonts w:asciiTheme="minorHAnsi" w:hAnsiTheme="minorHAnsi"/>
          <w:snapToGrid w:val="0"/>
        </w:rPr>
        <w:t>The PBAC recalled that in March 2023 it had considered that olaparib was superior compared with placebo in terms of efficacy although the invasive disease-free survival (IDFS) and overall survival (OS) data were immature.</w:t>
      </w:r>
    </w:p>
    <w:p w14:paraId="13B80893" w14:textId="21FBE8DD" w:rsidR="00F04CFC" w:rsidRPr="00743512" w:rsidRDefault="00F04CFC" w:rsidP="005A5F28">
      <w:pPr>
        <w:widowControl w:val="0"/>
        <w:numPr>
          <w:ilvl w:val="1"/>
          <w:numId w:val="1"/>
        </w:numPr>
        <w:spacing w:after="120"/>
        <w:rPr>
          <w:rFonts w:asciiTheme="minorHAnsi" w:hAnsiTheme="minorHAnsi"/>
          <w:snapToGrid w:val="0"/>
        </w:rPr>
      </w:pPr>
      <w:r w:rsidRPr="00743512">
        <w:rPr>
          <w:rFonts w:asciiTheme="minorHAnsi" w:hAnsiTheme="minorHAnsi"/>
          <w:snapToGrid w:val="0"/>
        </w:rPr>
        <w:t>The PBAC noted that the resubmission had updated the safety claim from ‘non-inferior’ compared to placebo to ‘inferior yet manageable’ safety when compared to placebo. The PBAC considered that this was reasonable as olaparib had a higher incidence of all adverse events.</w:t>
      </w:r>
    </w:p>
    <w:p w14:paraId="7DBEE8A5" w14:textId="73E5363C" w:rsidR="00F04CFC" w:rsidRPr="00743512" w:rsidRDefault="00F04CFC" w:rsidP="004F5B47">
      <w:pPr>
        <w:widowControl w:val="0"/>
        <w:numPr>
          <w:ilvl w:val="1"/>
          <w:numId w:val="1"/>
        </w:numPr>
        <w:spacing w:after="120"/>
        <w:rPr>
          <w:rFonts w:asciiTheme="minorHAnsi" w:hAnsiTheme="minorHAnsi"/>
          <w:snapToGrid w:val="0"/>
        </w:rPr>
      </w:pPr>
      <w:r w:rsidRPr="00743512">
        <w:rPr>
          <w:rFonts w:asciiTheme="minorHAnsi" w:hAnsiTheme="minorHAnsi"/>
          <w:snapToGrid w:val="0"/>
        </w:rPr>
        <w:t>The PBAC recalled that in March 2023 it had considered that olaparib could be considered cost-effective if changes were made to the economic model in conjunction with a significant price reduction. The PBAC had considered that an incremental cost effectiveness ratio (ICER) of approximately $35,000 per quality adjusted life year (QALY) would be required to account for the uncertainty in modelled benefit beyond the trial horizon of the trial</w:t>
      </w:r>
      <w:r w:rsidR="00C574BA" w:rsidRPr="00743512">
        <w:rPr>
          <w:rFonts w:asciiTheme="minorHAnsi" w:hAnsiTheme="minorHAnsi"/>
          <w:snapToGrid w:val="0"/>
        </w:rPr>
        <w:t xml:space="preserve"> (see paragraph </w:t>
      </w:r>
      <w:r w:rsidR="00C574BA" w:rsidRPr="00743512">
        <w:rPr>
          <w:rFonts w:asciiTheme="minorHAnsi" w:hAnsiTheme="minorHAnsi"/>
          <w:snapToGrid w:val="0"/>
        </w:rPr>
        <w:fldChar w:fldCharType="begin"/>
      </w:r>
      <w:r w:rsidR="00C574BA" w:rsidRPr="00743512">
        <w:rPr>
          <w:rFonts w:asciiTheme="minorHAnsi" w:hAnsiTheme="minorHAnsi"/>
          <w:snapToGrid w:val="0"/>
        </w:rPr>
        <w:instrText xml:space="preserve"> REF _Ref150421286 \r \h </w:instrText>
      </w:r>
      <w:r w:rsidR="00DD71B2" w:rsidRPr="00743512">
        <w:rPr>
          <w:rFonts w:asciiTheme="minorHAnsi" w:hAnsiTheme="minorHAnsi"/>
          <w:snapToGrid w:val="0"/>
        </w:rPr>
        <w:instrText xml:space="preserve"> \* MERGEFORMAT </w:instrText>
      </w:r>
      <w:r w:rsidR="00C574BA" w:rsidRPr="00743512">
        <w:rPr>
          <w:rFonts w:asciiTheme="minorHAnsi" w:hAnsiTheme="minorHAnsi"/>
          <w:snapToGrid w:val="0"/>
        </w:rPr>
      </w:r>
      <w:r w:rsidR="00C574BA" w:rsidRPr="00743512">
        <w:rPr>
          <w:rFonts w:asciiTheme="minorHAnsi" w:hAnsiTheme="minorHAnsi"/>
          <w:snapToGrid w:val="0"/>
        </w:rPr>
        <w:fldChar w:fldCharType="separate"/>
      </w:r>
      <w:r w:rsidR="00D2565D">
        <w:rPr>
          <w:rFonts w:asciiTheme="minorHAnsi" w:hAnsiTheme="minorHAnsi"/>
          <w:snapToGrid w:val="0"/>
        </w:rPr>
        <w:t>7.8</w:t>
      </w:r>
      <w:r w:rsidR="00C574BA" w:rsidRPr="00743512">
        <w:rPr>
          <w:rFonts w:asciiTheme="minorHAnsi" w:hAnsiTheme="minorHAnsi"/>
          <w:snapToGrid w:val="0"/>
        </w:rPr>
        <w:fldChar w:fldCharType="end"/>
      </w:r>
      <w:r w:rsidR="00C574BA" w:rsidRPr="00743512">
        <w:rPr>
          <w:rFonts w:asciiTheme="minorHAnsi" w:hAnsiTheme="minorHAnsi"/>
          <w:snapToGrid w:val="0"/>
        </w:rPr>
        <w:t>)</w:t>
      </w:r>
      <w:r w:rsidRPr="00743512">
        <w:rPr>
          <w:rFonts w:asciiTheme="minorHAnsi" w:hAnsiTheme="minorHAnsi"/>
          <w:snapToGrid w:val="0"/>
        </w:rPr>
        <w:t xml:space="preserve">. </w:t>
      </w:r>
    </w:p>
    <w:p w14:paraId="0BC916E4" w14:textId="01F6EA8A" w:rsidR="0068405C" w:rsidRPr="00743512" w:rsidRDefault="00F04CFC" w:rsidP="004F5B47">
      <w:pPr>
        <w:pStyle w:val="3-BodyText"/>
      </w:pPr>
      <w:r w:rsidRPr="00743512">
        <w:t xml:space="preserve">The PBAC noted that the resubmission presented a revised economic evaluation </w:t>
      </w:r>
      <w:r w:rsidR="009F499B" w:rsidRPr="00743512">
        <w:t xml:space="preserve">(see </w:t>
      </w:r>
      <w:r w:rsidR="009F499B" w:rsidRPr="00743512">
        <w:fldChar w:fldCharType="begin"/>
      </w:r>
      <w:r w:rsidR="009F499B" w:rsidRPr="00743512">
        <w:instrText xml:space="preserve"> REF _Ref143801604 \h </w:instrText>
      </w:r>
      <w:r w:rsidR="00DD71B2" w:rsidRPr="00743512">
        <w:instrText xml:space="preserve"> \* MERGEFORMAT </w:instrText>
      </w:r>
      <w:r w:rsidR="009F499B" w:rsidRPr="00743512">
        <w:fldChar w:fldCharType="separate"/>
      </w:r>
      <w:r w:rsidR="00D2565D" w:rsidRPr="00743512">
        <w:t xml:space="preserve">Table </w:t>
      </w:r>
      <w:r w:rsidR="00D2565D">
        <w:t>11</w:t>
      </w:r>
      <w:r w:rsidR="009F499B" w:rsidRPr="00743512">
        <w:fldChar w:fldCharType="end"/>
      </w:r>
      <w:r w:rsidR="009F499B" w:rsidRPr="00743512">
        <w:t xml:space="preserve">) </w:t>
      </w:r>
      <w:r w:rsidRPr="00743512">
        <w:t>and proposed further revisions in the pre-Sub-Committee and pre-PBAC responses</w:t>
      </w:r>
      <w:r w:rsidR="003212FE" w:rsidRPr="00743512">
        <w:t>,</w:t>
      </w:r>
      <w:r w:rsidR="00D9175C" w:rsidRPr="00743512">
        <w:t xml:space="preserve"> informed by advice in the evaluation and ESC advice</w:t>
      </w:r>
      <w:r w:rsidR="003212FE" w:rsidRPr="00743512">
        <w:t>, respectively</w:t>
      </w:r>
      <w:r w:rsidR="009F499B" w:rsidRPr="00743512">
        <w:t xml:space="preserve"> (see</w:t>
      </w:r>
      <w:r w:rsidR="00090398" w:rsidRPr="00743512">
        <w:t xml:space="preserve"> </w:t>
      </w:r>
      <w:r w:rsidR="009F499B" w:rsidRPr="00743512">
        <w:fldChar w:fldCharType="begin"/>
      </w:r>
      <w:r w:rsidR="009F499B" w:rsidRPr="00743512">
        <w:instrText xml:space="preserve"> REF _Ref147928542 \h </w:instrText>
      </w:r>
      <w:r w:rsidR="00DD71B2" w:rsidRPr="00743512">
        <w:instrText xml:space="preserve"> \* MERGEFORMAT </w:instrText>
      </w:r>
      <w:r w:rsidR="009F499B" w:rsidRPr="00743512">
        <w:fldChar w:fldCharType="separate"/>
      </w:r>
      <w:r w:rsidR="00D2565D" w:rsidRPr="00743512">
        <w:t xml:space="preserve">Table </w:t>
      </w:r>
      <w:r w:rsidR="00D2565D">
        <w:t>16</w:t>
      </w:r>
      <w:r w:rsidR="009F499B" w:rsidRPr="00743512">
        <w:fldChar w:fldCharType="end"/>
      </w:r>
      <w:r w:rsidR="009F499B" w:rsidRPr="00743512">
        <w:t>)</w:t>
      </w:r>
      <w:bookmarkStart w:id="121" w:name="_Ref150421286"/>
      <w:r w:rsidR="00157B92" w:rsidRPr="00743512">
        <w:t xml:space="preserve">. </w:t>
      </w:r>
      <w:r w:rsidR="0068405C" w:rsidRPr="00743512">
        <w:t>The PBAC considered the model settings described in the pre-PBAC response had adequately addressed the concern regarding extrapolation point by changing from 48 months to 54 months.</w:t>
      </w:r>
      <w:r w:rsidR="00F32823" w:rsidRPr="00F32823">
        <w:t xml:space="preserve"> </w:t>
      </w:r>
    </w:p>
    <w:p w14:paraId="1A5048C4" w14:textId="25F22B46" w:rsidR="007B2B89" w:rsidRPr="00743512" w:rsidRDefault="009C762B" w:rsidP="004F5B47">
      <w:pPr>
        <w:widowControl w:val="0"/>
        <w:numPr>
          <w:ilvl w:val="1"/>
          <w:numId w:val="1"/>
        </w:numPr>
        <w:spacing w:after="120"/>
        <w:rPr>
          <w:rFonts w:asciiTheme="minorHAnsi" w:hAnsiTheme="minorHAnsi"/>
          <w:snapToGrid w:val="0"/>
        </w:rPr>
      </w:pPr>
      <w:r w:rsidRPr="00743512">
        <w:t>The PBAC considered that the primary issue outstanding was the time horizon.</w:t>
      </w:r>
      <w:r w:rsidR="00F32823" w:rsidRPr="00F32823">
        <w:t xml:space="preserve"> </w:t>
      </w:r>
      <w:r w:rsidRPr="00743512">
        <w:t>The PBAC considered that a 30-year time horizon would reduce the uncertainties associated with the immature trial data and align with previous PBAC decisions.</w:t>
      </w:r>
      <w:r w:rsidR="00F32823" w:rsidRPr="00F32823">
        <w:t xml:space="preserve"> </w:t>
      </w:r>
      <w:r w:rsidR="00543ACD" w:rsidRPr="00743512">
        <w:rPr>
          <w:rFonts w:asciiTheme="minorHAnsi" w:hAnsiTheme="minorHAnsi"/>
          <w:snapToGrid w:val="0"/>
        </w:rPr>
        <w:t xml:space="preserve">The PBAC noted that the proposed population of </w:t>
      </w:r>
      <w:r w:rsidR="00543ACD" w:rsidRPr="00743512">
        <w:t xml:space="preserve">patients with a confirmed </w:t>
      </w:r>
      <w:r w:rsidR="00C53818" w:rsidRPr="00743512">
        <w:t>g</w:t>
      </w:r>
      <w:r w:rsidR="00543ACD" w:rsidRPr="00743512">
        <w:rPr>
          <w:i/>
          <w:szCs w:val="20"/>
        </w:rPr>
        <w:t>BRCA1</w:t>
      </w:r>
      <w:r w:rsidR="00543ACD" w:rsidRPr="00743512">
        <w:rPr>
          <w:szCs w:val="20"/>
        </w:rPr>
        <w:t xml:space="preserve"> or </w:t>
      </w:r>
      <w:r w:rsidR="00C53818" w:rsidRPr="00743512">
        <w:rPr>
          <w:szCs w:val="20"/>
        </w:rPr>
        <w:t>g</w:t>
      </w:r>
      <w:r w:rsidR="00543ACD" w:rsidRPr="00743512">
        <w:rPr>
          <w:i/>
          <w:szCs w:val="20"/>
        </w:rPr>
        <w:t>BRCA2</w:t>
      </w:r>
      <w:r w:rsidR="00543ACD" w:rsidRPr="00743512">
        <w:rPr>
          <w:szCs w:val="20"/>
        </w:rPr>
        <w:t xml:space="preserve"> gene mutation was </w:t>
      </w:r>
      <w:r w:rsidR="00543ACD" w:rsidRPr="00743512">
        <w:rPr>
          <w:rFonts w:asciiTheme="minorHAnsi" w:hAnsiTheme="minorHAnsi"/>
          <w:snapToGrid w:val="0"/>
        </w:rPr>
        <w:t>on average younger than other early BC cohorts, however considered the use of a 40 year time horizon introduced uncertainty and was inconsistent with previously accepted adjuvant BC models (</w:t>
      </w:r>
      <w:r w:rsidR="00AD3A19" w:rsidRPr="00743512">
        <w:rPr>
          <w:rFonts w:asciiTheme="minorHAnsi" w:hAnsiTheme="minorHAnsi"/>
          <w:snapToGrid w:val="0"/>
        </w:rPr>
        <w:t>Abemaciclib PSD, March 2023 PBAC meeting, paragraph 7.13; Pembrolizumab PSD, July 2023, paragraph 5.4</w:t>
      </w:r>
      <w:r w:rsidR="00543ACD" w:rsidRPr="00743512">
        <w:rPr>
          <w:rFonts w:asciiTheme="minorHAnsi" w:hAnsiTheme="minorHAnsi"/>
          <w:snapToGrid w:val="0"/>
        </w:rPr>
        <w:t xml:space="preserve">). The PBAC </w:t>
      </w:r>
      <w:r w:rsidRPr="00743512">
        <w:rPr>
          <w:rFonts w:asciiTheme="minorHAnsi" w:hAnsiTheme="minorHAnsi"/>
          <w:snapToGrid w:val="0"/>
        </w:rPr>
        <w:t xml:space="preserve">therefore </w:t>
      </w:r>
      <w:r w:rsidR="00543ACD" w:rsidRPr="00743512">
        <w:rPr>
          <w:rFonts w:asciiTheme="minorHAnsi" w:hAnsiTheme="minorHAnsi"/>
          <w:snapToGrid w:val="0"/>
        </w:rPr>
        <w:t>considered a further price reduction was required to account for the extended time horizon proposed in the pre-PBAC response, noting that a time horizon more consistent with the previously accepted 30 years would be appropriate</w:t>
      </w:r>
      <w:r w:rsidR="00157B92" w:rsidRPr="00743512">
        <w:rPr>
          <w:rFonts w:asciiTheme="minorHAnsi" w:hAnsiTheme="minorHAnsi"/>
          <w:snapToGrid w:val="0"/>
        </w:rPr>
        <w:t xml:space="preserve">. </w:t>
      </w:r>
      <w:r w:rsidR="00F04CFC" w:rsidRPr="00743512">
        <w:rPr>
          <w:rFonts w:asciiTheme="minorHAnsi" w:hAnsiTheme="minorHAnsi"/>
          <w:snapToGrid w:val="0"/>
        </w:rPr>
        <w:t xml:space="preserve">The PBAC noted that a further price reduction would be required to </w:t>
      </w:r>
      <w:r w:rsidR="004A488A" w:rsidRPr="00743512">
        <w:rPr>
          <w:rFonts w:asciiTheme="minorHAnsi" w:hAnsiTheme="minorHAnsi"/>
          <w:snapToGrid w:val="0"/>
        </w:rPr>
        <w:t xml:space="preserve">achieve </w:t>
      </w:r>
      <w:r w:rsidR="00F04CFC" w:rsidRPr="00743512">
        <w:rPr>
          <w:rFonts w:asciiTheme="minorHAnsi" w:hAnsiTheme="minorHAnsi"/>
          <w:snapToGrid w:val="0"/>
        </w:rPr>
        <w:t>an ICER of $</w:t>
      </w:r>
      <w:r w:rsidR="004C0E34" w:rsidRPr="004C0E34">
        <w:rPr>
          <w:rFonts w:asciiTheme="minorHAnsi" w:hAnsiTheme="minorHAnsi"/>
          <w:snapToGrid w:val="0"/>
        </w:rPr>
        <w:t>35,000 to &lt; $45,000</w:t>
      </w:r>
      <w:r w:rsidR="00F04CFC" w:rsidRPr="00743512">
        <w:rPr>
          <w:rFonts w:asciiTheme="minorHAnsi" w:hAnsiTheme="minorHAnsi"/>
          <w:snapToGrid w:val="0"/>
        </w:rPr>
        <w:t xml:space="preserve"> per QALY</w:t>
      </w:r>
      <w:r w:rsidR="00157B92" w:rsidRPr="00743512">
        <w:rPr>
          <w:rFonts w:asciiTheme="minorHAnsi" w:hAnsiTheme="minorHAnsi"/>
          <w:snapToGrid w:val="0"/>
        </w:rPr>
        <w:t>.</w:t>
      </w:r>
      <w:r w:rsidR="00F32823" w:rsidRPr="00F32823">
        <w:rPr>
          <w:rFonts w:asciiTheme="minorHAnsi" w:hAnsiTheme="minorHAnsi"/>
          <w:snapToGrid w:val="0"/>
        </w:rPr>
        <w:t xml:space="preserve"> </w:t>
      </w:r>
      <w:r w:rsidR="00543ACD" w:rsidRPr="00743512">
        <w:rPr>
          <w:rFonts w:asciiTheme="minorHAnsi" w:hAnsiTheme="minorHAnsi"/>
          <w:snapToGrid w:val="0"/>
        </w:rPr>
        <w:t>The PBAC noted that it had previously required lower ICERs in this setting but considered that an ICER of $</w:t>
      </w:r>
      <w:r w:rsidR="004C0E34" w:rsidRPr="00064C6F">
        <w:rPr>
          <w:rFonts w:asciiTheme="minorHAnsi" w:hAnsiTheme="minorHAnsi"/>
          <w:snapToGrid w:val="0"/>
        </w:rPr>
        <w:t>35,000 to &lt; $45,000</w:t>
      </w:r>
      <w:r w:rsidR="00543ACD" w:rsidRPr="00743512">
        <w:rPr>
          <w:rFonts w:asciiTheme="minorHAnsi" w:hAnsiTheme="minorHAnsi"/>
          <w:snapToGrid w:val="0"/>
        </w:rPr>
        <w:t xml:space="preserve"> per QALY would be acceptable</w:t>
      </w:r>
      <w:r w:rsidR="00A7373C" w:rsidRPr="00743512">
        <w:rPr>
          <w:rFonts w:asciiTheme="minorHAnsi" w:hAnsiTheme="minorHAnsi"/>
          <w:snapToGrid w:val="0"/>
        </w:rPr>
        <w:t xml:space="preserve"> in the context of the proposed listing </w:t>
      </w:r>
      <w:r w:rsidR="007B2B89" w:rsidRPr="00743512">
        <w:rPr>
          <w:rFonts w:asciiTheme="minorHAnsi" w:hAnsiTheme="minorHAnsi"/>
          <w:snapToGrid w:val="0"/>
        </w:rPr>
        <w:t xml:space="preserve">of olaparib </w:t>
      </w:r>
      <w:r w:rsidR="00A7373C" w:rsidRPr="00743512">
        <w:rPr>
          <w:rFonts w:asciiTheme="minorHAnsi" w:hAnsiTheme="minorHAnsi"/>
          <w:snapToGrid w:val="0"/>
        </w:rPr>
        <w:t xml:space="preserve">for patients with </w:t>
      </w:r>
      <w:r w:rsidR="0018082C" w:rsidRPr="00743512">
        <w:rPr>
          <w:rFonts w:asciiTheme="minorHAnsi" w:hAnsiTheme="minorHAnsi"/>
          <w:i/>
          <w:snapToGrid w:val="0"/>
        </w:rPr>
        <w:t>BRCA</w:t>
      </w:r>
      <w:r w:rsidR="007B2B89" w:rsidRPr="00743512">
        <w:rPr>
          <w:rFonts w:asciiTheme="minorHAnsi" w:hAnsiTheme="minorHAnsi"/>
          <w:snapToGrid w:val="0"/>
        </w:rPr>
        <w:t xml:space="preserve"> mutations, because this refers to a small subset of breast cancer patients with a high clinical need</w:t>
      </w:r>
      <w:r w:rsidR="00543ACD" w:rsidRPr="00743512">
        <w:rPr>
          <w:rFonts w:asciiTheme="minorHAnsi" w:hAnsiTheme="minorHAnsi"/>
          <w:snapToGrid w:val="0"/>
        </w:rPr>
        <w:t>.</w:t>
      </w:r>
    </w:p>
    <w:bookmarkEnd w:id="121"/>
    <w:p w14:paraId="59E8F8A9" w14:textId="2E49DF75" w:rsidR="00F04CFC" w:rsidRPr="00743512" w:rsidRDefault="00F04CFC" w:rsidP="004F5B47">
      <w:pPr>
        <w:widowControl w:val="0"/>
        <w:numPr>
          <w:ilvl w:val="1"/>
          <w:numId w:val="1"/>
        </w:numPr>
        <w:spacing w:after="120"/>
        <w:rPr>
          <w:rFonts w:asciiTheme="minorHAnsi" w:hAnsiTheme="minorHAnsi"/>
          <w:snapToGrid w:val="0"/>
        </w:rPr>
      </w:pPr>
      <w:r w:rsidRPr="00743512">
        <w:rPr>
          <w:rFonts w:asciiTheme="minorHAnsi" w:hAnsiTheme="minorHAnsi"/>
          <w:snapToGrid w:val="0"/>
        </w:rPr>
        <w:t xml:space="preserve">In terms of the utilisation and financial impact estimates, the PBAC considered that the patient numbers estimated by the resubmission </w:t>
      </w:r>
      <w:r w:rsidR="00385D18" w:rsidRPr="00743512">
        <w:rPr>
          <w:rFonts w:asciiTheme="minorHAnsi" w:hAnsiTheme="minorHAnsi"/>
          <w:snapToGrid w:val="0"/>
        </w:rPr>
        <w:t>overestimated</w:t>
      </w:r>
      <w:r w:rsidR="00110A46" w:rsidRPr="00743512">
        <w:rPr>
          <w:rFonts w:asciiTheme="minorHAnsi" w:hAnsiTheme="minorHAnsi"/>
          <w:snapToGrid w:val="0"/>
        </w:rPr>
        <w:t xml:space="preserve"> </w:t>
      </w:r>
      <w:r w:rsidR="00C53818" w:rsidRPr="00743512">
        <w:rPr>
          <w:rFonts w:asciiTheme="minorHAnsi" w:hAnsiTheme="minorHAnsi"/>
          <w:snapToGrid w:val="0"/>
        </w:rPr>
        <w:t xml:space="preserve">the </w:t>
      </w:r>
      <w:r w:rsidR="00110A46" w:rsidRPr="00743512">
        <w:rPr>
          <w:rFonts w:asciiTheme="minorHAnsi" w:hAnsiTheme="minorHAnsi"/>
          <w:snapToGrid w:val="0"/>
        </w:rPr>
        <w:t xml:space="preserve">proportions of patients considered to have a high risk of recurrence (see </w:t>
      </w:r>
      <w:r w:rsidR="00110A46" w:rsidRPr="00743512">
        <w:rPr>
          <w:rFonts w:asciiTheme="minorHAnsi" w:hAnsiTheme="minorHAnsi"/>
          <w:snapToGrid w:val="0"/>
        </w:rPr>
        <w:fldChar w:fldCharType="begin"/>
      </w:r>
      <w:r w:rsidR="00110A46" w:rsidRPr="00743512">
        <w:rPr>
          <w:rFonts w:asciiTheme="minorHAnsi" w:hAnsiTheme="minorHAnsi"/>
          <w:snapToGrid w:val="0"/>
        </w:rPr>
        <w:instrText xml:space="preserve"> REF _Ref147930509 \h </w:instrText>
      </w:r>
      <w:r w:rsidR="00110A46" w:rsidRPr="00743512">
        <w:rPr>
          <w:rFonts w:asciiTheme="minorHAnsi" w:hAnsiTheme="minorHAnsi"/>
          <w:snapToGrid w:val="0"/>
        </w:rPr>
      </w:r>
      <w:r w:rsidR="00110A46" w:rsidRPr="00743512">
        <w:rPr>
          <w:rFonts w:asciiTheme="minorHAnsi" w:hAnsiTheme="minorHAnsi"/>
          <w:snapToGrid w:val="0"/>
        </w:rPr>
        <w:fldChar w:fldCharType="separate"/>
      </w:r>
      <w:r w:rsidR="00D2565D" w:rsidRPr="00743512">
        <w:t xml:space="preserve">Table </w:t>
      </w:r>
      <w:r w:rsidR="00D2565D">
        <w:rPr>
          <w:noProof/>
        </w:rPr>
        <w:t>20</w:t>
      </w:r>
      <w:r w:rsidR="00110A46" w:rsidRPr="00743512">
        <w:rPr>
          <w:rFonts w:asciiTheme="minorHAnsi" w:hAnsiTheme="minorHAnsi"/>
          <w:snapToGrid w:val="0"/>
        </w:rPr>
        <w:fldChar w:fldCharType="end"/>
      </w:r>
      <w:r w:rsidR="00110A46" w:rsidRPr="00743512">
        <w:rPr>
          <w:rFonts w:asciiTheme="minorHAnsi" w:hAnsiTheme="minorHAnsi"/>
          <w:snapToGrid w:val="0"/>
        </w:rPr>
        <w:t>)</w:t>
      </w:r>
      <w:bookmarkStart w:id="122" w:name="_Ref150260112"/>
      <w:r w:rsidR="00157B92" w:rsidRPr="00743512">
        <w:rPr>
          <w:rFonts w:asciiTheme="minorHAnsi" w:hAnsiTheme="minorHAnsi"/>
          <w:snapToGrid w:val="0"/>
        </w:rPr>
        <w:t xml:space="preserve">. </w:t>
      </w:r>
      <w:r w:rsidRPr="00743512">
        <w:rPr>
          <w:rFonts w:asciiTheme="minorHAnsi" w:hAnsiTheme="minorHAnsi"/>
          <w:snapToGrid w:val="0"/>
        </w:rPr>
        <w:t xml:space="preserve">For patients with TNBC, the PBAC considered that the proportion of patients </w:t>
      </w:r>
      <w:r w:rsidR="00110A46" w:rsidRPr="00743512">
        <w:rPr>
          <w:rFonts w:asciiTheme="minorHAnsi" w:hAnsiTheme="minorHAnsi"/>
          <w:snapToGrid w:val="0"/>
        </w:rPr>
        <w:t xml:space="preserve">meeting PBS criteria for high risk characteristics </w:t>
      </w:r>
      <w:r w:rsidRPr="00743512">
        <w:rPr>
          <w:rFonts w:asciiTheme="minorHAnsi" w:hAnsiTheme="minorHAnsi"/>
          <w:snapToGrid w:val="0"/>
        </w:rPr>
        <w:t xml:space="preserve">would be 40% (see paragraph </w:t>
      </w:r>
      <w:r w:rsidRPr="00743512">
        <w:rPr>
          <w:rFonts w:asciiTheme="minorHAnsi" w:hAnsiTheme="minorHAnsi"/>
          <w:snapToGrid w:val="0"/>
        </w:rPr>
        <w:fldChar w:fldCharType="begin"/>
      </w:r>
      <w:r w:rsidRPr="00743512">
        <w:rPr>
          <w:rFonts w:asciiTheme="minorHAnsi" w:hAnsiTheme="minorHAnsi"/>
          <w:snapToGrid w:val="0"/>
        </w:rPr>
        <w:instrText xml:space="preserve"> REF _Ref150257014 \r \h </w:instrText>
      </w:r>
      <w:r w:rsidRPr="00743512">
        <w:rPr>
          <w:rFonts w:asciiTheme="minorHAnsi" w:hAnsiTheme="minorHAnsi"/>
          <w:snapToGrid w:val="0"/>
        </w:rPr>
      </w:r>
      <w:r w:rsidRPr="00743512">
        <w:rPr>
          <w:rFonts w:asciiTheme="minorHAnsi" w:hAnsiTheme="minorHAnsi"/>
          <w:snapToGrid w:val="0"/>
        </w:rPr>
        <w:fldChar w:fldCharType="separate"/>
      </w:r>
      <w:r w:rsidR="00D2565D">
        <w:rPr>
          <w:rFonts w:asciiTheme="minorHAnsi" w:hAnsiTheme="minorHAnsi"/>
          <w:snapToGrid w:val="0"/>
        </w:rPr>
        <w:t>6.69</w:t>
      </w:r>
      <w:r w:rsidRPr="00743512">
        <w:rPr>
          <w:rFonts w:asciiTheme="minorHAnsi" w:hAnsiTheme="minorHAnsi"/>
          <w:snapToGrid w:val="0"/>
        </w:rPr>
        <w:fldChar w:fldCharType="end"/>
      </w:r>
      <w:r w:rsidRPr="00743512">
        <w:rPr>
          <w:rFonts w:asciiTheme="minorHAnsi" w:hAnsiTheme="minorHAnsi"/>
          <w:snapToGrid w:val="0"/>
        </w:rPr>
        <w:t xml:space="preserve">). </w:t>
      </w:r>
      <w:r w:rsidR="00110A46" w:rsidRPr="00743512">
        <w:rPr>
          <w:rFonts w:asciiTheme="minorHAnsi" w:hAnsiTheme="minorHAnsi"/>
          <w:snapToGrid w:val="0"/>
        </w:rPr>
        <w:t xml:space="preserve">For </w:t>
      </w:r>
      <w:r w:rsidR="00110A46" w:rsidRPr="00743512">
        <w:t>HR+ HER2</w:t>
      </w:r>
      <w:r w:rsidR="00110A46" w:rsidRPr="00743512">
        <w:rPr>
          <w:rFonts w:cstheme="minorHAnsi"/>
        </w:rPr>
        <w:t>−</w:t>
      </w:r>
      <w:r w:rsidR="00110A46" w:rsidRPr="00743512">
        <w:t xml:space="preserve"> patients, </w:t>
      </w:r>
      <w:r w:rsidR="00110A46" w:rsidRPr="00743512">
        <w:rPr>
          <w:rFonts w:asciiTheme="minorHAnsi" w:hAnsiTheme="minorHAnsi"/>
          <w:snapToGrid w:val="0"/>
        </w:rPr>
        <w:t>t</w:t>
      </w:r>
      <w:r w:rsidRPr="00743512">
        <w:rPr>
          <w:rFonts w:asciiTheme="minorHAnsi" w:hAnsiTheme="minorHAnsi"/>
          <w:snapToGrid w:val="0"/>
        </w:rPr>
        <w:t>he PBAC considered that the</w:t>
      </w:r>
      <w:r w:rsidR="00110A46" w:rsidRPr="00743512">
        <w:rPr>
          <w:rFonts w:asciiTheme="minorHAnsi" w:hAnsiTheme="minorHAnsi"/>
          <w:snapToGrid w:val="0"/>
        </w:rPr>
        <w:t xml:space="preserve"> proportion of patients meeting PBS criteria for high risk characteristics would be 25% as advised in March 2023, noting that the financial model incorporated this estimate in two steps </w:t>
      </w:r>
      <w:r w:rsidRPr="00743512">
        <w:rPr>
          <w:rFonts w:asciiTheme="minorHAnsi" w:hAnsiTheme="minorHAnsi"/>
          <w:snapToGrid w:val="0"/>
        </w:rPr>
        <w:t xml:space="preserve">(see paragraph </w:t>
      </w:r>
      <w:r w:rsidRPr="00743512">
        <w:rPr>
          <w:rFonts w:asciiTheme="minorHAnsi" w:hAnsiTheme="minorHAnsi"/>
          <w:snapToGrid w:val="0"/>
        </w:rPr>
        <w:fldChar w:fldCharType="begin"/>
      </w:r>
      <w:r w:rsidRPr="00743512">
        <w:rPr>
          <w:rFonts w:asciiTheme="minorHAnsi" w:hAnsiTheme="minorHAnsi"/>
          <w:snapToGrid w:val="0"/>
        </w:rPr>
        <w:instrText xml:space="preserve"> REF _Ref150257062 \r \h </w:instrText>
      </w:r>
      <w:r w:rsidRPr="00743512">
        <w:rPr>
          <w:rFonts w:asciiTheme="minorHAnsi" w:hAnsiTheme="minorHAnsi"/>
          <w:snapToGrid w:val="0"/>
        </w:rPr>
      </w:r>
      <w:r w:rsidRPr="00743512">
        <w:rPr>
          <w:rFonts w:asciiTheme="minorHAnsi" w:hAnsiTheme="minorHAnsi"/>
          <w:snapToGrid w:val="0"/>
        </w:rPr>
        <w:fldChar w:fldCharType="separate"/>
      </w:r>
      <w:r w:rsidR="00D2565D">
        <w:rPr>
          <w:rFonts w:asciiTheme="minorHAnsi" w:hAnsiTheme="minorHAnsi"/>
          <w:snapToGrid w:val="0"/>
        </w:rPr>
        <w:t>6.70</w:t>
      </w:r>
      <w:r w:rsidRPr="00743512">
        <w:rPr>
          <w:rFonts w:asciiTheme="minorHAnsi" w:hAnsiTheme="minorHAnsi"/>
          <w:snapToGrid w:val="0"/>
        </w:rPr>
        <w:fldChar w:fldCharType="end"/>
      </w:r>
      <w:r w:rsidRPr="00743512">
        <w:rPr>
          <w:rFonts w:asciiTheme="minorHAnsi" w:hAnsiTheme="minorHAnsi"/>
          <w:snapToGrid w:val="0"/>
        </w:rPr>
        <w:t xml:space="preserve">). </w:t>
      </w:r>
      <w:bookmarkEnd w:id="122"/>
    </w:p>
    <w:p w14:paraId="1E94777E" w14:textId="36E03A58" w:rsidR="00643896" w:rsidRPr="00743512" w:rsidRDefault="00F04CFC" w:rsidP="00A01CCC">
      <w:pPr>
        <w:widowControl w:val="0"/>
        <w:numPr>
          <w:ilvl w:val="1"/>
          <w:numId w:val="1"/>
        </w:numPr>
        <w:spacing w:after="120"/>
      </w:pPr>
      <w:r w:rsidRPr="00743512">
        <w:rPr>
          <w:snapToGrid w:val="0"/>
        </w:rPr>
        <w:t xml:space="preserve">The PBAC advised that a </w:t>
      </w:r>
      <w:r w:rsidR="00C53818" w:rsidRPr="00743512">
        <w:rPr>
          <w:snapToGrid w:val="0"/>
        </w:rPr>
        <w:t xml:space="preserve">Risk Sharing Arrangement </w:t>
      </w:r>
      <w:r w:rsidRPr="00743512">
        <w:rPr>
          <w:snapToGrid w:val="0"/>
        </w:rPr>
        <w:t xml:space="preserve">(RSA) </w:t>
      </w:r>
      <w:r w:rsidR="00C53818" w:rsidRPr="00743512">
        <w:rPr>
          <w:snapToGrid w:val="0"/>
        </w:rPr>
        <w:t>with</w:t>
      </w:r>
      <w:r w:rsidR="00F32823" w:rsidRPr="00F32823">
        <w:rPr>
          <w:snapToGrid w:val="0"/>
        </w:rPr>
        <w:t xml:space="preserve"> </w:t>
      </w:r>
      <w:r w:rsidR="00632DCB" w:rsidRPr="00F32823">
        <w:rPr>
          <w:snapToGrid w:val="0"/>
          <w:color w:val="000000"/>
          <w:spacing w:val="6"/>
          <w:w w:val="62"/>
          <w:shd w:val="solid" w:color="000000" w:fill="000000"/>
          <w:fitText w:val="480" w:id="-1032087800"/>
          <w14:textFill>
            <w14:solidFill>
              <w14:srgbClr w14:val="000000">
                <w14:alpha w14:val="100000"/>
              </w14:srgbClr>
            </w14:solidFill>
          </w14:textFill>
        </w:rPr>
        <w:t>|||</w:t>
      </w:r>
      <w:r w:rsidR="00F32823" w:rsidRPr="00F32823">
        <w:rPr>
          <w:snapToGrid w:val="0"/>
          <w:color w:val="000000"/>
          <w:spacing w:val="6"/>
          <w:w w:val="62"/>
          <w:shd w:val="solid" w:color="000000" w:fill="000000"/>
          <w:fitText w:val="480" w:id="-1032087800"/>
          <w14:textFill>
            <w14:solidFill>
              <w14:srgbClr w14:val="000000">
                <w14:alpha w14:val="100000"/>
              </w14:srgbClr>
            </w14:solidFill>
          </w14:textFill>
        </w:rPr>
        <w:t xml:space="preserve"> </w:t>
      </w:r>
      <w:r w:rsidR="00632DCB" w:rsidRPr="00F32823">
        <w:rPr>
          <w:snapToGrid w:val="0"/>
          <w:color w:val="000000"/>
          <w:spacing w:val="6"/>
          <w:w w:val="62"/>
          <w:shd w:val="solid" w:color="000000" w:fill="000000"/>
          <w:fitText w:val="480" w:id="-1032087800"/>
          <w14:textFill>
            <w14:solidFill>
              <w14:srgbClr w14:val="000000">
                <w14:alpha w14:val="100000"/>
              </w14:srgbClr>
            </w14:solidFill>
          </w14:textFill>
        </w:rPr>
        <w:t>|||</w:t>
      </w:r>
      <w:r w:rsidR="00C53818" w:rsidRPr="00743512">
        <w:rPr>
          <w:snapToGrid w:val="0"/>
        </w:rPr>
        <w:t xml:space="preserve">% rebate </w:t>
      </w:r>
      <w:r w:rsidRPr="00743512">
        <w:rPr>
          <w:snapToGrid w:val="0"/>
        </w:rPr>
        <w:t xml:space="preserve">should be implemented with expenditure caps based on the revisions outlined in paragraph </w:t>
      </w:r>
      <w:r w:rsidRPr="00743512">
        <w:rPr>
          <w:snapToGrid w:val="0"/>
        </w:rPr>
        <w:fldChar w:fldCharType="begin"/>
      </w:r>
      <w:r w:rsidRPr="00743512">
        <w:rPr>
          <w:snapToGrid w:val="0"/>
        </w:rPr>
        <w:instrText xml:space="preserve"> REF _Ref150260112 \r \h </w:instrText>
      </w:r>
      <w:r w:rsidRPr="00743512">
        <w:rPr>
          <w:snapToGrid w:val="0"/>
        </w:rPr>
      </w:r>
      <w:r w:rsidRPr="00743512">
        <w:rPr>
          <w:snapToGrid w:val="0"/>
        </w:rPr>
        <w:fldChar w:fldCharType="separate"/>
      </w:r>
      <w:r w:rsidR="00D2565D">
        <w:rPr>
          <w:snapToGrid w:val="0"/>
        </w:rPr>
        <w:t>7.10</w:t>
      </w:r>
      <w:r w:rsidRPr="00743512">
        <w:rPr>
          <w:snapToGrid w:val="0"/>
        </w:rPr>
        <w:fldChar w:fldCharType="end"/>
      </w:r>
      <w:r w:rsidR="00ED03B1" w:rsidRPr="00743512">
        <w:rPr>
          <w:snapToGrid w:val="0"/>
        </w:rPr>
        <w:t xml:space="preserve">, </w:t>
      </w:r>
      <w:r w:rsidR="00ED03B1" w:rsidRPr="00743512">
        <w:t>given uncertainty with patient numbers and testing/treatment uptake</w:t>
      </w:r>
      <w:r w:rsidRPr="00743512">
        <w:rPr>
          <w:rFonts w:asciiTheme="minorHAnsi" w:hAnsiTheme="minorHAnsi"/>
          <w:snapToGrid w:val="0"/>
        </w:rPr>
        <w:t>.</w:t>
      </w:r>
    </w:p>
    <w:p w14:paraId="5C5DD8DD" w14:textId="379AB79F" w:rsidR="005927E2" w:rsidRPr="00743512" w:rsidRDefault="00F04CFC" w:rsidP="005927E2">
      <w:pPr>
        <w:widowControl w:val="0"/>
        <w:numPr>
          <w:ilvl w:val="1"/>
          <w:numId w:val="1"/>
        </w:numPr>
        <w:spacing w:after="120"/>
        <w:rPr>
          <w:rFonts w:asciiTheme="minorHAnsi" w:hAnsiTheme="minorHAnsi"/>
          <w:snapToGrid w:val="0"/>
        </w:rPr>
      </w:pPr>
      <w:r w:rsidRPr="00743512">
        <w:t>The PBAC considered that the proposed restriction should include a criterion that prevented use of olaparib in combination with abemaciclib or pembrolizumab</w:t>
      </w:r>
      <w:r w:rsidR="00A75679" w:rsidRPr="00743512">
        <w:t>, if PBS listed for use in early breast cancer in the future</w:t>
      </w:r>
      <w:r w:rsidRPr="00743512">
        <w:t>.</w:t>
      </w:r>
    </w:p>
    <w:p w14:paraId="35677622" w14:textId="37A5C812" w:rsidR="00482DC2" w:rsidRPr="00743512" w:rsidRDefault="00482DC2" w:rsidP="004F5B47">
      <w:pPr>
        <w:pStyle w:val="3-BodyText"/>
        <w:widowControl w:val="0"/>
      </w:pPr>
      <w:r w:rsidRPr="00743512">
        <w:t>The PBAC previously advised that if olaparib is PBS listed in eBC, it may be appropriate to clarify the current PBS listings for PARP</w:t>
      </w:r>
      <w:r w:rsidR="00CE3CAB" w:rsidRPr="00743512">
        <w:t xml:space="preserve"> </w:t>
      </w:r>
      <w:r w:rsidRPr="00743512">
        <w:t>i</w:t>
      </w:r>
      <w:r w:rsidR="00CE3CAB" w:rsidRPr="00743512">
        <w:t>nhibitor</w:t>
      </w:r>
      <w:r w:rsidRPr="00743512">
        <w:t>s in ovarian cancer that prior use of PARP</w:t>
      </w:r>
      <w:r w:rsidR="00CE3CAB" w:rsidRPr="00743512">
        <w:t xml:space="preserve"> </w:t>
      </w:r>
      <w:r w:rsidRPr="00743512">
        <w:t>i</w:t>
      </w:r>
      <w:r w:rsidR="00CE3CAB" w:rsidRPr="00743512">
        <w:t>nhibitors</w:t>
      </w:r>
      <w:r w:rsidRPr="00743512">
        <w:t xml:space="preserve"> is in the context of </w:t>
      </w:r>
      <w:r w:rsidR="0094570B" w:rsidRPr="00743512">
        <w:t>early breast cancer</w:t>
      </w:r>
      <w:r w:rsidR="00C318A5" w:rsidRPr="00743512">
        <w:t xml:space="preserve"> </w:t>
      </w:r>
      <w:r w:rsidR="0094570B" w:rsidRPr="00743512">
        <w:t>should</w:t>
      </w:r>
      <w:r w:rsidRPr="00743512">
        <w:t xml:space="preserve"> </w:t>
      </w:r>
      <w:r w:rsidR="0094570B" w:rsidRPr="00743512">
        <w:t xml:space="preserve">be </w:t>
      </w:r>
      <w:r w:rsidRPr="00743512">
        <w:t>inadvertently interpreted as an intent to prevent these patients from accessing PARP</w:t>
      </w:r>
      <w:r w:rsidR="00CE3CAB" w:rsidRPr="00743512">
        <w:t xml:space="preserve"> </w:t>
      </w:r>
      <w:r w:rsidRPr="00743512">
        <w:t>i</w:t>
      </w:r>
      <w:r w:rsidR="00CE3CAB" w:rsidRPr="00743512">
        <w:t>nhibitors</w:t>
      </w:r>
      <w:r w:rsidRPr="00743512">
        <w:t xml:space="preserve"> in a different cancer (see paragraph </w:t>
      </w:r>
      <w:r w:rsidRPr="00743512">
        <w:fldChar w:fldCharType="begin"/>
      </w:r>
      <w:r w:rsidRPr="00743512">
        <w:instrText xml:space="preserve"> REF _Ref150343941 \r \h </w:instrText>
      </w:r>
      <w:r w:rsidRPr="00743512">
        <w:fldChar w:fldCharType="separate"/>
      </w:r>
      <w:r w:rsidR="00D2565D">
        <w:t>3.4</w:t>
      </w:r>
      <w:r w:rsidRPr="00743512">
        <w:fldChar w:fldCharType="end"/>
      </w:r>
      <w:r w:rsidRPr="00743512">
        <w:t xml:space="preserve">). </w:t>
      </w:r>
      <w:r w:rsidR="00A045B1" w:rsidRPr="00743512">
        <w:t xml:space="preserve">The PBS listings for olaparib and niraparib in ovarian cancer </w:t>
      </w:r>
      <w:r w:rsidR="00E329E5" w:rsidRPr="00743512">
        <w:t xml:space="preserve">include the following </w:t>
      </w:r>
      <w:r w:rsidR="00C53818" w:rsidRPr="00743512">
        <w:t>phrase</w:t>
      </w:r>
      <w:r w:rsidR="00E329E5" w:rsidRPr="00743512">
        <w:t xml:space="preserve">: “Patient must not have previously received PBS-subsidised treatment with this drug for this condition”. </w:t>
      </w:r>
      <w:r w:rsidR="00FE5831" w:rsidRPr="00743512">
        <w:t>The use of “</w:t>
      </w:r>
      <w:r w:rsidR="00E329E5" w:rsidRPr="00743512">
        <w:t>This condition</w:t>
      </w:r>
      <w:r w:rsidR="00FE5831" w:rsidRPr="00743512">
        <w:t>” in the text</w:t>
      </w:r>
      <w:r w:rsidR="00E329E5" w:rsidRPr="00743512">
        <w:t xml:space="preserve"> is taken to differentiate the cancer and adequately covers allowing subsequent use of these PARP inhibitors in later line for the different cancer type</w:t>
      </w:r>
      <w:r w:rsidR="00E329E5" w:rsidRPr="00743512">
        <w:rPr>
          <w:rStyle w:val="CommentReference"/>
          <w:rFonts w:cs="Times New Roman"/>
          <w:snapToGrid/>
        </w:rPr>
        <w:t>.</w:t>
      </w:r>
    </w:p>
    <w:p w14:paraId="36CF422F" w14:textId="652271C4" w:rsidR="00F04CFC" w:rsidRPr="00743512" w:rsidRDefault="00F04CFC" w:rsidP="00F04CFC">
      <w:pPr>
        <w:widowControl w:val="0"/>
        <w:numPr>
          <w:ilvl w:val="1"/>
          <w:numId w:val="1"/>
        </w:numPr>
        <w:spacing w:after="120"/>
        <w:rPr>
          <w:rFonts w:asciiTheme="minorHAnsi" w:hAnsiTheme="minorHAnsi"/>
          <w:snapToGrid w:val="0"/>
        </w:rPr>
      </w:pPr>
      <w:r w:rsidRPr="00743512">
        <w:rPr>
          <w:rFonts w:asciiTheme="minorHAnsi" w:hAnsiTheme="minorHAnsi" w:cstheme="minorHAnsi"/>
        </w:rPr>
        <w:t xml:space="preserve">The PBAC found that the criteria prescribed by the </w:t>
      </w:r>
      <w:r w:rsidRPr="00743512">
        <w:rPr>
          <w:rFonts w:asciiTheme="minorHAnsi" w:hAnsiTheme="minorHAnsi" w:cstheme="minorHAnsi"/>
          <w:i/>
        </w:rPr>
        <w:t>National Health (Pharmaceuticals and Vaccines – Cost Recovery) Regulations 2022</w:t>
      </w:r>
      <w:r w:rsidRPr="00743512">
        <w:rPr>
          <w:rFonts w:asciiTheme="minorHAnsi" w:hAnsiTheme="minorHAnsi" w:cstheme="minorHAnsi"/>
        </w:rPr>
        <w:t xml:space="preserve"> for Pricing Pathway A were not met. Specifically, the PBAC found that in the circumstances of its recommendation for olaparib:</w:t>
      </w:r>
    </w:p>
    <w:p w14:paraId="45FDEA4E" w14:textId="65B829B1" w:rsidR="00F04CFC" w:rsidRPr="00743512" w:rsidRDefault="00F04CFC" w:rsidP="00F04CFC">
      <w:pPr>
        <w:widowControl w:val="0"/>
        <w:numPr>
          <w:ilvl w:val="1"/>
          <w:numId w:val="29"/>
        </w:numPr>
        <w:spacing w:after="120"/>
        <w:ind w:left="1080"/>
        <w:rPr>
          <w:rFonts w:asciiTheme="minorHAnsi" w:hAnsiTheme="minorHAnsi" w:cstheme="minorHAnsi"/>
        </w:rPr>
      </w:pPr>
      <w:r w:rsidRPr="00743512">
        <w:rPr>
          <w:rFonts w:asciiTheme="minorHAnsi" w:hAnsiTheme="minorHAnsi" w:cstheme="minorHAnsi"/>
        </w:rPr>
        <w:t>Olaparib is expected to provide a substantial and clinically relevant improvement in efficacy over placebo;</w:t>
      </w:r>
    </w:p>
    <w:p w14:paraId="2CCE0A2D" w14:textId="36666CF9" w:rsidR="00F04CFC" w:rsidRPr="00743512" w:rsidRDefault="00F04CFC" w:rsidP="00F04CFC">
      <w:pPr>
        <w:widowControl w:val="0"/>
        <w:numPr>
          <w:ilvl w:val="1"/>
          <w:numId w:val="29"/>
        </w:numPr>
        <w:spacing w:after="120"/>
        <w:ind w:left="1080"/>
        <w:rPr>
          <w:rFonts w:asciiTheme="minorHAnsi" w:hAnsiTheme="minorHAnsi" w:cstheme="minorHAnsi"/>
        </w:rPr>
      </w:pPr>
      <w:r w:rsidRPr="00743512">
        <w:rPr>
          <w:rFonts w:asciiTheme="minorHAnsi" w:hAnsiTheme="minorHAnsi" w:cstheme="minorHAnsi"/>
        </w:rPr>
        <w:t xml:space="preserve">Olaparib is not expected to address a high and urgent unmet clinical need as there are alternative therapies available; </w:t>
      </w:r>
    </w:p>
    <w:p w14:paraId="776932EA" w14:textId="77777777" w:rsidR="00F04CFC" w:rsidRPr="00743512" w:rsidRDefault="00F04CFC" w:rsidP="00F04CFC">
      <w:pPr>
        <w:widowControl w:val="0"/>
        <w:numPr>
          <w:ilvl w:val="1"/>
          <w:numId w:val="29"/>
        </w:numPr>
        <w:spacing w:after="120"/>
        <w:ind w:left="1080"/>
        <w:rPr>
          <w:rFonts w:asciiTheme="minorHAnsi" w:hAnsiTheme="minorHAnsi" w:cstheme="minorHAnsi"/>
        </w:rPr>
      </w:pPr>
      <w:r w:rsidRPr="00743512">
        <w:rPr>
          <w:rFonts w:asciiTheme="minorHAnsi" w:hAnsiTheme="minorHAnsi" w:cstheme="minorHAnsi"/>
        </w:rPr>
        <w:t xml:space="preserve">It was not necessary to make a finding in relation to whether it would be in the public interest for the subsequent pricing application to be progressed under Pricing Pathway A because one or more of the preceding tests had failed. </w:t>
      </w:r>
    </w:p>
    <w:p w14:paraId="00F7110D" w14:textId="11F3E28D" w:rsidR="00F04CFC" w:rsidRPr="00743512" w:rsidRDefault="00F04CFC" w:rsidP="001074C6">
      <w:pPr>
        <w:widowControl w:val="0"/>
        <w:numPr>
          <w:ilvl w:val="1"/>
          <w:numId w:val="1"/>
        </w:numPr>
        <w:spacing w:after="120"/>
        <w:rPr>
          <w:rFonts w:asciiTheme="minorHAnsi" w:hAnsiTheme="minorHAnsi"/>
          <w:snapToGrid w:val="0"/>
        </w:rPr>
      </w:pPr>
      <w:r w:rsidRPr="00743512">
        <w:rPr>
          <w:rFonts w:asciiTheme="minorHAnsi" w:hAnsiTheme="minorHAnsi"/>
          <w:snapToGrid w:val="0"/>
        </w:rPr>
        <w:t>The PBAC noted that this submission is not eligible for an Independent Review as it received a positive recommendation.</w:t>
      </w:r>
    </w:p>
    <w:p w14:paraId="5FF9AD4A" w14:textId="77777777" w:rsidR="001074C6" w:rsidRPr="00743512" w:rsidRDefault="001074C6" w:rsidP="001074C6">
      <w:pPr>
        <w:spacing w:before="240"/>
        <w:rPr>
          <w:rFonts w:asciiTheme="minorHAnsi" w:hAnsiTheme="minorHAnsi"/>
          <w:b/>
          <w:bCs/>
          <w:snapToGrid w:val="0"/>
        </w:rPr>
      </w:pPr>
      <w:r w:rsidRPr="00743512">
        <w:rPr>
          <w:rFonts w:asciiTheme="minorHAnsi" w:hAnsiTheme="minorHAnsi"/>
          <w:b/>
          <w:bCs/>
          <w:snapToGrid w:val="0"/>
        </w:rPr>
        <w:t>Outcome:</w:t>
      </w:r>
    </w:p>
    <w:p w14:paraId="4530B960" w14:textId="075A1081" w:rsidR="001074C6" w:rsidRPr="00743512" w:rsidRDefault="001074C6" w:rsidP="00A01CCC">
      <w:pPr>
        <w:rPr>
          <w:rFonts w:asciiTheme="minorHAnsi" w:hAnsiTheme="minorHAnsi"/>
          <w:b/>
          <w:bCs/>
          <w:snapToGrid w:val="0"/>
        </w:rPr>
      </w:pPr>
      <w:r w:rsidRPr="00743512">
        <w:rPr>
          <w:rFonts w:asciiTheme="minorHAnsi" w:hAnsiTheme="minorHAnsi"/>
          <w:bCs/>
          <w:snapToGrid w:val="0"/>
        </w:rPr>
        <w:t xml:space="preserve">Recommended </w:t>
      </w:r>
    </w:p>
    <w:bookmarkEnd w:id="119"/>
    <w:p w14:paraId="738881BB" w14:textId="77777777" w:rsidR="001074C6" w:rsidRPr="00743512" w:rsidRDefault="001074C6" w:rsidP="001074C6">
      <w:pPr>
        <w:pStyle w:val="2-SectionHeading"/>
        <w:rPr>
          <w:iCs/>
        </w:rPr>
      </w:pPr>
      <w:r w:rsidRPr="00743512">
        <w:t>Recommended listing</w:t>
      </w:r>
    </w:p>
    <w:p w14:paraId="1B40B015" w14:textId="2537CD7A" w:rsidR="001074C6" w:rsidRPr="00A01CCC" w:rsidRDefault="00F73B13" w:rsidP="008F2732">
      <w:pPr>
        <w:widowControl w:val="0"/>
        <w:numPr>
          <w:ilvl w:val="1"/>
          <w:numId w:val="1"/>
        </w:numPr>
        <w:pBdr>
          <w:bottom w:val="single" w:sz="4" w:space="1" w:color="auto"/>
        </w:pBdr>
        <w:spacing w:after="120"/>
        <w:contextualSpacing/>
        <w:rPr>
          <w:rFonts w:asciiTheme="minorHAnsi" w:hAnsiTheme="minorHAnsi"/>
          <w:bCs/>
          <w:snapToGrid w:val="0"/>
        </w:rPr>
      </w:pPr>
      <w:r w:rsidRPr="00A01CCC">
        <w:rPr>
          <w:rFonts w:asciiTheme="minorHAnsi" w:hAnsiTheme="minorHAnsi"/>
          <w:bCs/>
          <w:snapToGrid w:val="0"/>
        </w:rPr>
        <w:t xml:space="preserve">Add new </w:t>
      </w:r>
      <w:r w:rsidR="001074C6" w:rsidRPr="00A01CCC">
        <w:rPr>
          <w:rFonts w:asciiTheme="minorHAnsi" w:hAnsiTheme="minorHAnsi"/>
          <w:bCs/>
          <w:snapToGrid w:val="0"/>
        </w:rPr>
        <w:t>listing</w:t>
      </w:r>
      <w:r w:rsidRPr="00A01CCC">
        <w:rPr>
          <w:rFonts w:asciiTheme="minorHAnsi" w:hAnsiTheme="minorHAnsi"/>
          <w:bCs/>
          <w:snapToGrid w:val="0"/>
        </w:rPr>
        <w:t>s</w:t>
      </w:r>
      <w:r w:rsidR="001074C6" w:rsidRPr="00A01CCC">
        <w:rPr>
          <w:rFonts w:asciiTheme="minorHAnsi" w:hAnsiTheme="minorHAnsi"/>
          <w:bCs/>
          <w:snapToGrid w:val="0"/>
        </w:rPr>
        <w:t xml:space="preserve"> as follows:</w:t>
      </w:r>
      <w:bookmarkEnd w:id="120"/>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200"/>
        <w:gridCol w:w="1440"/>
        <w:gridCol w:w="960"/>
        <w:gridCol w:w="1200"/>
        <w:gridCol w:w="1560"/>
        <w:gridCol w:w="1680"/>
      </w:tblGrid>
      <w:tr w:rsidR="00F04CFC" w:rsidRPr="00743512" w14:paraId="33F4918F" w14:textId="77777777" w:rsidTr="00F04CFC">
        <w:trPr>
          <w:cantSplit/>
          <w:trHeight w:val="74"/>
        </w:trPr>
        <w:tc>
          <w:tcPr>
            <w:tcW w:w="9115" w:type="dxa"/>
            <w:gridSpan w:val="7"/>
            <w:tcBorders>
              <w:top w:val="single" w:sz="4" w:space="0" w:color="auto"/>
              <w:left w:val="single" w:sz="4" w:space="0" w:color="auto"/>
              <w:bottom w:val="single" w:sz="4" w:space="0" w:color="auto"/>
              <w:right w:val="single" w:sz="4" w:space="0" w:color="auto"/>
            </w:tcBorders>
          </w:tcPr>
          <w:p w14:paraId="44F6324D" w14:textId="76AA3C4E" w:rsidR="00F04CFC" w:rsidRPr="00743512" w:rsidRDefault="00F04CFC" w:rsidP="00F04CFC">
            <w:pPr>
              <w:keepNext/>
              <w:rPr>
                <w:rFonts w:ascii="Arial Narrow" w:eastAsia="Calibri" w:hAnsi="Arial Narrow"/>
                <w:b/>
                <w:sz w:val="20"/>
                <w:szCs w:val="20"/>
              </w:rPr>
            </w:pPr>
            <w:r w:rsidRPr="00743512">
              <w:rPr>
                <w:rFonts w:ascii="Arial Narrow" w:hAnsi="Arial Narrow"/>
                <w:b/>
                <w:sz w:val="20"/>
                <w:szCs w:val="20"/>
              </w:rPr>
              <w:t>Category / Program:</w:t>
            </w:r>
            <w:r w:rsidR="00F32823" w:rsidRPr="00F32823">
              <w:rPr>
                <w:rFonts w:ascii="Arial Narrow" w:hAnsi="Arial Narrow"/>
                <w:b/>
                <w:sz w:val="20"/>
                <w:szCs w:val="20"/>
              </w:rPr>
              <w:t xml:space="preserve"> </w:t>
            </w:r>
            <w:r w:rsidRPr="00743512">
              <w:rPr>
                <w:rFonts w:ascii="Arial Narrow" w:hAnsi="Arial Narrow"/>
                <w:b/>
                <w:sz w:val="20"/>
                <w:szCs w:val="20"/>
              </w:rPr>
              <w:t xml:space="preserve"> </w:t>
            </w:r>
            <w:r w:rsidRPr="00743512">
              <w:rPr>
                <w:rFonts w:ascii="Arial Narrow" w:hAnsi="Arial Narrow"/>
                <w:sz w:val="20"/>
                <w:szCs w:val="20"/>
              </w:rPr>
              <w:t>GENERAL – General Schedule (Code GE)</w:t>
            </w:r>
          </w:p>
        </w:tc>
      </w:tr>
      <w:tr w:rsidR="00F04CFC" w:rsidRPr="00743512" w14:paraId="31F45621" w14:textId="77777777" w:rsidTr="004F5B47">
        <w:trPr>
          <w:cantSplit/>
          <w:trHeight w:val="471"/>
        </w:trPr>
        <w:tc>
          <w:tcPr>
            <w:tcW w:w="2275" w:type="dxa"/>
            <w:gridSpan w:val="2"/>
          </w:tcPr>
          <w:p w14:paraId="4880EFC5" w14:textId="77777777" w:rsidR="00F04CFC" w:rsidRPr="00743512" w:rsidRDefault="00F04CFC" w:rsidP="004F5B47">
            <w:pPr>
              <w:ind w:left="-57"/>
              <w:rPr>
                <w:rFonts w:ascii="Arial Narrow" w:eastAsia="Calibri" w:hAnsi="Arial Narrow"/>
                <w:b/>
                <w:bCs/>
                <w:sz w:val="20"/>
                <w:szCs w:val="20"/>
              </w:rPr>
            </w:pPr>
            <w:r w:rsidRPr="00743512">
              <w:rPr>
                <w:rFonts w:ascii="Arial Narrow" w:eastAsia="Calibri" w:hAnsi="Arial Narrow"/>
                <w:b/>
                <w:bCs/>
                <w:sz w:val="20"/>
                <w:szCs w:val="20"/>
              </w:rPr>
              <w:t>MEDICINAL PRODUCT</w:t>
            </w:r>
          </w:p>
          <w:p w14:paraId="157B23B9" w14:textId="77777777" w:rsidR="00F04CFC" w:rsidRPr="00743512" w:rsidRDefault="00F04CFC" w:rsidP="004F5B47">
            <w:pPr>
              <w:ind w:left="-57"/>
              <w:rPr>
                <w:rFonts w:ascii="Arial Narrow" w:eastAsia="Calibri" w:hAnsi="Arial Narrow"/>
                <w:b/>
                <w:sz w:val="20"/>
                <w:szCs w:val="20"/>
              </w:rPr>
            </w:pPr>
            <w:r w:rsidRPr="00743512">
              <w:rPr>
                <w:rFonts w:ascii="Arial Narrow" w:eastAsia="Calibri" w:hAnsi="Arial Narrow"/>
                <w:b/>
                <w:bCs/>
                <w:sz w:val="20"/>
                <w:szCs w:val="20"/>
              </w:rPr>
              <w:t>medicinal product pack</w:t>
            </w:r>
          </w:p>
        </w:tc>
        <w:tc>
          <w:tcPr>
            <w:tcW w:w="1440" w:type="dxa"/>
          </w:tcPr>
          <w:p w14:paraId="30162ACD" w14:textId="77777777" w:rsidR="00F04CFC" w:rsidRPr="00743512" w:rsidRDefault="00F04CFC" w:rsidP="00F04CFC">
            <w:pPr>
              <w:keepNext/>
              <w:ind w:left="-108"/>
              <w:jc w:val="center"/>
              <w:rPr>
                <w:rFonts w:ascii="Arial Narrow" w:eastAsia="Calibri" w:hAnsi="Arial Narrow"/>
                <w:b/>
                <w:sz w:val="20"/>
                <w:szCs w:val="20"/>
              </w:rPr>
            </w:pPr>
            <w:r w:rsidRPr="00743512">
              <w:rPr>
                <w:rFonts w:ascii="Arial Narrow" w:eastAsia="Calibri" w:hAnsi="Arial Narrow"/>
                <w:b/>
                <w:sz w:val="20"/>
                <w:szCs w:val="20"/>
              </w:rPr>
              <w:t>PBS item code</w:t>
            </w:r>
          </w:p>
        </w:tc>
        <w:tc>
          <w:tcPr>
            <w:tcW w:w="960" w:type="dxa"/>
          </w:tcPr>
          <w:p w14:paraId="5D74D5F5" w14:textId="77777777" w:rsidR="00F04CFC" w:rsidRPr="00743512" w:rsidRDefault="00F04CFC" w:rsidP="00F04CFC">
            <w:pPr>
              <w:keepNext/>
              <w:ind w:left="-108"/>
              <w:jc w:val="center"/>
              <w:rPr>
                <w:rFonts w:ascii="Arial Narrow" w:eastAsia="Calibri" w:hAnsi="Arial Narrow"/>
                <w:b/>
                <w:sz w:val="20"/>
                <w:szCs w:val="20"/>
              </w:rPr>
            </w:pPr>
            <w:r w:rsidRPr="00743512">
              <w:rPr>
                <w:rFonts w:ascii="Arial Narrow" w:eastAsia="Calibri" w:hAnsi="Arial Narrow"/>
                <w:b/>
                <w:sz w:val="20"/>
                <w:szCs w:val="20"/>
              </w:rPr>
              <w:t>Max. qty packs</w:t>
            </w:r>
          </w:p>
        </w:tc>
        <w:tc>
          <w:tcPr>
            <w:tcW w:w="1200" w:type="dxa"/>
          </w:tcPr>
          <w:p w14:paraId="66410FE3" w14:textId="77777777" w:rsidR="00F04CFC" w:rsidRPr="00743512" w:rsidRDefault="00F04CFC" w:rsidP="00F04CFC">
            <w:pPr>
              <w:keepNext/>
              <w:ind w:left="-108"/>
              <w:jc w:val="center"/>
              <w:rPr>
                <w:rFonts w:ascii="Arial Narrow" w:eastAsia="Calibri" w:hAnsi="Arial Narrow"/>
                <w:b/>
                <w:sz w:val="20"/>
                <w:szCs w:val="20"/>
              </w:rPr>
            </w:pPr>
            <w:r w:rsidRPr="00743512">
              <w:rPr>
                <w:rFonts w:ascii="Arial Narrow" w:eastAsia="Calibri" w:hAnsi="Arial Narrow"/>
                <w:b/>
                <w:sz w:val="20"/>
                <w:szCs w:val="20"/>
              </w:rPr>
              <w:t>Max. qty units</w:t>
            </w:r>
          </w:p>
        </w:tc>
        <w:tc>
          <w:tcPr>
            <w:tcW w:w="1560" w:type="dxa"/>
          </w:tcPr>
          <w:p w14:paraId="690B6947" w14:textId="77777777" w:rsidR="00F04CFC" w:rsidRPr="00743512" w:rsidRDefault="00F04CFC" w:rsidP="00F04CFC">
            <w:pPr>
              <w:keepNext/>
              <w:ind w:left="-108"/>
              <w:jc w:val="center"/>
              <w:rPr>
                <w:rFonts w:ascii="Arial Narrow" w:eastAsia="Calibri" w:hAnsi="Arial Narrow"/>
                <w:b/>
                <w:sz w:val="20"/>
                <w:szCs w:val="20"/>
              </w:rPr>
            </w:pPr>
            <w:r w:rsidRPr="00743512">
              <w:rPr>
                <w:rFonts w:ascii="Arial Narrow" w:eastAsia="Calibri" w:hAnsi="Arial Narrow"/>
                <w:b/>
                <w:sz w:val="20"/>
                <w:szCs w:val="20"/>
              </w:rPr>
              <w:t>№.of Rpts</w:t>
            </w:r>
          </w:p>
        </w:tc>
        <w:tc>
          <w:tcPr>
            <w:tcW w:w="1680" w:type="dxa"/>
          </w:tcPr>
          <w:p w14:paraId="75D2C59F" w14:textId="77777777" w:rsidR="00F04CFC" w:rsidRPr="00743512" w:rsidRDefault="00F04CFC" w:rsidP="00F04CFC">
            <w:pPr>
              <w:keepNext/>
              <w:rPr>
                <w:rFonts w:ascii="Arial Narrow" w:eastAsia="Calibri" w:hAnsi="Arial Narrow"/>
                <w:b/>
                <w:sz w:val="20"/>
                <w:szCs w:val="20"/>
              </w:rPr>
            </w:pPr>
            <w:r w:rsidRPr="00743512">
              <w:rPr>
                <w:rFonts w:ascii="Arial Narrow" w:eastAsia="Calibri" w:hAnsi="Arial Narrow"/>
                <w:b/>
                <w:sz w:val="20"/>
                <w:szCs w:val="20"/>
              </w:rPr>
              <w:t>Available brands</w:t>
            </w:r>
          </w:p>
        </w:tc>
      </w:tr>
      <w:tr w:rsidR="00F04CFC" w:rsidRPr="00743512" w14:paraId="5A182753" w14:textId="77777777" w:rsidTr="004F5B47">
        <w:trPr>
          <w:cantSplit/>
          <w:trHeight w:val="224"/>
        </w:trPr>
        <w:tc>
          <w:tcPr>
            <w:tcW w:w="9115" w:type="dxa"/>
            <w:gridSpan w:val="7"/>
          </w:tcPr>
          <w:p w14:paraId="05990316" w14:textId="39937E4D" w:rsidR="00F04CFC" w:rsidRPr="00743512" w:rsidRDefault="00F04CFC" w:rsidP="00F04CFC">
            <w:pPr>
              <w:keepNext/>
              <w:ind w:left="-57"/>
              <w:rPr>
                <w:rFonts w:ascii="Arial Narrow" w:eastAsia="Calibri" w:hAnsi="Arial Narrow"/>
                <w:sz w:val="20"/>
                <w:szCs w:val="20"/>
              </w:rPr>
            </w:pPr>
            <w:r w:rsidRPr="00743512">
              <w:rPr>
                <w:rFonts w:ascii="Arial Narrow" w:eastAsia="Calibri" w:hAnsi="Arial Narrow"/>
                <w:sz w:val="20"/>
                <w:szCs w:val="20"/>
              </w:rPr>
              <w:t>OLAPARIB</w:t>
            </w:r>
            <w:r w:rsidR="00F32823" w:rsidRPr="00F32823">
              <w:rPr>
                <w:rFonts w:ascii="Arial Narrow" w:eastAsia="Calibri" w:hAnsi="Arial Narrow"/>
                <w:sz w:val="20"/>
                <w:szCs w:val="20"/>
              </w:rPr>
              <w:t xml:space="preserve"> </w:t>
            </w:r>
          </w:p>
        </w:tc>
      </w:tr>
      <w:tr w:rsidR="00F04CFC" w:rsidRPr="00743512" w14:paraId="0D46C37D" w14:textId="77777777" w:rsidTr="004F5B47">
        <w:trPr>
          <w:cantSplit/>
          <w:trHeight w:val="232"/>
        </w:trPr>
        <w:tc>
          <w:tcPr>
            <w:tcW w:w="2275" w:type="dxa"/>
            <w:gridSpan w:val="2"/>
          </w:tcPr>
          <w:p w14:paraId="6BA98E2A" w14:textId="77777777" w:rsidR="00F04CFC" w:rsidRPr="00743512" w:rsidRDefault="00F04CFC" w:rsidP="004F5B47">
            <w:pPr>
              <w:ind w:left="-57"/>
              <w:rPr>
                <w:rFonts w:ascii="Arial Narrow" w:eastAsia="Calibri" w:hAnsi="Arial Narrow"/>
                <w:sz w:val="20"/>
                <w:szCs w:val="20"/>
              </w:rPr>
            </w:pPr>
            <w:r w:rsidRPr="00743512">
              <w:rPr>
                <w:rFonts w:ascii="Arial Narrow" w:eastAsia="Calibri" w:hAnsi="Arial Narrow"/>
                <w:sz w:val="20"/>
                <w:szCs w:val="20"/>
              </w:rPr>
              <w:t xml:space="preserve">olaparib 150 mg tablet, 56 </w:t>
            </w:r>
          </w:p>
          <w:p w14:paraId="62BFDA7D" w14:textId="77777777" w:rsidR="00F04CFC" w:rsidRPr="00743512" w:rsidRDefault="00F04CFC" w:rsidP="004F5B47">
            <w:pPr>
              <w:ind w:left="-57"/>
              <w:rPr>
                <w:rFonts w:ascii="Arial Narrow" w:eastAsia="Calibri" w:hAnsi="Arial Narrow"/>
                <w:sz w:val="20"/>
                <w:szCs w:val="20"/>
              </w:rPr>
            </w:pPr>
          </w:p>
        </w:tc>
        <w:tc>
          <w:tcPr>
            <w:tcW w:w="1440" w:type="dxa"/>
            <w:vAlign w:val="center"/>
          </w:tcPr>
          <w:p w14:paraId="752DE9B7"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New 1</w:t>
            </w:r>
          </w:p>
          <w:p w14:paraId="7D6BF86E" w14:textId="599F446A" w:rsidR="00F04CFC" w:rsidRPr="00743512" w:rsidRDefault="00F04CFC" w:rsidP="00F04CFC">
            <w:pPr>
              <w:keepNext/>
              <w:jc w:val="center"/>
              <w:rPr>
                <w:rFonts w:ascii="Arial Narrow" w:eastAsia="Calibri" w:hAnsi="Arial Narrow"/>
                <w:sz w:val="20"/>
                <w:szCs w:val="20"/>
              </w:rPr>
            </w:pPr>
          </w:p>
        </w:tc>
        <w:tc>
          <w:tcPr>
            <w:tcW w:w="960" w:type="dxa"/>
            <w:vAlign w:val="center"/>
          </w:tcPr>
          <w:p w14:paraId="322683FB"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2</w:t>
            </w:r>
          </w:p>
        </w:tc>
        <w:tc>
          <w:tcPr>
            <w:tcW w:w="1200" w:type="dxa"/>
            <w:vAlign w:val="center"/>
          </w:tcPr>
          <w:p w14:paraId="0AA1FCF1"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112</w:t>
            </w:r>
          </w:p>
        </w:tc>
        <w:tc>
          <w:tcPr>
            <w:tcW w:w="1560" w:type="dxa"/>
            <w:vAlign w:val="center"/>
          </w:tcPr>
          <w:p w14:paraId="03716B58"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5</w:t>
            </w:r>
          </w:p>
        </w:tc>
        <w:tc>
          <w:tcPr>
            <w:tcW w:w="1680" w:type="dxa"/>
            <w:vAlign w:val="center"/>
          </w:tcPr>
          <w:p w14:paraId="312FAE84" w14:textId="77777777" w:rsidR="00F04CFC" w:rsidRPr="00743512" w:rsidRDefault="00F04CFC" w:rsidP="00F04CFC">
            <w:pPr>
              <w:keepNext/>
              <w:jc w:val="left"/>
              <w:rPr>
                <w:rFonts w:ascii="Arial Narrow" w:eastAsia="Calibri" w:hAnsi="Arial Narrow"/>
                <w:sz w:val="20"/>
                <w:szCs w:val="20"/>
              </w:rPr>
            </w:pPr>
            <w:r w:rsidRPr="00743512">
              <w:rPr>
                <w:rFonts w:ascii="Arial Narrow" w:eastAsia="Calibri" w:hAnsi="Arial Narrow"/>
                <w:sz w:val="20"/>
                <w:szCs w:val="20"/>
              </w:rPr>
              <w:t>Lynparza</w:t>
            </w:r>
          </w:p>
        </w:tc>
      </w:tr>
      <w:tr w:rsidR="00F04CFC" w:rsidRPr="00743512" w14:paraId="6EB405B1" w14:textId="77777777" w:rsidTr="004F5B47">
        <w:trPr>
          <w:cantSplit/>
          <w:trHeight w:val="232"/>
        </w:trPr>
        <w:tc>
          <w:tcPr>
            <w:tcW w:w="2275" w:type="dxa"/>
            <w:gridSpan w:val="2"/>
          </w:tcPr>
          <w:p w14:paraId="6EC65B76" w14:textId="77777777" w:rsidR="00F04CFC" w:rsidRPr="00743512" w:rsidRDefault="00F04CFC" w:rsidP="004F5B47">
            <w:pPr>
              <w:ind w:left="-57"/>
              <w:rPr>
                <w:rFonts w:ascii="Arial Narrow" w:eastAsia="Calibri" w:hAnsi="Arial Narrow"/>
                <w:sz w:val="20"/>
                <w:szCs w:val="20"/>
              </w:rPr>
            </w:pPr>
            <w:r w:rsidRPr="00743512">
              <w:rPr>
                <w:rFonts w:ascii="Arial Narrow" w:eastAsia="Calibri" w:hAnsi="Arial Narrow"/>
                <w:sz w:val="20"/>
                <w:szCs w:val="20"/>
              </w:rPr>
              <w:t>olaparib 100 mg tablet, 56</w:t>
            </w:r>
          </w:p>
        </w:tc>
        <w:tc>
          <w:tcPr>
            <w:tcW w:w="1440" w:type="dxa"/>
            <w:vAlign w:val="center"/>
          </w:tcPr>
          <w:p w14:paraId="4AAFC1E4"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New 2</w:t>
            </w:r>
          </w:p>
          <w:p w14:paraId="53AE23C4" w14:textId="4E108EC4" w:rsidR="00F04CFC" w:rsidRPr="00743512" w:rsidRDefault="00F04CFC" w:rsidP="00F04CFC">
            <w:pPr>
              <w:keepNext/>
              <w:jc w:val="center"/>
              <w:rPr>
                <w:rFonts w:ascii="Arial Narrow" w:eastAsia="Calibri" w:hAnsi="Arial Narrow"/>
                <w:sz w:val="20"/>
                <w:szCs w:val="20"/>
              </w:rPr>
            </w:pPr>
          </w:p>
        </w:tc>
        <w:tc>
          <w:tcPr>
            <w:tcW w:w="960" w:type="dxa"/>
            <w:vAlign w:val="center"/>
          </w:tcPr>
          <w:p w14:paraId="5A9EEB2C"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2</w:t>
            </w:r>
          </w:p>
        </w:tc>
        <w:tc>
          <w:tcPr>
            <w:tcW w:w="1200" w:type="dxa"/>
            <w:vAlign w:val="center"/>
          </w:tcPr>
          <w:p w14:paraId="1DB0D014"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112</w:t>
            </w:r>
          </w:p>
        </w:tc>
        <w:tc>
          <w:tcPr>
            <w:tcW w:w="1560" w:type="dxa"/>
            <w:vAlign w:val="center"/>
          </w:tcPr>
          <w:p w14:paraId="232B419F" w14:textId="77777777" w:rsidR="00F04CFC" w:rsidRPr="00743512" w:rsidRDefault="00F04CFC" w:rsidP="00F04CFC">
            <w:pPr>
              <w:keepNext/>
              <w:jc w:val="center"/>
              <w:rPr>
                <w:rFonts w:ascii="Arial Narrow" w:eastAsia="Calibri" w:hAnsi="Arial Narrow"/>
                <w:sz w:val="20"/>
                <w:szCs w:val="20"/>
              </w:rPr>
            </w:pPr>
            <w:r w:rsidRPr="00743512">
              <w:rPr>
                <w:rFonts w:ascii="Arial Narrow" w:eastAsia="Calibri" w:hAnsi="Arial Narrow"/>
                <w:sz w:val="20"/>
                <w:szCs w:val="20"/>
              </w:rPr>
              <w:t>5</w:t>
            </w:r>
          </w:p>
        </w:tc>
        <w:tc>
          <w:tcPr>
            <w:tcW w:w="1680" w:type="dxa"/>
            <w:vAlign w:val="center"/>
          </w:tcPr>
          <w:p w14:paraId="4D8126A2" w14:textId="77777777" w:rsidR="00F04CFC" w:rsidRPr="00743512" w:rsidRDefault="00F04CFC" w:rsidP="00F04CFC">
            <w:pPr>
              <w:keepNext/>
              <w:jc w:val="left"/>
              <w:rPr>
                <w:rFonts w:ascii="Arial Narrow" w:eastAsia="Calibri" w:hAnsi="Arial Narrow"/>
                <w:sz w:val="20"/>
                <w:szCs w:val="20"/>
              </w:rPr>
            </w:pPr>
            <w:r w:rsidRPr="00743512">
              <w:rPr>
                <w:rFonts w:ascii="Arial Narrow" w:eastAsia="Calibri" w:hAnsi="Arial Narrow"/>
                <w:sz w:val="20"/>
                <w:szCs w:val="20"/>
              </w:rPr>
              <w:t>Lynparza</w:t>
            </w:r>
          </w:p>
        </w:tc>
      </w:tr>
      <w:tr w:rsidR="00F04CFC" w:rsidRPr="00743512" w14:paraId="61D39F5A" w14:textId="77777777" w:rsidTr="004F5B47">
        <w:tblPrEx>
          <w:tblCellMar>
            <w:top w:w="15" w:type="dxa"/>
            <w:left w:w="15" w:type="dxa"/>
            <w:bottom w:w="15" w:type="dxa"/>
            <w:right w:w="15" w:type="dxa"/>
          </w:tblCellMar>
          <w:tblLook w:val="04A0" w:firstRow="1" w:lastRow="0" w:firstColumn="1" w:lastColumn="0" w:noHBand="0" w:noVBand="1"/>
        </w:tblPrEx>
        <w:tc>
          <w:tcPr>
            <w:tcW w:w="9115" w:type="dxa"/>
            <w:gridSpan w:val="7"/>
            <w:tcBorders>
              <w:top w:val="single" w:sz="4" w:space="0" w:color="auto"/>
              <w:left w:val="single" w:sz="4" w:space="0" w:color="auto"/>
              <w:bottom w:val="single" w:sz="4" w:space="0" w:color="auto"/>
              <w:right w:val="single" w:sz="4" w:space="0" w:color="auto"/>
            </w:tcBorders>
          </w:tcPr>
          <w:p w14:paraId="0B4B4646" w14:textId="77777777" w:rsidR="00F04CFC" w:rsidRPr="00743512" w:rsidDel="006729BD" w:rsidRDefault="00F04CFC" w:rsidP="004F5B47">
            <w:pPr>
              <w:rPr>
                <w:rFonts w:ascii="Arial Narrow" w:hAnsi="Arial Narrow"/>
                <w:b/>
                <w:sz w:val="20"/>
                <w:szCs w:val="20"/>
              </w:rPr>
            </w:pPr>
            <w:r w:rsidRPr="00743512">
              <w:rPr>
                <w:rFonts w:ascii="Arial Narrow" w:hAnsi="Arial Narrow"/>
                <w:b/>
                <w:sz w:val="20"/>
                <w:szCs w:val="20"/>
              </w:rPr>
              <w:t>Restriction Summary [New 1] / Treatment of Concept [New 1A] : Authority Required</w:t>
            </w:r>
          </w:p>
        </w:tc>
      </w:tr>
      <w:tr w:rsidR="008D1EB1" w:rsidRPr="00743512" w14:paraId="26F7B91A" w14:textId="77777777" w:rsidTr="004F5B47">
        <w:tblPrEx>
          <w:tblCellMar>
            <w:top w:w="15" w:type="dxa"/>
            <w:left w:w="15" w:type="dxa"/>
            <w:bottom w:w="15" w:type="dxa"/>
            <w:right w:w="15" w:type="dxa"/>
          </w:tblCellMar>
          <w:tblLook w:val="04A0" w:firstRow="1" w:lastRow="0" w:firstColumn="1" w:lastColumn="0" w:noHBand="0" w:noVBand="1"/>
        </w:tblPrEx>
        <w:tc>
          <w:tcPr>
            <w:tcW w:w="1075" w:type="dxa"/>
            <w:vMerge w:val="restart"/>
          </w:tcPr>
          <w:p w14:paraId="2CE6D5FF" w14:textId="7AFAA263" w:rsidR="008D1EB1" w:rsidRPr="00743512" w:rsidRDefault="008D1EB1" w:rsidP="0058687B">
            <w:pPr>
              <w:jc w:val="center"/>
              <w:rPr>
                <w:rFonts w:ascii="Arial Narrow" w:hAnsi="Arial Narrow"/>
                <w:b/>
                <w:bCs/>
                <w:color w:val="333333"/>
                <w:sz w:val="20"/>
                <w:szCs w:val="20"/>
              </w:rPr>
            </w:pPr>
          </w:p>
        </w:tc>
        <w:tc>
          <w:tcPr>
            <w:tcW w:w="8040" w:type="dxa"/>
            <w:gridSpan w:val="6"/>
            <w:vAlign w:val="center"/>
          </w:tcPr>
          <w:p w14:paraId="2EAC66FD" w14:textId="68A8470C" w:rsidR="008D1EB1" w:rsidRPr="00743512" w:rsidRDefault="008D1EB1" w:rsidP="004F5B47">
            <w:pPr>
              <w:rPr>
                <w:rFonts w:ascii="Arial Narrow" w:hAnsi="Arial Narrow"/>
                <w:b/>
                <w:bCs/>
                <w:color w:val="333333"/>
                <w:sz w:val="20"/>
                <w:szCs w:val="20"/>
              </w:rPr>
            </w:pPr>
            <w:r w:rsidRPr="00743512">
              <w:rPr>
                <w:rFonts w:ascii="Arial Narrow" w:hAnsi="Arial Narrow"/>
                <w:b/>
                <w:sz w:val="20"/>
                <w:szCs w:val="20"/>
              </w:rPr>
              <w:t xml:space="preserve">Category / Program: </w:t>
            </w:r>
            <w:r w:rsidRPr="00743512">
              <w:rPr>
                <w:rFonts w:ascii="Arial Narrow" w:hAnsi="Arial Narrow"/>
                <w:sz w:val="20"/>
                <w:szCs w:val="20"/>
              </w:rPr>
              <w:t>GENERAL – General Schedule (Code GE)</w:t>
            </w:r>
          </w:p>
        </w:tc>
      </w:tr>
      <w:tr w:rsidR="008D1EB1" w:rsidRPr="00743512" w14:paraId="611FA088" w14:textId="77777777" w:rsidTr="004F5B47">
        <w:tblPrEx>
          <w:tblCellMar>
            <w:top w:w="15" w:type="dxa"/>
            <w:left w:w="15" w:type="dxa"/>
            <w:bottom w:w="15" w:type="dxa"/>
            <w:right w:w="15" w:type="dxa"/>
          </w:tblCellMar>
          <w:tblLook w:val="04A0" w:firstRow="1" w:lastRow="0" w:firstColumn="1" w:lastColumn="0" w:noHBand="0" w:noVBand="1"/>
        </w:tblPrEx>
        <w:tc>
          <w:tcPr>
            <w:tcW w:w="1075" w:type="dxa"/>
            <w:vMerge/>
          </w:tcPr>
          <w:p w14:paraId="0E1BE2D5" w14:textId="77777777" w:rsidR="008D1EB1" w:rsidRPr="00743512" w:rsidRDefault="008D1EB1" w:rsidP="004F5B47">
            <w:pPr>
              <w:rPr>
                <w:rFonts w:ascii="Arial Narrow" w:hAnsi="Arial Narrow"/>
                <w:b/>
                <w:bCs/>
                <w:color w:val="333333"/>
                <w:sz w:val="20"/>
                <w:szCs w:val="20"/>
              </w:rPr>
            </w:pPr>
          </w:p>
        </w:tc>
        <w:tc>
          <w:tcPr>
            <w:tcW w:w="8040" w:type="dxa"/>
            <w:gridSpan w:val="6"/>
            <w:vAlign w:val="center"/>
          </w:tcPr>
          <w:p w14:paraId="5ED9B5C8" w14:textId="691F8AC1" w:rsidR="008D1EB1" w:rsidRPr="00743512" w:rsidRDefault="008D1EB1" w:rsidP="004F5B47">
            <w:pPr>
              <w:rPr>
                <w:rFonts w:ascii="Arial Narrow" w:hAnsi="Arial Narrow"/>
                <w:b/>
                <w:bCs/>
                <w:color w:val="333333"/>
                <w:sz w:val="20"/>
                <w:szCs w:val="20"/>
              </w:rPr>
            </w:pPr>
            <w:r w:rsidRPr="00743512">
              <w:rPr>
                <w:rFonts w:ascii="Arial Narrow" w:hAnsi="Arial Narrow"/>
                <w:b/>
                <w:sz w:val="20"/>
                <w:szCs w:val="20"/>
              </w:rPr>
              <w:t xml:space="preserve">Restriction type: </w:t>
            </w:r>
            <w:r w:rsidRPr="00743512">
              <w:rPr>
                <w:rFonts w:ascii="Arial Narrow" w:eastAsia="Calibri" w:hAnsi="Arial Narrow"/>
                <w:sz w:val="20"/>
                <w:szCs w:val="20"/>
              </w:rPr>
              <w:fldChar w:fldCharType="begin">
                <w:ffData>
                  <w:name w:val="Check3"/>
                  <w:enabled/>
                  <w:calcOnExit w:val="0"/>
                  <w:checkBox>
                    <w:sizeAuto/>
                    <w:default w:val="1"/>
                  </w:checkBox>
                </w:ffData>
              </w:fldChar>
            </w:r>
            <w:r w:rsidRPr="00743512">
              <w:rPr>
                <w:rFonts w:ascii="Arial Narrow" w:eastAsia="Calibri" w:hAnsi="Arial Narrow"/>
                <w:sz w:val="20"/>
                <w:szCs w:val="20"/>
              </w:rPr>
              <w:instrText xml:space="preserve"> FORMCHECKBOX </w:instrText>
            </w:r>
            <w:r w:rsidR="00D2565D">
              <w:rPr>
                <w:rFonts w:ascii="Arial Narrow" w:eastAsia="Calibri" w:hAnsi="Arial Narrow"/>
                <w:sz w:val="20"/>
                <w:szCs w:val="20"/>
              </w:rPr>
            </w:r>
            <w:r w:rsidR="00D2565D">
              <w:rPr>
                <w:rFonts w:ascii="Arial Narrow" w:eastAsia="Calibri" w:hAnsi="Arial Narrow"/>
                <w:sz w:val="20"/>
                <w:szCs w:val="20"/>
              </w:rPr>
              <w:fldChar w:fldCharType="separate"/>
            </w:r>
            <w:r w:rsidRPr="00743512">
              <w:rPr>
                <w:rFonts w:ascii="Arial Narrow" w:eastAsia="Calibri" w:hAnsi="Arial Narrow"/>
                <w:sz w:val="20"/>
                <w:szCs w:val="20"/>
              </w:rPr>
              <w:fldChar w:fldCharType="end"/>
            </w:r>
            <w:r w:rsidRPr="00743512">
              <w:rPr>
                <w:rFonts w:ascii="Arial Narrow" w:eastAsia="Calibri" w:hAnsi="Arial Narrow"/>
                <w:sz w:val="20"/>
                <w:szCs w:val="20"/>
              </w:rPr>
              <w:t>Authority Required (telephone/online PBS Authorities system)</w:t>
            </w:r>
          </w:p>
        </w:tc>
      </w:tr>
      <w:tr w:rsidR="008D1EB1" w:rsidRPr="00743512" w14:paraId="7C011DD0" w14:textId="77777777" w:rsidTr="004F5B47">
        <w:tblPrEx>
          <w:tblCellMar>
            <w:top w:w="15" w:type="dxa"/>
            <w:left w:w="15" w:type="dxa"/>
            <w:bottom w:w="15" w:type="dxa"/>
            <w:right w:w="15" w:type="dxa"/>
          </w:tblCellMar>
          <w:tblLook w:val="04A0" w:firstRow="1" w:lastRow="0" w:firstColumn="1" w:lastColumn="0" w:noHBand="0" w:noVBand="1"/>
        </w:tblPrEx>
        <w:tc>
          <w:tcPr>
            <w:tcW w:w="1075" w:type="dxa"/>
            <w:vMerge/>
          </w:tcPr>
          <w:p w14:paraId="7A7D912F" w14:textId="77777777" w:rsidR="008D1EB1" w:rsidRPr="00743512" w:rsidRDefault="008D1EB1" w:rsidP="004F5B47">
            <w:pPr>
              <w:rPr>
                <w:rFonts w:ascii="Arial Narrow" w:hAnsi="Arial Narrow"/>
                <w:b/>
                <w:bCs/>
                <w:color w:val="333333"/>
                <w:sz w:val="20"/>
                <w:szCs w:val="20"/>
              </w:rPr>
            </w:pPr>
          </w:p>
        </w:tc>
        <w:tc>
          <w:tcPr>
            <w:tcW w:w="8040" w:type="dxa"/>
            <w:gridSpan w:val="6"/>
            <w:vAlign w:val="center"/>
          </w:tcPr>
          <w:p w14:paraId="3E37C158" w14:textId="009BDFB8" w:rsidR="008D1EB1" w:rsidRPr="00743512" w:rsidRDefault="008D1EB1" w:rsidP="004F5B47">
            <w:pPr>
              <w:rPr>
                <w:rFonts w:ascii="Arial Narrow" w:hAnsi="Arial Narrow"/>
                <w:b/>
                <w:sz w:val="20"/>
                <w:szCs w:val="20"/>
              </w:rPr>
            </w:pPr>
            <w:r w:rsidRPr="00743512">
              <w:rPr>
                <w:rFonts w:ascii="Arial Narrow" w:hAnsi="Arial Narrow"/>
                <w:b/>
                <w:sz w:val="20"/>
                <w:szCs w:val="20"/>
              </w:rPr>
              <w:t xml:space="preserve">Prescriber type: </w:t>
            </w:r>
            <w:r w:rsidRPr="00743512">
              <w:rPr>
                <w:rFonts w:ascii="Arial Narrow" w:hAnsi="Arial Narrow"/>
                <w:sz w:val="20"/>
                <w:szCs w:val="20"/>
              </w:rPr>
              <w:fldChar w:fldCharType="begin">
                <w:ffData>
                  <w:name w:val=""/>
                  <w:enabled/>
                  <w:calcOnExit w:val="0"/>
                  <w:checkBox>
                    <w:sizeAuto/>
                    <w:default w:val="1"/>
                  </w:checkBox>
                </w:ffData>
              </w:fldChar>
            </w:r>
            <w:r w:rsidRPr="00743512">
              <w:rPr>
                <w:rFonts w:ascii="Arial Narrow" w:hAnsi="Arial Narrow"/>
                <w:sz w:val="20"/>
                <w:szCs w:val="20"/>
              </w:rPr>
              <w:instrText xml:space="preserve"> FORMCHECKBOX </w:instrText>
            </w:r>
            <w:r w:rsidR="00D2565D">
              <w:rPr>
                <w:rFonts w:ascii="Arial Narrow" w:hAnsi="Arial Narrow"/>
                <w:sz w:val="20"/>
                <w:szCs w:val="20"/>
              </w:rPr>
            </w:r>
            <w:r w:rsidR="00D2565D">
              <w:rPr>
                <w:rFonts w:ascii="Arial Narrow" w:hAnsi="Arial Narrow"/>
                <w:sz w:val="20"/>
                <w:szCs w:val="20"/>
              </w:rPr>
              <w:fldChar w:fldCharType="separate"/>
            </w:r>
            <w:r w:rsidRPr="00743512">
              <w:rPr>
                <w:rFonts w:ascii="Arial Narrow" w:hAnsi="Arial Narrow"/>
                <w:sz w:val="20"/>
                <w:szCs w:val="20"/>
              </w:rPr>
              <w:fldChar w:fldCharType="end"/>
            </w:r>
            <w:r w:rsidRPr="00743512">
              <w:rPr>
                <w:rFonts w:ascii="Arial Narrow" w:hAnsi="Arial Narrow"/>
                <w:sz w:val="20"/>
                <w:szCs w:val="20"/>
              </w:rPr>
              <w:t>Medical Practitioners</w:t>
            </w:r>
          </w:p>
        </w:tc>
      </w:tr>
      <w:tr w:rsidR="00F04CFC" w:rsidRPr="00743512" w14:paraId="0076775A"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E953B2E"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0E0C1461"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Indication:</w:t>
            </w:r>
            <w:r w:rsidRPr="00743512">
              <w:rPr>
                <w:rFonts w:ascii="Arial Narrow" w:hAnsi="Arial Narrow"/>
                <w:color w:val="333333"/>
                <w:sz w:val="20"/>
                <w:szCs w:val="20"/>
              </w:rPr>
              <w:t xml:space="preserve"> Adjuvant treatment of early stage breast cancer</w:t>
            </w:r>
          </w:p>
        </w:tc>
      </w:tr>
      <w:tr w:rsidR="00F04CFC" w:rsidRPr="00743512" w14:paraId="7B9E994A"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BCD6E51"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730E0339"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Treatment Phase:</w:t>
            </w:r>
            <w:r w:rsidRPr="00743512">
              <w:rPr>
                <w:rFonts w:ascii="Arial Narrow" w:hAnsi="Arial Narrow"/>
                <w:color w:val="333333"/>
                <w:sz w:val="20"/>
                <w:szCs w:val="20"/>
              </w:rPr>
              <w:t xml:space="preserve"> Initial treatment</w:t>
            </w:r>
          </w:p>
        </w:tc>
      </w:tr>
      <w:tr w:rsidR="00F04CFC" w:rsidRPr="00743512" w14:paraId="128A45B5"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E6BA831"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53202077"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F04CFC" w:rsidRPr="00743512" w14:paraId="2839AD9C"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DA0E760" w14:textId="7C349A36" w:rsidR="00F04CFC" w:rsidRPr="00743512" w:rsidRDefault="00F04CFC" w:rsidP="004F5B47">
            <w:pPr>
              <w:rPr>
                <w:rFonts w:ascii="Arial Narrow" w:hAnsi="Arial Narrow"/>
                <w:color w:val="333333"/>
                <w:sz w:val="20"/>
                <w:szCs w:val="20"/>
              </w:rPr>
            </w:pPr>
          </w:p>
        </w:tc>
        <w:tc>
          <w:tcPr>
            <w:tcW w:w="8040" w:type="dxa"/>
            <w:gridSpan w:val="6"/>
            <w:vAlign w:val="center"/>
            <w:hideMark/>
          </w:tcPr>
          <w:p w14:paraId="00D937AE" w14:textId="6939D0AE" w:rsidR="00F04CFC" w:rsidRPr="00743512" w:rsidRDefault="00F04CFC" w:rsidP="004F5B47">
            <w:pPr>
              <w:rPr>
                <w:rFonts w:ascii="Arial Narrow" w:hAnsi="Arial Narrow"/>
                <w:color w:val="333333"/>
                <w:sz w:val="20"/>
                <w:szCs w:val="20"/>
              </w:rPr>
            </w:pPr>
            <w:r w:rsidRPr="00743512">
              <w:rPr>
                <w:rFonts w:ascii="Arial Narrow" w:hAnsi="Arial Narrow"/>
                <w:color w:val="333333"/>
                <w:sz w:val="20"/>
                <w:szCs w:val="20"/>
              </w:rPr>
              <w:t xml:space="preserve">The condition must be human epidermal growth factor receptor 2 (HER2) </w:t>
            </w:r>
            <w:r w:rsidR="00F84631" w:rsidRPr="00743512">
              <w:rPr>
                <w:rFonts w:ascii="Arial Narrow" w:hAnsi="Arial Narrow"/>
                <w:color w:val="333333"/>
                <w:sz w:val="20"/>
                <w:szCs w:val="20"/>
              </w:rPr>
              <w:t xml:space="preserve">negative </w:t>
            </w:r>
          </w:p>
        </w:tc>
      </w:tr>
      <w:tr w:rsidR="00F04CFC" w:rsidRPr="00743512" w14:paraId="3084C9E2"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7C5F145"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0FC5C0DE"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AND</w:t>
            </w:r>
          </w:p>
        </w:tc>
      </w:tr>
      <w:tr w:rsidR="00F04CFC" w:rsidRPr="00743512" w14:paraId="48A4146E"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7141B6A5"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0108C617"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F04CFC" w:rsidRPr="00743512" w14:paraId="61895498"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9B0A304" w14:textId="090CF957" w:rsidR="00F04CFC" w:rsidRPr="00743512" w:rsidRDefault="00F04CFC" w:rsidP="004F5B47">
            <w:pPr>
              <w:rPr>
                <w:rFonts w:ascii="Arial Narrow" w:hAnsi="Arial Narrow"/>
                <w:color w:val="333333"/>
                <w:sz w:val="20"/>
                <w:szCs w:val="20"/>
              </w:rPr>
            </w:pPr>
          </w:p>
        </w:tc>
        <w:tc>
          <w:tcPr>
            <w:tcW w:w="8040" w:type="dxa"/>
            <w:gridSpan w:val="6"/>
            <w:vAlign w:val="center"/>
            <w:hideMark/>
          </w:tcPr>
          <w:p w14:paraId="27FA9E67" w14:textId="5F1F0896" w:rsidR="00E944B4" w:rsidRPr="00743512" w:rsidRDefault="00EC3DB4" w:rsidP="004F5B47">
            <w:pPr>
              <w:rPr>
                <w:rFonts w:ascii="Arial Narrow" w:hAnsi="Arial Narrow"/>
                <w:i/>
                <w:iCs/>
                <w:color w:val="333333"/>
                <w:sz w:val="20"/>
                <w:szCs w:val="20"/>
              </w:rPr>
            </w:pPr>
            <w:r w:rsidRPr="00743512">
              <w:rPr>
                <w:rFonts w:ascii="Arial Narrow" w:hAnsi="Arial Narrow"/>
                <w:i/>
                <w:iCs/>
                <w:color w:val="333333"/>
                <w:sz w:val="20"/>
                <w:szCs w:val="20"/>
              </w:rPr>
              <w:t>The p</w:t>
            </w:r>
            <w:r w:rsidR="00E944B4" w:rsidRPr="00743512">
              <w:rPr>
                <w:rFonts w:ascii="Arial Narrow" w:hAnsi="Arial Narrow"/>
                <w:i/>
                <w:iCs/>
                <w:color w:val="333333"/>
                <w:sz w:val="20"/>
                <w:szCs w:val="20"/>
              </w:rPr>
              <w:t xml:space="preserve">atient </w:t>
            </w:r>
            <w:r w:rsidR="00F84631" w:rsidRPr="00743512">
              <w:rPr>
                <w:rFonts w:ascii="Arial Narrow" w:hAnsi="Arial Narrow"/>
                <w:i/>
                <w:iCs/>
                <w:color w:val="333333"/>
                <w:sz w:val="20"/>
                <w:szCs w:val="20"/>
              </w:rPr>
              <w:t xml:space="preserve">must have </w:t>
            </w:r>
            <w:r w:rsidR="00E944B4" w:rsidRPr="00743512">
              <w:rPr>
                <w:rFonts w:ascii="Arial Narrow" w:hAnsi="Arial Narrow"/>
                <w:i/>
                <w:iCs/>
                <w:color w:val="333333"/>
                <w:sz w:val="20"/>
                <w:szCs w:val="20"/>
              </w:rPr>
              <w:t>received neoadjuvant or adjuvant chemotherapy.</w:t>
            </w:r>
          </w:p>
          <w:p w14:paraId="686ABAB3" w14:textId="3DC0C963" w:rsidR="00F04CFC" w:rsidRPr="00743512" w:rsidRDefault="00F04CFC" w:rsidP="004F5B47">
            <w:pPr>
              <w:rPr>
                <w:rFonts w:ascii="Arial Narrow" w:hAnsi="Arial Narrow"/>
                <w:strike/>
                <w:color w:val="333333"/>
                <w:sz w:val="20"/>
                <w:szCs w:val="20"/>
              </w:rPr>
            </w:pPr>
            <w:r w:rsidRPr="00743512">
              <w:rPr>
                <w:rFonts w:ascii="Arial Narrow" w:hAnsi="Arial Narrow"/>
                <w:strike/>
                <w:color w:val="333333"/>
                <w:sz w:val="20"/>
                <w:szCs w:val="20"/>
              </w:rPr>
              <w:t xml:space="preserve">Patient has </w:t>
            </w:r>
            <w:r w:rsidRPr="00743512">
              <w:rPr>
                <w:rFonts w:ascii="Arial Narrow" w:hAnsi="Arial Narrow"/>
                <w:i/>
                <w:iCs/>
                <w:strike/>
                <w:color w:val="333333"/>
                <w:sz w:val="20"/>
                <w:szCs w:val="20"/>
              </w:rPr>
              <w:t>must have</w:t>
            </w:r>
            <w:r w:rsidRPr="00743512">
              <w:rPr>
                <w:rFonts w:ascii="Arial Narrow" w:hAnsi="Arial Narrow"/>
                <w:strike/>
                <w:color w:val="333333"/>
                <w:sz w:val="20"/>
                <w:szCs w:val="20"/>
              </w:rPr>
              <w:t xml:space="preserve"> completed at least six cycles (or experienced toxicity necessitating withdrawal) of </w:t>
            </w:r>
            <w:r w:rsidRPr="00743512">
              <w:rPr>
                <w:rFonts w:ascii="Arial Narrow" w:hAnsi="Arial Narrow"/>
                <w:i/>
                <w:iCs/>
                <w:strike/>
                <w:color w:val="333333"/>
                <w:sz w:val="20"/>
                <w:szCs w:val="20"/>
              </w:rPr>
              <w:t>either (i)</w:t>
            </w:r>
            <w:r w:rsidRPr="00743512">
              <w:rPr>
                <w:rFonts w:ascii="Arial Narrow" w:hAnsi="Arial Narrow"/>
                <w:strike/>
                <w:color w:val="333333"/>
                <w:sz w:val="20"/>
                <w:szCs w:val="20"/>
              </w:rPr>
              <w:t xml:space="preserve"> neoadjuvant, </w:t>
            </w:r>
            <w:r w:rsidRPr="00743512">
              <w:rPr>
                <w:rFonts w:ascii="Arial Narrow" w:hAnsi="Arial Narrow"/>
                <w:i/>
                <w:iCs/>
                <w:strike/>
                <w:color w:val="333333"/>
                <w:sz w:val="20"/>
                <w:szCs w:val="20"/>
              </w:rPr>
              <w:t>(ii)</w:t>
            </w:r>
            <w:r w:rsidRPr="00743512">
              <w:rPr>
                <w:rFonts w:ascii="Arial Narrow" w:hAnsi="Arial Narrow"/>
                <w:strike/>
                <w:color w:val="333333"/>
                <w:sz w:val="20"/>
                <w:szCs w:val="20"/>
              </w:rPr>
              <w:t xml:space="preserve"> or adjuvant chemotherapy containing anthracyclines, taxanes, or both agents.</w:t>
            </w:r>
          </w:p>
        </w:tc>
      </w:tr>
      <w:tr w:rsidR="00F04CFC" w:rsidRPr="00743512" w14:paraId="6C65C0D0"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6C7F36D0" w14:textId="77777777" w:rsidR="00F04CFC" w:rsidRPr="00743512" w:rsidRDefault="00F04CFC" w:rsidP="004F5B47">
            <w:pPr>
              <w:rPr>
                <w:rFonts w:ascii="Arial Narrow" w:hAnsi="Arial Narrow"/>
                <w:b/>
                <w:bCs/>
                <w:color w:val="333333"/>
                <w:sz w:val="20"/>
                <w:szCs w:val="20"/>
              </w:rPr>
            </w:pPr>
          </w:p>
        </w:tc>
        <w:tc>
          <w:tcPr>
            <w:tcW w:w="8040" w:type="dxa"/>
            <w:gridSpan w:val="6"/>
            <w:vAlign w:val="center"/>
          </w:tcPr>
          <w:p w14:paraId="6766C378"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AND</w:t>
            </w:r>
          </w:p>
        </w:tc>
      </w:tr>
      <w:tr w:rsidR="00F04CFC" w:rsidRPr="00743512" w14:paraId="377848AA"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16A2CCD3" w14:textId="77777777" w:rsidR="00F04CFC" w:rsidRPr="00743512" w:rsidRDefault="00F04CFC" w:rsidP="004F5B47">
            <w:pPr>
              <w:rPr>
                <w:rFonts w:ascii="Arial Narrow" w:hAnsi="Arial Narrow"/>
                <w:b/>
                <w:bCs/>
                <w:color w:val="333333"/>
                <w:sz w:val="20"/>
                <w:szCs w:val="20"/>
              </w:rPr>
            </w:pPr>
          </w:p>
        </w:tc>
        <w:tc>
          <w:tcPr>
            <w:tcW w:w="8040" w:type="dxa"/>
            <w:gridSpan w:val="6"/>
            <w:vAlign w:val="center"/>
          </w:tcPr>
          <w:p w14:paraId="7E98656F"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Clinical criteria:</w:t>
            </w:r>
          </w:p>
        </w:tc>
      </w:tr>
      <w:tr w:rsidR="00F04CFC" w:rsidRPr="00743512" w14:paraId="1760BB9F"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1C88669F" w14:textId="51C62B7D" w:rsidR="00F04CFC" w:rsidRPr="00743512" w:rsidRDefault="00F04CFC" w:rsidP="004F5B47">
            <w:pPr>
              <w:rPr>
                <w:rFonts w:ascii="Arial Narrow" w:hAnsi="Arial Narrow"/>
                <w:color w:val="333333"/>
                <w:sz w:val="20"/>
                <w:szCs w:val="20"/>
              </w:rPr>
            </w:pPr>
          </w:p>
        </w:tc>
        <w:tc>
          <w:tcPr>
            <w:tcW w:w="8040" w:type="dxa"/>
            <w:gridSpan w:val="6"/>
            <w:vAlign w:val="center"/>
            <w:hideMark/>
          </w:tcPr>
          <w:p w14:paraId="37D59277" w14:textId="77777777" w:rsidR="00F04CFC" w:rsidRPr="00743512" w:rsidRDefault="00F04CFC" w:rsidP="004F5B47">
            <w:pPr>
              <w:rPr>
                <w:rFonts w:ascii="Arial Narrow" w:hAnsi="Arial Narrow"/>
                <w:color w:val="333333"/>
                <w:sz w:val="20"/>
                <w:szCs w:val="20"/>
              </w:rPr>
            </w:pPr>
            <w:r w:rsidRPr="00743512">
              <w:rPr>
                <w:rFonts w:ascii="Arial Narrow" w:hAnsi="Arial Narrow"/>
                <w:color w:val="333333"/>
                <w:sz w:val="20"/>
                <w:szCs w:val="20"/>
              </w:rPr>
              <w:t>The treatment must be adjuvant to surgical resection</w:t>
            </w:r>
          </w:p>
        </w:tc>
      </w:tr>
      <w:tr w:rsidR="00F04CFC" w:rsidRPr="00743512" w14:paraId="2D9F8FEC"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750A74D0"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2D30364A"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AND</w:t>
            </w:r>
          </w:p>
        </w:tc>
      </w:tr>
      <w:tr w:rsidR="00F04CFC" w:rsidRPr="00743512" w14:paraId="650B9075"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D611ECF" w14:textId="77777777" w:rsidR="00F04CFC" w:rsidRPr="00743512" w:rsidRDefault="00F04CFC" w:rsidP="004F5B47">
            <w:pPr>
              <w:rPr>
                <w:rFonts w:ascii="Arial Narrow" w:hAnsi="Arial Narrow"/>
                <w:b/>
                <w:bCs/>
                <w:color w:val="333333"/>
                <w:sz w:val="20"/>
                <w:szCs w:val="20"/>
              </w:rPr>
            </w:pPr>
          </w:p>
        </w:tc>
        <w:tc>
          <w:tcPr>
            <w:tcW w:w="8040" w:type="dxa"/>
            <w:gridSpan w:val="6"/>
            <w:vAlign w:val="center"/>
          </w:tcPr>
          <w:p w14:paraId="71E7CF60"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Clinical criteria:</w:t>
            </w:r>
          </w:p>
        </w:tc>
      </w:tr>
      <w:tr w:rsidR="00F04CFC" w:rsidRPr="00743512" w14:paraId="07C74AC9"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7B1B8A4" w14:textId="3A7F2CAF" w:rsidR="00F04CFC" w:rsidRPr="00743512" w:rsidRDefault="00F04CFC" w:rsidP="004F5B47">
            <w:pPr>
              <w:rPr>
                <w:rFonts w:ascii="Arial Narrow" w:hAnsi="Arial Narrow"/>
                <w:color w:val="333333"/>
                <w:sz w:val="20"/>
                <w:szCs w:val="20"/>
              </w:rPr>
            </w:pPr>
          </w:p>
        </w:tc>
        <w:tc>
          <w:tcPr>
            <w:tcW w:w="8040" w:type="dxa"/>
            <w:gridSpan w:val="6"/>
            <w:vAlign w:val="center"/>
          </w:tcPr>
          <w:p w14:paraId="480520C7" w14:textId="77777777" w:rsidR="00F04CFC" w:rsidRPr="00743512" w:rsidRDefault="00F04CFC" w:rsidP="004F5B47">
            <w:pPr>
              <w:rPr>
                <w:rFonts w:ascii="Arial Narrow" w:hAnsi="Arial Narrow"/>
                <w:color w:val="333333"/>
                <w:sz w:val="20"/>
                <w:szCs w:val="20"/>
              </w:rPr>
            </w:pPr>
            <w:r w:rsidRPr="00743512">
              <w:rPr>
                <w:rFonts w:ascii="Arial Narrow" w:hAnsi="Arial Narrow"/>
                <w:color w:val="333333"/>
                <w:sz w:val="20"/>
                <w:szCs w:val="20"/>
              </w:rPr>
              <w:t xml:space="preserve">The condition must be associated with a class 4 or 5 </w:t>
            </w:r>
            <w:r w:rsidRPr="00743512">
              <w:rPr>
                <w:rFonts w:ascii="Arial Narrow" w:hAnsi="Arial Narrow"/>
                <w:i/>
                <w:color w:val="333333"/>
                <w:sz w:val="20"/>
                <w:szCs w:val="20"/>
              </w:rPr>
              <w:t>BRCA1</w:t>
            </w:r>
            <w:r w:rsidRPr="00743512">
              <w:rPr>
                <w:rFonts w:ascii="Arial Narrow" w:hAnsi="Arial Narrow"/>
                <w:color w:val="333333"/>
                <w:sz w:val="20"/>
                <w:szCs w:val="20"/>
              </w:rPr>
              <w:t xml:space="preserve"> or </w:t>
            </w:r>
            <w:r w:rsidRPr="00743512">
              <w:rPr>
                <w:rFonts w:ascii="Arial Narrow" w:hAnsi="Arial Narrow"/>
                <w:i/>
                <w:color w:val="333333"/>
                <w:sz w:val="20"/>
                <w:szCs w:val="20"/>
              </w:rPr>
              <w:t>BRCA2</w:t>
            </w:r>
            <w:r w:rsidRPr="00743512">
              <w:rPr>
                <w:rFonts w:ascii="Arial Narrow" w:hAnsi="Arial Narrow"/>
                <w:color w:val="333333"/>
                <w:sz w:val="20"/>
                <w:szCs w:val="20"/>
              </w:rPr>
              <w:t xml:space="preserve"> gene mutation</w:t>
            </w:r>
          </w:p>
        </w:tc>
      </w:tr>
      <w:tr w:rsidR="00F04CFC" w:rsidRPr="00743512" w14:paraId="4D34A49D"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38CC85B" w14:textId="77777777" w:rsidR="00F04CFC" w:rsidRPr="00743512" w:rsidRDefault="00F04CFC" w:rsidP="004F5B47">
            <w:pPr>
              <w:rPr>
                <w:rFonts w:ascii="Arial Narrow" w:hAnsi="Arial Narrow"/>
                <w:b/>
                <w:bCs/>
                <w:color w:val="333333"/>
                <w:sz w:val="20"/>
                <w:szCs w:val="20"/>
              </w:rPr>
            </w:pPr>
          </w:p>
        </w:tc>
        <w:tc>
          <w:tcPr>
            <w:tcW w:w="8040" w:type="dxa"/>
            <w:gridSpan w:val="6"/>
            <w:vAlign w:val="center"/>
          </w:tcPr>
          <w:p w14:paraId="4AEEFB89"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AND</w:t>
            </w:r>
          </w:p>
        </w:tc>
      </w:tr>
      <w:tr w:rsidR="00F04CFC" w:rsidRPr="00743512" w14:paraId="5A5994C9"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779BFFD0"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36B1B42B"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E329E5" w:rsidRPr="00743512" w14:paraId="13188276"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2DEB043" w14:textId="3BE1F9FC" w:rsidR="00E329E5" w:rsidRPr="00743512" w:rsidRDefault="00E329E5" w:rsidP="004F5B47">
            <w:pPr>
              <w:rPr>
                <w:rFonts w:ascii="Arial Narrow" w:hAnsi="Arial Narrow"/>
                <w:color w:val="333333"/>
                <w:sz w:val="20"/>
                <w:szCs w:val="20"/>
              </w:rPr>
            </w:pPr>
          </w:p>
        </w:tc>
        <w:tc>
          <w:tcPr>
            <w:tcW w:w="8040" w:type="dxa"/>
            <w:gridSpan w:val="6"/>
            <w:vAlign w:val="center"/>
          </w:tcPr>
          <w:p w14:paraId="4F550277" w14:textId="70C4FCF4" w:rsidR="00E329E5" w:rsidRPr="00743512" w:rsidRDefault="00EC3DB4" w:rsidP="00E329E5">
            <w:pPr>
              <w:rPr>
                <w:rFonts w:ascii="Arial Narrow" w:hAnsi="Arial Narrow"/>
                <w:color w:val="333333"/>
                <w:sz w:val="20"/>
                <w:szCs w:val="20"/>
              </w:rPr>
            </w:pPr>
            <w:r w:rsidRPr="00743512">
              <w:rPr>
                <w:rFonts w:ascii="Arial Narrow" w:hAnsi="Arial Narrow"/>
                <w:color w:val="333333"/>
                <w:sz w:val="20"/>
                <w:szCs w:val="20"/>
              </w:rPr>
              <w:t>The p</w:t>
            </w:r>
            <w:r w:rsidR="00E329E5" w:rsidRPr="00743512">
              <w:rPr>
                <w:rFonts w:ascii="Arial Narrow" w:hAnsi="Arial Narrow"/>
                <w:color w:val="333333"/>
                <w:sz w:val="20"/>
                <w:szCs w:val="20"/>
              </w:rPr>
              <w:t>atient has received:</w:t>
            </w:r>
          </w:p>
          <w:p w14:paraId="0B4C5F7B" w14:textId="15DC6491" w:rsidR="00E329E5" w:rsidRPr="00743512" w:rsidRDefault="00E329E5" w:rsidP="00E329E5">
            <w:pPr>
              <w:rPr>
                <w:rFonts w:ascii="Arial Narrow" w:hAnsi="Arial Narrow"/>
                <w:color w:val="333333"/>
                <w:sz w:val="20"/>
                <w:szCs w:val="20"/>
              </w:rPr>
            </w:pPr>
            <w:r w:rsidRPr="00743512">
              <w:rPr>
                <w:rFonts w:ascii="Arial Narrow" w:hAnsi="Arial Narrow"/>
                <w:color w:val="333333"/>
                <w:sz w:val="20"/>
                <w:szCs w:val="20"/>
              </w:rPr>
              <w:t xml:space="preserve">(i) neoadjuvant chemotherapy, and residual invasive cancer is confirmed in the breast and/or resected lymph nodes (pathological complete response was not achieved), or </w:t>
            </w:r>
          </w:p>
          <w:p w14:paraId="0BF7B9C5" w14:textId="77777777" w:rsidR="00E329E5" w:rsidRPr="00743512" w:rsidRDefault="00E329E5" w:rsidP="00E329E5">
            <w:pPr>
              <w:rPr>
                <w:rFonts w:ascii="Arial Narrow" w:hAnsi="Arial Narrow"/>
                <w:color w:val="333333"/>
                <w:sz w:val="20"/>
                <w:szCs w:val="20"/>
              </w:rPr>
            </w:pPr>
            <w:r w:rsidRPr="00743512">
              <w:rPr>
                <w:rFonts w:ascii="Arial Narrow" w:hAnsi="Arial Narrow"/>
                <w:color w:val="333333"/>
                <w:sz w:val="20"/>
                <w:szCs w:val="20"/>
              </w:rPr>
              <w:t>(ii) adjuvant chemotherapy for triple negative breast cancer, and has either: (a) node positive disease is present, or (b) a primary tumour greater than 20 mm, or</w:t>
            </w:r>
          </w:p>
          <w:p w14:paraId="741CE20A" w14:textId="399E6401" w:rsidR="00E329E5" w:rsidRPr="00743512" w:rsidRDefault="00E329E5" w:rsidP="00E329E5">
            <w:pPr>
              <w:rPr>
                <w:rFonts w:ascii="Arial Narrow" w:hAnsi="Arial Narrow"/>
                <w:strike/>
                <w:color w:val="333333"/>
                <w:sz w:val="20"/>
                <w:szCs w:val="20"/>
              </w:rPr>
            </w:pPr>
            <w:r w:rsidRPr="00743512">
              <w:rPr>
                <w:rFonts w:ascii="Arial Narrow" w:hAnsi="Arial Narrow"/>
                <w:color w:val="333333"/>
                <w:sz w:val="20"/>
                <w:szCs w:val="20"/>
              </w:rPr>
              <w:t>(iii) adjuvant chemotherapy for hormone receptor positive breast cancer, and has at least 4 positive lymph nodes</w:t>
            </w:r>
          </w:p>
        </w:tc>
      </w:tr>
      <w:tr w:rsidR="00F04CFC" w:rsidRPr="00743512" w14:paraId="1EE32CCA"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31E0F164"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1D995874"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AND</w:t>
            </w:r>
          </w:p>
        </w:tc>
      </w:tr>
      <w:tr w:rsidR="00F04CFC" w:rsidRPr="00743512" w14:paraId="507C4409"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C3A0246"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2875F672"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F04CFC" w:rsidRPr="00743512" w14:paraId="27DDFCEE"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A4AF831" w14:textId="67400C2A" w:rsidR="00F04CFC" w:rsidRPr="00743512" w:rsidRDefault="00F04CFC" w:rsidP="004F5B47">
            <w:pPr>
              <w:rPr>
                <w:rFonts w:ascii="Arial Narrow" w:hAnsi="Arial Narrow"/>
                <w:color w:val="333333"/>
                <w:sz w:val="20"/>
                <w:szCs w:val="20"/>
              </w:rPr>
            </w:pPr>
          </w:p>
        </w:tc>
        <w:tc>
          <w:tcPr>
            <w:tcW w:w="8040" w:type="dxa"/>
            <w:gridSpan w:val="6"/>
            <w:vAlign w:val="center"/>
            <w:hideMark/>
          </w:tcPr>
          <w:p w14:paraId="3920515C" w14:textId="1FAFAC2F" w:rsidR="00F04CFC" w:rsidRPr="00743512" w:rsidRDefault="00F04CFC" w:rsidP="004F5B47">
            <w:pPr>
              <w:rPr>
                <w:rFonts w:ascii="Arial Narrow" w:hAnsi="Arial Narrow"/>
                <w:color w:val="333333"/>
                <w:sz w:val="20"/>
                <w:szCs w:val="20"/>
              </w:rPr>
            </w:pPr>
            <w:r w:rsidRPr="00743512">
              <w:rPr>
                <w:rFonts w:ascii="Arial Narrow" w:hAnsi="Arial Narrow"/>
                <w:color w:val="333333"/>
                <w:sz w:val="20"/>
                <w:szCs w:val="20"/>
              </w:rPr>
              <w:t xml:space="preserve">The treatment must not be a PBS-subsidised benefit beyond </w:t>
            </w:r>
            <w:r w:rsidR="007B558B" w:rsidRPr="00743512">
              <w:rPr>
                <w:rFonts w:ascii="Arial Narrow" w:hAnsi="Arial Narrow"/>
                <w:i/>
                <w:iCs/>
                <w:color w:val="333333"/>
                <w:sz w:val="20"/>
                <w:szCs w:val="20"/>
              </w:rPr>
              <w:t>the following,</w:t>
            </w:r>
            <w:r w:rsidR="007B558B" w:rsidRPr="00743512">
              <w:rPr>
                <w:rFonts w:ascii="Arial Narrow" w:hAnsi="Arial Narrow"/>
                <w:color w:val="333333"/>
                <w:sz w:val="20"/>
                <w:szCs w:val="20"/>
              </w:rPr>
              <w:t xml:space="preserve"> </w:t>
            </w:r>
            <w:r w:rsidRPr="00743512">
              <w:rPr>
                <w:rFonts w:ascii="Arial Narrow" w:hAnsi="Arial Narrow"/>
                <w:color w:val="333333"/>
                <w:sz w:val="20"/>
                <w:szCs w:val="20"/>
              </w:rPr>
              <w:t>whichever comes first: (i) a total of 52 weeks of treatment (including any non-PBS subsidised supply), (ii) disease recurrence</w:t>
            </w:r>
            <w:r w:rsidR="007B558B" w:rsidRPr="00743512">
              <w:rPr>
                <w:rFonts w:ascii="Arial Narrow" w:hAnsi="Arial Narrow"/>
                <w:i/>
                <w:iCs/>
                <w:color w:val="333333"/>
                <w:sz w:val="20"/>
                <w:szCs w:val="20"/>
              </w:rPr>
              <w:t xml:space="preserve">. Mark any </w:t>
            </w:r>
            <w:r w:rsidR="00166F4C" w:rsidRPr="00743512">
              <w:rPr>
                <w:rFonts w:ascii="Arial Narrow" w:hAnsi="Arial Narrow"/>
                <w:i/>
                <w:iCs/>
                <w:color w:val="333333"/>
                <w:sz w:val="20"/>
                <w:szCs w:val="20"/>
              </w:rPr>
              <w:t>remaining</w:t>
            </w:r>
            <w:r w:rsidR="007B558B" w:rsidRPr="00743512">
              <w:rPr>
                <w:rFonts w:ascii="Arial Narrow" w:hAnsi="Arial Narrow"/>
                <w:i/>
                <w:iCs/>
                <w:color w:val="333333"/>
                <w:sz w:val="20"/>
                <w:szCs w:val="20"/>
              </w:rPr>
              <w:t xml:space="preserve"> repeat </w:t>
            </w:r>
            <w:r w:rsidR="00166F4C" w:rsidRPr="00743512">
              <w:rPr>
                <w:rFonts w:ascii="Arial Narrow" w:hAnsi="Arial Narrow"/>
                <w:i/>
                <w:iCs/>
                <w:color w:val="333333"/>
                <w:sz w:val="20"/>
                <w:szCs w:val="20"/>
              </w:rPr>
              <w:t>prescriptions</w:t>
            </w:r>
            <w:r w:rsidR="007B558B" w:rsidRPr="00743512">
              <w:rPr>
                <w:rFonts w:ascii="Arial Narrow" w:hAnsi="Arial Narrow"/>
                <w:i/>
                <w:iCs/>
                <w:color w:val="333333"/>
                <w:sz w:val="20"/>
                <w:szCs w:val="20"/>
              </w:rPr>
              <w:t xml:space="preserve"> with the words ‘cancelled’; where (i)/(ii) has occurred</w:t>
            </w:r>
          </w:p>
        </w:tc>
      </w:tr>
      <w:tr w:rsidR="00F04CFC" w:rsidRPr="00743512" w14:paraId="52881098"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A3D0D62" w14:textId="77777777" w:rsidR="00F04CFC" w:rsidRPr="00743512" w:rsidRDefault="00F04CFC" w:rsidP="004F5B47">
            <w:pPr>
              <w:rPr>
                <w:rFonts w:ascii="Arial Narrow" w:hAnsi="Arial Narrow"/>
                <w:color w:val="333333"/>
                <w:sz w:val="20"/>
                <w:szCs w:val="20"/>
              </w:rPr>
            </w:pPr>
          </w:p>
        </w:tc>
        <w:tc>
          <w:tcPr>
            <w:tcW w:w="8040" w:type="dxa"/>
            <w:gridSpan w:val="6"/>
            <w:vAlign w:val="center"/>
            <w:hideMark/>
          </w:tcPr>
          <w:p w14:paraId="633710B0"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AND</w:t>
            </w:r>
          </w:p>
        </w:tc>
      </w:tr>
      <w:tr w:rsidR="00F04CFC" w:rsidRPr="00743512" w14:paraId="499E66F0"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8F17D32"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735CC92B"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F04CFC" w:rsidRPr="00743512" w14:paraId="0E7C2BF0"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CDFE9D1" w14:textId="1F1F9C60" w:rsidR="00F04CFC" w:rsidRPr="00743512" w:rsidRDefault="00F04CFC" w:rsidP="004F5B47">
            <w:pPr>
              <w:rPr>
                <w:rFonts w:ascii="Arial Narrow" w:hAnsi="Arial Narrow"/>
                <w:color w:val="333333"/>
                <w:sz w:val="20"/>
                <w:szCs w:val="20"/>
              </w:rPr>
            </w:pPr>
          </w:p>
        </w:tc>
        <w:tc>
          <w:tcPr>
            <w:tcW w:w="8040" w:type="dxa"/>
            <w:gridSpan w:val="6"/>
            <w:vAlign w:val="center"/>
            <w:hideMark/>
          </w:tcPr>
          <w:p w14:paraId="1A1764A1" w14:textId="28D38D2C" w:rsidR="00F04CFC" w:rsidRPr="00743512" w:rsidRDefault="00F04CFC" w:rsidP="004F5B47">
            <w:pPr>
              <w:rPr>
                <w:rFonts w:ascii="Arial Narrow" w:hAnsi="Arial Narrow"/>
                <w:color w:val="333333"/>
                <w:sz w:val="20"/>
                <w:szCs w:val="20"/>
              </w:rPr>
            </w:pPr>
            <w:r w:rsidRPr="00743512">
              <w:rPr>
                <w:rFonts w:ascii="Arial Narrow" w:hAnsi="Arial Narrow"/>
                <w:color w:val="333333"/>
                <w:sz w:val="20"/>
                <w:szCs w:val="20"/>
              </w:rPr>
              <w:t>T</w:t>
            </w:r>
            <w:r w:rsidR="00D13BC6" w:rsidRPr="00743512">
              <w:rPr>
                <w:rFonts w:ascii="Arial Narrow" w:hAnsi="Arial Narrow"/>
                <w:color w:val="333333"/>
                <w:sz w:val="20"/>
                <w:szCs w:val="20"/>
              </w:rPr>
              <w:t>he t</w:t>
            </w:r>
            <w:r w:rsidRPr="00743512">
              <w:rPr>
                <w:rFonts w:ascii="Arial Narrow" w:hAnsi="Arial Narrow"/>
                <w:color w:val="333333"/>
                <w:sz w:val="20"/>
                <w:szCs w:val="20"/>
              </w:rPr>
              <w:t>reatment must be commenced within 12 weeks of completing other therapy</w:t>
            </w:r>
            <w:r w:rsidRPr="00743512">
              <w:rPr>
                <w:rFonts w:ascii="Arial Narrow" w:hAnsi="Arial Narrow"/>
                <w:strike/>
                <w:color w:val="333333"/>
                <w:sz w:val="20"/>
                <w:szCs w:val="20"/>
              </w:rPr>
              <w:t>,</w:t>
            </w:r>
            <w:r w:rsidRPr="00743512">
              <w:rPr>
                <w:rFonts w:ascii="Arial Narrow" w:hAnsi="Arial Narrow"/>
                <w:color w:val="333333"/>
                <w:sz w:val="20"/>
                <w:szCs w:val="20"/>
              </w:rPr>
              <w:t xml:space="preserve"> </w:t>
            </w:r>
            <w:r w:rsidRPr="00743512">
              <w:rPr>
                <w:rFonts w:ascii="Arial Narrow" w:hAnsi="Arial Narrow"/>
                <w:strike/>
                <w:color w:val="333333"/>
                <w:sz w:val="20"/>
                <w:szCs w:val="20"/>
              </w:rPr>
              <w:t xml:space="preserve">noting this could include surgery, radiotherapy or chemotherapy </w:t>
            </w:r>
            <w:r w:rsidRPr="00743512">
              <w:rPr>
                <w:rFonts w:ascii="Arial Narrow" w:hAnsi="Arial Narrow"/>
                <w:color w:val="333333"/>
                <w:sz w:val="20"/>
                <w:szCs w:val="20"/>
              </w:rPr>
              <w:t>noting that other therapy can be any of</w:t>
            </w:r>
            <w:r w:rsidR="007B558B" w:rsidRPr="00743512">
              <w:rPr>
                <w:rFonts w:ascii="Arial Narrow" w:hAnsi="Arial Narrow"/>
                <w:color w:val="333333"/>
                <w:sz w:val="20"/>
                <w:szCs w:val="20"/>
              </w:rPr>
              <w:t xml:space="preserve"> the following therapy</w:t>
            </w:r>
            <w:r w:rsidRPr="00743512">
              <w:rPr>
                <w:rFonts w:ascii="Arial Narrow" w:hAnsi="Arial Narrow"/>
                <w:color w:val="333333"/>
                <w:sz w:val="20"/>
                <w:szCs w:val="20"/>
              </w:rPr>
              <w:t xml:space="preserve">: </w:t>
            </w:r>
            <w:r w:rsidR="007B558B" w:rsidRPr="00743512">
              <w:rPr>
                <w:rFonts w:ascii="Arial Narrow" w:hAnsi="Arial Narrow"/>
                <w:color w:val="333333"/>
                <w:sz w:val="20"/>
                <w:szCs w:val="20"/>
              </w:rPr>
              <w:t xml:space="preserve">(i) </w:t>
            </w:r>
            <w:r w:rsidRPr="00743512">
              <w:rPr>
                <w:rFonts w:ascii="Arial Narrow" w:hAnsi="Arial Narrow"/>
                <w:color w:val="333333"/>
                <w:sz w:val="20"/>
                <w:szCs w:val="20"/>
              </w:rPr>
              <w:t>surgery,</w:t>
            </w:r>
            <w:r w:rsidR="007B558B" w:rsidRPr="00743512">
              <w:rPr>
                <w:rFonts w:ascii="Arial Narrow" w:hAnsi="Arial Narrow"/>
                <w:color w:val="333333"/>
                <w:sz w:val="20"/>
                <w:szCs w:val="20"/>
              </w:rPr>
              <w:t xml:space="preserve"> (ii)</w:t>
            </w:r>
            <w:r w:rsidR="00F32823" w:rsidRPr="00F32823">
              <w:rPr>
                <w:rFonts w:ascii="Arial Narrow" w:hAnsi="Arial Narrow"/>
                <w:color w:val="333333"/>
                <w:sz w:val="20"/>
                <w:szCs w:val="20"/>
              </w:rPr>
              <w:t xml:space="preserve"> </w:t>
            </w:r>
            <w:r w:rsidRPr="00743512">
              <w:rPr>
                <w:rFonts w:ascii="Arial Narrow" w:hAnsi="Arial Narrow"/>
                <w:color w:val="333333"/>
                <w:sz w:val="20"/>
                <w:szCs w:val="20"/>
              </w:rPr>
              <w:t>radiotherapy,</w:t>
            </w:r>
            <w:r w:rsidR="007B558B" w:rsidRPr="00743512">
              <w:rPr>
                <w:rFonts w:ascii="Arial Narrow" w:hAnsi="Arial Narrow"/>
                <w:color w:val="333333"/>
                <w:sz w:val="20"/>
                <w:szCs w:val="20"/>
              </w:rPr>
              <w:t>(iii)</w:t>
            </w:r>
            <w:r w:rsidRPr="00743512">
              <w:rPr>
                <w:rFonts w:ascii="Arial Narrow" w:hAnsi="Arial Narrow"/>
                <w:color w:val="333333"/>
                <w:sz w:val="20"/>
                <w:szCs w:val="20"/>
              </w:rPr>
              <w:t xml:space="preserve"> chemotherapy.</w:t>
            </w:r>
          </w:p>
        </w:tc>
      </w:tr>
      <w:tr w:rsidR="00F04CFC" w:rsidRPr="00743512" w14:paraId="00E1C4C8"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6784D006" w14:textId="77777777" w:rsidR="00F04CFC" w:rsidRPr="00743512" w:rsidRDefault="00F04CFC" w:rsidP="004F5B47">
            <w:pPr>
              <w:rPr>
                <w:rFonts w:ascii="Arial Narrow" w:hAnsi="Arial Narrow"/>
                <w:i/>
                <w:iCs/>
                <w:color w:val="333333"/>
                <w:sz w:val="20"/>
                <w:szCs w:val="20"/>
              </w:rPr>
            </w:pPr>
          </w:p>
        </w:tc>
        <w:tc>
          <w:tcPr>
            <w:tcW w:w="8040" w:type="dxa"/>
            <w:gridSpan w:val="6"/>
            <w:vAlign w:val="center"/>
          </w:tcPr>
          <w:p w14:paraId="6D2D60A6" w14:textId="7ED184C2" w:rsidR="00F04CFC" w:rsidRPr="00743512" w:rsidRDefault="00F04CFC" w:rsidP="004F5B47">
            <w:pPr>
              <w:rPr>
                <w:rFonts w:ascii="Arial Narrow" w:hAnsi="Arial Narrow"/>
                <w:b/>
                <w:bCs/>
                <w:i/>
                <w:iCs/>
                <w:color w:val="333333"/>
                <w:sz w:val="20"/>
                <w:szCs w:val="20"/>
              </w:rPr>
            </w:pPr>
            <w:r w:rsidRPr="00743512">
              <w:rPr>
                <w:rFonts w:ascii="Arial Narrow" w:hAnsi="Arial Narrow"/>
                <w:b/>
                <w:bCs/>
                <w:i/>
                <w:iCs/>
                <w:color w:val="333333"/>
                <w:sz w:val="20"/>
                <w:szCs w:val="20"/>
              </w:rPr>
              <w:t>AND</w:t>
            </w:r>
          </w:p>
        </w:tc>
      </w:tr>
      <w:tr w:rsidR="00F04CFC" w:rsidRPr="00743512" w14:paraId="4F1418AE"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7A3A21DC" w14:textId="77777777" w:rsidR="00F04CFC" w:rsidRPr="00743512" w:rsidRDefault="00F04CFC" w:rsidP="004F5B47">
            <w:pPr>
              <w:rPr>
                <w:rFonts w:ascii="Arial Narrow" w:hAnsi="Arial Narrow"/>
                <w:i/>
                <w:iCs/>
                <w:color w:val="333333"/>
                <w:sz w:val="20"/>
                <w:szCs w:val="20"/>
              </w:rPr>
            </w:pPr>
          </w:p>
        </w:tc>
        <w:tc>
          <w:tcPr>
            <w:tcW w:w="8040" w:type="dxa"/>
            <w:gridSpan w:val="6"/>
            <w:vAlign w:val="center"/>
          </w:tcPr>
          <w:p w14:paraId="2331F86C" w14:textId="37F0DE56" w:rsidR="00F04CFC" w:rsidRPr="00743512" w:rsidRDefault="00F04CFC" w:rsidP="004F5B47">
            <w:pPr>
              <w:rPr>
                <w:rFonts w:ascii="Arial Narrow" w:hAnsi="Arial Narrow"/>
                <w:b/>
                <w:bCs/>
                <w:i/>
                <w:iCs/>
                <w:color w:val="333333"/>
                <w:sz w:val="20"/>
                <w:szCs w:val="20"/>
              </w:rPr>
            </w:pPr>
            <w:r w:rsidRPr="00743512">
              <w:rPr>
                <w:rFonts w:ascii="Arial Narrow" w:hAnsi="Arial Narrow"/>
                <w:b/>
                <w:bCs/>
                <w:i/>
                <w:iCs/>
                <w:color w:val="333333"/>
                <w:sz w:val="20"/>
                <w:szCs w:val="20"/>
              </w:rPr>
              <w:t>Clinical criteria:</w:t>
            </w:r>
          </w:p>
        </w:tc>
      </w:tr>
      <w:tr w:rsidR="00F04CFC" w:rsidRPr="00743512" w14:paraId="7B12F074"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33170EF8" w14:textId="1ABEBEAF" w:rsidR="00F04CFC" w:rsidRPr="00743512" w:rsidRDefault="00F04CFC" w:rsidP="004F5B47">
            <w:pPr>
              <w:rPr>
                <w:rFonts w:ascii="Arial Narrow" w:hAnsi="Arial Narrow"/>
                <w:i/>
                <w:iCs/>
                <w:color w:val="333333"/>
                <w:sz w:val="20"/>
                <w:szCs w:val="20"/>
              </w:rPr>
            </w:pPr>
          </w:p>
        </w:tc>
        <w:tc>
          <w:tcPr>
            <w:tcW w:w="8040" w:type="dxa"/>
            <w:gridSpan w:val="6"/>
            <w:vAlign w:val="center"/>
          </w:tcPr>
          <w:p w14:paraId="16A60B79" w14:textId="1B18A393" w:rsidR="005436A5" w:rsidRPr="00743512" w:rsidRDefault="005436A5" w:rsidP="004F5B47">
            <w:pPr>
              <w:rPr>
                <w:rFonts w:ascii="Arial Narrow" w:hAnsi="Arial Narrow"/>
                <w:i/>
                <w:iCs/>
                <w:color w:val="333333"/>
                <w:sz w:val="20"/>
                <w:szCs w:val="20"/>
              </w:rPr>
            </w:pPr>
            <w:r w:rsidRPr="00743512">
              <w:rPr>
                <w:rFonts w:ascii="Arial Narrow" w:hAnsi="Arial Narrow"/>
                <w:i/>
                <w:iCs/>
                <w:color w:val="333333"/>
                <w:sz w:val="20"/>
                <w:szCs w:val="20"/>
              </w:rPr>
              <w:t>T</w:t>
            </w:r>
            <w:r w:rsidR="00D13BC6" w:rsidRPr="00743512">
              <w:rPr>
                <w:rFonts w:ascii="Arial Narrow" w:hAnsi="Arial Narrow"/>
                <w:i/>
                <w:iCs/>
                <w:color w:val="333333"/>
                <w:sz w:val="20"/>
                <w:szCs w:val="20"/>
              </w:rPr>
              <w:t>he t</w:t>
            </w:r>
            <w:r w:rsidRPr="00743512">
              <w:rPr>
                <w:rFonts w:ascii="Arial Narrow" w:hAnsi="Arial Narrow"/>
                <w:i/>
                <w:iCs/>
                <w:color w:val="333333"/>
                <w:sz w:val="20"/>
                <w:szCs w:val="20"/>
              </w:rPr>
              <w:t>reatment must not be in combination with</w:t>
            </w:r>
            <w:r w:rsidR="007C30CB" w:rsidRPr="00743512">
              <w:rPr>
                <w:rFonts w:ascii="Arial Narrow" w:hAnsi="Arial Narrow"/>
                <w:i/>
                <w:iCs/>
                <w:color w:val="333333"/>
                <w:sz w:val="20"/>
                <w:szCs w:val="20"/>
              </w:rPr>
              <w:t xml:space="preserve"> any of the following:</w:t>
            </w:r>
            <w:r w:rsidRPr="00743512">
              <w:rPr>
                <w:rFonts w:ascii="Arial Narrow" w:hAnsi="Arial Narrow"/>
                <w:i/>
                <w:iCs/>
                <w:color w:val="333333"/>
                <w:sz w:val="20"/>
                <w:szCs w:val="20"/>
              </w:rPr>
              <w:t xml:space="preserve"> (i) abemaciclib, (ii) pembrolizumab</w:t>
            </w:r>
          </w:p>
        </w:tc>
      </w:tr>
      <w:tr w:rsidR="00F04CFC" w:rsidRPr="00743512" w14:paraId="6971E6E8"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CAE598C" w14:textId="22A5EEB5" w:rsidR="00F04CFC" w:rsidRPr="00743512" w:rsidRDefault="00F04CFC" w:rsidP="004F5B47">
            <w:pPr>
              <w:rPr>
                <w:rFonts w:ascii="Arial Narrow" w:hAnsi="Arial Narrow"/>
                <w:color w:val="333333"/>
                <w:sz w:val="20"/>
                <w:szCs w:val="20"/>
              </w:rPr>
            </w:pPr>
          </w:p>
        </w:tc>
        <w:tc>
          <w:tcPr>
            <w:tcW w:w="8040" w:type="dxa"/>
            <w:gridSpan w:val="6"/>
            <w:vAlign w:val="center"/>
            <w:hideMark/>
          </w:tcPr>
          <w:p w14:paraId="57AE3503"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Prescribing Instructions:</w:t>
            </w:r>
          </w:p>
          <w:p w14:paraId="5134962C" w14:textId="77777777" w:rsidR="00F04CFC" w:rsidRPr="00743512" w:rsidRDefault="00F04CFC" w:rsidP="004F5B47">
            <w:pPr>
              <w:rPr>
                <w:rFonts w:ascii="Arial Narrow" w:hAnsi="Arial Narrow"/>
                <w:color w:val="333333"/>
                <w:sz w:val="20"/>
                <w:szCs w:val="20"/>
              </w:rPr>
            </w:pPr>
            <w:r w:rsidRPr="00743512">
              <w:rPr>
                <w:rFonts w:ascii="Arial Narrow" w:hAnsi="Arial Narrow"/>
                <w:color w:val="333333"/>
                <w:sz w:val="20"/>
                <w:szCs w:val="20"/>
              </w:rPr>
              <w:t xml:space="preserve">Retain all pathology imaging and investigative test results in the patient’s medical records. </w:t>
            </w:r>
            <w:r w:rsidRPr="00743512">
              <w:rPr>
                <w:rFonts w:ascii="Arial Narrow" w:hAnsi="Arial Narrow"/>
                <w:strike/>
                <w:color w:val="333333"/>
                <w:sz w:val="20"/>
                <w:szCs w:val="20"/>
              </w:rPr>
              <w:t>Do not submit copies of these as part of the authority application.</w:t>
            </w:r>
          </w:p>
        </w:tc>
      </w:tr>
      <w:tr w:rsidR="00F04CFC" w:rsidRPr="00743512" w14:paraId="6F337A97"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1B432B7" w14:textId="52C352E5" w:rsidR="00F04CFC" w:rsidRPr="00743512" w:rsidDel="00EF574F" w:rsidRDefault="00F04CFC" w:rsidP="004F5B47">
            <w:pPr>
              <w:rPr>
                <w:rFonts w:ascii="Arial Narrow" w:hAnsi="Arial Narrow"/>
                <w:color w:val="333333"/>
                <w:sz w:val="20"/>
                <w:szCs w:val="20"/>
              </w:rPr>
            </w:pPr>
          </w:p>
        </w:tc>
        <w:tc>
          <w:tcPr>
            <w:tcW w:w="8040" w:type="dxa"/>
            <w:gridSpan w:val="6"/>
            <w:vAlign w:val="center"/>
          </w:tcPr>
          <w:p w14:paraId="090A678E" w14:textId="77777777" w:rsidR="00F04CFC" w:rsidRPr="00743512" w:rsidDel="00EF574F"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 xml:space="preserve">Administrative advice: </w:t>
            </w:r>
            <w:r w:rsidRPr="00743512">
              <w:rPr>
                <w:rFonts w:ascii="Arial Narrow" w:hAnsi="Arial Narrow"/>
                <w:color w:val="333333"/>
                <w:sz w:val="20"/>
                <w:szCs w:val="20"/>
              </w:rPr>
              <w:t>Patients may qualify for PBS-subsidised treatment under this restriction once only</w:t>
            </w:r>
          </w:p>
        </w:tc>
      </w:tr>
      <w:tr w:rsidR="00F04CFC" w:rsidRPr="00743512" w14:paraId="798194DD"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24F2E20D" w14:textId="59B9F718" w:rsidR="00F04CFC" w:rsidRPr="00743512" w:rsidDel="00EF574F" w:rsidRDefault="00F04CFC" w:rsidP="004F5B47">
            <w:pPr>
              <w:rPr>
                <w:rFonts w:ascii="Arial Narrow" w:hAnsi="Arial Narrow"/>
                <w:color w:val="333333"/>
                <w:sz w:val="20"/>
                <w:szCs w:val="20"/>
              </w:rPr>
            </w:pPr>
          </w:p>
        </w:tc>
        <w:tc>
          <w:tcPr>
            <w:tcW w:w="8040" w:type="dxa"/>
            <w:gridSpan w:val="6"/>
          </w:tcPr>
          <w:p w14:paraId="14D6D57B"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 xml:space="preserve">Administrative advice: </w:t>
            </w:r>
          </w:p>
          <w:p w14:paraId="10C89179" w14:textId="77777777" w:rsidR="00F04CFC" w:rsidRPr="00743512" w:rsidRDefault="00F04CFC" w:rsidP="004F5B47">
            <w:pPr>
              <w:rPr>
                <w:rFonts w:ascii="Arial Narrow" w:hAnsi="Arial Narrow"/>
                <w:b/>
                <w:bCs/>
                <w:color w:val="333333"/>
                <w:sz w:val="20"/>
                <w:szCs w:val="20"/>
              </w:rPr>
            </w:pPr>
            <w:r w:rsidRPr="00743512">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F04CFC" w:rsidRPr="00743512" w14:paraId="446D91B9"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7B38CE2E" w14:textId="4E492BE9" w:rsidR="00F04CFC" w:rsidRPr="00743512" w:rsidDel="00EF574F" w:rsidRDefault="00F04CFC" w:rsidP="004F5B47">
            <w:pPr>
              <w:rPr>
                <w:rFonts w:ascii="Arial Narrow" w:hAnsi="Arial Narrow"/>
                <w:color w:val="333333"/>
                <w:sz w:val="20"/>
                <w:szCs w:val="20"/>
              </w:rPr>
            </w:pPr>
          </w:p>
        </w:tc>
        <w:tc>
          <w:tcPr>
            <w:tcW w:w="8040" w:type="dxa"/>
            <w:gridSpan w:val="6"/>
            <w:vAlign w:val="center"/>
          </w:tcPr>
          <w:p w14:paraId="4D4AAA21"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No increase in the maximum quantity or number of units may be authorised.</w:t>
            </w:r>
          </w:p>
        </w:tc>
      </w:tr>
      <w:tr w:rsidR="00F04CFC" w:rsidRPr="00743512" w14:paraId="445AEB49"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3A7C48F7" w14:textId="68265B77" w:rsidR="00F04CFC" w:rsidRPr="00743512" w:rsidDel="00EF574F" w:rsidRDefault="00F04CFC" w:rsidP="004F5B47">
            <w:pPr>
              <w:rPr>
                <w:rFonts w:ascii="Arial Narrow" w:hAnsi="Arial Narrow"/>
                <w:color w:val="333333"/>
                <w:sz w:val="20"/>
                <w:szCs w:val="20"/>
              </w:rPr>
            </w:pPr>
          </w:p>
        </w:tc>
        <w:tc>
          <w:tcPr>
            <w:tcW w:w="8040" w:type="dxa"/>
            <w:gridSpan w:val="6"/>
            <w:vAlign w:val="center"/>
          </w:tcPr>
          <w:p w14:paraId="4D07EEA4"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No increase in the maximum number of repeats may be authorised.</w:t>
            </w:r>
          </w:p>
        </w:tc>
      </w:tr>
    </w:tbl>
    <w:p w14:paraId="19CD8968" w14:textId="77777777" w:rsidR="00F04CFC" w:rsidRPr="00743512" w:rsidRDefault="00F04CFC" w:rsidP="00F04CFC"/>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200"/>
        <w:gridCol w:w="1440"/>
        <w:gridCol w:w="960"/>
        <w:gridCol w:w="1200"/>
        <w:gridCol w:w="1560"/>
        <w:gridCol w:w="1680"/>
      </w:tblGrid>
      <w:tr w:rsidR="00F04CFC" w:rsidRPr="00743512" w14:paraId="62E61B8A" w14:textId="77777777" w:rsidTr="004F5B47">
        <w:trPr>
          <w:cantSplit/>
          <w:trHeight w:val="471"/>
        </w:trPr>
        <w:tc>
          <w:tcPr>
            <w:tcW w:w="9115" w:type="dxa"/>
            <w:gridSpan w:val="7"/>
          </w:tcPr>
          <w:p w14:paraId="7D1D2A20" w14:textId="42358958" w:rsidR="00F04CFC" w:rsidRPr="00743512" w:rsidRDefault="00F04CFC" w:rsidP="004F5B47">
            <w:pPr>
              <w:rPr>
                <w:rFonts w:ascii="Arial Narrow" w:eastAsia="Calibri" w:hAnsi="Arial Narrow"/>
                <w:b/>
                <w:sz w:val="20"/>
                <w:szCs w:val="20"/>
              </w:rPr>
            </w:pPr>
            <w:r w:rsidRPr="00743512">
              <w:rPr>
                <w:rFonts w:ascii="Arial Narrow" w:hAnsi="Arial Narrow"/>
                <w:b/>
                <w:sz w:val="20"/>
                <w:szCs w:val="20"/>
              </w:rPr>
              <w:t>Category / Program:</w:t>
            </w:r>
            <w:r w:rsidR="00F32823" w:rsidRPr="00F32823">
              <w:rPr>
                <w:rFonts w:ascii="Arial Narrow" w:hAnsi="Arial Narrow"/>
                <w:b/>
                <w:sz w:val="20"/>
                <w:szCs w:val="20"/>
              </w:rPr>
              <w:t xml:space="preserve"> </w:t>
            </w:r>
            <w:r w:rsidRPr="00743512">
              <w:rPr>
                <w:rFonts w:ascii="Arial Narrow" w:hAnsi="Arial Narrow"/>
                <w:b/>
                <w:sz w:val="20"/>
                <w:szCs w:val="20"/>
              </w:rPr>
              <w:t xml:space="preserve"> </w:t>
            </w:r>
            <w:r w:rsidRPr="00743512">
              <w:rPr>
                <w:rFonts w:ascii="Arial Narrow" w:hAnsi="Arial Narrow"/>
                <w:sz w:val="20"/>
                <w:szCs w:val="20"/>
              </w:rPr>
              <w:t>GENERAL – General Schedule (Code GE)</w:t>
            </w:r>
          </w:p>
        </w:tc>
      </w:tr>
      <w:tr w:rsidR="00F04CFC" w:rsidRPr="00743512" w14:paraId="379FF5AD" w14:textId="77777777" w:rsidTr="004F5B47">
        <w:trPr>
          <w:cantSplit/>
          <w:trHeight w:val="471"/>
        </w:trPr>
        <w:tc>
          <w:tcPr>
            <w:tcW w:w="2275" w:type="dxa"/>
            <w:gridSpan w:val="2"/>
          </w:tcPr>
          <w:p w14:paraId="30BB582C" w14:textId="77777777" w:rsidR="00F04CFC" w:rsidRPr="00743512" w:rsidRDefault="00F04CFC" w:rsidP="004F5B47">
            <w:pPr>
              <w:ind w:left="-57"/>
              <w:rPr>
                <w:rFonts w:ascii="Arial Narrow" w:eastAsia="Calibri" w:hAnsi="Arial Narrow"/>
                <w:b/>
                <w:bCs/>
                <w:sz w:val="20"/>
                <w:szCs w:val="20"/>
              </w:rPr>
            </w:pPr>
            <w:r w:rsidRPr="00743512">
              <w:rPr>
                <w:rFonts w:ascii="Arial Narrow" w:eastAsia="Calibri" w:hAnsi="Arial Narrow"/>
                <w:b/>
                <w:bCs/>
                <w:sz w:val="20"/>
                <w:szCs w:val="20"/>
              </w:rPr>
              <w:t>MEDICINAL PRODUCT</w:t>
            </w:r>
          </w:p>
          <w:p w14:paraId="1E325E10" w14:textId="77777777" w:rsidR="00F04CFC" w:rsidRPr="00743512" w:rsidRDefault="00F04CFC" w:rsidP="004F5B47">
            <w:pPr>
              <w:ind w:left="-57"/>
              <w:rPr>
                <w:rFonts w:ascii="Arial Narrow" w:eastAsia="Calibri" w:hAnsi="Arial Narrow"/>
                <w:b/>
                <w:sz w:val="20"/>
                <w:szCs w:val="20"/>
              </w:rPr>
            </w:pPr>
            <w:r w:rsidRPr="00743512">
              <w:rPr>
                <w:rFonts w:ascii="Arial Narrow" w:eastAsia="Calibri" w:hAnsi="Arial Narrow"/>
                <w:b/>
                <w:bCs/>
                <w:sz w:val="20"/>
                <w:szCs w:val="20"/>
              </w:rPr>
              <w:t>medicinal product pack</w:t>
            </w:r>
          </w:p>
        </w:tc>
        <w:tc>
          <w:tcPr>
            <w:tcW w:w="1440" w:type="dxa"/>
          </w:tcPr>
          <w:p w14:paraId="0D4F49A2" w14:textId="77777777" w:rsidR="00F04CFC" w:rsidRPr="00743512" w:rsidRDefault="00F04CFC" w:rsidP="004F5B47">
            <w:pPr>
              <w:ind w:left="-108"/>
              <w:jc w:val="center"/>
              <w:rPr>
                <w:rFonts w:ascii="Arial Narrow" w:eastAsia="Calibri" w:hAnsi="Arial Narrow"/>
                <w:b/>
                <w:sz w:val="20"/>
                <w:szCs w:val="20"/>
              </w:rPr>
            </w:pPr>
            <w:r w:rsidRPr="00743512">
              <w:rPr>
                <w:rFonts w:ascii="Arial Narrow" w:eastAsia="Calibri" w:hAnsi="Arial Narrow"/>
                <w:b/>
                <w:sz w:val="20"/>
                <w:szCs w:val="20"/>
              </w:rPr>
              <w:t>PBS item code</w:t>
            </w:r>
          </w:p>
        </w:tc>
        <w:tc>
          <w:tcPr>
            <w:tcW w:w="960" w:type="dxa"/>
          </w:tcPr>
          <w:p w14:paraId="35C879B5" w14:textId="77777777" w:rsidR="00F04CFC" w:rsidRPr="00743512" w:rsidRDefault="00F04CFC" w:rsidP="004F5B47">
            <w:pPr>
              <w:ind w:left="-108"/>
              <w:jc w:val="center"/>
              <w:rPr>
                <w:rFonts w:ascii="Arial Narrow" w:eastAsia="Calibri" w:hAnsi="Arial Narrow"/>
                <w:b/>
                <w:sz w:val="20"/>
                <w:szCs w:val="20"/>
              </w:rPr>
            </w:pPr>
            <w:r w:rsidRPr="00743512">
              <w:rPr>
                <w:rFonts w:ascii="Arial Narrow" w:eastAsia="Calibri" w:hAnsi="Arial Narrow"/>
                <w:b/>
                <w:sz w:val="20"/>
                <w:szCs w:val="20"/>
              </w:rPr>
              <w:t>Max. qty packs</w:t>
            </w:r>
          </w:p>
        </w:tc>
        <w:tc>
          <w:tcPr>
            <w:tcW w:w="1200" w:type="dxa"/>
          </w:tcPr>
          <w:p w14:paraId="66F1F4E3" w14:textId="77777777" w:rsidR="00F04CFC" w:rsidRPr="00743512" w:rsidRDefault="00F04CFC" w:rsidP="004F5B47">
            <w:pPr>
              <w:ind w:left="-108"/>
              <w:jc w:val="center"/>
              <w:rPr>
                <w:rFonts w:ascii="Arial Narrow" w:eastAsia="Calibri" w:hAnsi="Arial Narrow"/>
                <w:b/>
                <w:sz w:val="20"/>
                <w:szCs w:val="20"/>
              </w:rPr>
            </w:pPr>
            <w:r w:rsidRPr="00743512">
              <w:rPr>
                <w:rFonts w:ascii="Arial Narrow" w:eastAsia="Calibri" w:hAnsi="Arial Narrow"/>
                <w:b/>
                <w:sz w:val="20"/>
                <w:szCs w:val="20"/>
              </w:rPr>
              <w:t>Max. qty units</w:t>
            </w:r>
          </w:p>
        </w:tc>
        <w:tc>
          <w:tcPr>
            <w:tcW w:w="1560" w:type="dxa"/>
          </w:tcPr>
          <w:p w14:paraId="6B4C8406" w14:textId="77777777" w:rsidR="00F04CFC" w:rsidRPr="00743512" w:rsidRDefault="00F04CFC" w:rsidP="004F5B47">
            <w:pPr>
              <w:ind w:left="-108"/>
              <w:jc w:val="center"/>
              <w:rPr>
                <w:rFonts w:ascii="Arial Narrow" w:eastAsia="Calibri" w:hAnsi="Arial Narrow"/>
                <w:b/>
                <w:sz w:val="20"/>
                <w:szCs w:val="20"/>
              </w:rPr>
            </w:pPr>
            <w:r w:rsidRPr="00743512">
              <w:rPr>
                <w:rFonts w:ascii="Arial Narrow" w:eastAsia="Calibri" w:hAnsi="Arial Narrow"/>
                <w:b/>
                <w:sz w:val="20"/>
                <w:szCs w:val="20"/>
              </w:rPr>
              <w:t>№.of Rpts</w:t>
            </w:r>
          </w:p>
        </w:tc>
        <w:tc>
          <w:tcPr>
            <w:tcW w:w="1680" w:type="dxa"/>
          </w:tcPr>
          <w:p w14:paraId="7171D908" w14:textId="77777777" w:rsidR="00F04CFC" w:rsidRPr="00743512" w:rsidRDefault="00F04CFC" w:rsidP="004F5B47">
            <w:pPr>
              <w:rPr>
                <w:rFonts w:ascii="Arial Narrow" w:eastAsia="Calibri" w:hAnsi="Arial Narrow"/>
                <w:b/>
                <w:sz w:val="20"/>
                <w:szCs w:val="20"/>
              </w:rPr>
            </w:pPr>
            <w:r w:rsidRPr="00743512">
              <w:rPr>
                <w:rFonts w:ascii="Arial Narrow" w:eastAsia="Calibri" w:hAnsi="Arial Narrow"/>
                <w:b/>
                <w:sz w:val="20"/>
                <w:szCs w:val="20"/>
              </w:rPr>
              <w:t>Available brands</w:t>
            </w:r>
          </w:p>
        </w:tc>
      </w:tr>
      <w:tr w:rsidR="00F04CFC" w:rsidRPr="00743512" w14:paraId="49B4B5A0" w14:textId="77777777" w:rsidTr="004F5B47">
        <w:trPr>
          <w:cantSplit/>
          <w:trHeight w:val="224"/>
        </w:trPr>
        <w:tc>
          <w:tcPr>
            <w:tcW w:w="9115" w:type="dxa"/>
            <w:gridSpan w:val="7"/>
          </w:tcPr>
          <w:p w14:paraId="0EA0CBBC" w14:textId="0AC5A5A2" w:rsidR="00F04CFC" w:rsidRPr="00743512" w:rsidRDefault="00F04CFC" w:rsidP="004F5B47">
            <w:pPr>
              <w:ind w:left="-57"/>
              <w:rPr>
                <w:rFonts w:ascii="Arial Narrow" w:eastAsia="Calibri" w:hAnsi="Arial Narrow"/>
                <w:sz w:val="20"/>
                <w:szCs w:val="20"/>
              </w:rPr>
            </w:pPr>
            <w:r w:rsidRPr="00743512">
              <w:rPr>
                <w:rFonts w:ascii="Arial Narrow" w:eastAsia="Calibri" w:hAnsi="Arial Narrow"/>
                <w:sz w:val="20"/>
                <w:szCs w:val="20"/>
              </w:rPr>
              <w:t>OLAPARIB</w:t>
            </w:r>
            <w:r w:rsidR="00F32823" w:rsidRPr="00F32823">
              <w:rPr>
                <w:rFonts w:ascii="Arial Narrow" w:eastAsia="Calibri" w:hAnsi="Arial Narrow"/>
                <w:sz w:val="20"/>
                <w:szCs w:val="20"/>
              </w:rPr>
              <w:t xml:space="preserve"> </w:t>
            </w:r>
          </w:p>
        </w:tc>
      </w:tr>
      <w:tr w:rsidR="00F04CFC" w:rsidRPr="00743512" w14:paraId="1F76085C" w14:textId="77777777" w:rsidTr="004F5B47">
        <w:trPr>
          <w:cantSplit/>
          <w:trHeight w:val="232"/>
        </w:trPr>
        <w:tc>
          <w:tcPr>
            <w:tcW w:w="2275" w:type="dxa"/>
            <w:gridSpan w:val="2"/>
          </w:tcPr>
          <w:p w14:paraId="34A89C28" w14:textId="77777777" w:rsidR="00F04CFC" w:rsidRPr="00743512" w:rsidRDefault="00F04CFC" w:rsidP="004F5B47">
            <w:pPr>
              <w:ind w:left="-57"/>
              <w:rPr>
                <w:rFonts w:ascii="Arial Narrow" w:eastAsia="Calibri" w:hAnsi="Arial Narrow"/>
                <w:sz w:val="20"/>
                <w:szCs w:val="20"/>
              </w:rPr>
            </w:pPr>
            <w:r w:rsidRPr="00743512">
              <w:rPr>
                <w:rFonts w:ascii="Arial Narrow" w:eastAsia="Calibri" w:hAnsi="Arial Narrow"/>
                <w:sz w:val="20"/>
                <w:szCs w:val="20"/>
              </w:rPr>
              <w:t>olaparib 150 mg tablet, 56</w:t>
            </w:r>
          </w:p>
          <w:p w14:paraId="437B8CFD" w14:textId="77777777" w:rsidR="00F04CFC" w:rsidRPr="00743512" w:rsidRDefault="00F04CFC" w:rsidP="004F5B47">
            <w:pPr>
              <w:ind w:left="-57"/>
              <w:rPr>
                <w:rFonts w:ascii="Arial Narrow" w:eastAsia="Calibri" w:hAnsi="Arial Narrow"/>
                <w:sz w:val="20"/>
                <w:szCs w:val="20"/>
              </w:rPr>
            </w:pPr>
          </w:p>
        </w:tc>
        <w:tc>
          <w:tcPr>
            <w:tcW w:w="1440" w:type="dxa"/>
            <w:vAlign w:val="center"/>
          </w:tcPr>
          <w:p w14:paraId="75DC934F"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z w:val="20"/>
                <w:szCs w:val="20"/>
              </w:rPr>
              <w:t>New 3</w:t>
            </w:r>
          </w:p>
          <w:p w14:paraId="2A0C2FE4" w14:textId="702BC091" w:rsidR="00F04CFC" w:rsidRPr="00743512" w:rsidRDefault="00F04CFC" w:rsidP="004F5B47">
            <w:pPr>
              <w:jc w:val="center"/>
              <w:rPr>
                <w:rFonts w:ascii="Arial Narrow" w:eastAsia="Calibri" w:hAnsi="Arial Narrow"/>
                <w:sz w:val="20"/>
                <w:szCs w:val="20"/>
                <w:vertAlign w:val="subscript"/>
              </w:rPr>
            </w:pPr>
          </w:p>
        </w:tc>
        <w:tc>
          <w:tcPr>
            <w:tcW w:w="960" w:type="dxa"/>
            <w:vAlign w:val="center"/>
          </w:tcPr>
          <w:p w14:paraId="309610C6"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z w:val="20"/>
                <w:szCs w:val="20"/>
              </w:rPr>
              <w:t>2</w:t>
            </w:r>
          </w:p>
        </w:tc>
        <w:tc>
          <w:tcPr>
            <w:tcW w:w="1200" w:type="dxa"/>
            <w:vAlign w:val="center"/>
          </w:tcPr>
          <w:p w14:paraId="080E58B2"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z w:val="20"/>
                <w:szCs w:val="20"/>
              </w:rPr>
              <w:t>112</w:t>
            </w:r>
          </w:p>
        </w:tc>
        <w:tc>
          <w:tcPr>
            <w:tcW w:w="1560" w:type="dxa"/>
            <w:vAlign w:val="center"/>
          </w:tcPr>
          <w:p w14:paraId="296D5332"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trike/>
                <w:sz w:val="20"/>
                <w:szCs w:val="20"/>
              </w:rPr>
              <w:t>7</w:t>
            </w:r>
            <w:r w:rsidRPr="00743512">
              <w:rPr>
                <w:rFonts w:ascii="Arial Narrow" w:eastAsia="Calibri" w:hAnsi="Arial Narrow"/>
                <w:sz w:val="20"/>
                <w:szCs w:val="20"/>
              </w:rPr>
              <w:t xml:space="preserve"> 6</w:t>
            </w:r>
          </w:p>
        </w:tc>
        <w:tc>
          <w:tcPr>
            <w:tcW w:w="1680" w:type="dxa"/>
            <w:vAlign w:val="center"/>
          </w:tcPr>
          <w:p w14:paraId="621D7749" w14:textId="77777777" w:rsidR="00F04CFC" w:rsidRPr="00743512" w:rsidRDefault="00F04CFC" w:rsidP="004F5B47">
            <w:pPr>
              <w:jc w:val="left"/>
              <w:rPr>
                <w:rFonts w:ascii="Arial Narrow" w:eastAsia="Calibri" w:hAnsi="Arial Narrow"/>
                <w:sz w:val="20"/>
                <w:szCs w:val="20"/>
              </w:rPr>
            </w:pPr>
            <w:r w:rsidRPr="00743512">
              <w:rPr>
                <w:rFonts w:ascii="Arial Narrow" w:eastAsia="Calibri" w:hAnsi="Arial Narrow"/>
                <w:sz w:val="20"/>
                <w:szCs w:val="20"/>
              </w:rPr>
              <w:t>Lynparza</w:t>
            </w:r>
          </w:p>
        </w:tc>
      </w:tr>
      <w:tr w:rsidR="00F04CFC" w:rsidRPr="00743512" w14:paraId="1B4C8B25" w14:textId="77777777" w:rsidTr="004F5B47">
        <w:trPr>
          <w:cantSplit/>
          <w:trHeight w:val="232"/>
        </w:trPr>
        <w:tc>
          <w:tcPr>
            <w:tcW w:w="2275" w:type="dxa"/>
            <w:gridSpan w:val="2"/>
          </w:tcPr>
          <w:p w14:paraId="0E2B66ED" w14:textId="77777777" w:rsidR="00F04CFC" w:rsidRPr="00743512" w:rsidRDefault="00F04CFC" w:rsidP="004F5B47">
            <w:pPr>
              <w:ind w:left="-57"/>
              <w:rPr>
                <w:rFonts w:ascii="Arial Narrow" w:eastAsia="Calibri" w:hAnsi="Arial Narrow"/>
                <w:sz w:val="20"/>
                <w:szCs w:val="20"/>
              </w:rPr>
            </w:pPr>
            <w:r w:rsidRPr="00743512">
              <w:rPr>
                <w:rFonts w:ascii="Arial Narrow" w:eastAsia="Calibri" w:hAnsi="Arial Narrow"/>
                <w:sz w:val="20"/>
                <w:szCs w:val="20"/>
              </w:rPr>
              <w:t>olaparib 100 mg tablet, 56</w:t>
            </w:r>
          </w:p>
        </w:tc>
        <w:tc>
          <w:tcPr>
            <w:tcW w:w="1440" w:type="dxa"/>
            <w:vAlign w:val="center"/>
          </w:tcPr>
          <w:p w14:paraId="321839BC"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z w:val="20"/>
                <w:szCs w:val="20"/>
              </w:rPr>
              <w:t>New 4</w:t>
            </w:r>
          </w:p>
          <w:p w14:paraId="666BBE81" w14:textId="59876692" w:rsidR="00F04CFC" w:rsidRPr="00743512" w:rsidRDefault="00F04CFC" w:rsidP="004F5B47">
            <w:pPr>
              <w:jc w:val="center"/>
              <w:rPr>
                <w:rFonts w:ascii="Arial Narrow" w:eastAsia="Calibri" w:hAnsi="Arial Narrow"/>
                <w:sz w:val="20"/>
                <w:szCs w:val="20"/>
                <w:vertAlign w:val="subscript"/>
              </w:rPr>
            </w:pPr>
          </w:p>
        </w:tc>
        <w:tc>
          <w:tcPr>
            <w:tcW w:w="960" w:type="dxa"/>
            <w:vAlign w:val="center"/>
          </w:tcPr>
          <w:p w14:paraId="4E785991"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z w:val="20"/>
                <w:szCs w:val="20"/>
              </w:rPr>
              <w:t>2</w:t>
            </w:r>
          </w:p>
        </w:tc>
        <w:tc>
          <w:tcPr>
            <w:tcW w:w="1200" w:type="dxa"/>
            <w:vAlign w:val="center"/>
          </w:tcPr>
          <w:p w14:paraId="7A10EF6E"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z w:val="20"/>
                <w:szCs w:val="20"/>
              </w:rPr>
              <w:t>112</w:t>
            </w:r>
          </w:p>
        </w:tc>
        <w:tc>
          <w:tcPr>
            <w:tcW w:w="1560" w:type="dxa"/>
            <w:vAlign w:val="center"/>
          </w:tcPr>
          <w:p w14:paraId="76BE5468" w14:textId="77777777" w:rsidR="00F04CFC" w:rsidRPr="00743512" w:rsidRDefault="00F04CFC" w:rsidP="004F5B47">
            <w:pPr>
              <w:jc w:val="center"/>
              <w:rPr>
                <w:rFonts w:ascii="Arial Narrow" w:eastAsia="Calibri" w:hAnsi="Arial Narrow"/>
                <w:sz w:val="20"/>
                <w:szCs w:val="20"/>
              </w:rPr>
            </w:pPr>
            <w:r w:rsidRPr="00743512">
              <w:rPr>
                <w:rFonts w:ascii="Arial Narrow" w:eastAsia="Calibri" w:hAnsi="Arial Narrow"/>
                <w:strike/>
                <w:sz w:val="20"/>
                <w:szCs w:val="20"/>
              </w:rPr>
              <w:t>7</w:t>
            </w:r>
            <w:r w:rsidRPr="00743512">
              <w:rPr>
                <w:rFonts w:ascii="Arial Narrow" w:eastAsia="Calibri" w:hAnsi="Arial Narrow"/>
                <w:sz w:val="20"/>
                <w:szCs w:val="20"/>
              </w:rPr>
              <w:t xml:space="preserve"> 6</w:t>
            </w:r>
          </w:p>
        </w:tc>
        <w:tc>
          <w:tcPr>
            <w:tcW w:w="1680" w:type="dxa"/>
            <w:vAlign w:val="center"/>
          </w:tcPr>
          <w:p w14:paraId="7EB906F3" w14:textId="77777777" w:rsidR="00F04CFC" w:rsidRPr="00743512" w:rsidRDefault="00F04CFC" w:rsidP="004F5B47">
            <w:pPr>
              <w:jc w:val="left"/>
              <w:rPr>
                <w:rFonts w:ascii="Arial Narrow" w:eastAsia="Calibri" w:hAnsi="Arial Narrow"/>
                <w:sz w:val="20"/>
                <w:szCs w:val="20"/>
              </w:rPr>
            </w:pPr>
            <w:r w:rsidRPr="00743512">
              <w:rPr>
                <w:rFonts w:ascii="Arial Narrow" w:eastAsia="Calibri" w:hAnsi="Arial Narrow"/>
                <w:sz w:val="20"/>
                <w:szCs w:val="20"/>
              </w:rPr>
              <w:t>Lynparza</w:t>
            </w:r>
          </w:p>
        </w:tc>
      </w:tr>
      <w:tr w:rsidR="00F04CFC" w:rsidRPr="00743512" w14:paraId="4F5D53C8" w14:textId="77777777" w:rsidTr="004F5B47">
        <w:tblPrEx>
          <w:tblCellMar>
            <w:top w:w="15" w:type="dxa"/>
            <w:left w:w="15" w:type="dxa"/>
            <w:bottom w:w="15" w:type="dxa"/>
            <w:right w:w="15" w:type="dxa"/>
          </w:tblCellMar>
          <w:tblLook w:val="04A0" w:firstRow="1" w:lastRow="0" w:firstColumn="1" w:lastColumn="0" w:noHBand="0" w:noVBand="1"/>
        </w:tblPrEx>
        <w:tc>
          <w:tcPr>
            <w:tcW w:w="9115" w:type="dxa"/>
            <w:gridSpan w:val="7"/>
          </w:tcPr>
          <w:p w14:paraId="6282CF73" w14:textId="77777777" w:rsidR="00F04CFC" w:rsidRPr="00743512" w:rsidDel="004562CB" w:rsidRDefault="00F04CFC" w:rsidP="004F5B47">
            <w:pPr>
              <w:rPr>
                <w:rFonts w:ascii="Arial Narrow" w:hAnsi="Arial Narrow"/>
                <w:b/>
                <w:sz w:val="20"/>
                <w:szCs w:val="20"/>
              </w:rPr>
            </w:pPr>
            <w:r w:rsidRPr="00743512">
              <w:rPr>
                <w:rFonts w:ascii="Arial Narrow" w:hAnsi="Arial Narrow"/>
                <w:b/>
                <w:sz w:val="20"/>
                <w:szCs w:val="20"/>
              </w:rPr>
              <w:t>Restriction Summary [New 2] / Treatment of Concept [New 2A]: Authority Required</w:t>
            </w:r>
          </w:p>
        </w:tc>
      </w:tr>
      <w:tr w:rsidR="008D1EB1" w:rsidRPr="00743512" w14:paraId="2FC12DFC" w14:textId="77777777" w:rsidTr="004F5B47">
        <w:tblPrEx>
          <w:tblCellMar>
            <w:top w:w="15" w:type="dxa"/>
            <w:left w:w="15" w:type="dxa"/>
            <w:bottom w:w="15" w:type="dxa"/>
            <w:right w:w="15" w:type="dxa"/>
          </w:tblCellMar>
          <w:tblLook w:val="04A0" w:firstRow="1" w:lastRow="0" w:firstColumn="1" w:lastColumn="0" w:noHBand="0" w:noVBand="1"/>
        </w:tblPrEx>
        <w:tc>
          <w:tcPr>
            <w:tcW w:w="1075" w:type="dxa"/>
            <w:vMerge w:val="restart"/>
          </w:tcPr>
          <w:p w14:paraId="3E7DAE8D" w14:textId="4AF48753" w:rsidR="008D1EB1" w:rsidRPr="00743512" w:rsidRDefault="008D1EB1" w:rsidP="008D1EB1">
            <w:pPr>
              <w:rPr>
                <w:rFonts w:ascii="Arial Narrow" w:hAnsi="Arial Narrow"/>
                <w:b/>
                <w:bCs/>
                <w:color w:val="333333"/>
                <w:sz w:val="20"/>
                <w:szCs w:val="20"/>
              </w:rPr>
            </w:pPr>
          </w:p>
        </w:tc>
        <w:tc>
          <w:tcPr>
            <w:tcW w:w="8040" w:type="dxa"/>
            <w:gridSpan w:val="6"/>
            <w:vAlign w:val="center"/>
          </w:tcPr>
          <w:p w14:paraId="769E3E19" w14:textId="5F748F4A" w:rsidR="008D1EB1" w:rsidRPr="00743512" w:rsidRDefault="008D1EB1" w:rsidP="008D1EB1">
            <w:pPr>
              <w:rPr>
                <w:rFonts w:ascii="Arial Narrow" w:hAnsi="Arial Narrow"/>
                <w:b/>
                <w:bCs/>
                <w:color w:val="333333"/>
                <w:sz w:val="20"/>
                <w:szCs w:val="20"/>
              </w:rPr>
            </w:pPr>
            <w:r w:rsidRPr="00743512">
              <w:rPr>
                <w:rFonts w:ascii="Arial Narrow" w:hAnsi="Arial Narrow"/>
                <w:b/>
                <w:sz w:val="20"/>
                <w:szCs w:val="20"/>
              </w:rPr>
              <w:t xml:space="preserve">Category / Program: </w:t>
            </w:r>
            <w:r w:rsidRPr="00743512">
              <w:rPr>
                <w:rFonts w:ascii="Arial Narrow" w:hAnsi="Arial Narrow"/>
                <w:sz w:val="20"/>
                <w:szCs w:val="20"/>
              </w:rPr>
              <w:t>GENERAL – General Schedule (Code GE)</w:t>
            </w:r>
          </w:p>
        </w:tc>
      </w:tr>
      <w:tr w:rsidR="008D1EB1" w:rsidRPr="00743512" w14:paraId="36552C33" w14:textId="77777777" w:rsidTr="004F5B47">
        <w:tblPrEx>
          <w:tblCellMar>
            <w:top w:w="15" w:type="dxa"/>
            <w:left w:w="15" w:type="dxa"/>
            <w:bottom w:w="15" w:type="dxa"/>
            <w:right w:w="15" w:type="dxa"/>
          </w:tblCellMar>
          <w:tblLook w:val="04A0" w:firstRow="1" w:lastRow="0" w:firstColumn="1" w:lastColumn="0" w:noHBand="0" w:noVBand="1"/>
        </w:tblPrEx>
        <w:tc>
          <w:tcPr>
            <w:tcW w:w="1075" w:type="dxa"/>
            <w:vMerge/>
          </w:tcPr>
          <w:p w14:paraId="0D52E05E" w14:textId="77777777" w:rsidR="008D1EB1" w:rsidRPr="00743512" w:rsidRDefault="008D1EB1" w:rsidP="008D1EB1">
            <w:pPr>
              <w:rPr>
                <w:rFonts w:ascii="Arial Narrow" w:hAnsi="Arial Narrow"/>
                <w:b/>
                <w:bCs/>
                <w:color w:val="333333"/>
                <w:sz w:val="20"/>
                <w:szCs w:val="20"/>
              </w:rPr>
            </w:pPr>
          </w:p>
        </w:tc>
        <w:tc>
          <w:tcPr>
            <w:tcW w:w="8040" w:type="dxa"/>
            <w:gridSpan w:val="6"/>
            <w:vAlign w:val="center"/>
          </w:tcPr>
          <w:p w14:paraId="3F763ED4" w14:textId="15A9FD5A" w:rsidR="008D1EB1" w:rsidRPr="00743512" w:rsidRDefault="008D1EB1" w:rsidP="008D1EB1">
            <w:pPr>
              <w:rPr>
                <w:rFonts w:ascii="Arial Narrow" w:hAnsi="Arial Narrow"/>
                <w:b/>
                <w:bCs/>
                <w:color w:val="333333"/>
                <w:sz w:val="20"/>
                <w:szCs w:val="20"/>
              </w:rPr>
            </w:pPr>
            <w:r w:rsidRPr="00743512">
              <w:rPr>
                <w:rFonts w:ascii="Arial Narrow" w:hAnsi="Arial Narrow"/>
                <w:b/>
                <w:sz w:val="20"/>
                <w:szCs w:val="20"/>
              </w:rPr>
              <w:t xml:space="preserve">Restriction type: </w:t>
            </w:r>
            <w:r w:rsidRPr="00743512">
              <w:rPr>
                <w:rFonts w:ascii="Arial Narrow" w:eastAsia="Calibri" w:hAnsi="Arial Narrow"/>
                <w:sz w:val="20"/>
                <w:szCs w:val="20"/>
              </w:rPr>
              <w:fldChar w:fldCharType="begin">
                <w:ffData>
                  <w:name w:val="Check3"/>
                  <w:enabled/>
                  <w:calcOnExit w:val="0"/>
                  <w:checkBox>
                    <w:sizeAuto/>
                    <w:default w:val="1"/>
                  </w:checkBox>
                </w:ffData>
              </w:fldChar>
            </w:r>
            <w:r w:rsidRPr="00743512">
              <w:rPr>
                <w:rFonts w:ascii="Arial Narrow" w:eastAsia="Calibri" w:hAnsi="Arial Narrow"/>
                <w:sz w:val="20"/>
                <w:szCs w:val="20"/>
              </w:rPr>
              <w:instrText xml:space="preserve"> FORMCHECKBOX </w:instrText>
            </w:r>
            <w:r w:rsidR="00D2565D">
              <w:rPr>
                <w:rFonts w:ascii="Arial Narrow" w:eastAsia="Calibri" w:hAnsi="Arial Narrow"/>
                <w:sz w:val="20"/>
                <w:szCs w:val="20"/>
              </w:rPr>
            </w:r>
            <w:r w:rsidR="00D2565D">
              <w:rPr>
                <w:rFonts w:ascii="Arial Narrow" w:eastAsia="Calibri" w:hAnsi="Arial Narrow"/>
                <w:sz w:val="20"/>
                <w:szCs w:val="20"/>
              </w:rPr>
              <w:fldChar w:fldCharType="separate"/>
            </w:r>
            <w:r w:rsidRPr="00743512">
              <w:rPr>
                <w:rFonts w:ascii="Arial Narrow" w:eastAsia="Calibri" w:hAnsi="Arial Narrow"/>
                <w:sz w:val="20"/>
                <w:szCs w:val="20"/>
              </w:rPr>
              <w:fldChar w:fldCharType="end"/>
            </w:r>
            <w:r w:rsidRPr="00743512">
              <w:rPr>
                <w:rFonts w:ascii="Arial Narrow" w:eastAsia="Calibri" w:hAnsi="Arial Narrow"/>
                <w:sz w:val="20"/>
                <w:szCs w:val="20"/>
              </w:rPr>
              <w:t>Authority Required (telephone/online PBS Authorities system)</w:t>
            </w:r>
          </w:p>
        </w:tc>
      </w:tr>
      <w:tr w:rsidR="008D1EB1" w:rsidRPr="00743512" w14:paraId="0B3D2CDA" w14:textId="77777777" w:rsidTr="004F5B47">
        <w:tblPrEx>
          <w:tblCellMar>
            <w:top w:w="15" w:type="dxa"/>
            <w:left w:w="15" w:type="dxa"/>
            <w:bottom w:w="15" w:type="dxa"/>
            <w:right w:w="15" w:type="dxa"/>
          </w:tblCellMar>
          <w:tblLook w:val="04A0" w:firstRow="1" w:lastRow="0" w:firstColumn="1" w:lastColumn="0" w:noHBand="0" w:noVBand="1"/>
        </w:tblPrEx>
        <w:tc>
          <w:tcPr>
            <w:tcW w:w="1075" w:type="dxa"/>
            <w:vMerge/>
          </w:tcPr>
          <w:p w14:paraId="24B72F89" w14:textId="77777777" w:rsidR="008D1EB1" w:rsidRPr="00743512" w:rsidRDefault="008D1EB1" w:rsidP="008D1EB1">
            <w:pPr>
              <w:rPr>
                <w:rFonts w:ascii="Arial Narrow" w:hAnsi="Arial Narrow"/>
                <w:b/>
                <w:bCs/>
                <w:color w:val="333333"/>
                <w:sz w:val="20"/>
                <w:szCs w:val="20"/>
              </w:rPr>
            </w:pPr>
          </w:p>
        </w:tc>
        <w:tc>
          <w:tcPr>
            <w:tcW w:w="8040" w:type="dxa"/>
            <w:gridSpan w:val="6"/>
            <w:vAlign w:val="center"/>
          </w:tcPr>
          <w:p w14:paraId="22A76793" w14:textId="356915A7" w:rsidR="008D1EB1" w:rsidRPr="00743512" w:rsidRDefault="008D1EB1" w:rsidP="008D1EB1">
            <w:pPr>
              <w:rPr>
                <w:rFonts w:ascii="Arial Narrow" w:hAnsi="Arial Narrow"/>
                <w:b/>
                <w:bCs/>
                <w:color w:val="333333"/>
                <w:sz w:val="20"/>
                <w:szCs w:val="20"/>
              </w:rPr>
            </w:pPr>
            <w:r w:rsidRPr="00743512">
              <w:rPr>
                <w:rFonts w:ascii="Arial Narrow" w:hAnsi="Arial Narrow"/>
                <w:b/>
                <w:sz w:val="20"/>
                <w:szCs w:val="20"/>
              </w:rPr>
              <w:t xml:space="preserve">Prescriber type: </w:t>
            </w:r>
            <w:r w:rsidRPr="00743512">
              <w:rPr>
                <w:rFonts w:ascii="Arial Narrow" w:hAnsi="Arial Narrow"/>
                <w:sz w:val="20"/>
                <w:szCs w:val="20"/>
              </w:rPr>
              <w:fldChar w:fldCharType="begin">
                <w:ffData>
                  <w:name w:val=""/>
                  <w:enabled/>
                  <w:calcOnExit w:val="0"/>
                  <w:checkBox>
                    <w:sizeAuto/>
                    <w:default w:val="1"/>
                  </w:checkBox>
                </w:ffData>
              </w:fldChar>
            </w:r>
            <w:r w:rsidRPr="00743512">
              <w:rPr>
                <w:rFonts w:ascii="Arial Narrow" w:hAnsi="Arial Narrow"/>
                <w:sz w:val="20"/>
                <w:szCs w:val="20"/>
              </w:rPr>
              <w:instrText xml:space="preserve"> FORMCHECKBOX </w:instrText>
            </w:r>
            <w:r w:rsidR="00D2565D">
              <w:rPr>
                <w:rFonts w:ascii="Arial Narrow" w:hAnsi="Arial Narrow"/>
                <w:sz w:val="20"/>
                <w:szCs w:val="20"/>
              </w:rPr>
            </w:r>
            <w:r w:rsidR="00D2565D">
              <w:rPr>
                <w:rFonts w:ascii="Arial Narrow" w:hAnsi="Arial Narrow"/>
                <w:sz w:val="20"/>
                <w:szCs w:val="20"/>
              </w:rPr>
              <w:fldChar w:fldCharType="separate"/>
            </w:r>
            <w:r w:rsidRPr="00743512">
              <w:rPr>
                <w:rFonts w:ascii="Arial Narrow" w:hAnsi="Arial Narrow"/>
                <w:sz w:val="20"/>
                <w:szCs w:val="20"/>
              </w:rPr>
              <w:fldChar w:fldCharType="end"/>
            </w:r>
            <w:r w:rsidRPr="00743512">
              <w:rPr>
                <w:rFonts w:ascii="Arial Narrow" w:hAnsi="Arial Narrow"/>
                <w:sz w:val="20"/>
                <w:szCs w:val="20"/>
              </w:rPr>
              <w:t>Medical Practitioners</w:t>
            </w:r>
          </w:p>
        </w:tc>
      </w:tr>
      <w:tr w:rsidR="00F04CFC" w:rsidRPr="00743512" w14:paraId="715FC4E5"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A63F3CD" w14:textId="77777777" w:rsidR="00F04CFC" w:rsidRPr="00743512" w:rsidRDefault="00F04CFC" w:rsidP="004F5B47">
            <w:pPr>
              <w:rPr>
                <w:rFonts w:ascii="Arial Narrow" w:hAnsi="Arial Narrow"/>
                <w:b/>
                <w:bCs/>
                <w:color w:val="333333"/>
                <w:sz w:val="20"/>
                <w:szCs w:val="20"/>
              </w:rPr>
            </w:pPr>
          </w:p>
        </w:tc>
        <w:tc>
          <w:tcPr>
            <w:tcW w:w="8040" w:type="dxa"/>
            <w:gridSpan w:val="6"/>
            <w:vAlign w:val="center"/>
          </w:tcPr>
          <w:p w14:paraId="778CD8A2" w14:textId="77777777" w:rsidR="00F04CFC" w:rsidRPr="00743512"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Indication:</w:t>
            </w:r>
            <w:r w:rsidRPr="00743512">
              <w:rPr>
                <w:rFonts w:ascii="Arial Narrow" w:hAnsi="Arial Narrow"/>
                <w:color w:val="333333"/>
                <w:sz w:val="20"/>
                <w:szCs w:val="20"/>
              </w:rPr>
              <w:t xml:space="preserve"> Adjuvant treatment of early stage breast cancer</w:t>
            </w:r>
          </w:p>
        </w:tc>
      </w:tr>
      <w:tr w:rsidR="00F04CFC" w:rsidRPr="00743512" w14:paraId="6A62A073"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21183C0"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74F80848"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Treatment Phase:</w:t>
            </w:r>
            <w:r w:rsidRPr="00743512">
              <w:rPr>
                <w:rFonts w:ascii="Arial Narrow" w:hAnsi="Arial Narrow"/>
                <w:color w:val="333333"/>
                <w:sz w:val="20"/>
                <w:szCs w:val="20"/>
              </w:rPr>
              <w:t xml:space="preserve"> Continuing treatment</w:t>
            </w:r>
          </w:p>
        </w:tc>
      </w:tr>
      <w:tr w:rsidR="00F04CFC" w:rsidRPr="00743512" w14:paraId="6FBF1D42"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64B25B14" w14:textId="77777777" w:rsidR="00F04CFC" w:rsidRPr="00743512" w:rsidRDefault="00F04CFC" w:rsidP="004F5B47">
            <w:pPr>
              <w:rPr>
                <w:rFonts w:ascii="Arial Narrow" w:hAnsi="Arial Narrow"/>
                <w:b/>
                <w:bCs/>
                <w:color w:val="333333"/>
                <w:sz w:val="20"/>
                <w:szCs w:val="20"/>
              </w:rPr>
            </w:pPr>
          </w:p>
        </w:tc>
        <w:tc>
          <w:tcPr>
            <w:tcW w:w="8040" w:type="dxa"/>
            <w:gridSpan w:val="6"/>
            <w:vAlign w:val="center"/>
            <w:hideMark/>
          </w:tcPr>
          <w:p w14:paraId="295CFF69" w14:textId="77777777" w:rsidR="00F04CFC" w:rsidRPr="00743512" w:rsidRDefault="00F04CFC" w:rsidP="004F5B47">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F04CFC" w:rsidRPr="00743512" w14:paraId="6CD64D7F"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11D25D13" w14:textId="21F86674" w:rsidR="00F04CFC" w:rsidRPr="00743512" w:rsidRDefault="00F04CFC" w:rsidP="004F5B47">
            <w:pPr>
              <w:rPr>
                <w:rFonts w:ascii="Arial Narrow" w:hAnsi="Arial Narrow"/>
                <w:color w:val="333333"/>
                <w:sz w:val="20"/>
                <w:szCs w:val="20"/>
              </w:rPr>
            </w:pPr>
          </w:p>
        </w:tc>
        <w:tc>
          <w:tcPr>
            <w:tcW w:w="8040" w:type="dxa"/>
            <w:gridSpan w:val="6"/>
            <w:vAlign w:val="center"/>
            <w:hideMark/>
          </w:tcPr>
          <w:p w14:paraId="4E494B30" w14:textId="77777777" w:rsidR="00F04CFC" w:rsidRPr="00743512" w:rsidRDefault="00F04CFC" w:rsidP="004F5B47">
            <w:pPr>
              <w:rPr>
                <w:rFonts w:ascii="Arial Narrow" w:hAnsi="Arial Narrow"/>
                <w:color w:val="333333"/>
                <w:sz w:val="20"/>
                <w:szCs w:val="20"/>
              </w:rPr>
            </w:pPr>
            <w:r w:rsidRPr="00743512">
              <w:rPr>
                <w:rFonts w:ascii="Arial Narrow" w:hAnsi="Arial Narrow"/>
                <w:color w:val="333333"/>
                <w:sz w:val="20"/>
                <w:szCs w:val="20"/>
              </w:rPr>
              <w:t xml:space="preserve">Patient must have received </w:t>
            </w:r>
            <w:r w:rsidRPr="00743512">
              <w:rPr>
                <w:rFonts w:ascii="Arial Narrow" w:hAnsi="Arial Narrow"/>
                <w:strike/>
                <w:color w:val="333333"/>
                <w:sz w:val="20"/>
                <w:szCs w:val="20"/>
              </w:rPr>
              <w:t>previous</w:t>
            </w:r>
            <w:r w:rsidRPr="00743512">
              <w:rPr>
                <w:rFonts w:ascii="Arial Narrow" w:hAnsi="Arial Narrow"/>
                <w:color w:val="333333"/>
                <w:sz w:val="20"/>
                <w:szCs w:val="20"/>
              </w:rPr>
              <w:t xml:space="preserve"> PBS-subsidised treatment with this drug as adjuvant therapy for this condition</w:t>
            </w:r>
          </w:p>
        </w:tc>
      </w:tr>
      <w:tr w:rsidR="00F04CFC" w:rsidRPr="00743512" w14:paraId="7ABD7FA6"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7467F1E7" w14:textId="77777777" w:rsidR="00F04CFC" w:rsidRPr="00743512" w:rsidRDefault="00F04CFC" w:rsidP="004F5B47">
            <w:pPr>
              <w:rPr>
                <w:rFonts w:ascii="Arial Narrow" w:hAnsi="Arial Narrow"/>
                <w:b/>
                <w:bCs/>
                <w:color w:val="333333"/>
                <w:sz w:val="20"/>
                <w:szCs w:val="20"/>
              </w:rPr>
            </w:pPr>
          </w:p>
        </w:tc>
        <w:tc>
          <w:tcPr>
            <w:tcW w:w="8040" w:type="dxa"/>
            <w:gridSpan w:val="6"/>
            <w:vAlign w:val="center"/>
          </w:tcPr>
          <w:p w14:paraId="52B812FE" w14:textId="7CC5EAA6" w:rsidR="00F04CFC" w:rsidRPr="00743512" w:rsidRDefault="00F04CFC" w:rsidP="004F5B47">
            <w:pPr>
              <w:rPr>
                <w:rFonts w:ascii="Arial Narrow" w:hAnsi="Arial Narrow"/>
                <w:b/>
                <w:bCs/>
                <w:color w:val="333333"/>
                <w:sz w:val="20"/>
                <w:szCs w:val="20"/>
              </w:rPr>
            </w:pPr>
            <w:r w:rsidRPr="00743512">
              <w:rPr>
                <w:rFonts w:ascii="Arial Narrow" w:hAnsi="Arial Narrow"/>
                <w:b/>
                <w:bCs/>
                <w:color w:val="333333"/>
                <w:sz w:val="20"/>
                <w:szCs w:val="20"/>
              </w:rPr>
              <w:t xml:space="preserve">AND </w:t>
            </w:r>
          </w:p>
        </w:tc>
      </w:tr>
      <w:tr w:rsidR="008D1EB1" w:rsidRPr="00743512" w14:paraId="4A666764"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2D6FA4A" w14:textId="77777777" w:rsidR="008D1EB1" w:rsidRPr="00743512" w:rsidRDefault="008D1EB1" w:rsidP="008D1EB1">
            <w:pPr>
              <w:rPr>
                <w:rFonts w:ascii="Arial Narrow" w:hAnsi="Arial Narrow"/>
                <w:b/>
                <w:bCs/>
                <w:color w:val="333333"/>
                <w:sz w:val="20"/>
                <w:szCs w:val="20"/>
              </w:rPr>
            </w:pPr>
          </w:p>
        </w:tc>
        <w:tc>
          <w:tcPr>
            <w:tcW w:w="8040" w:type="dxa"/>
            <w:gridSpan w:val="6"/>
            <w:vAlign w:val="center"/>
          </w:tcPr>
          <w:p w14:paraId="1C4CD3CF" w14:textId="4FC7D34C" w:rsidR="008D1EB1" w:rsidRPr="00743512" w:rsidRDefault="008D1EB1" w:rsidP="008D1EB1">
            <w:pPr>
              <w:rPr>
                <w:rFonts w:ascii="Arial Narrow" w:hAnsi="Arial Narrow"/>
                <w:b/>
                <w:bCs/>
                <w:color w:val="333333"/>
                <w:sz w:val="20"/>
                <w:szCs w:val="20"/>
              </w:rPr>
            </w:pPr>
            <w:r w:rsidRPr="00743512">
              <w:rPr>
                <w:rFonts w:ascii="Arial Narrow" w:hAnsi="Arial Narrow"/>
                <w:b/>
                <w:bCs/>
                <w:color w:val="333333"/>
                <w:sz w:val="20"/>
                <w:szCs w:val="20"/>
              </w:rPr>
              <w:t>Clinical criteria:</w:t>
            </w:r>
          </w:p>
        </w:tc>
      </w:tr>
      <w:tr w:rsidR="008D1EB1" w:rsidRPr="00743512" w14:paraId="103786DE"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5995433" w14:textId="517F3347" w:rsidR="008D1EB1" w:rsidRPr="00743512" w:rsidRDefault="008D1EB1" w:rsidP="008D1EB1">
            <w:pPr>
              <w:rPr>
                <w:rFonts w:ascii="Arial Narrow" w:hAnsi="Arial Narrow"/>
                <w:color w:val="333333"/>
                <w:sz w:val="20"/>
                <w:szCs w:val="20"/>
              </w:rPr>
            </w:pPr>
          </w:p>
        </w:tc>
        <w:tc>
          <w:tcPr>
            <w:tcW w:w="8040" w:type="dxa"/>
            <w:gridSpan w:val="6"/>
            <w:vAlign w:val="center"/>
          </w:tcPr>
          <w:p w14:paraId="763FFF71" w14:textId="23276724" w:rsidR="008D1EB1" w:rsidRPr="00743512" w:rsidRDefault="008D1EB1" w:rsidP="008D1EB1">
            <w:pPr>
              <w:rPr>
                <w:rFonts w:ascii="Arial Narrow" w:hAnsi="Arial Narrow"/>
                <w:color w:val="333333"/>
                <w:sz w:val="20"/>
                <w:szCs w:val="20"/>
              </w:rPr>
            </w:pPr>
            <w:r w:rsidRPr="00743512">
              <w:rPr>
                <w:rFonts w:ascii="Arial Narrow" w:hAnsi="Arial Narrow"/>
                <w:color w:val="333333"/>
                <w:sz w:val="20"/>
                <w:szCs w:val="20"/>
              </w:rPr>
              <w:t>Patient must not have developed disease recurrence while receiving treatment with this drug for this condition</w:t>
            </w:r>
          </w:p>
        </w:tc>
      </w:tr>
      <w:tr w:rsidR="008D1EB1" w:rsidRPr="00743512" w14:paraId="220FA9F1"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3D3DAD05" w14:textId="77777777" w:rsidR="008D1EB1" w:rsidRPr="00743512" w:rsidRDefault="008D1EB1" w:rsidP="008D1EB1">
            <w:pPr>
              <w:rPr>
                <w:rFonts w:ascii="Arial Narrow" w:hAnsi="Arial Narrow"/>
                <w:b/>
                <w:bCs/>
                <w:color w:val="333333"/>
                <w:sz w:val="20"/>
                <w:szCs w:val="20"/>
              </w:rPr>
            </w:pPr>
          </w:p>
        </w:tc>
        <w:tc>
          <w:tcPr>
            <w:tcW w:w="8040" w:type="dxa"/>
            <w:gridSpan w:val="6"/>
            <w:vAlign w:val="center"/>
            <w:hideMark/>
          </w:tcPr>
          <w:p w14:paraId="02235F67" w14:textId="77777777" w:rsidR="008D1EB1" w:rsidRPr="00743512" w:rsidRDefault="008D1EB1" w:rsidP="008D1EB1">
            <w:pPr>
              <w:rPr>
                <w:rFonts w:ascii="Arial Narrow" w:hAnsi="Arial Narrow"/>
                <w:color w:val="333333"/>
                <w:sz w:val="20"/>
                <w:szCs w:val="20"/>
              </w:rPr>
            </w:pPr>
            <w:r w:rsidRPr="00743512">
              <w:rPr>
                <w:rFonts w:ascii="Arial Narrow" w:hAnsi="Arial Narrow"/>
                <w:b/>
                <w:bCs/>
                <w:color w:val="333333"/>
                <w:sz w:val="20"/>
                <w:szCs w:val="20"/>
              </w:rPr>
              <w:t>AND</w:t>
            </w:r>
          </w:p>
        </w:tc>
      </w:tr>
      <w:tr w:rsidR="008D1EB1" w:rsidRPr="00743512" w14:paraId="6760C451"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DF74CE2" w14:textId="77777777" w:rsidR="008D1EB1" w:rsidRPr="00743512" w:rsidRDefault="008D1EB1" w:rsidP="008D1EB1">
            <w:pPr>
              <w:rPr>
                <w:rFonts w:ascii="Arial Narrow" w:hAnsi="Arial Narrow"/>
                <w:b/>
                <w:bCs/>
                <w:color w:val="333333"/>
                <w:sz w:val="20"/>
                <w:szCs w:val="20"/>
              </w:rPr>
            </w:pPr>
          </w:p>
        </w:tc>
        <w:tc>
          <w:tcPr>
            <w:tcW w:w="8040" w:type="dxa"/>
            <w:gridSpan w:val="6"/>
            <w:vAlign w:val="center"/>
            <w:hideMark/>
          </w:tcPr>
          <w:p w14:paraId="234D4BC7" w14:textId="77777777" w:rsidR="008D1EB1" w:rsidRPr="00743512" w:rsidRDefault="008D1EB1" w:rsidP="008D1EB1">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8D1EB1" w:rsidRPr="00743512" w14:paraId="4B601A3B"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06584C05" w14:textId="17DEFB0B" w:rsidR="008D1EB1" w:rsidRPr="00743512" w:rsidRDefault="008D1EB1" w:rsidP="008D1EB1">
            <w:pPr>
              <w:rPr>
                <w:rFonts w:ascii="Arial Narrow" w:hAnsi="Arial Narrow"/>
                <w:color w:val="333333"/>
                <w:sz w:val="20"/>
                <w:szCs w:val="20"/>
              </w:rPr>
            </w:pPr>
          </w:p>
        </w:tc>
        <w:tc>
          <w:tcPr>
            <w:tcW w:w="8040" w:type="dxa"/>
            <w:gridSpan w:val="6"/>
            <w:vAlign w:val="center"/>
            <w:hideMark/>
          </w:tcPr>
          <w:p w14:paraId="04690136" w14:textId="437C830C" w:rsidR="008D1EB1" w:rsidRPr="00743512" w:rsidRDefault="008D1EB1" w:rsidP="008D1EB1">
            <w:pPr>
              <w:rPr>
                <w:rFonts w:ascii="Arial Narrow" w:hAnsi="Arial Narrow"/>
                <w:color w:val="333333"/>
                <w:sz w:val="20"/>
                <w:szCs w:val="20"/>
              </w:rPr>
            </w:pPr>
            <w:r w:rsidRPr="00743512">
              <w:rPr>
                <w:rFonts w:ascii="Arial Narrow" w:hAnsi="Arial Narrow"/>
                <w:color w:val="333333"/>
                <w:sz w:val="20"/>
                <w:szCs w:val="20"/>
              </w:rPr>
              <w:t>The treatment must not be a PBS-subsidised benefit beyond a total of 52 weeks of treatment (including any non-PBS subsidised supply)</w:t>
            </w:r>
          </w:p>
        </w:tc>
      </w:tr>
      <w:tr w:rsidR="00626EC3" w:rsidRPr="00743512" w14:paraId="10F850C0"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3CC9AE92" w14:textId="77777777" w:rsidR="00626EC3" w:rsidRPr="00743512" w:rsidRDefault="00626EC3" w:rsidP="00626EC3">
            <w:pPr>
              <w:rPr>
                <w:rFonts w:ascii="Arial Narrow" w:hAnsi="Arial Narrow"/>
                <w:color w:val="333333"/>
                <w:sz w:val="20"/>
                <w:szCs w:val="20"/>
              </w:rPr>
            </w:pPr>
          </w:p>
        </w:tc>
        <w:tc>
          <w:tcPr>
            <w:tcW w:w="8040" w:type="dxa"/>
            <w:gridSpan w:val="6"/>
            <w:vAlign w:val="center"/>
          </w:tcPr>
          <w:p w14:paraId="203AF5E7" w14:textId="362466EE" w:rsidR="00626EC3" w:rsidRPr="00743512" w:rsidRDefault="00626EC3" w:rsidP="00626EC3">
            <w:pPr>
              <w:rPr>
                <w:rFonts w:ascii="Arial Narrow" w:hAnsi="Arial Narrow"/>
                <w:color w:val="333333"/>
                <w:sz w:val="20"/>
                <w:szCs w:val="20"/>
              </w:rPr>
            </w:pPr>
            <w:r w:rsidRPr="00743512">
              <w:rPr>
                <w:rFonts w:ascii="Arial Narrow" w:hAnsi="Arial Narrow"/>
                <w:b/>
                <w:bCs/>
                <w:color w:val="333333"/>
                <w:sz w:val="20"/>
                <w:szCs w:val="20"/>
              </w:rPr>
              <w:t>AND</w:t>
            </w:r>
          </w:p>
        </w:tc>
      </w:tr>
      <w:tr w:rsidR="00626EC3" w:rsidRPr="00743512" w14:paraId="72DAECCA"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C78A275" w14:textId="77777777" w:rsidR="00626EC3" w:rsidRPr="00743512" w:rsidRDefault="00626EC3" w:rsidP="00626EC3">
            <w:pPr>
              <w:rPr>
                <w:rFonts w:ascii="Arial Narrow" w:hAnsi="Arial Narrow"/>
                <w:color w:val="333333"/>
                <w:sz w:val="20"/>
                <w:szCs w:val="20"/>
              </w:rPr>
            </w:pPr>
          </w:p>
        </w:tc>
        <w:tc>
          <w:tcPr>
            <w:tcW w:w="8040" w:type="dxa"/>
            <w:gridSpan w:val="6"/>
            <w:vAlign w:val="center"/>
          </w:tcPr>
          <w:p w14:paraId="4AFD4F60" w14:textId="73B63AEB" w:rsidR="00626EC3" w:rsidRPr="00743512" w:rsidRDefault="00626EC3" w:rsidP="00626EC3">
            <w:pPr>
              <w:rPr>
                <w:rFonts w:ascii="Arial Narrow" w:hAnsi="Arial Narrow"/>
                <w:color w:val="333333"/>
                <w:sz w:val="20"/>
                <w:szCs w:val="20"/>
              </w:rPr>
            </w:pPr>
            <w:r w:rsidRPr="00743512">
              <w:rPr>
                <w:rFonts w:ascii="Arial Narrow" w:hAnsi="Arial Narrow"/>
                <w:b/>
                <w:bCs/>
                <w:color w:val="333333"/>
                <w:sz w:val="20"/>
                <w:szCs w:val="20"/>
              </w:rPr>
              <w:t>Clinical criteria:</w:t>
            </w:r>
          </w:p>
        </w:tc>
      </w:tr>
      <w:tr w:rsidR="00626EC3" w:rsidRPr="00743512" w14:paraId="3DD22874"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538B10BB" w14:textId="60519D13" w:rsidR="00626EC3" w:rsidRPr="00743512" w:rsidRDefault="00626EC3" w:rsidP="00626EC3">
            <w:pPr>
              <w:rPr>
                <w:rFonts w:ascii="Arial Narrow" w:hAnsi="Arial Narrow"/>
                <w:color w:val="333333"/>
                <w:sz w:val="20"/>
                <w:szCs w:val="20"/>
              </w:rPr>
            </w:pPr>
          </w:p>
        </w:tc>
        <w:tc>
          <w:tcPr>
            <w:tcW w:w="8040" w:type="dxa"/>
            <w:gridSpan w:val="6"/>
            <w:vAlign w:val="center"/>
          </w:tcPr>
          <w:p w14:paraId="190DB47F" w14:textId="31FEB636" w:rsidR="00626EC3" w:rsidRPr="00743512" w:rsidRDefault="00626EC3" w:rsidP="00626EC3">
            <w:pPr>
              <w:rPr>
                <w:rFonts w:ascii="Arial Narrow" w:hAnsi="Arial Narrow"/>
                <w:color w:val="333333"/>
                <w:sz w:val="20"/>
                <w:szCs w:val="20"/>
              </w:rPr>
            </w:pPr>
            <w:r w:rsidRPr="00743512">
              <w:rPr>
                <w:rFonts w:ascii="Arial Narrow" w:hAnsi="Arial Narrow"/>
                <w:i/>
                <w:iCs/>
                <w:color w:val="333333"/>
                <w:sz w:val="20"/>
                <w:szCs w:val="20"/>
              </w:rPr>
              <w:t>The treatment must not be in combination with any of the following: (i) abemaciclib, (ii) pembrolizumab</w:t>
            </w:r>
          </w:p>
        </w:tc>
      </w:tr>
      <w:tr w:rsidR="008D1EB1" w:rsidRPr="00743512" w14:paraId="5EBB0F07" w14:textId="77777777" w:rsidTr="007B558B">
        <w:tblPrEx>
          <w:tblCellMar>
            <w:top w:w="15" w:type="dxa"/>
            <w:left w:w="15" w:type="dxa"/>
            <w:bottom w:w="15" w:type="dxa"/>
            <w:right w:w="15" w:type="dxa"/>
          </w:tblCellMar>
          <w:tblLook w:val="04A0" w:firstRow="1" w:lastRow="0" w:firstColumn="1" w:lastColumn="0" w:noHBand="0" w:noVBand="1"/>
        </w:tblPrEx>
        <w:tc>
          <w:tcPr>
            <w:tcW w:w="1075" w:type="dxa"/>
          </w:tcPr>
          <w:p w14:paraId="40DB2A51" w14:textId="77777777" w:rsidR="008D1EB1" w:rsidRPr="00743512" w:rsidRDefault="008D1EB1" w:rsidP="008D1EB1">
            <w:pPr>
              <w:rPr>
                <w:rFonts w:ascii="Arial Narrow" w:hAnsi="Arial Narrow"/>
                <w:b/>
                <w:bCs/>
                <w:color w:val="333333"/>
                <w:sz w:val="20"/>
                <w:szCs w:val="20"/>
              </w:rPr>
            </w:pPr>
          </w:p>
        </w:tc>
        <w:tc>
          <w:tcPr>
            <w:tcW w:w="8040" w:type="dxa"/>
            <w:gridSpan w:val="6"/>
            <w:vAlign w:val="center"/>
          </w:tcPr>
          <w:p w14:paraId="32F339F2" w14:textId="2905F691" w:rsidR="008D1EB1" w:rsidRPr="00743512" w:rsidRDefault="008D1EB1" w:rsidP="008D1EB1">
            <w:pPr>
              <w:rPr>
                <w:rFonts w:ascii="Arial Narrow" w:hAnsi="Arial Narrow"/>
                <w:strike/>
                <w:color w:val="333333"/>
                <w:sz w:val="20"/>
                <w:szCs w:val="20"/>
              </w:rPr>
            </w:pPr>
            <w:r w:rsidRPr="00743512">
              <w:rPr>
                <w:rFonts w:ascii="Arial Narrow" w:hAnsi="Arial Narrow"/>
                <w:b/>
                <w:bCs/>
                <w:strike/>
                <w:color w:val="333333"/>
                <w:sz w:val="20"/>
                <w:szCs w:val="20"/>
              </w:rPr>
              <w:t>Prescribing Instructions:</w:t>
            </w:r>
          </w:p>
          <w:p w14:paraId="3802CE8F" w14:textId="28C3F074" w:rsidR="008D1EB1" w:rsidRPr="00743512" w:rsidRDefault="008D1EB1" w:rsidP="008D1EB1">
            <w:pPr>
              <w:rPr>
                <w:rFonts w:ascii="Arial Narrow" w:hAnsi="Arial Narrow"/>
                <w:color w:val="333333"/>
                <w:sz w:val="20"/>
                <w:szCs w:val="20"/>
              </w:rPr>
            </w:pPr>
            <w:r w:rsidRPr="00743512">
              <w:rPr>
                <w:rFonts w:ascii="Arial Narrow" w:hAnsi="Arial Narrow"/>
                <w:strike/>
                <w:color w:val="333333"/>
                <w:sz w:val="20"/>
                <w:szCs w:val="20"/>
              </w:rPr>
              <w:t>Retain all pathology imaging and investigative test results in the patient’s medical records.</w:t>
            </w:r>
            <w:r w:rsidRPr="00743512">
              <w:rPr>
                <w:rFonts w:ascii="Arial Narrow" w:hAnsi="Arial Narrow"/>
                <w:color w:val="333333"/>
                <w:sz w:val="20"/>
                <w:szCs w:val="20"/>
              </w:rPr>
              <w:t xml:space="preserve"> </w:t>
            </w:r>
            <w:r w:rsidRPr="00743512">
              <w:rPr>
                <w:rFonts w:ascii="Arial Narrow" w:hAnsi="Arial Narrow"/>
                <w:strike/>
                <w:color w:val="333333"/>
                <w:sz w:val="20"/>
                <w:szCs w:val="20"/>
              </w:rPr>
              <w:t>Do not submit copies of these as part of the authority application.</w:t>
            </w:r>
          </w:p>
        </w:tc>
      </w:tr>
      <w:tr w:rsidR="008D1EB1" w:rsidRPr="00743512" w14:paraId="348E2AEC"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93C5988" w14:textId="3603D811" w:rsidR="008D1EB1" w:rsidRPr="00743512" w:rsidRDefault="008D1EB1" w:rsidP="008D1EB1">
            <w:pPr>
              <w:rPr>
                <w:rFonts w:ascii="Arial Narrow" w:hAnsi="Arial Narrow"/>
                <w:b/>
                <w:bCs/>
                <w:color w:val="333333"/>
                <w:sz w:val="20"/>
                <w:szCs w:val="20"/>
              </w:rPr>
            </w:pPr>
          </w:p>
        </w:tc>
        <w:tc>
          <w:tcPr>
            <w:tcW w:w="8040" w:type="dxa"/>
            <w:gridSpan w:val="6"/>
          </w:tcPr>
          <w:p w14:paraId="2B439604" w14:textId="77777777" w:rsidR="008D1EB1" w:rsidRPr="00743512" w:rsidRDefault="008D1EB1" w:rsidP="008D1EB1">
            <w:pPr>
              <w:rPr>
                <w:rFonts w:ascii="Arial Narrow" w:hAnsi="Arial Narrow"/>
                <w:b/>
                <w:bCs/>
                <w:color w:val="333333"/>
                <w:sz w:val="20"/>
                <w:szCs w:val="20"/>
              </w:rPr>
            </w:pPr>
            <w:r w:rsidRPr="00743512">
              <w:rPr>
                <w:rFonts w:ascii="Arial Narrow" w:hAnsi="Arial Narrow"/>
                <w:b/>
                <w:bCs/>
                <w:color w:val="333333"/>
                <w:sz w:val="20"/>
                <w:szCs w:val="20"/>
              </w:rPr>
              <w:t xml:space="preserve">Administrative advice: </w:t>
            </w:r>
          </w:p>
          <w:p w14:paraId="5ADEE899" w14:textId="77777777" w:rsidR="008D1EB1" w:rsidRPr="00743512" w:rsidRDefault="008D1EB1" w:rsidP="008D1EB1">
            <w:pPr>
              <w:rPr>
                <w:rFonts w:ascii="Arial Narrow" w:hAnsi="Arial Narrow"/>
                <w:b/>
                <w:bCs/>
                <w:color w:val="333333"/>
                <w:sz w:val="20"/>
                <w:szCs w:val="20"/>
              </w:rPr>
            </w:pPr>
            <w:r w:rsidRPr="00743512">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8D1EB1" w:rsidRPr="00743512" w14:paraId="596AE320"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4D116471" w14:textId="4C84C8CF" w:rsidR="008D1EB1" w:rsidRPr="00743512" w:rsidRDefault="008D1EB1" w:rsidP="008D1EB1">
            <w:pPr>
              <w:rPr>
                <w:rFonts w:ascii="Arial Narrow" w:hAnsi="Arial Narrow"/>
                <w:color w:val="333333"/>
                <w:sz w:val="20"/>
                <w:szCs w:val="20"/>
              </w:rPr>
            </w:pPr>
          </w:p>
        </w:tc>
        <w:tc>
          <w:tcPr>
            <w:tcW w:w="8040" w:type="dxa"/>
            <w:gridSpan w:val="6"/>
            <w:vAlign w:val="center"/>
          </w:tcPr>
          <w:p w14:paraId="2F47328C" w14:textId="77777777" w:rsidR="008D1EB1" w:rsidRPr="00743512" w:rsidRDefault="008D1EB1" w:rsidP="008D1EB1">
            <w:pPr>
              <w:rPr>
                <w:rFonts w:ascii="Arial Narrow" w:hAnsi="Arial Narrow"/>
                <w:b/>
                <w:bCs/>
                <w:color w:val="333333"/>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No increase in the maximum quantity or number of units may be authorised.</w:t>
            </w:r>
          </w:p>
        </w:tc>
      </w:tr>
      <w:tr w:rsidR="008D1EB1" w:rsidRPr="00743512" w14:paraId="4015C28E" w14:textId="77777777" w:rsidTr="004F5B47">
        <w:tblPrEx>
          <w:tblCellMar>
            <w:top w:w="15" w:type="dxa"/>
            <w:left w:w="15" w:type="dxa"/>
            <w:bottom w:w="15" w:type="dxa"/>
            <w:right w:w="15" w:type="dxa"/>
          </w:tblCellMar>
          <w:tblLook w:val="04A0" w:firstRow="1" w:lastRow="0" w:firstColumn="1" w:lastColumn="0" w:noHBand="0" w:noVBand="1"/>
        </w:tblPrEx>
        <w:tc>
          <w:tcPr>
            <w:tcW w:w="1075" w:type="dxa"/>
          </w:tcPr>
          <w:p w14:paraId="74981A4A" w14:textId="1D1895BA" w:rsidR="008D1EB1" w:rsidRPr="00743512" w:rsidRDefault="008D1EB1" w:rsidP="008D1EB1">
            <w:pPr>
              <w:rPr>
                <w:rFonts w:ascii="Arial Narrow" w:hAnsi="Arial Narrow"/>
                <w:color w:val="333333"/>
                <w:sz w:val="20"/>
                <w:szCs w:val="20"/>
              </w:rPr>
            </w:pPr>
          </w:p>
        </w:tc>
        <w:tc>
          <w:tcPr>
            <w:tcW w:w="8040" w:type="dxa"/>
            <w:gridSpan w:val="6"/>
            <w:vAlign w:val="center"/>
          </w:tcPr>
          <w:p w14:paraId="0A3576A8" w14:textId="77777777" w:rsidR="008D1EB1" w:rsidRPr="00743512" w:rsidRDefault="008D1EB1" w:rsidP="008D1EB1">
            <w:pPr>
              <w:rPr>
                <w:rFonts w:ascii="Arial Narrow" w:hAnsi="Arial Narrow"/>
                <w:b/>
                <w:bCs/>
                <w:color w:val="333333"/>
                <w:sz w:val="20"/>
                <w:szCs w:val="20"/>
              </w:rPr>
            </w:pPr>
            <w:r w:rsidRPr="00743512">
              <w:rPr>
                <w:rFonts w:ascii="Arial Narrow" w:hAnsi="Arial Narrow"/>
                <w:b/>
                <w:bCs/>
                <w:sz w:val="20"/>
                <w:szCs w:val="20"/>
              </w:rPr>
              <w:t xml:space="preserve">Administrative advice: </w:t>
            </w:r>
            <w:r w:rsidRPr="00743512">
              <w:rPr>
                <w:rFonts w:ascii="Arial Narrow" w:hAnsi="Arial Narrow"/>
                <w:sz w:val="20"/>
                <w:szCs w:val="20"/>
              </w:rPr>
              <w:t>No increase in the maximum number of repeats may be authorised.</w:t>
            </w:r>
          </w:p>
        </w:tc>
      </w:tr>
    </w:tbl>
    <w:p w14:paraId="10056BF7" w14:textId="5334C2F5" w:rsidR="005E12ED" w:rsidRDefault="008D1ECC" w:rsidP="00F32823">
      <w:pPr>
        <w:spacing w:before="120"/>
        <w:jc w:val="left"/>
        <w:rPr>
          <w:rFonts w:asciiTheme="minorHAnsi" w:hAnsiTheme="minorHAnsi"/>
          <w:bCs/>
          <w:snapToGrid w:val="0"/>
          <w:lang w:val="en-GB" w:eastAsia="en-US"/>
        </w:rPr>
      </w:pPr>
      <w:r w:rsidRPr="00743512">
        <w:rPr>
          <w:b/>
          <w:bCs/>
          <w:i/>
        </w:rPr>
        <w:t>This restriction may be subject to further review. Should there be any changes made to the restriction the Sponsor will be informed.</w:t>
      </w:r>
    </w:p>
    <w:p w14:paraId="3B0BAD0F" w14:textId="77777777" w:rsidR="005E12ED" w:rsidRPr="00CE4B8D" w:rsidRDefault="005E12ED" w:rsidP="005E12ED">
      <w:pPr>
        <w:pStyle w:val="2-SectionHeading"/>
      </w:pPr>
      <w:r w:rsidRPr="00CE4B8D">
        <w:t>Context for Decision</w:t>
      </w:r>
    </w:p>
    <w:p w14:paraId="49FAF97B" w14:textId="77777777" w:rsidR="005E12ED" w:rsidRPr="00CE4B8D" w:rsidRDefault="005E12ED" w:rsidP="005E12ED">
      <w:pPr>
        <w:spacing w:after="120"/>
        <w:ind w:left="720"/>
        <w:rPr>
          <w:rFonts w:asciiTheme="minorHAnsi" w:hAnsiTheme="minorHAnsi"/>
          <w:bCs/>
          <w:lang w:val="en-GB"/>
        </w:rPr>
      </w:pPr>
      <w:r w:rsidRPr="00CE4B8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C41C624" w14:textId="77777777" w:rsidR="005E12ED" w:rsidRPr="00CE4B8D" w:rsidRDefault="005E12ED" w:rsidP="005E12ED">
      <w:pPr>
        <w:pStyle w:val="2-SectionHeading"/>
      </w:pPr>
      <w:r w:rsidRPr="00CE4B8D">
        <w:t>Sponsor’s Comment</w:t>
      </w:r>
    </w:p>
    <w:p w14:paraId="403788C8" w14:textId="11538AEE" w:rsidR="007E0DF5" w:rsidRPr="00743512" w:rsidRDefault="005E12ED" w:rsidP="00E948C4">
      <w:pPr>
        <w:spacing w:after="120" w:line="276" w:lineRule="auto"/>
        <w:ind w:left="720"/>
        <w:rPr>
          <w:rFonts w:asciiTheme="minorHAnsi" w:hAnsiTheme="minorHAnsi"/>
          <w:bCs/>
          <w:snapToGrid w:val="0"/>
        </w:rPr>
      </w:pPr>
      <w:r w:rsidRPr="00CE4B8D">
        <w:rPr>
          <w:rFonts w:asciiTheme="minorHAnsi" w:eastAsiaTheme="minorHAnsi" w:hAnsiTheme="minorHAnsi"/>
          <w:bCs/>
          <w:szCs w:val="22"/>
          <w:lang w:eastAsia="en-US"/>
        </w:rPr>
        <w:t>The sponsor had no comment.</w:t>
      </w:r>
    </w:p>
    <w:sectPr w:rsidR="007E0DF5" w:rsidRPr="00743512" w:rsidSect="00251006">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ECD9" w14:textId="77777777" w:rsidR="00156A1D" w:rsidRDefault="00156A1D" w:rsidP="00124A51">
      <w:r>
        <w:separator/>
      </w:r>
    </w:p>
    <w:p w14:paraId="23CE0817" w14:textId="77777777" w:rsidR="00156A1D" w:rsidRDefault="00156A1D"/>
  </w:endnote>
  <w:endnote w:type="continuationSeparator" w:id="0">
    <w:p w14:paraId="0A75E50A" w14:textId="77777777" w:rsidR="00156A1D" w:rsidRDefault="00156A1D" w:rsidP="00124A51">
      <w:r>
        <w:continuationSeparator/>
      </w:r>
    </w:p>
    <w:p w14:paraId="67E06EAC" w14:textId="77777777" w:rsidR="00156A1D" w:rsidRDefault="00156A1D"/>
  </w:endnote>
  <w:endnote w:type="continuationNotice" w:id="1">
    <w:p w14:paraId="48C690F1" w14:textId="77777777" w:rsidR="00BC330C" w:rsidRDefault="00BC3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SemiLigh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0ED" w14:textId="77777777" w:rsidR="00DD2A63" w:rsidRDefault="00DD2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688" w14:textId="77777777" w:rsidR="00575AA1" w:rsidRDefault="00575AA1" w:rsidP="00753B29">
    <w:pPr>
      <w:pStyle w:val="Footer"/>
      <w:jc w:val="center"/>
    </w:pPr>
  </w:p>
  <w:p w14:paraId="4128D726" w14:textId="1CA7AF90" w:rsidR="00575AA1" w:rsidRPr="001074C6" w:rsidRDefault="00D2565D" w:rsidP="00753B29">
    <w:pPr>
      <w:pStyle w:val="Footer"/>
      <w:jc w:val="center"/>
      <w:rPr>
        <w:b/>
        <w:bCs/>
      </w:rPr>
    </w:pPr>
    <w:sdt>
      <w:sdtPr>
        <w:id w:val="1036156457"/>
        <w:docPartObj>
          <w:docPartGallery w:val="Page Numbers (Bottom of Page)"/>
          <w:docPartUnique/>
        </w:docPartObj>
      </w:sdtPr>
      <w:sdtEndPr>
        <w:rPr>
          <w:b/>
          <w:bCs/>
          <w:noProof/>
        </w:rPr>
      </w:sdtEndPr>
      <w:sdtContent>
        <w:r w:rsidR="00575AA1" w:rsidRPr="001074C6">
          <w:rPr>
            <w:b/>
            <w:bCs/>
          </w:rPr>
          <w:fldChar w:fldCharType="begin"/>
        </w:r>
        <w:r w:rsidR="00575AA1" w:rsidRPr="001074C6">
          <w:rPr>
            <w:b/>
            <w:bCs/>
          </w:rPr>
          <w:instrText xml:space="preserve"> PAGE   \* MERGEFORMAT </w:instrText>
        </w:r>
        <w:r w:rsidR="00575AA1" w:rsidRPr="001074C6">
          <w:rPr>
            <w:b/>
            <w:bCs/>
          </w:rPr>
          <w:fldChar w:fldCharType="separate"/>
        </w:r>
        <w:r w:rsidR="00684A5C" w:rsidRPr="001074C6">
          <w:rPr>
            <w:b/>
            <w:bCs/>
            <w:noProof/>
          </w:rPr>
          <w:t>i</w:t>
        </w:r>
        <w:r w:rsidR="00575AA1" w:rsidRPr="001074C6">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8681" w14:textId="77777777" w:rsidR="00DD2A63" w:rsidRDefault="00DD2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0AC0" w14:textId="77777777" w:rsidR="00156A1D" w:rsidRDefault="00156A1D">
      <w:r>
        <w:separator/>
      </w:r>
    </w:p>
  </w:footnote>
  <w:footnote w:type="continuationSeparator" w:id="0">
    <w:p w14:paraId="483B7663" w14:textId="77777777" w:rsidR="00156A1D" w:rsidRDefault="00156A1D" w:rsidP="00124A51">
      <w:r>
        <w:continuationSeparator/>
      </w:r>
    </w:p>
    <w:p w14:paraId="2C3984BD" w14:textId="77777777" w:rsidR="00156A1D" w:rsidRDefault="00156A1D"/>
  </w:footnote>
  <w:footnote w:type="continuationNotice" w:id="1">
    <w:p w14:paraId="3DEAEC0E" w14:textId="77777777" w:rsidR="00BC330C" w:rsidRDefault="00BC330C"/>
  </w:footnote>
  <w:footnote w:id="2">
    <w:p w14:paraId="4C5075AE" w14:textId="05B6D323" w:rsidR="00C46CE2" w:rsidRPr="007D45CC" w:rsidRDefault="00C46CE2" w:rsidP="00C46CE2">
      <w:pPr>
        <w:rPr>
          <w:rFonts w:asciiTheme="minorHAnsi" w:hAnsiTheme="minorHAnsi" w:cstheme="minorHAnsi"/>
          <w:sz w:val="20"/>
          <w:szCs w:val="20"/>
        </w:rPr>
      </w:pPr>
      <w:r w:rsidRPr="007D45CC">
        <w:rPr>
          <w:rStyle w:val="FootnoteReference"/>
          <w:rFonts w:asciiTheme="minorHAnsi" w:hAnsiTheme="minorHAnsi" w:cstheme="minorHAnsi"/>
          <w:sz w:val="20"/>
          <w:szCs w:val="20"/>
        </w:rPr>
        <w:footnoteRef/>
      </w:r>
      <w:r w:rsidRPr="007D45CC">
        <w:rPr>
          <w:rFonts w:asciiTheme="minorHAnsi" w:hAnsiTheme="minorHAnsi" w:cstheme="minorHAnsi"/>
          <w:sz w:val="20"/>
          <w:szCs w:val="20"/>
        </w:rPr>
        <w:t xml:space="preserve"> </w:t>
      </w:r>
      <w:r w:rsidR="00F14A61" w:rsidRPr="007D45CC">
        <w:rPr>
          <w:rFonts w:asciiTheme="minorHAnsi" w:hAnsiTheme="minorHAnsi" w:cstheme="minorHAnsi"/>
          <w:sz w:val="20"/>
          <w:szCs w:val="20"/>
        </w:rPr>
        <w:t xml:space="preserve">Australian Institute of </w:t>
      </w:r>
      <w:r w:rsidR="004B2406" w:rsidRPr="007D45CC">
        <w:rPr>
          <w:rFonts w:asciiTheme="minorHAnsi" w:hAnsiTheme="minorHAnsi" w:cstheme="minorHAnsi"/>
          <w:sz w:val="20"/>
          <w:szCs w:val="20"/>
        </w:rPr>
        <w:t>Health and</w:t>
      </w:r>
      <w:r w:rsidRPr="007D45CC">
        <w:rPr>
          <w:rFonts w:asciiTheme="minorHAnsi" w:hAnsiTheme="minorHAnsi" w:cstheme="minorHAnsi"/>
          <w:sz w:val="20"/>
          <w:szCs w:val="20"/>
        </w:rPr>
        <w:t xml:space="preserve"> Welfare. Cancer in Australia 2021. </w:t>
      </w:r>
      <w:r w:rsidR="004B2406" w:rsidRPr="007D45CC">
        <w:rPr>
          <w:rFonts w:asciiTheme="minorHAnsi" w:hAnsiTheme="minorHAnsi" w:cstheme="minorHAnsi"/>
          <w:sz w:val="20"/>
          <w:szCs w:val="20"/>
        </w:rPr>
        <w:t xml:space="preserve">2021. </w:t>
      </w:r>
      <w:r w:rsidRPr="007D45CC">
        <w:rPr>
          <w:rFonts w:asciiTheme="minorHAnsi" w:hAnsiTheme="minorHAnsi" w:cstheme="minorHAnsi"/>
          <w:sz w:val="20"/>
          <w:szCs w:val="20"/>
        </w:rPr>
        <w:t>Canberra, AIHW.</w:t>
      </w:r>
    </w:p>
  </w:footnote>
  <w:footnote w:id="3">
    <w:p w14:paraId="45BF7B9D" w14:textId="0EA5369A" w:rsidR="00C46CE2" w:rsidRDefault="00C46CE2" w:rsidP="00C46CE2">
      <w:r w:rsidRPr="007D45CC">
        <w:rPr>
          <w:rStyle w:val="FootnoteReference"/>
          <w:rFonts w:asciiTheme="minorHAnsi" w:hAnsiTheme="minorHAnsi" w:cstheme="minorHAnsi"/>
          <w:sz w:val="20"/>
          <w:szCs w:val="20"/>
        </w:rPr>
        <w:footnoteRef/>
      </w:r>
      <w:r w:rsidRPr="007D45CC">
        <w:rPr>
          <w:rFonts w:asciiTheme="minorHAnsi" w:hAnsiTheme="minorHAnsi" w:cstheme="minorHAnsi"/>
          <w:sz w:val="20"/>
          <w:szCs w:val="20"/>
        </w:rPr>
        <w:t xml:space="preserve"> </w:t>
      </w:r>
      <w:r w:rsidR="004B2406" w:rsidRPr="007D45CC">
        <w:rPr>
          <w:rFonts w:asciiTheme="minorHAnsi" w:hAnsiTheme="minorHAnsi" w:cstheme="minorHAnsi"/>
          <w:sz w:val="20"/>
          <w:szCs w:val="20"/>
        </w:rPr>
        <w:t xml:space="preserve">Pourzand A, Fakhree MB, </w:t>
      </w:r>
      <w:r w:rsidR="004B2406" w:rsidRPr="00702D0A">
        <w:rPr>
          <w:rFonts w:asciiTheme="minorHAnsi" w:hAnsiTheme="minorHAnsi" w:cstheme="minorHAnsi"/>
          <w:sz w:val="20"/>
          <w:szCs w:val="20"/>
        </w:rPr>
        <w:t>et al</w:t>
      </w:r>
      <w:r w:rsidR="004B2406" w:rsidRPr="007D45CC">
        <w:rPr>
          <w:rFonts w:asciiTheme="minorHAnsi" w:hAnsiTheme="minorHAnsi" w:cstheme="minorHAnsi"/>
          <w:sz w:val="20"/>
          <w:szCs w:val="20"/>
        </w:rPr>
        <w:t xml:space="preserve">. Hormone receptor status in breast cancer and its relation to age and other prognostic factors. </w:t>
      </w:r>
      <w:r w:rsidR="004B2406" w:rsidRPr="00702D0A">
        <w:rPr>
          <w:rFonts w:asciiTheme="minorHAnsi" w:hAnsiTheme="minorHAnsi" w:cstheme="minorHAnsi"/>
          <w:sz w:val="20"/>
          <w:szCs w:val="20"/>
        </w:rPr>
        <w:t>Breast Cancer (Auckl).</w:t>
      </w:r>
      <w:r w:rsidR="004B2406" w:rsidRPr="007D45CC">
        <w:rPr>
          <w:rFonts w:asciiTheme="minorHAnsi" w:hAnsiTheme="minorHAnsi" w:cstheme="minorHAnsi"/>
          <w:sz w:val="20"/>
          <w:szCs w:val="20"/>
        </w:rPr>
        <w:t xml:space="preserve"> 2011;5:87-92.</w:t>
      </w:r>
    </w:p>
  </w:footnote>
  <w:footnote w:id="4">
    <w:p w14:paraId="5DF602FC" w14:textId="05C23B93" w:rsidR="00C46CE2" w:rsidRPr="007D45CC" w:rsidRDefault="00C46CE2" w:rsidP="00C46CE2">
      <w:pPr>
        <w:pStyle w:val="FootnoteText"/>
        <w:rPr>
          <w:rFonts w:asciiTheme="minorHAnsi" w:hAnsiTheme="minorHAnsi" w:cstheme="minorHAnsi"/>
        </w:rPr>
      </w:pPr>
      <w:r w:rsidRPr="007D45CC">
        <w:rPr>
          <w:rStyle w:val="FootnoteReference"/>
          <w:rFonts w:asciiTheme="minorHAnsi" w:hAnsiTheme="minorHAnsi" w:cstheme="minorHAnsi"/>
        </w:rPr>
        <w:footnoteRef/>
      </w:r>
      <w:r w:rsidRPr="007D45CC">
        <w:rPr>
          <w:rFonts w:asciiTheme="minorHAnsi" w:hAnsiTheme="minorHAnsi" w:cstheme="minorHAnsi"/>
        </w:rPr>
        <w:t xml:space="preserve"> </w:t>
      </w:r>
      <w:r w:rsidR="004B2406" w:rsidRPr="007D45CC">
        <w:rPr>
          <w:rFonts w:asciiTheme="minorHAnsi" w:hAnsiTheme="minorHAnsi" w:cstheme="minorHAnsi"/>
        </w:rPr>
        <w:t xml:space="preserve">Diana A, Carlino F, </w:t>
      </w:r>
      <w:r w:rsidR="004B2406" w:rsidRPr="00702D0A">
        <w:rPr>
          <w:rFonts w:asciiTheme="minorHAnsi" w:hAnsiTheme="minorHAnsi" w:cstheme="minorHAnsi"/>
        </w:rPr>
        <w:t>et al</w:t>
      </w:r>
      <w:r w:rsidR="004B2406" w:rsidRPr="007D45CC">
        <w:rPr>
          <w:rFonts w:asciiTheme="minorHAnsi" w:hAnsiTheme="minorHAnsi" w:cstheme="minorHAnsi"/>
        </w:rPr>
        <w:t xml:space="preserve">. Early Triple Negative Breast Cancer: Conventional Treatment and Emerging Therapeutic Landscapes. </w:t>
      </w:r>
      <w:r w:rsidR="004B2406" w:rsidRPr="00702D0A">
        <w:rPr>
          <w:rFonts w:asciiTheme="minorHAnsi" w:hAnsiTheme="minorHAnsi" w:cstheme="minorHAnsi"/>
        </w:rPr>
        <w:t>Cancers (Basel)</w:t>
      </w:r>
      <w:r w:rsidR="004B2406" w:rsidRPr="007D45CC">
        <w:rPr>
          <w:rFonts w:asciiTheme="minorHAnsi" w:hAnsiTheme="minorHAnsi" w:cstheme="minorHAnsi"/>
        </w:rPr>
        <w:t>. 2020;12(4).</w:t>
      </w:r>
    </w:p>
  </w:footnote>
  <w:footnote w:id="5">
    <w:p w14:paraId="41DD6C4B" w14:textId="4F0ACBE3" w:rsidR="00C46CE2" w:rsidRPr="007D45CC" w:rsidRDefault="00C46CE2" w:rsidP="00C46CE2">
      <w:pPr>
        <w:rPr>
          <w:rFonts w:asciiTheme="minorHAnsi" w:hAnsiTheme="minorHAnsi" w:cstheme="minorHAnsi"/>
          <w:sz w:val="20"/>
          <w:szCs w:val="20"/>
        </w:rPr>
      </w:pPr>
      <w:r w:rsidRPr="007D45CC">
        <w:rPr>
          <w:rStyle w:val="FootnoteReference"/>
          <w:rFonts w:asciiTheme="minorHAnsi" w:hAnsiTheme="minorHAnsi" w:cstheme="minorHAnsi"/>
          <w:sz w:val="20"/>
          <w:szCs w:val="20"/>
        </w:rPr>
        <w:footnoteRef/>
      </w:r>
      <w:r w:rsidRPr="007D45CC">
        <w:rPr>
          <w:rFonts w:asciiTheme="minorHAnsi" w:hAnsiTheme="minorHAnsi" w:cstheme="minorHAnsi"/>
          <w:sz w:val="20"/>
          <w:szCs w:val="20"/>
        </w:rPr>
        <w:t xml:space="preserve"> Mehrgou, A. and M. Akouchekian (2016). "The importance of </w:t>
      </w:r>
      <w:r w:rsidR="0018082C" w:rsidRPr="0018082C">
        <w:rPr>
          <w:rFonts w:asciiTheme="minorHAnsi" w:hAnsiTheme="minorHAnsi" w:cstheme="minorHAnsi"/>
          <w:i/>
          <w:sz w:val="20"/>
          <w:szCs w:val="20"/>
        </w:rPr>
        <w:t>BRCA1</w:t>
      </w:r>
      <w:r w:rsidRPr="007D45CC">
        <w:rPr>
          <w:rFonts w:asciiTheme="minorHAnsi" w:hAnsiTheme="minorHAnsi" w:cstheme="minorHAnsi"/>
          <w:sz w:val="20"/>
          <w:szCs w:val="20"/>
        </w:rPr>
        <w:t xml:space="preserve"> and </w:t>
      </w:r>
      <w:r w:rsidR="0018082C" w:rsidRPr="0018082C">
        <w:rPr>
          <w:rFonts w:asciiTheme="minorHAnsi" w:hAnsiTheme="minorHAnsi" w:cstheme="minorHAnsi"/>
          <w:i/>
          <w:sz w:val="20"/>
          <w:szCs w:val="20"/>
        </w:rPr>
        <w:t>BRCA2</w:t>
      </w:r>
      <w:r w:rsidRPr="007D45CC">
        <w:rPr>
          <w:rFonts w:asciiTheme="minorHAnsi" w:hAnsiTheme="minorHAnsi" w:cstheme="minorHAnsi"/>
          <w:sz w:val="20"/>
          <w:szCs w:val="20"/>
        </w:rPr>
        <w:t xml:space="preserve"> genes mutations in breast cancer development." Med </w:t>
      </w:r>
      <w:r w:rsidRPr="00702D0A">
        <w:rPr>
          <w:rFonts w:asciiTheme="minorHAnsi" w:hAnsiTheme="minorHAnsi" w:cstheme="minorHAnsi"/>
          <w:sz w:val="20"/>
          <w:szCs w:val="20"/>
        </w:rPr>
        <w:t>J Islam Repub Iran</w:t>
      </w:r>
      <w:r w:rsidRPr="007D45CC">
        <w:rPr>
          <w:rFonts w:asciiTheme="minorHAnsi" w:hAnsiTheme="minorHAnsi" w:cstheme="minorHAnsi"/>
          <w:sz w:val="20"/>
          <w:szCs w:val="20"/>
        </w:rPr>
        <w:t xml:space="preserve"> 30: 369.</w:t>
      </w:r>
    </w:p>
  </w:footnote>
  <w:footnote w:id="6">
    <w:p w14:paraId="66903E8E" w14:textId="77777777" w:rsidR="00C46CE2" w:rsidRPr="007D45CC" w:rsidRDefault="00C46CE2" w:rsidP="00C46CE2">
      <w:pPr>
        <w:keepNext/>
        <w:keepLines/>
        <w:jc w:val="left"/>
        <w:rPr>
          <w:rFonts w:asciiTheme="minorHAnsi" w:hAnsiTheme="minorHAnsi" w:cstheme="minorHAnsi"/>
          <w:sz w:val="20"/>
          <w:szCs w:val="20"/>
        </w:rPr>
      </w:pPr>
      <w:r w:rsidRPr="007D45CC">
        <w:rPr>
          <w:rStyle w:val="FootnoteReference"/>
          <w:rFonts w:asciiTheme="minorHAnsi" w:hAnsiTheme="minorHAnsi" w:cstheme="minorHAnsi"/>
          <w:sz w:val="20"/>
          <w:szCs w:val="20"/>
        </w:rPr>
        <w:footnoteRef/>
      </w:r>
      <w:r w:rsidRPr="007D45CC">
        <w:rPr>
          <w:rFonts w:asciiTheme="minorHAnsi" w:hAnsiTheme="minorHAnsi" w:cstheme="minorHAnsi"/>
          <w:sz w:val="20"/>
          <w:szCs w:val="20"/>
        </w:rPr>
        <w:t xml:space="preserve"> eBC with a high risk of recurrence is defined as any of the following: </w:t>
      </w:r>
    </w:p>
    <w:p w14:paraId="46BCA819" w14:textId="77777777" w:rsidR="00C46CE2" w:rsidRPr="007D45CC" w:rsidRDefault="00C46CE2" w:rsidP="001074C6">
      <w:pPr>
        <w:pStyle w:val="ListParagraph"/>
        <w:keepNext/>
        <w:keepLines/>
        <w:numPr>
          <w:ilvl w:val="0"/>
          <w:numId w:val="10"/>
        </w:numPr>
        <w:snapToGrid w:val="0"/>
        <w:ind w:left="567" w:hanging="283"/>
        <w:contextualSpacing/>
        <w:jc w:val="left"/>
        <w:rPr>
          <w:rFonts w:cstheme="minorHAnsi"/>
          <w:color w:val="333333"/>
          <w:sz w:val="20"/>
          <w:szCs w:val="20"/>
        </w:rPr>
      </w:pPr>
      <w:r w:rsidRPr="007D45CC">
        <w:rPr>
          <w:rFonts w:cstheme="minorHAnsi"/>
          <w:color w:val="333333"/>
          <w:sz w:val="20"/>
          <w:szCs w:val="20"/>
        </w:rPr>
        <w:t xml:space="preserve">Where neoadjuvant chemotherapy has occurred – confirmed residual invasive cancer in the breast and/or resected lymph nodes. </w:t>
      </w:r>
    </w:p>
    <w:p w14:paraId="4E89B11B" w14:textId="77777777" w:rsidR="00C46CE2" w:rsidRPr="007D45CC" w:rsidRDefault="00C46CE2" w:rsidP="001074C6">
      <w:pPr>
        <w:pStyle w:val="ListParagraph"/>
        <w:keepNext/>
        <w:keepLines/>
        <w:numPr>
          <w:ilvl w:val="0"/>
          <w:numId w:val="10"/>
        </w:numPr>
        <w:snapToGrid w:val="0"/>
        <w:ind w:left="567" w:hanging="283"/>
        <w:contextualSpacing/>
        <w:jc w:val="left"/>
        <w:rPr>
          <w:rFonts w:cstheme="minorHAnsi"/>
          <w:color w:val="333333"/>
          <w:sz w:val="20"/>
          <w:szCs w:val="20"/>
        </w:rPr>
      </w:pPr>
      <w:r w:rsidRPr="007D45CC">
        <w:rPr>
          <w:rFonts w:cstheme="minorHAnsi"/>
          <w:color w:val="333333"/>
          <w:sz w:val="20"/>
          <w:szCs w:val="20"/>
        </w:rPr>
        <w:t xml:space="preserve">In a patient with triple negative breast cancer who has received adjuvant chemotherapy, confirmed that node positive disease is present or that the primary tumour is greater than 20 mm, </w:t>
      </w:r>
    </w:p>
    <w:p w14:paraId="135C337A" w14:textId="77777777" w:rsidR="00C46CE2" w:rsidRPr="007D45CC" w:rsidRDefault="00C46CE2" w:rsidP="001074C6">
      <w:pPr>
        <w:pStyle w:val="ListParagraph"/>
        <w:keepNext/>
        <w:keepLines/>
        <w:numPr>
          <w:ilvl w:val="0"/>
          <w:numId w:val="10"/>
        </w:numPr>
        <w:snapToGrid w:val="0"/>
        <w:spacing w:after="0"/>
        <w:ind w:left="567" w:hanging="283"/>
        <w:contextualSpacing/>
        <w:jc w:val="left"/>
        <w:rPr>
          <w:rFonts w:cstheme="minorHAnsi"/>
          <w:color w:val="333333"/>
          <w:sz w:val="20"/>
          <w:szCs w:val="20"/>
        </w:rPr>
      </w:pPr>
      <w:r w:rsidRPr="007D45CC">
        <w:rPr>
          <w:rFonts w:cstheme="minorHAnsi"/>
          <w:color w:val="333333"/>
          <w:sz w:val="20"/>
          <w:szCs w:val="20"/>
        </w:rPr>
        <w:t>In a patient with hormone receptor positive, HER2-negative disease who has received adjuvant chemotherapy, confirmed that the patient has at least 4 positive lymph nodes.</w:t>
      </w:r>
    </w:p>
  </w:footnote>
  <w:footnote w:id="7">
    <w:p w14:paraId="532F7A8E" w14:textId="6DA7BCC8" w:rsidR="00C46CE2" w:rsidRPr="007D45CC" w:rsidRDefault="00C46CE2" w:rsidP="00C46CE2">
      <w:pPr>
        <w:pStyle w:val="FootnoteText"/>
        <w:rPr>
          <w:rFonts w:asciiTheme="minorHAnsi" w:hAnsiTheme="minorHAnsi" w:cstheme="minorHAnsi"/>
        </w:rPr>
      </w:pPr>
      <w:r w:rsidRPr="007D45CC">
        <w:rPr>
          <w:rStyle w:val="FootnoteReference"/>
          <w:rFonts w:asciiTheme="minorHAnsi" w:hAnsiTheme="minorHAnsi" w:cstheme="minorHAnsi"/>
        </w:rPr>
        <w:footnoteRef/>
      </w:r>
      <w:r w:rsidRPr="007D45CC">
        <w:rPr>
          <w:rFonts w:asciiTheme="minorHAnsi" w:hAnsiTheme="minorHAnsi" w:cstheme="minorHAnsi"/>
        </w:rPr>
        <w:t xml:space="preserve"> </w:t>
      </w:r>
      <w:bookmarkStart w:id="24" w:name="_Hlk121752075"/>
      <w:r w:rsidRPr="007D45CC">
        <w:rPr>
          <w:rFonts w:asciiTheme="minorHAnsi" w:hAnsiTheme="minorHAnsi" w:cstheme="minorHAnsi"/>
        </w:rPr>
        <w:t xml:space="preserve">Cancer Australia. Recommendations for the management of early breast cancer in women with an identified </w:t>
      </w:r>
      <w:r w:rsidR="0018082C" w:rsidRPr="0018082C">
        <w:rPr>
          <w:rFonts w:asciiTheme="minorHAnsi" w:hAnsiTheme="minorHAnsi" w:cstheme="minorHAnsi"/>
          <w:i/>
        </w:rPr>
        <w:t>BRCA1</w:t>
      </w:r>
      <w:r w:rsidRPr="007D45CC">
        <w:rPr>
          <w:rFonts w:asciiTheme="minorHAnsi" w:hAnsiTheme="minorHAnsi" w:cstheme="minorHAnsi"/>
        </w:rPr>
        <w:t xml:space="preserve"> or </w:t>
      </w:r>
      <w:r w:rsidR="0018082C" w:rsidRPr="0018082C">
        <w:rPr>
          <w:rFonts w:asciiTheme="minorHAnsi" w:hAnsiTheme="minorHAnsi" w:cstheme="minorHAnsi"/>
          <w:i/>
        </w:rPr>
        <w:t>BRCA2</w:t>
      </w:r>
      <w:r w:rsidRPr="007D45CC">
        <w:rPr>
          <w:rFonts w:asciiTheme="minorHAnsi" w:hAnsiTheme="minorHAnsi" w:cstheme="minorHAnsi"/>
        </w:rPr>
        <w:t xml:space="preserve"> gene mutation or at high risk of a gene mutation</w:t>
      </w:r>
      <w:bookmarkEnd w:id="24"/>
      <w:r w:rsidR="004B2406" w:rsidRPr="007D45CC">
        <w:rPr>
          <w:rFonts w:asciiTheme="minorHAnsi" w:hAnsiTheme="minorHAnsi" w:cstheme="minorHAnsi"/>
        </w:rPr>
        <w:t xml:space="preserve">. </w:t>
      </w:r>
      <w:hyperlink r:id="rId1" w:history="1">
        <w:r w:rsidR="004B2406" w:rsidRPr="007D45CC">
          <w:rPr>
            <w:rStyle w:val="Hyperlink"/>
            <w:rFonts w:asciiTheme="minorHAnsi" w:hAnsiTheme="minorHAnsi" w:cstheme="minorHAnsi"/>
          </w:rPr>
          <w:t>https://www.canceraustralia.gov.au/publications-and-resources/cancer-australia-publications/recommendations-management-early-breast-cancer-women-identified-brca1-or-brca2-gene-mutation-or-high</w:t>
        </w:r>
      </w:hyperlink>
      <w:r w:rsidR="004B2406" w:rsidRPr="007D45CC">
        <w:rPr>
          <w:rFonts w:asciiTheme="minorHAnsi" w:hAnsiTheme="minorHAnsi" w:cstheme="minorHAnsi"/>
        </w:rPr>
        <w:t xml:space="preserve"> </w:t>
      </w:r>
    </w:p>
  </w:footnote>
  <w:footnote w:id="8">
    <w:p w14:paraId="5F7D6C01" w14:textId="09AAAFCE" w:rsidR="00C46CE2" w:rsidRDefault="00C46CE2" w:rsidP="00C46CE2">
      <w:pPr>
        <w:pStyle w:val="FootnoteText"/>
        <w:rPr>
          <w:rFonts w:ascii="Arial Narrow" w:hAnsi="Arial Narrow"/>
          <w:sz w:val="18"/>
          <w:szCs w:val="18"/>
        </w:rPr>
      </w:pPr>
      <w:r w:rsidRPr="007D45CC">
        <w:rPr>
          <w:rStyle w:val="FootnoteReference"/>
          <w:rFonts w:asciiTheme="minorHAnsi" w:hAnsiTheme="minorHAnsi" w:cstheme="minorHAnsi"/>
        </w:rPr>
        <w:footnoteRef/>
      </w:r>
      <w:r w:rsidRPr="007D45CC">
        <w:rPr>
          <w:rFonts w:asciiTheme="minorHAnsi" w:hAnsiTheme="minorHAnsi" w:cstheme="minorHAnsi"/>
        </w:rPr>
        <w:t xml:space="preserve"> </w:t>
      </w:r>
      <w:bookmarkStart w:id="25" w:name="_Hlk121752088"/>
      <w:bookmarkEnd w:id="25"/>
      <w:r w:rsidR="004B2406" w:rsidRPr="007D45CC">
        <w:rPr>
          <w:rFonts w:asciiTheme="minorHAnsi" w:hAnsiTheme="minorHAnsi" w:cstheme="minorHAnsi"/>
        </w:rPr>
        <w:t xml:space="preserve">Goulooze SC, Cohen AF, Rissmann R. Olaparib. </w:t>
      </w:r>
      <w:r w:rsidR="004B2406" w:rsidRPr="00702D0A">
        <w:rPr>
          <w:rFonts w:asciiTheme="minorHAnsi" w:hAnsiTheme="minorHAnsi" w:cstheme="minorHAnsi"/>
        </w:rPr>
        <w:t>Br J Clin Pharmacol</w:t>
      </w:r>
      <w:r w:rsidR="004B2406" w:rsidRPr="007D45CC">
        <w:rPr>
          <w:rFonts w:asciiTheme="minorHAnsi" w:hAnsiTheme="minorHAnsi" w:cstheme="minorHAnsi"/>
        </w:rPr>
        <w:t>. 2016;81(1):171-3.</w:t>
      </w:r>
    </w:p>
  </w:footnote>
  <w:footnote w:id="9">
    <w:p w14:paraId="13713B48" w14:textId="6D67FCF4" w:rsidR="004B4ADE" w:rsidRPr="004B4ADE" w:rsidRDefault="004B4ADE">
      <w:pPr>
        <w:pStyle w:val="FootnoteText"/>
      </w:pPr>
      <w:r>
        <w:rPr>
          <w:rStyle w:val="FootnoteReference"/>
        </w:rPr>
        <w:footnoteRef/>
      </w:r>
      <w:r>
        <w:t xml:space="preserve"> </w:t>
      </w:r>
      <w:r w:rsidRPr="009A5607">
        <w:rPr>
          <w:rFonts w:asciiTheme="minorHAnsi" w:hAnsiTheme="minorHAnsi"/>
          <w:bCs/>
          <w:snapToGrid w:val="0"/>
        </w:rPr>
        <w:t>Cherny NI, Dafni U, Bogaerts J, et al: ESMO-Magnitude of Clinical Benefit Scale version 1.1. Annals of Oncology 28:2340-2366, 2017</w:t>
      </w:r>
    </w:p>
  </w:footnote>
  <w:footnote w:id="10">
    <w:p w14:paraId="69A55B12" w14:textId="77777777" w:rsidR="00C46CE2" w:rsidRPr="007D45CC" w:rsidRDefault="00C46CE2" w:rsidP="00C46CE2">
      <w:pPr>
        <w:pStyle w:val="FootnoteText"/>
        <w:rPr>
          <w:rFonts w:asciiTheme="minorHAnsi" w:hAnsiTheme="minorHAnsi" w:cstheme="minorHAnsi"/>
        </w:rPr>
      </w:pPr>
      <w:r w:rsidRPr="007D45CC">
        <w:rPr>
          <w:rStyle w:val="FootnoteReference"/>
          <w:rFonts w:asciiTheme="minorHAnsi" w:hAnsiTheme="minorHAnsi" w:cstheme="minorHAnsi"/>
        </w:rPr>
        <w:footnoteRef/>
      </w:r>
      <w:r w:rsidRPr="007D45CC">
        <w:rPr>
          <w:rFonts w:asciiTheme="minorHAnsi" w:hAnsiTheme="minorHAnsi" w:cstheme="minorHAnsi"/>
        </w:rPr>
        <w:t xml:space="preserve"> Patients could be positive or negative for hormone receptors. This was a stratification factor during randomisation.</w:t>
      </w:r>
    </w:p>
  </w:footnote>
  <w:footnote w:id="11">
    <w:p w14:paraId="7ABDA858" w14:textId="0E763574" w:rsidR="007B0A22" w:rsidRPr="00B3545D" w:rsidRDefault="007B0A22" w:rsidP="007B0A22">
      <w:pPr>
        <w:pStyle w:val="FootnoteText"/>
        <w:rPr>
          <w:b/>
          <w:bCs/>
        </w:rPr>
      </w:pPr>
      <w:r w:rsidRPr="00B3545D">
        <w:rPr>
          <w:rStyle w:val="FootnoteReference"/>
        </w:rPr>
        <w:footnoteRef/>
      </w:r>
      <w:r w:rsidRPr="00B3545D">
        <w:t xml:space="preserve"> Trastuzumab emtansine PSD November 2019 (for the treatment of adjuvant therapy of patients with HER2 positive eBC with residual disease following HER2-targeted neoadjuvant therapy)</w:t>
      </w:r>
    </w:p>
  </w:footnote>
  <w:footnote w:id="12">
    <w:p w14:paraId="320C7713" w14:textId="79697C95" w:rsidR="007B0A22" w:rsidRDefault="007B0A22" w:rsidP="007B0A22">
      <w:pPr>
        <w:pStyle w:val="FootnoteText"/>
      </w:pPr>
      <w:r w:rsidRPr="00B3545D">
        <w:rPr>
          <w:rStyle w:val="FootnoteReference"/>
        </w:rPr>
        <w:footnoteRef/>
      </w:r>
      <w:r w:rsidRPr="00B3545D">
        <w:t xml:space="preserve"> </w:t>
      </w:r>
      <w:r w:rsidR="00202B17" w:rsidRPr="00B3545D">
        <w:t>Abemacicl</w:t>
      </w:r>
      <w:r w:rsidR="00202B17">
        <w:t>i</w:t>
      </w:r>
      <w:r w:rsidR="00202B17" w:rsidRPr="00B3545D">
        <w:t xml:space="preserve">b </w:t>
      </w:r>
      <w:r w:rsidRPr="00B3545D">
        <w:t>PSD March 2023 (for abemaciclib in combination with standard adjuvant endocrine therapy (ET), for the treatment of hormone receptor positive (HR+), human epidermal growth factor receptor 2 negative (HER2-), lymph node positive, invasive, resected early breast cancer (EBC) at high risk of disease recurrence)</w:t>
      </w:r>
    </w:p>
  </w:footnote>
  <w:footnote w:id="13">
    <w:p w14:paraId="0BC19807" w14:textId="77777777" w:rsidR="00BF3070" w:rsidRPr="007D45CC" w:rsidRDefault="00BF3070" w:rsidP="00BF3070">
      <w:pPr>
        <w:pStyle w:val="FootnoteText"/>
        <w:rPr>
          <w:rFonts w:asciiTheme="minorHAnsi" w:hAnsiTheme="minorHAnsi" w:cstheme="minorHAnsi"/>
        </w:rPr>
      </w:pPr>
      <w:r w:rsidRPr="007D45CC">
        <w:rPr>
          <w:rStyle w:val="FootnoteReference"/>
          <w:rFonts w:asciiTheme="minorHAnsi" w:eastAsiaTheme="majorEastAsia" w:hAnsiTheme="minorHAnsi" w:cstheme="minorHAnsi"/>
        </w:rPr>
        <w:footnoteRef/>
      </w:r>
      <w:r w:rsidRPr="007D45CC">
        <w:rPr>
          <w:rFonts w:asciiTheme="minorHAnsi" w:hAnsiTheme="minorHAnsi" w:cstheme="minorHAnsi"/>
        </w:rPr>
        <w:t xml:space="preserve"> Crott R, Briggs A. Mapping the QLQ-C30 quality of life cancer questionnaire to EQ-5D patient preferences. </w:t>
      </w:r>
      <w:r w:rsidRPr="00702D0A">
        <w:rPr>
          <w:rFonts w:asciiTheme="minorHAnsi" w:hAnsiTheme="minorHAnsi" w:cstheme="minorHAnsi"/>
        </w:rPr>
        <w:t>The European Journal of Health Economics</w:t>
      </w:r>
      <w:r w:rsidRPr="007D45CC">
        <w:rPr>
          <w:rFonts w:asciiTheme="minorHAnsi" w:hAnsiTheme="minorHAnsi" w:cstheme="minorHAnsi"/>
        </w:rPr>
        <w:t>. 2010;11(4):427-34.</w:t>
      </w:r>
    </w:p>
  </w:footnote>
  <w:footnote w:id="14">
    <w:p w14:paraId="1CF1EDD5" w14:textId="77777777" w:rsidR="00BF3070" w:rsidRDefault="00BF3070" w:rsidP="00BF3070">
      <w:pPr>
        <w:pStyle w:val="FootnoteText"/>
      </w:pPr>
      <w:r>
        <w:rPr>
          <w:rStyle w:val="FootnoteReference"/>
        </w:rPr>
        <w:footnoteRef/>
      </w:r>
      <w:r>
        <w:t xml:space="preserve"> The older age of the model population would </w:t>
      </w:r>
      <w:r w:rsidRPr="00FC48BA">
        <w:t>affect background mortality and result in narrower distance between the survival curves of the two treatment arms at later time points</w:t>
      </w:r>
      <w:r>
        <w:t>.</w:t>
      </w:r>
    </w:p>
  </w:footnote>
  <w:footnote w:id="15">
    <w:p w14:paraId="083DBB15" w14:textId="77777777" w:rsidR="00BF3070" w:rsidRDefault="00BF3070" w:rsidP="00BF3070">
      <w:pPr>
        <w:pStyle w:val="FootnoteText"/>
      </w:pPr>
      <w:r>
        <w:rPr>
          <w:rStyle w:val="FootnoteReference"/>
          <w:rFonts w:eastAsiaTheme="majorEastAsia"/>
        </w:rPr>
        <w:footnoteRef/>
      </w:r>
      <w:r>
        <w:t xml:space="preserve"> </w:t>
      </w:r>
      <w:r w:rsidRPr="00564B41">
        <w:t xml:space="preserve">Gebski V, Garès V, </w:t>
      </w:r>
      <w:r w:rsidRPr="00702D0A">
        <w:t>et al.</w:t>
      </w:r>
      <w:r w:rsidRPr="00564B41">
        <w:t xml:space="preserve"> Data maturity and follow-up in time-to-event analyses. </w:t>
      </w:r>
      <w:r w:rsidRPr="00702D0A">
        <w:t>Int J Epidemiol</w:t>
      </w:r>
      <w:r w:rsidRPr="00564B41">
        <w:t>. 2018;47(3):850-9.</w:t>
      </w:r>
    </w:p>
  </w:footnote>
  <w:footnote w:id="16">
    <w:p w14:paraId="583F601F" w14:textId="5BD14BB7" w:rsidR="00BF3070" w:rsidRDefault="00BF3070" w:rsidP="00BF3070">
      <w:pPr>
        <w:pStyle w:val="FootnoteText"/>
      </w:pPr>
      <w:r>
        <w:rPr>
          <w:rStyle w:val="FootnoteReference"/>
          <w:rFonts w:eastAsiaTheme="majorEastAsia"/>
        </w:rPr>
        <w:footnoteRef/>
      </w:r>
      <w:r>
        <w:t xml:space="preserve"> </w:t>
      </w:r>
      <w:r w:rsidRPr="00591540">
        <w:t xml:space="preserve">Robson M, Tung N, </w:t>
      </w:r>
      <w:r w:rsidRPr="00702D0A">
        <w:t>et al</w:t>
      </w:r>
      <w:r w:rsidRPr="00591540">
        <w:t xml:space="preserve">. OlympiAD final overall survival and tolerability results: Olaparib versus chemotherapy treatment of physician’s choice in patients with a germline </w:t>
      </w:r>
      <w:r w:rsidR="0018082C" w:rsidRPr="0018082C">
        <w:rPr>
          <w:i/>
        </w:rPr>
        <w:t>BRCA</w:t>
      </w:r>
      <w:r w:rsidRPr="00591540">
        <w:t xml:space="preserve"> mutation and HER2-negative metastatic breast cancer. </w:t>
      </w:r>
      <w:r w:rsidRPr="00702D0A">
        <w:t>Annals of Oncology</w:t>
      </w:r>
      <w:r w:rsidRPr="00591540">
        <w:t>. 2019;30(4):558-66.</w:t>
      </w:r>
    </w:p>
  </w:footnote>
  <w:footnote w:id="17">
    <w:p w14:paraId="12576399" w14:textId="77777777" w:rsidR="00BF3070" w:rsidRDefault="00BF3070" w:rsidP="00BF3070">
      <w:pPr>
        <w:pStyle w:val="FootnoteText"/>
      </w:pPr>
      <w:r>
        <w:rPr>
          <w:rStyle w:val="FootnoteReference"/>
          <w:rFonts w:eastAsiaTheme="majorEastAsia"/>
        </w:rPr>
        <w:footnoteRef/>
      </w:r>
      <w:r>
        <w:t xml:space="preserve"> For example: </w:t>
      </w:r>
      <w:r w:rsidRPr="0005134D">
        <w:t>i) HR+ or TNBC patients receiving neoadjuvant therapy, with no residual invasive disease</w:t>
      </w:r>
      <w:r>
        <w:t>;</w:t>
      </w:r>
      <w:r w:rsidRPr="0005134D">
        <w:t xml:space="preserve"> ii) TNBC patients receiving adjuvant therapy, with a primary tumour &lt; 2 cm and without lymph node involvement</w:t>
      </w:r>
      <w:r>
        <w:t>;</w:t>
      </w:r>
      <w:r w:rsidRPr="0005134D">
        <w:t xml:space="preserve"> and iii) HR+ patients receiving adjuvant therapy, with &lt; 4 positive lymph nodes.</w:t>
      </w:r>
    </w:p>
  </w:footnote>
  <w:footnote w:id="18">
    <w:p w14:paraId="7F839138" w14:textId="4DE2D052" w:rsidR="00883096" w:rsidRPr="007D45CC" w:rsidRDefault="00883096" w:rsidP="00883096">
      <w:pPr>
        <w:autoSpaceDE w:val="0"/>
        <w:autoSpaceDN w:val="0"/>
        <w:adjustRightInd w:val="0"/>
        <w:jc w:val="left"/>
        <w:rPr>
          <w:rFonts w:asciiTheme="minorHAnsi" w:hAnsiTheme="minorHAnsi" w:cstheme="minorHAnsi"/>
          <w:sz w:val="20"/>
          <w:szCs w:val="20"/>
        </w:rPr>
      </w:pPr>
      <w:r w:rsidRPr="007D45CC">
        <w:rPr>
          <w:rStyle w:val="FootnoteReference"/>
          <w:rFonts w:asciiTheme="minorHAnsi" w:hAnsiTheme="minorHAnsi" w:cstheme="minorHAnsi"/>
          <w:sz w:val="20"/>
          <w:szCs w:val="20"/>
        </w:rPr>
        <w:footnoteRef/>
      </w:r>
      <w:r w:rsidRPr="007D45CC">
        <w:rPr>
          <w:rFonts w:asciiTheme="minorHAnsi" w:hAnsiTheme="minorHAnsi" w:cstheme="minorHAnsi"/>
          <w:sz w:val="20"/>
          <w:szCs w:val="20"/>
        </w:rPr>
        <w:t xml:space="preserve"> Desai NV, Zakalik D, </w:t>
      </w:r>
      <w:r w:rsidR="004B2406" w:rsidRPr="00702D0A">
        <w:rPr>
          <w:rFonts w:asciiTheme="minorHAnsi" w:hAnsiTheme="minorHAnsi" w:cstheme="minorHAnsi"/>
          <w:sz w:val="20"/>
          <w:szCs w:val="20"/>
        </w:rPr>
        <w:t>et al.</w:t>
      </w:r>
      <w:r w:rsidRPr="007D45CC">
        <w:rPr>
          <w:rFonts w:asciiTheme="minorHAnsi" w:hAnsiTheme="minorHAnsi" w:cstheme="minorHAnsi"/>
          <w:sz w:val="20"/>
          <w:szCs w:val="20"/>
        </w:rPr>
        <w:t xml:space="preserve"> A New Standard of Care for Germline </w:t>
      </w:r>
      <w:r w:rsidR="0018082C" w:rsidRPr="0018082C">
        <w:rPr>
          <w:rFonts w:asciiTheme="minorHAnsi" w:hAnsiTheme="minorHAnsi" w:cstheme="minorHAnsi"/>
          <w:i/>
          <w:sz w:val="20"/>
          <w:szCs w:val="20"/>
        </w:rPr>
        <w:t>BRCA</w:t>
      </w:r>
      <w:r w:rsidRPr="007D45CC">
        <w:rPr>
          <w:rFonts w:asciiTheme="minorHAnsi" w:hAnsiTheme="minorHAnsi" w:cstheme="minorHAnsi"/>
          <w:sz w:val="20"/>
          <w:szCs w:val="20"/>
        </w:rPr>
        <w:t xml:space="preserve">1 and/or </w:t>
      </w:r>
      <w:r w:rsidR="0018082C" w:rsidRPr="0018082C">
        <w:rPr>
          <w:rFonts w:asciiTheme="minorHAnsi" w:hAnsiTheme="minorHAnsi" w:cstheme="minorHAnsi"/>
          <w:i/>
          <w:sz w:val="20"/>
          <w:szCs w:val="20"/>
        </w:rPr>
        <w:t>BRCA</w:t>
      </w:r>
      <w:r w:rsidRPr="007D45CC">
        <w:rPr>
          <w:rFonts w:asciiTheme="minorHAnsi" w:hAnsiTheme="minorHAnsi" w:cstheme="minorHAnsi"/>
          <w:sz w:val="20"/>
          <w:szCs w:val="20"/>
        </w:rPr>
        <w:t xml:space="preserve">2 Mutation Carriers With Early-Stage Breast Cancer. </w:t>
      </w:r>
      <w:r w:rsidRPr="00702D0A">
        <w:rPr>
          <w:rFonts w:asciiTheme="minorHAnsi" w:hAnsiTheme="minorHAnsi" w:cstheme="minorHAnsi"/>
          <w:sz w:val="20"/>
          <w:szCs w:val="20"/>
        </w:rPr>
        <w:t>JCO Oncol Pract</w:t>
      </w:r>
      <w:r w:rsidRPr="007D45CC">
        <w:rPr>
          <w:rFonts w:asciiTheme="minorHAnsi" w:hAnsiTheme="minorHAnsi" w:cstheme="minorHAnsi"/>
          <w:sz w:val="20"/>
          <w:szCs w:val="20"/>
        </w:rPr>
        <w:t>. 2022 Jun;18(6):427-9.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7447" w14:textId="77777777" w:rsidR="00DD2A63" w:rsidRDefault="00DD2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488" w14:textId="34B553F4" w:rsidR="00575AA1" w:rsidRPr="001074C6" w:rsidRDefault="00134F19" w:rsidP="00D822E2">
    <w:pPr>
      <w:pStyle w:val="Header"/>
      <w:rPr>
        <w:rFonts w:asciiTheme="minorHAnsi" w:hAnsiTheme="minorHAnsi"/>
        <w:i/>
        <w:iCs/>
        <w:color w:val="808080"/>
      </w:rPr>
    </w:pPr>
    <w:r w:rsidRPr="00134F19">
      <w:rPr>
        <w:rFonts w:asciiTheme="minorHAnsi" w:hAnsiTheme="minorHAnsi"/>
        <w:i/>
        <w:iCs/>
        <w:color w:val="808080"/>
      </w:rPr>
      <w:t xml:space="preserve">Public Summary Document </w:t>
    </w:r>
    <w:r w:rsidR="001074C6" w:rsidRPr="001074C6">
      <w:rPr>
        <w:rFonts w:asciiTheme="minorHAnsi" w:hAnsiTheme="minorHAnsi"/>
        <w:i/>
        <w:iCs/>
        <w:color w:val="808080"/>
      </w:rPr>
      <w:t>- Novemb</w:t>
    </w:r>
    <w:r w:rsidR="00845BC9" w:rsidRPr="001074C6">
      <w:rPr>
        <w:rFonts w:asciiTheme="minorHAnsi" w:hAnsiTheme="minorHAnsi"/>
        <w:i/>
        <w:iCs/>
        <w:color w:val="808080"/>
      </w:rPr>
      <w:t>er</w:t>
    </w:r>
    <w:r w:rsidR="00575AA1" w:rsidRPr="001074C6">
      <w:rPr>
        <w:rFonts w:asciiTheme="minorHAnsi" w:hAnsiTheme="minorHAnsi"/>
        <w:i/>
        <w:iCs/>
        <w:color w:val="808080"/>
      </w:rPr>
      <w:t xml:space="preserve"> 202</w:t>
    </w:r>
    <w:r w:rsidR="00845BC9" w:rsidRPr="001074C6">
      <w:rPr>
        <w:rFonts w:asciiTheme="minorHAnsi" w:hAnsiTheme="minorHAnsi"/>
        <w:i/>
        <w:iCs/>
        <w:color w:val="808080"/>
      </w:rPr>
      <w:t>3</w:t>
    </w:r>
    <w:r w:rsidR="00575AA1" w:rsidRPr="001074C6">
      <w:rPr>
        <w:rFonts w:asciiTheme="minorHAnsi" w:hAnsiTheme="minorHAnsi"/>
        <w:i/>
        <w:iCs/>
        <w:color w:val="808080"/>
      </w:rPr>
      <w:t xml:space="preserve"> PBAC Meeting</w:t>
    </w:r>
  </w:p>
  <w:p w14:paraId="167D2ECD" w14:textId="77777777" w:rsidR="00575AA1" w:rsidRPr="008C7ECB" w:rsidRDefault="00575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9D25" w14:textId="77777777" w:rsidR="00DD2A63" w:rsidRDefault="00DD2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92423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C92DE2"/>
    <w:multiLevelType w:val="hybridMultilevel"/>
    <w:tmpl w:val="E3002A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05C47"/>
    <w:multiLevelType w:val="hybridMultilevel"/>
    <w:tmpl w:val="5BC8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A71DB"/>
    <w:multiLevelType w:val="hybridMultilevel"/>
    <w:tmpl w:val="4358E91A"/>
    <w:lvl w:ilvl="0" w:tplc="A99416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5B6FE2"/>
    <w:multiLevelType w:val="hybridMultilevel"/>
    <w:tmpl w:val="2490F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443CBF"/>
    <w:multiLevelType w:val="hybridMultilevel"/>
    <w:tmpl w:val="43A2E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F633AE"/>
    <w:multiLevelType w:val="hybridMultilevel"/>
    <w:tmpl w:val="AAB8F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A063A"/>
    <w:multiLevelType w:val="hybridMultilevel"/>
    <w:tmpl w:val="4A948E22"/>
    <w:lvl w:ilvl="0" w:tplc="48203FE6">
      <w:start w:val="1"/>
      <w:numFmt w:val="bullet"/>
      <w:lvlText w:val=""/>
      <w:lvlJc w:val="left"/>
      <w:pPr>
        <w:ind w:left="81" w:hanging="360"/>
      </w:pPr>
      <w:rPr>
        <w:rFonts w:ascii="Symbol" w:hAnsi="Symbol" w:hint="default"/>
        <w:i w:val="0"/>
        <w:color w:val="auto"/>
      </w:rPr>
    </w:lvl>
    <w:lvl w:ilvl="1" w:tplc="0C090019" w:tentative="1">
      <w:start w:val="1"/>
      <w:numFmt w:val="lowerLetter"/>
      <w:lvlText w:val="%2."/>
      <w:lvlJc w:val="left"/>
      <w:pPr>
        <w:ind w:left="801" w:hanging="360"/>
      </w:pPr>
    </w:lvl>
    <w:lvl w:ilvl="2" w:tplc="0C09001B" w:tentative="1">
      <w:start w:val="1"/>
      <w:numFmt w:val="lowerRoman"/>
      <w:lvlText w:val="%3."/>
      <w:lvlJc w:val="right"/>
      <w:pPr>
        <w:ind w:left="1521" w:hanging="180"/>
      </w:pPr>
    </w:lvl>
    <w:lvl w:ilvl="3" w:tplc="0C09000F" w:tentative="1">
      <w:start w:val="1"/>
      <w:numFmt w:val="decimal"/>
      <w:lvlText w:val="%4."/>
      <w:lvlJc w:val="left"/>
      <w:pPr>
        <w:ind w:left="2241" w:hanging="360"/>
      </w:pPr>
    </w:lvl>
    <w:lvl w:ilvl="4" w:tplc="0C090019" w:tentative="1">
      <w:start w:val="1"/>
      <w:numFmt w:val="lowerLetter"/>
      <w:lvlText w:val="%5."/>
      <w:lvlJc w:val="left"/>
      <w:pPr>
        <w:ind w:left="2961" w:hanging="360"/>
      </w:pPr>
    </w:lvl>
    <w:lvl w:ilvl="5" w:tplc="0C09001B" w:tentative="1">
      <w:start w:val="1"/>
      <w:numFmt w:val="lowerRoman"/>
      <w:lvlText w:val="%6."/>
      <w:lvlJc w:val="right"/>
      <w:pPr>
        <w:ind w:left="3681" w:hanging="180"/>
      </w:pPr>
    </w:lvl>
    <w:lvl w:ilvl="6" w:tplc="0C09000F" w:tentative="1">
      <w:start w:val="1"/>
      <w:numFmt w:val="decimal"/>
      <w:lvlText w:val="%7."/>
      <w:lvlJc w:val="left"/>
      <w:pPr>
        <w:ind w:left="4401" w:hanging="360"/>
      </w:pPr>
    </w:lvl>
    <w:lvl w:ilvl="7" w:tplc="0C090019" w:tentative="1">
      <w:start w:val="1"/>
      <w:numFmt w:val="lowerLetter"/>
      <w:lvlText w:val="%8."/>
      <w:lvlJc w:val="left"/>
      <w:pPr>
        <w:ind w:left="5121" w:hanging="360"/>
      </w:pPr>
    </w:lvl>
    <w:lvl w:ilvl="8" w:tplc="0C09001B" w:tentative="1">
      <w:start w:val="1"/>
      <w:numFmt w:val="lowerRoman"/>
      <w:lvlText w:val="%9."/>
      <w:lvlJc w:val="right"/>
      <w:pPr>
        <w:ind w:left="5841"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ED72CEA8"/>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0D1778"/>
    <w:multiLevelType w:val="multilevel"/>
    <w:tmpl w:val="01D2515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ED09CB"/>
    <w:multiLevelType w:val="hybridMultilevel"/>
    <w:tmpl w:val="CD1C2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1F20B0"/>
    <w:multiLevelType w:val="hybridMultilevel"/>
    <w:tmpl w:val="4B3823BC"/>
    <w:lvl w:ilvl="0" w:tplc="0C090017">
      <w:start w:val="1"/>
      <w:numFmt w:val="lowerLetter"/>
      <w:lvlText w:val="%1)"/>
      <w:lvlJc w:val="left"/>
      <w:pPr>
        <w:ind w:left="1440" w:hanging="360"/>
      </w:pPr>
      <w:rPr>
        <w:sz w:val="18"/>
        <w:szCs w:val="18"/>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9D08DC14"/>
    <w:lvl w:ilvl="0" w:tplc="04090001">
      <w:start w:val="1"/>
      <w:numFmt w:val="bullet"/>
      <w:pStyle w:val="ListParagraph"/>
      <w:lvlText w:val=""/>
      <w:lvlJc w:val="left"/>
      <w:pPr>
        <w:ind w:left="720" w:hanging="360"/>
      </w:pPr>
      <w:rPr>
        <w:rFonts w:ascii="Symbol" w:hAnsi="Symbol" w:hint="default"/>
      </w:rPr>
    </w:lvl>
    <w:lvl w:ilvl="1" w:tplc="998AF1C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09009E"/>
    <w:multiLevelType w:val="hybridMultilevel"/>
    <w:tmpl w:val="A45AA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75984"/>
    <w:multiLevelType w:val="hybridMultilevel"/>
    <w:tmpl w:val="E5847954"/>
    <w:lvl w:ilvl="0" w:tplc="8EB43CE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DD03D3"/>
    <w:multiLevelType w:val="hybridMultilevel"/>
    <w:tmpl w:val="C2885BA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1288349">
    <w:abstractNumId w:val="27"/>
  </w:num>
  <w:num w:numId="2" w16cid:durableId="2112042751">
    <w:abstractNumId w:val="18"/>
  </w:num>
  <w:num w:numId="3" w16cid:durableId="1937208540">
    <w:abstractNumId w:val="19"/>
  </w:num>
  <w:num w:numId="4" w16cid:durableId="1431968828">
    <w:abstractNumId w:val="0"/>
  </w:num>
  <w:num w:numId="5" w16cid:durableId="1419864547">
    <w:abstractNumId w:val="27"/>
  </w:num>
  <w:num w:numId="6" w16cid:durableId="22440928">
    <w:abstractNumId w:val="25"/>
  </w:num>
  <w:num w:numId="7" w16cid:durableId="1305966145">
    <w:abstractNumId w:val="23"/>
  </w:num>
  <w:num w:numId="8" w16cid:durableId="1901861066">
    <w:abstractNumId w:val="20"/>
  </w:num>
  <w:num w:numId="9" w16cid:durableId="140865124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944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2862851">
    <w:abstractNumId w:val="5"/>
  </w:num>
  <w:num w:numId="12" w16cid:durableId="1152213746">
    <w:abstractNumId w:val="16"/>
  </w:num>
  <w:num w:numId="13" w16cid:durableId="431587297">
    <w:abstractNumId w:val="8"/>
  </w:num>
  <w:num w:numId="14" w16cid:durableId="808981905">
    <w:abstractNumId w:val="28"/>
  </w:num>
  <w:num w:numId="15" w16cid:durableId="95054905">
    <w:abstractNumId w:val="2"/>
  </w:num>
  <w:num w:numId="16" w16cid:durableId="1312445792">
    <w:abstractNumId w:val="6"/>
  </w:num>
  <w:num w:numId="17" w16cid:durableId="10180550">
    <w:abstractNumId w:val="12"/>
  </w:num>
  <w:num w:numId="18" w16cid:durableId="363530040">
    <w:abstractNumId w:val="10"/>
  </w:num>
  <w:num w:numId="19" w16cid:durableId="230194171">
    <w:abstractNumId w:val="9"/>
  </w:num>
  <w:num w:numId="20" w16cid:durableId="1574585371">
    <w:abstractNumId w:val="7"/>
  </w:num>
  <w:num w:numId="21" w16cid:durableId="1770008075">
    <w:abstractNumId w:val="3"/>
  </w:num>
  <w:num w:numId="22" w16cid:durableId="1509834412">
    <w:abstractNumId w:val="22"/>
  </w:num>
  <w:num w:numId="23" w16cid:durableId="315233004">
    <w:abstractNumId w:val="4"/>
  </w:num>
  <w:num w:numId="24" w16cid:durableId="349259873">
    <w:abstractNumId w:val="1"/>
  </w:num>
  <w:num w:numId="25" w16cid:durableId="1756438256">
    <w:abstractNumId w:val="13"/>
  </w:num>
  <w:num w:numId="26" w16cid:durableId="265579006">
    <w:abstractNumId w:val="14"/>
  </w:num>
  <w:num w:numId="27" w16cid:durableId="2100908281">
    <w:abstractNumId w:val="11"/>
  </w:num>
  <w:num w:numId="28" w16cid:durableId="12974431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3173756">
    <w:abstractNumId w:val="26"/>
  </w:num>
  <w:num w:numId="30" w16cid:durableId="1616517893">
    <w:abstractNumId w:val="17"/>
  </w:num>
  <w:num w:numId="31" w16cid:durableId="3969051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047716">
    <w:abstractNumId w:val="15"/>
  </w:num>
  <w:num w:numId="33" w16cid:durableId="777986049">
    <w:abstractNumId w:val="27"/>
  </w:num>
  <w:num w:numId="34" w16cid:durableId="1893036715">
    <w:abstractNumId w:val="21"/>
  </w:num>
  <w:num w:numId="35" w16cid:durableId="290746571">
    <w:abstractNumId w:val="29"/>
  </w:num>
  <w:num w:numId="36" w16cid:durableId="864370126">
    <w:abstractNumId w:val="27"/>
  </w:num>
  <w:num w:numId="37" w16cid:durableId="3239093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formatting="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a29e52vawwzee9z065rfx6wt9vfr20vsfs&quot;&gt;Olaparib2023&lt;record-ids&gt;&lt;item&gt;3&lt;/item&gt;&lt;item&gt;5&lt;/item&gt;&lt;item&gt;6&lt;/item&gt;&lt;item&gt;17&lt;/item&gt;&lt;item&gt;19&lt;/item&gt;&lt;item&gt;28&lt;/item&gt;&lt;item&gt;29&lt;/item&gt;&lt;item&gt;30&lt;/item&gt;&lt;item&gt;31&lt;/item&gt;&lt;item&gt;32&lt;/item&gt;&lt;item&gt;33&lt;/item&gt;&lt;item&gt;35&lt;/item&gt;&lt;item&gt;38&lt;/item&gt;&lt;item&gt;39&lt;/item&gt;&lt;item&gt;41&lt;/item&gt;&lt;item&gt;42&lt;/item&gt;&lt;item&gt;47&lt;/item&gt;&lt;item&gt;48&lt;/item&gt;&lt;item&gt;51&lt;/item&gt;&lt;item&gt;55&lt;/item&gt;&lt;item&gt;56&lt;/item&gt;&lt;item&gt;57&lt;/item&gt;&lt;item&gt;58&lt;/item&gt;&lt;item&gt;59&lt;/item&gt;&lt;item&gt;60&lt;/item&gt;&lt;item&gt;61&lt;/item&gt;&lt;item&gt;63&lt;/item&gt;&lt;item&gt;64&lt;/item&gt;&lt;item&gt;65&lt;/item&gt;&lt;item&gt;66&lt;/item&gt;&lt;item&gt;67&lt;/item&gt;&lt;item&gt;68&lt;/item&gt;&lt;item&gt;70&lt;/item&gt;&lt;item&gt;71&lt;/item&gt;&lt;item&gt;72&lt;/item&gt;&lt;item&gt;73&lt;/item&gt;&lt;item&gt;75&lt;/item&gt;&lt;item&gt;76&lt;/item&gt;&lt;item&gt;77&lt;/item&gt;&lt;item&gt;78&lt;/item&gt;&lt;item&gt;79&lt;/item&gt;&lt;/record-ids&gt;&lt;/item&gt;&lt;/Libraries&gt;"/>
  </w:docVars>
  <w:rsids>
    <w:rsidRoot w:val="00E65E79"/>
    <w:rsid w:val="00000790"/>
    <w:rsid w:val="0000110B"/>
    <w:rsid w:val="000025E2"/>
    <w:rsid w:val="00002647"/>
    <w:rsid w:val="00003499"/>
    <w:rsid w:val="000036B4"/>
    <w:rsid w:val="000039B7"/>
    <w:rsid w:val="0000450C"/>
    <w:rsid w:val="000056B9"/>
    <w:rsid w:val="00005920"/>
    <w:rsid w:val="0000639A"/>
    <w:rsid w:val="000065EF"/>
    <w:rsid w:val="00013247"/>
    <w:rsid w:val="00014CF6"/>
    <w:rsid w:val="000154B6"/>
    <w:rsid w:val="00015886"/>
    <w:rsid w:val="000162EF"/>
    <w:rsid w:val="000207C9"/>
    <w:rsid w:val="0002225F"/>
    <w:rsid w:val="000229FE"/>
    <w:rsid w:val="00023763"/>
    <w:rsid w:val="00024EB5"/>
    <w:rsid w:val="000250C9"/>
    <w:rsid w:val="00025732"/>
    <w:rsid w:val="000274B8"/>
    <w:rsid w:val="000322DD"/>
    <w:rsid w:val="00032867"/>
    <w:rsid w:val="00033863"/>
    <w:rsid w:val="0003463B"/>
    <w:rsid w:val="00034983"/>
    <w:rsid w:val="00035816"/>
    <w:rsid w:val="00035DC0"/>
    <w:rsid w:val="00036829"/>
    <w:rsid w:val="0003793C"/>
    <w:rsid w:val="00040895"/>
    <w:rsid w:val="00040C34"/>
    <w:rsid w:val="000410A0"/>
    <w:rsid w:val="00041AB3"/>
    <w:rsid w:val="00042D4F"/>
    <w:rsid w:val="000435EE"/>
    <w:rsid w:val="00043C37"/>
    <w:rsid w:val="00045017"/>
    <w:rsid w:val="000457DA"/>
    <w:rsid w:val="00045A2B"/>
    <w:rsid w:val="0004698F"/>
    <w:rsid w:val="00046C0F"/>
    <w:rsid w:val="00046D64"/>
    <w:rsid w:val="00047245"/>
    <w:rsid w:val="000472DD"/>
    <w:rsid w:val="00047B09"/>
    <w:rsid w:val="0005024A"/>
    <w:rsid w:val="000508C2"/>
    <w:rsid w:val="000539D0"/>
    <w:rsid w:val="00054621"/>
    <w:rsid w:val="000546D7"/>
    <w:rsid w:val="00054A8D"/>
    <w:rsid w:val="000569CD"/>
    <w:rsid w:val="00056ECF"/>
    <w:rsid w:val="00060125"/>
    <w:rsid w:val="000604DF"/>
    <w:rsid w:val="00061AA9"/>
    <w:rsid w:val="00062324"/>
    <w:rsid w:val="000640A6"/>
    <w:rsid w:val="00064C6F"/>
    <w:rsid w:val="000653B5"/>
    <w:rsid w:val="00066360"/>
    <w:rsid w:val="0006645F"/>
    <w:rsid w:val="00066AF8"/>
    <w:rsid w:val="00067029"/>
    <w:rsid w:val="00071248"/>
    <w:rsid w:val="00071C3E"/>
    <w:rsid w:val="000720B9"/>
    <w:rsid w:val="000737F7"/>
    <w:rsid w:val="0007672F"/>
    <w:rsid w:val="00076B54"/>
    <w:rsid w:val="000774F0"/>
    <w:rsid w:val="000808EC"/>
    <w:rsid w:val="00080909"/>
    <w:rsid w:val="000812CA"/>
    <w:rsid w:val="00081507"/>
    <w:rsid w:val="00081E63"/>
    <w:rsid w:val="0008258D"/>
    <w:rsid w:val="00082F40"/>
    <w:rsid w:val="0008356C"/>
    <w:rsid w:val="00083E99"/>
    <w:rsid w:val="00084FA8"/>
    <w:rsid w:val="000856C5"/>
    <w:rsid w:val="00085C31"/>
    <w:rsid w:val="000863E7"/>
    <w:rsid w:val="00086F7A"/>
    <w:rsid w:val="000902D9"/>
    <w:rsid w:val="00090391"/>
    <w:rsid w:val="00090398"/>
    <w:rsid w:val="00090C7E"/>
    <w:rsid w:val="000911AC"/>
    <w:rsid w:val="00092600"/>
    <w:rsid w:val="0009262B"/>
    <w:rsid w:val="00093310"/>
    <w:rsid w:val="0009445C"/>
    <w:rsid w:val="00095200"/>
    <w:rsid w:val="00095FE5"/>
    <w:rsid w:val="00096284"/>
    <w:rsid w:val="00096B4B"/>
    <w:rsid w:val="0009726C"/>
    <w:rsid w:val="000A0CC7"/>
    <w:rsid w:val="000A1BC0"/>
    <w:rsid w:val="000A2F9E"/>
    <w:rsid w:val="000A3E47"/>
    <w:rsid w:val="000A522B"/>
    <w:rsid w:val="000A6039"/>
    <w:rsid w:val="000A7453"/>
    <w:rsid w:val="000A7706"/>
    <w:rsid w:val="000A7D08"/>
    <w:rsid w:val="000B0121"/>
    <w:rsid w:val="000B0670"/>
    <w:rsid w:val="000B0883"/>
    <w:rsid w:val="000B0E75"/>
    <w:rsid w:val="000B2899"/>
    <w:rsid w:val="000B2DCB"/>
    <w:rsid w:val="000B5CE0"/>
    <w:rsid w:val="000B6CAC"/>
    <w:rsid w:val="000B7612"/>
    <w:rsid w:val="000B78AE"/>
    <w:rsid w:val="000B78F4"/>
    <w:rsid w:val="000C0529"/>
    <w:rsid w:val="000C0FB8"/>
    <w:rsid w:val="000C3DF9"/>
    <w:rsid w:val="000C4CF2"/>
    <w:rsid w:val="000C567D"/>
    <w:rsid w:val="000C6713"/>
    <w:rsid w:val="000C7710"/>
    <w:rsid w:val="000D1755"/>
    <w:rsid w:val="000D1BFC"/>
    <w:rsid w:val="000D1D5D"/>
    <w:rsid w:val="000D281A"/>
    <w:rsid w:val="000D2848"/>
    <w:rsid w:val="000D326A"/>
    <w:rsid w:val="000D442B"/>
    <w:rsid w:val="000D51FB"/>
    <w:rsid w:val="000D56AD"/>
    <w:rsid w:val="000E0640"/>
    <w:rsid w:val="000E135D"/>
    <w:rsid w:val="000E4D51"/>
    <w:rsid w:val="000E5ADA"/>
    <w:rsid w:val="000F00BA"/>
    <w:rsid w:val="000F01EA"/>
    <w:rsid w:val="000F034E"/>
    <w:rsid w:val="000F316A"/>
    <w:rsid w:val="000F3C74"/>
    <w:rsid w:val="000F48AE"/>
    <w:rsid w:val="000F4BB8"/>
    <w:rsid w:val="000F4FA9"/>
    <w:rsid w:val="000F53FB"/>
    <w:rsid w:val="000F5A2D"/>
    <w:rsid w:val="000F7127"/>
    <w:rsid w:val="000F7259"/>
    <w:rsid w:val="000F7B54"/>
    <w:rsid w:val="001000B3"/>
    <w:rsid w:val="00100321"/>
    <w:rsid w:val="00100F8A"/>
    <w:rsid w:val="00103F45"/>
    <w:rsid w:val="0010452E"/>
    <w:rsid w:val="00105AE2"/>
    <w:rsid w:val="001060C6"/>
    <w:rsid w:val="00106B80"/>
    <w:rsid w:val="001074C6"/>
    <w:rsid w:val="0011032E"/>
    <w:rsid w:val="00110A46"/>
    <w:rsid w:val="00112234"/>
    <w:rsid w:val="00113463"/>
    <w:rsid w:val="0011348B"/>
    <w:rsid w:val="00113896"/>
    <w:rsid w:val="00113BBA"/>
    <w:rsid w:val="00113D39"/>
    <w:rsid w:val="00115982"/>
    <w:rsid w:val="00116C53"/>
    <w:rsid w:val="00121616"/>
    <w:rsid w:val="00121799"/>
    <w:rsid w:val="001222FC"/>
    <w:rsid w:val="001223AF"/>
    <w:rsid w:val="001229C8"/>
    <w:rsid w:val="00123902"/>
    <w:rsid w:val="00124A51"/>
    <w:rsid w:val="00126621"/>
    <w:rsid w:val="001267CB"/>
    <w:rsid w:val="00126B1D"/>
    <w:rsid w:val="001301E9"/>
    <w:rsid w:val="00131D82"/>
    <w:rsid w:val="00132B22"/>
    <w:rsid w:val="00133D36"/>
    <w:rsid w:val="001348A4"/>
    <w:rsid w:val="00134F19"/>
    <w:rsid w:val="00135262"/>
    <w:rsid w:val="00137645"/>
    <w:rsid w:val="0014015A"/>
    <w:rsid w:val="001402CC"/>
    <w:rsid w:val="00140E99"/>
    <w:rsid w:val="00143D73"/>
    <w:rsid w:val="00143F67"/>
    <w:rsid w:val="00145234"/>
    <w:rsid w:val="00145540"/>
    <w:rsid w:val="001456B0"/>
    <w:rsid w:val="00152894"/>
    <w:rsid w:val="0015379F"/>
    <w:rsid w:val="001547AB"/>
    <w:rsid w:val="00154F3E"/>
    <w:rsid w:val="00156A1D"/>
    <w:rsid w:val="00156F8F"/>
    <w:rsid w:val="00157130"/>
    <w:rsid w:val="001576B1"/>
    <w:rsid w:val="00157B92"/>
    <w:rsid w:val="0016047B"/>
    <w:rsid w:val="001608B3"/>
    <w:rsid w:val="00160A4C"/>
    <w:rsid w:val="00161B9A"/>
    <w:rsid w:val="001628B9"/>
    <w:rsid w:val="00162913"/>
    <w:rsid w:val="00162FFC"/>
    <w:rsid w:val="00163529"/>
    <w:rsid w:val="00163EFF"/>
    <w:rsid w:val="00163F66"/>
    <w:rsid w:val="0016478E"/>
    <w:rsid w:val="00165EC4"/>
    <w:rsid w:val="001661FB"/>
    <w:rsid w:val="00166C86"/>
    <w:rsid w:val="00166F4C"/>
    <w:rsid w:val="001671A0"/>
    <w:rsid w:val="0016767F"/>
    <w:rsid w:val="00167B28"/>
    <w:rsid w:val="00170385"/>
    <w:rsid w:val="00172D2B"/>
    <w:rsid w:val="00173049"/>
    <w:rsid w:val="001732CF"/>
    <w:rsid w:val="00173565"/>
    <w:rsid w:val="00173B07"/>
    <w:rsid w:val="001751FA"/>
    <w:rsid w:val="00176A13"/>
    <w:rsid w:val="0018082C"/>
    <w:rsid w:val="00181C10"/>
    <w:rsid w:val="00181D9C"/>
    <w:rsid w:val="001837FF"/>
    <w:rsid w:val="00183AA9"/>
    <w:rsid w:val="00184B0E"/>
    <w:rsid w:val="0018752F"/>
    <w:rsid w:val="00190DDA"/>
    <w:rsid w:val="001920C2"/>
    <w:rsid w:val="00193838"/>
    <w:rsid w:val="00194AD8"/>
    <w:rsid w:val="00195222"/>
    <w:rsid w:val="00195452"/>
    <w:rsid w:val="001954A5"/>
    <w:rsid w:val="00195A35"/>
    <w:rsid w:val="00196D81"/>
    <w:rsid w:val="00196F1C"/>
    <w:rsid w:val="001975D8"/>
    <w:rsid w:val="001A178E"/>
    <w:rsid w:val="001A43FA"/>
    <w:rsid w:val="001A4410"/>
    <w:rsid w:val="001A47C5"/>
    <w:rsid w:val="001A5452"/>
    <w:rsid w:val="001A59FB"/>
    <w:rsid w:val="001A5E9E"/>
    <w:rsid w:val="001A6354"/>
    <w:rsid w:val="001A6366"/>
    <w:rsid w:val="001A7530"/>
    <w:rsid w:val="001A7AE8"/>
    <w:rsid w:val="001B07FE"/>
    <w:rsid w:val="001B0C68"/>
    <w:rsid w:val="001B204E"/>
    <w:rsid w:val="001B2372"/>
    <w:rsid w:val="001B3443"/>
    <w:rsid w:val="001B344C"/>
    <w:rsid w:val="001B4C08"/>
    <w:rsid w:val="001B4D20"/>
    <w:rsid w:val="001B77F1"/>
    <w:rsid w:val="001B7F84"/>
    <w:rsid w:val="001C15C4"/>
    <w:rsid w:val="001C2A9B"/>
    <w:rsid w:val="001C3A46"/>
    <w:rsid w:val="001C3DD6"/>
    <w:rsid w:val="001C4299"/>
    <w:rsid w:val="001C4365"/>
    <w:rsid w:val="001C4874"/>
    <w:rsid w:val="001C5F94"/>
    <w:rsid w:val="001C6B8C"/>
    <w:rsid w:val="001C6E66"/>
    <w:rsid w:val="001D1100"/>
    <w:rsid w:val="001D1391"/>
    <w:rsid w:val="001D25D7"/>
    <w:rsid w:val="001D300B"/>
    <w:rsid w:val="001D50B2"/>
    <w:rsid w:val="001D647E"/>
    <w:rsid w:val="001D71F4"/>
    <w:rsid w:val="001D7645"/>
    <w:rsid w:val="001E0A08"/>
    <w:rsid w:val="001E1E86"/>
    <w:rsid w:val="001E238E"/>
    <w:rsid w:val="001E2483"/>
    <w:rsid w:val="001E2B1E"/>
    <w:rsid w:val="001E2CFF"/>
    <w:rsid w:val="001E2F24"/>
    <w:rsid w:val="001E2F5D"/>
    <w:rsid w:val="001E30D4"/>
    <w:rsid w:val="001E3259"/>
    <w:rsid w:val="001E34DF"/>
    <w:rsid w:val="001E3EBD"/>
    <w:rsid w:val="001E4C2D"/>
    <w:rsid w:val="001E4CC8"/>
    <w:rsid w:val="001E52EB"/>
    <w:rsid w:val="001E57C8"/>
    <w:rsid w:val="001E5CEC"/>
    <w:rsid w:val="001E61D2"/>
    <w:rsid w:val="001E65C8"/>
    <w:rsid w:val="001E740C"/>
    <w:rsid w:val="001F0217"/>
    <w:rsid w:val="001F1235"/>
    <w:rsid w:val="001F1CB3"/>
    <w:rsid w:val="001F38B5"/>
    <w:rsid w:val="001F4081"/>
    <w:rsid w:val="001F4DBB"/>
    <w:rsid w:val="001F7361"/>
    <w:rsid w:val="002011B0"/>
    <w:rsid w:val="002014F7"/>
    <w:rsid w:val="00201B8F"/>
    <w:rsid w:val="00202B17"/>
    <w:rsid w:val="00202D9A"/>
    <w:rsid w:val="00202FB6"/>
    <w:rsid w:val="00203181"/>
    <w:rsid w:val="00203783"/>
    <w:rsid w:val="0020385F"/>
    <w:rsid w:val="0020524D"/>
    <w:rsid w:val="002060B0"/>
    <w:rsid w:val="00206283"/>
    <w:rsid w:val="00206894"/>
    <w:rsid w:val="002068A0"/>
    <w:rsid w:val="00207021"/>
    <w:rsid w:val="0020732F"/>
    <w:rsid w:val="00207D00"/>
    <w:rsid w:val="00207EA9"/>
    <w:rsid w:val="002105C1"/>
    <w:rsid w:val="00210904"/>
    <w:rsid w:val="002116FD"/>
    <w:rsid w:val="00211C98"/>
    <w:rsid w:val="00212985"/>
    <w:rsid w:val="00212AE6"/>
    <w:rsid w:val="00213EF5"/>
    <w:rsid w:val="002140F2"/>
    <w:rsid w:val="00215BBD"/>
    <w:rsid w:val="00216BF5"/>
    <w:rsid w:val="0022327D"/>
    <w:rsid w:val="00223B49"/>
    <w:rsid w:val="00223D5A"/>
    <w:rsid w:val="00224DD4"/>
    <w:rsid w:val="002278A0"/>
    <w:rsid w:val="002309CC"/>
    <w:rsid w:val="00231BA9"/>
    <w:rsid w:val="0023209F"/>
    <w:rsid w:val="00233C01"/>
    <w:rsid w:val="00234065"/>
    <w:rsid w:val="0023413C"/>
    <w:rsid w:val="002346DF"/>
    <w:rsid w:val="002346F0"/>
    <w:rsid w:val="0023629D"/>
    <w:rsid w:val="00237255"/>
    <w:rsid w:val="00240431"/>
    <w:rsid w:val="002424AF"/>
    <w:rsid w:val="002439DC"/>
    <w:rsid w:val="002441D2"/>
    <w:rsid w:val="00244DC8"/>
    <w:rsid w:val="002458BA"/>
    <w:rsid w:val="00245CE9"/>
    <w:rsid w:val="0024636C"/>
    <w:rsid w:val="0024693F"/>
    <w:rsid w:val="00246F87"/>
    <w:rsid w:val="00247925"/>
    <w:rsid w:val="00247A4A"/>
    <w:rsid w:val="00251006"/>
    <w:rsid w:val="002510C9"/>
    <w:rsid w:val="002524D5"/>
    <w:rsid w:val="00253B1D"/>
    <w:rsid w:val="00254DCF"/>
    <w:rsid w:val="0025534B"/>
    <w:rsid w:val="00255BB7"/>
    <w:rsid w:val="0025709C"/>
    <w:rsid w:val="00257541"/>
    <w:rsid w:val="00257A39"/>
    <w:rsid w:val="00257AC4"/>
    <w:rsid w:val="00257BBE"/>
    <w:rsid w:val="00257C3E"/>
    <w:rsid w:val="00261545"/>
    <w:rsid w:val="00261EEF"/>
    <w:rsid w:val="00262A1A"/>
    <w:rsid w:val="00262A87"/>
    <w:rsid w:val="00264D26"/>
    <w:rsid w:val="00267299"/>
    <w:rsid w:val="00267642"/>
    <w:rsid w:val="00267AEA"/>
    <w:rsid w:val="00267BD2"/>
    <w:rsid w:val="002700E6"/>
    <w:rsid w:val="0027036D"/>
    <w:rsid w:val="00270ED4"/>
    <w:rsid w:val="0027294B"/>
    <w:rsid w:val="00273EB4"/>
    <w:rsid w:val="00274494"/>
    <w:rsid w:val="002744FC"/>
    <w:rsid w:val="002745C2"/>
    <w:rsid w:val="00274682"/>
    <w:rsid w:val="00274CD8"/>
    <w:rsid w:val="002750E4"/>
    <w:rsid w:val="00275158"/>
    <w:rsid w:val="002751EB"/>
    <w:rsid w:val="00275C5A"/>
    <w:rsid w:val="00277AFA"/>
    <w:rsid w:val="00280EE2"/>
    <w:rsid w:val="00281014"/>
    <w:rsid w:val="0028209A"/>
    <w:rsid w:val="00284BDD"/>
    <w:rsid w:val="00285B61"/>
    <w:rsid w:val="00285BCE"/>
    <w:rsid w:val="0028665D"/>
    <w:rsid w:val="002901B9"/>
    <w:rsid w:val="0029271D"/>
    <w:rsid w:val="00293AE9"/>
    <w:rsid w:val="00293D8C"/>
    <w:rsid w:val="0029671C"/>
    <w:rsid w:val="002A13F0"/>
    <w:rsid w:val="002A14AB"/>
    <w:rsid w:val="002A2ADE"/>
    <w:rsid w:val="002A2F50"/>
    <w:rsid w:val="002A4579"/>
    <w:rsid w:val="002A52AA"/>
    <w:rsid w:val="002A7943"/>
    <w:rsid w:val="002A7A08"/>
    <w:rsid w:val="002B05A1"/>
    <w:rsid w:val="002B09A4"/>
    <w:rsid w:val="002B171F"/>
    <w:rsid w:val="002B1C1F"/>
    <w:rsid w:val="002B3FCF"/>
    <w:rsid w:val="002B432F"/>
    <w:rsid w:val="002B433F"/>
    <w:rsid w:val="002B4852"/>
    <w:rsid w:val="002B52CB"/>
    <w:rsid w:val="002B5FC5"/>
    <w:rsid w:val="002B62B3"/>
    <w:rsid w:val="002B644F"/>
    <w:rsid w:val="002B6754"/>
    <w:rsid w:val="002B6ADB"/>
    <w:rsid w:val="002B6CCE"/>
    <w:rsid w:val="002B7580"/>
    <w:rsid w:val="002B7CC9"/>
    <w:rsid w:val="002C2510"/>
    <w:rsid w:val="002C2775"/>
    <w:rsid w:val="002C27C1"/>
    <w:rsid w:val="002C343C"/>
    <w:rsid w:val="002C36E3"/>
    <w:rsid w:val="002C3D67"/>
    <w:rsid w:val="002C5099"/>
    <w:rsid w:val="002C5889"/>
    <w:rsid w:val="002C60CB"/>
    <w:rsid w:val="002C62E8"/>
    <w:rsid w:val="002C71CE"/>
    <w:rsid w:val="002C79D9"/>
    <w:rsid w:val="002D08F8"/>
    <w:rsid w:val="002D32A6"/>
    <w:rsid w:val="002D5411"/>
    <w:rsid w:val="002D577C"/>
    <w:rsid w:val="002D7832"/>
    <w:rsid w:val="002E1071"/>
    <w:rsid w:val="002E15B9"/>
    <w:rsid w:val="002E189F"/>
    <w:rsid w:val="002E2158"/>
    <w:rsid w:val="002E4F02"/>
    <w:rsid w:val="002E5EB9"/>
    <w:rsid w:val="002E7722"/>
    <w:rsid w:val="002F07BA"/>
    <w:rsid w:val="002F0DA9"/>
    <w:rsid w:val="002F1014"/>
    <w:rsid w:val="002F1E3B"/>
    <w:rsid w:val="002F2C83"/>
    <w:rsid w:val="002F39AF"/>
    <w:rsid w:val="002F4744"/>
    <w:rsid w:val="002F4ADA"/>
    <w:rsid w:val="002F643C"/>
    <w:rsid w:val="002F71C0"/>
    <w:rsid w:val="002F73D6"/>
    <w:rsid w:val="002F74F1"/>
    <w:rsid w:val="00301017"/>
    <w:rsid w:val="0030155F"/>
    <w:rsid w:val="00301593"/>
    <w:rsid w:val="00301F41"/>
    <w:rsid w:val="00302246"/>
    <w:rsid w:val="0030587B"/>
    <w:rsid w:val="00305F01"/>
    <w:rsid w:val="00306D98"/>
    <w:rsid w:val="003077DD"/>
    <w:rsid w:val="0030786C"/>
    <w:rsid w:val="0031031A"/>
    <w:rsid w:val="00310981"/>
    <w:rsid w:val="00311D9B"/>
    <w:rsid w:val="003124D9"/>
    <w:rsid w:val="00312594"/>
    <w:rsid w:val="0031262B"/>
    <w:rsid w:val="00312E96"/>
    <w:rsid w:val="00315498"/>
    <w:rsid w:val="00316474"/>
    <w:rsid w:val="00316F70"/>
    <w:rsid w:val="003212FE"/>
    <w:rsid w:val="00322107"/>
    <w:rsid w:val="00322355"/>
    <w:rsid w:val="00322498"/>
    <w:rsid w:val="00322846"/>
    <w:rsid w:val="00323C4E"/>
    <w:rsid w:val="00326DA7"/>
    <w:rsid w:val="003270E4"/>
    <w:rsid w:val="0033082D"/>
    <w:rsid w:val="00330DAA"/>
    <w:rsid w:val="00330F5C"/>
    <w:rsid w:val="003352A3"/>
    <w:rsid w:val="003366C9"/>
    <w:rsid w:val="003371B0"/>
    <w:rsid w:val="00337D92"/>
    <w:rsid w:val="00340DF1"/>
    <w:rsid w:val="00343FF5"/>
    <w:rsid w:val="00345283"/>
    <w:rsid w:val="003456A0"/>
    <w:rsid w:val="0034708B"/>
    <w:rsid w:val="003470BB"/>
    <w:rsid w:val="0035112F"/>
    <w:rsid w:val="0035131D"/>
    <w:rsid w:val="0035170D"/>
    <w:rsid w:val="003517F9"/>
    <w:rsid w:val="00351BA9"/>
    <w:rsid w:val="003536CC"/>
    <w:rsid w:val="0035439D"/>
    <w:rsid w:val="00354F64"/>
    <w:rsid w:val="00356158"/>
    <w:rsid w:val="0035620E"/>
    <w:rsid w:val="003575BE"/>
    <w:rsid w:val="00360345"/>
    <w:rsid w:val="00361A05"/>
    <w:rsid w:val="003624C4"/>
    <w:rsid w:val="00363B00"/>
    <w:rsid w:val="00363FFB"/>
    <w:rsid w:val="003654AC"/>
    <w:rsid w:val="00366708"/>
    <w:rsid w:val="00366C95"/>
    <w:rsid w:val="00367C99"/>
    <w:rsid w:val="003701DB"/>
    <w:rsid w:val="00370667"/>
    <w:rsid w:val="00370B2F"/>
    <w:rsid w:val="003710CF"/>
    <w:rsid w:val="003723F3"/>
    <w:rsid w:val="00372E25"/>
    <w:rsid w:val="0037358A"/>
    <w:rsid w:val="003750F6"/>
    <w:rsid w:val="003753DA"/>
    <w:rsid w:val="00375AC9"/>
    <w:rsid w:val="00375E90"/>
    <w:rsid w:val="003760FC"/>
    <w:rsid w:val="00380D24"/>
    <w:rsid w:val="0038365C"/>
    <w:rsid w:val="0038369B"/>
    <w:rsid w:val="00383B78"/>
    <w:rsid w:val="00384C6E"/>
    <w:rsid w:val="00385712"/>
    <w:rsid w:val="00385A9D"/>
    <w:rsid w:val="00385D18"/>
    <w:rsid w:val="00387121"/>
    <w:rsid w:val="00387242"/>
    <w:rsid w:val="003874D5"/>
    <w:rsid w:val="003902B1"/>
    <w:rsid w:val="0039179C"/>
    <w:rsid w:val="00396896"/>
    <w:rsid w:val="00396FD0"/>
    <w:rsid w:val="003A1A7A"/>
    <w:rsid w:val="003A2392"/>
    <w:rsid w:val="003A2831"/>
    <w:rsid w:val="003A3CB6"/>
    <w:rsid w:val="003A3ED1"/>
    <w:rsid w:val="003A44DB"/>
    <w:rsid w:val="003A4C14"/>
    <w:rsid w:val="003A5559"/>
    <w:rsid w:val="003A617A"/>
    <w:rsid w:val="003A7B80"/>
    <w:rsid w:val="003B22E8"/>
    <w:rsid w:val="003B3971"/>
    <w:rsid w:val="003B55D1"/>
    <w:rsid w:val="003B5B33"/>
    <w:rsid w:val="003B5B61"/>
    <w:rsid w:val="003B7A1B"/>
    <w:rsid w:val="003C1372"/>
    <w:rsid w:val="003C14EE"/>
    <w:rsid w:val="003C1654"/>
    <w:rsid w:val="003C2679"/>
    <w:rsid w:val="003C531A"/>
    <w:rsid w:val="003C5542"/>
    <w:rsid w:val="003C7C15"/>
    <w:rsid w:val="003C7D19"/>
    <w:rsid w:val="003C7D2F"/>
    <w:rsid w:val="003D04F3"/>
    <w:rsid w:val="003D0C5A"/>
    <w:rsid w:val="003D15D0"/>
    <w:rsid w:val="003D1828"/>
    <w:rsid w:val="003D1DE4"/>
    <w:rsid w:val="003D1E9A"/>
    <w:rsid w:val="003D2422"/>
    <w:rsid w:val="003D2900"/>
    <w:rsid w:val="003D2D58"/>
    <w:rsid w:val="003D39A1"/>
    <w:rsid w:val="003D3FBF"/>
    <w:rsid w:val="003D4A30"/>
    <w:rsid w:val="003D7452"/>
    <w:rsid w:val="003D794C"/>
    <w:rsid w:val="003D79BB"/>
    <w:rsid w:val="003D7C98"/>
    <w:rsid w:val="003D7D9D"/>
    <w:rsid w:val="003E03DB"/>
    <w:rsid w:val="003E0543"/>
    <w:rsid w:val="003E116F"/>
    <w:rsid w:val="003E37B8"/>
    <w:rsid w:val="003E5603"/>
    <w:rsid w:val="003E6952"/>
    <w:rsid w:val="003E749E"/>
    <w:rsid w:val="003E7D75"/>
    <w:rsid w:val="003F0770"/>
    <w:rsid w:val="003F2114"/>
    <w:rsid w:val="003F23C3"/>
    <w:rsid w:val="003F3821"/>
    <w:rsid w:val="003F3AA2"/>
    <w:rsid w:val="003F4156"/>
    <w:rsid w:val="003F5ADF"/>
    <w:rsid w:val="003F6967"/>
    <w:rsid w:val="00400B29"/>
    <w:rsid w:val="00402812"/>
    <w:rsid w:val="0040504B"/>
    <w:rsid w:val="004059F4"/>
    <w:rsid w:val="0040687B"/>
    <w:rsid w:val="00407FE5"/>
    <w:rsid w:val="004101B0"/>
    <w:rsid w:val="00410326"/>
    <w:rsid w:val="00410708"/>
    <w:rsid w:val="00410EC7"/>
    <w:rsid w:val="00411B39"/>
    <w:rsid w:val="004127A7"/>
    <w:rsid w:val="00413A1E"/>
    <w:rsid w:val="00414476"/>
    <w:rsid w:val="00414C2E"/>
    <w:rsid w:val="004151CF"/>
    <w:rsid w:val="00416364"/>
    <w:rsid w:val="00417C6D"/>
    <w:rsid w:val="0042047F"/>
    <w:rsid w:val="00420AA6"/>
    <w:rsid w:val="00420B9F"/>
    <w:rsid w:val="00420F58"/>
    <w:rsid w:val="00420FDD"/>
    <w:rsid w:val="00421422"/>
    <w:rsid w:val="0042192C"/>
    <w:rsid w:val="00422260"/>
    <w:rsid w:val="00422AE4"/>
    <w:rsid w:val="00423094"/>
    <w:rsid w:val="00423847"/>
    <w:rsid w:val="0042413F"/>
    <w:rsid w:val="0042447C"/>
    <w:rsid w:val="004319F8"/>
    <w:rsid w:val="00431E55"/>
    <w:rsid w:val="00431F86"/>
    <w:rsid w:val="004321F6"/>
    <w:rsid w:val="00432395"/>
    <w:rsid w:val="00433044"/>
    <w:rsid w:val="00434088"/>
    <w:rsid w:val="004358D9"/>
    <w:rsid w:val="00436921"/>
    <w:rsid w:val="004375B9"/>
    <w:rsid w:val="004428D0"/>
    <w:rsid w:val="00444185"/>
    <w:rsid w:val="004443A7"/>
    <w:rsid w:val="0044442C"/>
    <w:rsid w:val="00445941"/>
    <w:rsid w:val="004464EB"/>
    <w:rsid w:val="004469B2"/>
    <w:rsid w:val="00447D26"/>
    <w:rsid w:val="00447DFC"/>
    <w:rsid w:val="00450576"/>
    <w:rsid w:val="00450F02"/>
    <w:rsid w:val="00454085"/>
    <w:rsid w:val="00454E6B"/>
    <w:rsid w:val="00455D45"/>
    <w:rsid w:val="00455E43"/>
    <w:rsid w:val="0045625B"/>
    <w:rsid w:val="0046169E"/>
    <w:rsid w:val="00463625"/>
    <w:rsid w:val="00464595"/>
    <w:rsid w:val="004658B5"/>
    <w:rsid w:val="00466474"/>
    <w:rsid w:val="004664CA"/>
    <w:rsid w:val="00466DAA"/>
    <w:rsid w:val="00470719"/>
    <w:rsid w:val="004716FB"/>
    <w:rsid w:val="0047198D"/>
    <w:rsid w:val="00471EA5"/>
    <w:rsid w:val="00472A79"/>
    <w:rsid w:val="00472C26"/>
    <w:rsid w:val="00472C29"/>
    <w:rsid w:val="00473F19"/>
    <w:rsid w:val="00475E22"/>
    <w:rsid w:val="00475E3E"/>
    <w:rsid w:val="0048088E"/>
    <w:rsid w:val="00480F2B"/>
    <w:rsid w:val="00482720"/>
    <w:rsid w:val="00482DC2"/>
    <w:rsid w:val="00483147"/>
    <w:rsid w:val="00483261"/>
    <w:rsid w:val="00483274"/>
    <w:rsid w:val="004835E7"/>
    <w:rsid w:val="00484086"/>
    <w:rsid w:val="004859E1"/>
    <w:rsid w:val="00485CF5"/>
    <w:rsid w:val="004867E2"/>
    <w:rsid w:val="00490A88"/>
    <w:rsid w:val="00490B17"/>
    <w:rsid w:val="00490C30"/>
    <w:rsid w:val="004918CB"/>
    <w:rsid w:val="00491B3A"/>
    <w:rsid w:val="00492CFD"/>
    <w:rsid w:val="00494207"/>
    <w:rsid w:val="00494DD5"/>
    <w:rsid w:val="004962D2"/>
    <w:rsid w:val="00496754"/>
    <w:rsid w:val="00496E99"/>
    <w:rsid w:val="004A0DA1"/>
    <w:rsid w:val="004A13D6"/>
    <w:rsid w:val="004A351C"/>
    <w:rsid w:val="004A488A"/>
    <w:rsid w:val="004A52E9"/>
    <w:rsid w:val="004A5DC1"/>
    <w:rsid w:val="004A6040"/>
    <w:rsid w:val="004A6077"/>
    <w:rsid w:val="004A6597"/>
    <w:rsid w:val="004A7848"/>
    <w:rsid w:val="004A793B"/>
    <w:rsid w:val="004B1CB4"/>
    <w:rsid w:val="004B2406"/>
    <w:rsid w:val="004B2F18"/>
    <w:rsid w:val="004B3DDB"/>
    <w:rsid w:val="004B43AD"/>
    <w:rsid w:val="004B44FD"/>
    <w:rsid w:val="004B4ADE"/>
    <w:rsid w:val="004B5785"/>
    <w:rsid w:val="004B5CFC"/>
    <w:rsid w:val="004B615E"/>
    <w:rsid w:val="004B6F79"/>
    <w:rsid w:val="004B707C"/>
    <w:rsid w:val="004B774D"/>
    <w:rsid w:val="004C0854"/>
    <w:rsid w:val="004C0E34"/>
    <w:rsid w:val="004C1C5A"/>
    <w:rsid w:val="004C234E"/>
    <w:rsid w:val="004C28DB"/>
    <w:rsid w:val="004C2AC2"/>
    <w:rsid w:val="004C3AA5"/>
    <w:rsid w:val="004C3AF7"/>
    <w:rsid w:val="004C4AED"/>
    <w:rsid w:val="004C65B8"/>
    <w:rsid w:val="004C677D"/>
    <w:rsid w:val="004C72AA"/>
    <w:rsid w:val="004D2C2D"/>
    <w:rsid w:val="004D2F93"/>
    <w:rsid w:val="004D5B8C"/>
    <w:rsid w:val="004D69B5"/>
    <w:rsid w:val="004D7227"/>
    <w:rsid w:val="004D7AA5"/>
    <w:rsid w:val="004D7B5E"/>
    <w:rsid w:val="004E0E7F"/>
    <w:rsid w:val="004E0EB8"/>
    <w:rsid w:val="004E0EFB"/>
    <w:rsid w:val="004E18E9"/>
    <w:rsid w:val="004E1E0B"/>
    <w:rsid w:val="004E28C9"/>
    <w:rsid w:val="004E2AC9"/>
    <w:rsid w:val="004E2ADC"/>
    <w:rsid w:val="004E43B2"/>
    <w:rsid w:val="004E58A7"/>
    <w:rsid w:val="004E789B"/>
    <w:rsid w:val="004E7C59"/>
    <w:rsid w:val="004F1D02"/>
    <w:rsid w:val="004F2679"/>
    <w:rsid w:val="004F2CF2"/>
    <w:rsid w:val="004F2F21"/>
    <w:rsid w:val="004F3DE5"/>
    <w:rsid w:val="004F5A3E"/>
    <w:rsid w:val="004F5B47"/>
    <w:rsid w:val="004F6913"/>
    <w:rsid w:val="004F7865"/>
    <w:rsid w:val="00500E61"/>
    <w:rsid w:val="0050174E"/>
    <w:rsid w:val="00501854"/>
    <w:rsid w:val="0050219B"/>
    <w:rsid w:val="005026AF"/>
    <w:rsid w:val="00502B17"/>
    <w:rsid w:val="00503F17"/>
    <w:rsid w:val="00503F3A"/>
    <w:rsid w:val="00505561"/>
    <w:rsid w:val="00506928"/>
    <w:rsid w:val="00506FF5"/>
    <w:rsid w:val="005077EF"/>
    <w:rsid w:val="00507E9A"/>
    <w:rsid w:val="00511AD5"/>
    <w:rsid w:val="00511DC7"/>
    <w:rsid w:val="0051242C"/>
    <w:rsid w:val="0051355D"/>
    <w:rsid w:val="00513566"/>
    <w:rsid w:val="00513652"/>
    <w:rsid w:val="005142C5"/>
    <w:rsid w:val="0051501B"/>
    <w:rsid w:val="005152B5"/>
    <w:rsid w:val="0051559B"/>
    <w:rsid w:val="00515886"/>
    <w:rsid w:val="005159AB"/>
    <w:rsid w:val="005171FD"/>
    <w:rsid w:val="005175BF"/>
    <w:rsid w:val="0052123C"/>
    <w:rsid w:val="00521319"/>
    <w:rsid w:val="0052256F"/>
    <w:rsid w:val="00522BC8"/>
    <w:rsid w:val="00522E60"/>
    <w:rsid w:val="00523C28"/>
    <w:rsid w:val="0052461A"/>
    <w:rsid w:val="00527BCE"/>
    <w:rsid w:val="0053176B"/>
    <w:rsid w:val="00531821"/>
    <w:rsid w:val="00533F42"/>
    <w:rsid w:val="005341B3"/>
    <w:rsid w:val="0053582E"/>
    <w:rsid w:val="00536F42"/>
    <w:rsid w:val="00536F61"/>
    <w:rsid w:val="00537182"/>
    <w:rsid w:val="005379E8"/>
    <w:rsid w:val="00541EDD"/>
    <w:rsid w:val="00542743"/>
    <w:rsid w:val="00542C2D"/>
    <w:rsid w:val="005436A5"/>
    <w:rsid w:val="00543ACD"/>
    <w:rsid w:val="00544192"/>
    <w:rsid w:val="005443CA"/>
    <w:rsid w:val="0054556E"/>
    <w:rsid w:val="00545B80"/>
    <w:rsid w:val="00545F74"/>
    <w:rsid w:val="005464AD"/>
    <w:rsid w:val="00546FBF"/>
    <w:rsid w:val="005470BA"/>
    <w:rsid w:val="005478BD"/>
    <w:rsid w:val="005479E3"/>
    <w:rsid w:val="00550643"/>
    <w:rsid w:val="005513EF"/>
    <w:rsid w:val="00551985"/>
    <w:rsid w:val="00551A44"/>
    <w:rsid w:val="00552BD3"/>
    <w:rsid w:val="005532A0"/>
    <w:rsid w:val="005542C1"/>
    <w:rsid w:val="00555109"/>
    <w:rsid w:val="005565FA"/>
    <w:rsid w:val="00556B35"/>
    <w:rsid w:val="0055741A"/>
    <w:rsid w:val="00557703"/>
    <w:rsid w:val="00560520"/>
    <w:rsid w:val="005611B7"/>
    <w:rsid w:val="005618D4"/>
    <w:rsid w:val="00561E8D"/>
    <w:rsid w:val="00562EFD"/>
    <w:rsid w:val="00564867"/>
    <w:rsid w:val="00564BDA"/>
    <w:rsid w:val="00565094"/>
    <w:rsid w:val="00565C79"/>
    <w:rsid w:val="00565DF0"/>
    <w:rsid w:val="0056696F"/>
    <w:rsid w:val="005709B0"/>
    <w:rsid w:val="00572269"/>
    <w:rsid w:val="0057244A"/>
    <w:rsid w:val="00572963"/>
    <w:rsid w:val="00572B27"/>
    <w:rsid w:val="00572F26"/>
    <w:rsid w:val="00573F18"/>
    <w:rsid w:val="005750C5"/>
    <w:rsid w:val="005752DE"/>
    <w:rsid w:val="00575AA1"/>
    <w:rsid w:val="00575D60"/>
    <w:rsid w:val="00575D8D"/>
    <w:rsid w:val="00576972"/>
    <w:rsid w:val="00577248"/>
    <w:rsid w:val="00580574"/>
    <w:rsid w:val="00583699"/>
    <w:rsid w:val="00584156"/>
    <w:rsid w:val="00584275"/>
    <w:rsid w:val="00585B34"/>
    <w:rsid w:val="00585CDD"/>
    <w:rsid w:val="0058687B"/>
    <w:rsid w:val="00587058"/>
    <w:rsid w:val="005906D7"/>
    <w:rsid w:val="00591957"/>
    <w:rsid w:val="00592326"/>
    <w:rsid w:val="005927E2"/>
    <w:rsid w:val="00594661"/>
    <w:rsid w:val="005954ED"/>
    <w:rsid w:val="00595625"/>
    <w:rsid w:val="0059650B"/>
    <w:rsid w:val="00597BF9"/>
    <w:rsid w:val="005A0C11"/>
    <w:rsid w:val="005A10A7"/>
    <w:rsid w:val="005A309A"/>
    <w:rsid w:val="005A373D"/>
    <w:rsid w:val="005A5F28"/>
    <w:rsid w:val="005B0B58"/>
    <w:rsid w:val="005B181F"/>
    <w:rsid w:val="005B30CF"/>
    <w:rsid w:val="005B4A31"/>
    <w:rsid w:val="005B4B06"/>
    <w:rsid w:val="005B4E53"/>
    <w:rsid w:val="005B52EF"/>
    <w:rsid w:val="005B5857"/>
    <w:rsid w:val="005B78E1"/>
    <w:rsid w:val="005C19C4"/>
    <w:rsid w:val="005C1B83"/>
    <w:rsid w:val="005C25FF"/>
    <w:rsid w:val="005C2D55"/>
    <w:rsid w:val="005C346B"/>
    <w:rsid w:val="005C48CD"/>
    <w:rsid w:val="005C5ABC"/>
    <w:rsid w:val="005C7BA5"/>
    <w:rsid w:val="005D044D"/>
    <w:rsid w:val="005D0ABD"/>
    <w:rsid w:val="005D0AE4"/>
    <w:rsid w:val="005D18AD"/>
    <w:rsid w:val="005D1C2C"/>
    <w:rsid w:val="005D26B4"/>
    <w:rsid w:val="005D2CF9"/>
    <w:rsid w:val="005D4DD8"/>
    <w:rsid w:val="005D60C4"/>
    <w:rsid w:val="005E073A"/>
    <w:rsid w:val="005E12ED"/>
    <w:rsid w:val="005E1995"/>
    <w:rsid w:val="005E4508"/>
    <w:rsid w:val="005E5D26"/>
    <w:rsid w:val="005E6059"/>
    <w:rsid w:val="005E6CBC"/>
    <w:rsid w:val="005E72FF"/>
    <w:rsid w:val="005E73C0"/>
    <w:rsid w:val="005E7B74"/>
    <w:rsid w:val="005F07ED"/>
    <w:rsid w:val="005F0A79"/>
    <w:rsid w:val="005F2706"/>
    <w:rsid w:val="005F2AEB"/>
    <w:rsid w:val="005F3294"/>
    <w:rsid w:val="005F6A8F"/>
    <w:rsid w:val="005F6BB7"/>
    <w:rsid w:val="005F7588"/>
    <w:rsid w:val="00600484"/>
    <w:rsid w:val="00600D17"/>
    <w:rsid w:val="00601B70"/>
    <w:rsid w:val="00603DB9"/>
    <w:rsid w:val="0060431C"/>
    <w:rsid w:val="00606A04"/>
    <w:rsid w:val="00606FBA"/>
    <w:rsid w:val="00607669"/>
    <w:rsid w:val="006076F4"/>
    <w:rsid w:val="00607AFD"/>
    <w:rsid w:val="006100E8"/>
    <w:rsid w:val="00611B12"/>
    <w:rsid w:val="00612F97"/>
    <w:rsid w:val="0061345D"/>
    <w:rsid w:val="006148AE"/>
    <w:rsid w:val="00615084"/>
    <w:rsid w:val="0061549B"/>
    <w:rsid w:val="00616802"/>
    <w:rsid w:val="00617E12"/>
    <w:rsid w:val="00620C25"/>
    <w:rsid w:val="00621477"/>
    <w:rsid w:val="00621ADA"/>
    <w:rsid w:val="006234A8"/>
    <w:rsid w:val="00623F7B"/>
    <w:rsid w:val="00624BD4"/>
    <w:rsid w:val="00625EBD"/>
    <w:rsid w:val="00626EC3"/>
    <w:rsid w:val="00627D6E"/>
    <w:rsid w:val="0063158F"/>
    <w:rsid w:val="00631D6B"/>
    <w:rsid w:val="00631DBA"/>
    <w:rsid w:val="00632021"/>
    <w:rsid w:val="00632183"/>
    <w:rsid w:val="00632DCB"/>
    <w:rsid w:val="006330A1"/>
    <w:rsid w:val="0063452D"/>
    <w:rsid w:val="0063479F"/>
    <w:rsid w:val="006353F0"/>
    <w:rsid w:val="006357B5"/>
    <w:rsid w:val="006364A1"/>
    <w:rsid w:val="0063678E"/>
    <w:rsid w:val="00637010"/>
    <w:rsid w:val="006372A5"/>
    <w:rsid w:val="00637BFD"/>
    <w:rsid w:val="00637C5C"/>
    <w:rsid w:val="00640974"/>
    <w:rsid w:val="00641C4E"/>
    <w:rsid w:val="00641FB3"/>
    <w:rsid w:val="0064237F"/>
    <w:rsid w:val="00643896"/>
    <w:rsid w:val="0064434C"/>
    <w:rsid w:val="00646C7E"/>
    <w:rsid w:val="006471CC"/>
    <w:rsid w:val="006472FE"/>
    <w:rsid w:val="00647A29"/>
    <w:rsid w:val="0065079F"/>
    <w:rsid w:val="00650AB7"/>
    <w:rsid w:val="00652A28"/>
    <w:rsid w:val="0065379F"/>
    <w:rsid w:val="006549C2"/>
    <w:rsid w:val="0065540F"/>
    <w:rsid w:val="0065541F"/>
    <w:rsid w:val="00655FB9"/>
    <w:rsid w:val="00656188"/>
    <w:rsid w:val="0065715A"/>
    <w:rsid w:val="006573E5"/>
    <w:rsid w:val="0066006F"/>
    <w:rsid w:val="006608B9"/>
    <w:rsid w:val="00660D57"/>
    <w:rsid w:val="006610F1"/>
    <w:rsid w:val="00661C6B"/>
    <w:rsid w:val="00662D3E"/>
    <w:rsid w:val="00662E76"/>
    <w:rsid w:val="00665115"/>
    <w:rsid w:val="006661C2"/>
    <w:rsid w:val="0066791A"/>
    <w:rsid w:val="00667BE3"/>
    <w:rsid w:val="00671004"/>
    <w:rsid w:val="006722A8"/>
    <w:rsid w:val="00672646"/>
    <w:rsid w:val="00672992"/>
    <w:rsid w:val="00674E42"/>
    <w:rsid w:val="00676563"/>
    <w:rsid w:val="0067710C"/>
    <w:rsid w:val="006813F8"/>
    <w:rsid w:val="00682112"/>
    <w:rsid w:val="00682BA6"/>
    <w:rsid w:val="00682EB6"/>
    <w:rsid w:val="00683B38"/>
    <w:rsid w:val="0068405C"/>
    <w:rsid w:val="00684A5C"/>
    <w:rsid w:val="00686957"/>
    <w:rsid w:val="006872BA"/>
    <w:rsid w:val="0068736E"/>
    <w:rsid w:val="0068746B"/>
    <w:rsid w:val="00687EA3"/>
    <w:rsid w:val="00690795"/>
    <w:rsid w:val="00690FA3"/>
    <w:rsid w:val="00691648"/>
    <w:rsid w:val="006917BB"/>
    <w:rsid w:val="006917D7"/>
    <w:rsid w:val="00692BFB"/>
    <w:rsid w:val="0069434C"/>
    <w:rsid w:val="00694F44"/>
    <w:rsid w:val="00696EF9"/>
    <w:rsid w:val="00696F51"/>
    <w:rsid w:val="006979A5"/>
    <w:rsid w:val="006A016F"/>
    <w:rsid w:val="006A0DF7"/>
    <w:rsid w:val="006A1F0D"/>
    <w:rsid w:val="006A3052"/>
    <w:rsid w:val="006A3AEF"/>
    <w:rsid w:val="006A4321"/>
    <w:rsid w:val="006A43D9"/>
    <w:rsid w:val="006A52EE"/>
    <w:rsid w:val="006A6B99"/>
    <w:rsid w:val="006A7E5F"/>
    <w:rsid w:val="006B01E6"/>
    <w:rsid w:val="006B261B"/>
    <w:rsid w:val="006B2C90"/>
    <w:rsid w:val="006B35E6"/>
    <w:rsid w:val="006B465A"/>
    <w:rsid w:val="006B68AA"/>
    <w:rsid w:val="006B6DD0"/>
    <w:rsid w:val="006B75D8"/>
    <w:rsid w:val="006C0399"/>
    <w:rsid w:val="006C1600"/>
    <w:rsid w:val="006C1A23"/>
    <w:rsid w:val="006C2309"/>
    <w:rsid w:val="006C23AC"/>
    <w:rsid w:val="006C2A8E"/>
    <w:rsid w:val="006C3255"/>
    <w:rsid w:val="006C3EA1"/>
    <w:rsid w:val="006C3F26"/>
    <w:rsid w:val="006C4E78"/>
    <w:rsid w:val="006D0D17"/>
    <w:rsid w:val="006D17F7"/>
    <w:rsid w:val="006D1DD9"/>
    <w:rsid w:val="006D3C7D"/>
    <w:rsid w:val="006D4659"/>
    <w:rsid w:val="006D5D5F"/>
    <w:rsid w:val="006D68FB"/>
    <w:rsid w:val="006E2868"/>
    <w:rsid w:val="006E39FB"/>
    <w:rsid w:val="006E3C9C"/>
    <w:rsid w:val="006E6637"/>
    <w:rsid w:val="006E7980"/>
    <w:rsid w:val="006F3047"/>
    <w:rsid w:val="006F306C"/>
    <w:rsid w:val="006F4953"/>
    <w:rsid w:val="006F4AFA"/>
    <w:rsid w:val="006F63A5"/>
    <w:rsid w:val="006F67D9"/>
    <w:rsid w:val="006F7867"/>
    <w:rsid w:val="0070142B"/>
    <w:rsid w:val="0070276E"/>
    <w:rsid w:val="00702D0A"/>
    <w:rsid w:val="00702F8F"/>
    <w:rsid w:val="00704359"/>
    <w:rsid w:val="0070586D"/>
    <w:rsid w:val="00706DF9"/>
    <w:rsid w:val="007079FC"/>
    <w:rsid w:val="00711A36"/>
    <w:rsid w:val="007125D3"/>
    <w:rsid w:val="00714C26"/>
    <w:rsid w:val="0071529C"/>
    <w:rsid w:val="007170DA"/>
    <w:rsid w:val="007172AD"/>
    <w:rsid w:val="007173F4"/>
    <w:rsid w:val="00717546"/>
    <w:rsid w:val="00720801"/>
    <w:rsid w:val="00722B1B"/>
    <w:rsid w:val="00723777"/>
    <w:rsid w:val="0072416F"/>
    <w:rsid w:val="0072440B"/>
    <w:rsid w:val="00726A63"/>
    <w:rsid w:val="007274D5"/>
    <w:rsid w:val="00727C94"/>
    <w:rsid w:val="0073125C"/>
    <w:rsid w:val="00731B0A"/>
    <w:rsid w:val="00731EAE"/>
    <w:rsid w:val="00733073"/>
    <w:rsid w:val="00735033"/>
    <w:rsid w:val="00735328"/>
    <w:rsid w:val="00735694"/>
    <w:rsid w:val="0073685B"/>
    <w:rsid w:val="00737A05"/>
    <w:rsid w:val="007416FF"/>
    <w:rsid w:val="00742D7B"/>
    <w:rsid w:val="00743512"/>
    <w:rsid w:val="007449BF"/>
    <w:rsid w:val="00745731"/>
    <w:rsid w:val="007463FE"/>
    <w:rsid w:val="00746BC0"/>
    <w:rsid w:val="00746C9B"/>
    <w:rsid w:val="007510B4"/>
    <w:rsid w:val="00752142"/>
    <w:rsid w:val="007523F9"/>
    <w:rsid w:val="00752DB7"/>
    <w:rsid w:val="0075351F"/>
    <w:rsid w:val="0075357E"/>
    <w:rsid w:val="00753B29"/>
    <w:rsid w:val="00753E04"/>
    <w:rsid w:val="00754DEC"/>
    <w:rsid w:val="00756686"/>
    <w:rsid w:val="007573E8"/>
    <w:rsid w:val="00760120"/>
    <w:rsid w:val="00760C4E"/>
    <w:rsid w:val="00760D5F"/>
    <w:rsid w:val="00760F9E"/>
    <w:rsid w:val="007616E6"/>
    <w:rsid w:val="007627BE"/>
    <w:rsid w:val="00762975"/>
    <w:rsid w:val="00763595"/>
    <w:rsid w:val="00764F03"/>
    <w:rsid w:val="00765B1A"/>
    <w:rsid w:val="00765DC1"/>
    <w:rsid w:val="00766623"/>
    <w:rsid w:val="00773B33"/>
    <w:rsid w:val="00777335"/>
    <w:rsid w:val="007803B8"/>
    <w:rsid w:val="007816BC"/>
    <w:rsid w:val="00783B86"/>
    <w:rsid w:val="007843F2"/>
    <w:rsid w:val="007846FA"/>
    <w:rsid w:val="00785A9F"/>
    <w:rsid w:val="0079080C"/>
    <w:rsid w:val="00791BC3"/>
    <w:rsid w:val="007925DF"/>
    <w:rsid w:val="00796995"/>
    <w:rsid w:val="007A05FB"/>
    <w:rsid w:val="007A08AA"/>
    <w:rsid w:val="007A0A12"/>
    <w:rsid w:val="007A0D65"/>
    <w:rsid w:val="007A132D"/>
    <w:rsid w:val="007A1345"/>
    <w:rsid w:val="007A1EE0"/>
    <w:rsid w:val="007A2DDB"/>
    <w:rsid w:val="007A3CDC"/>
    <w:rsid w:val="007A6280"/>
    <w:rsid w:val="007A67F9"/>
    <w:rsid w:val="007A70BA"/>
    <w:rsid w:val="007B0A22"/>
    <w:rsid w:val="007B0D68"/>
    <w:rsid w:val="007B251D"/>
    <w:rsid w:val="007B2B89"/>
    <w:rsid w:val="007B3533"/>
    <w:rsid w:val="007B499D"/>
    <w:rsid w:val="007B4F58"/>
    <w:rsid w:val="007B528D"/>
    <w:rsid w:val="007B558B"/>
    <w:rsid w:val="007B5884"/>
    <w:rsid w:val="007B63CA"/>
    <w:rsid w:val="007B77D1"/>
    <w:rsid w:val="007B7A0A"/>
    <w:rsid w:val="007C07C7"/>
    <w:rsid w:val="007C0A65"/>
    <w:rsid w:val="007C1BAB"/>
    <w:rsid w:val="007C1CD9"/>
    <w:rsid w:val="007C30CB"/>
    <w:rsid w:val="007C32EF"/>
    <w:rsid w:val="007C361D"/>
    <w:rsid w:val="007C4B84"/>
    <w:rsid w:val="007C4E86"/>
    <w:rsid w:val="007C54FD"/>
    <w:rsid w:val="007C5ABD"/>
    <w:rsid w:val="007C63D0"/>
    <w:rsid w:val="007C6579"/>
    <w:rsid w:val="007C70FF"/>
    <w:rsid w:val="007C7C25"/>
    <w:rsid w:val="007C7DC9"/>
    <w:rsid w:val="007D004F"/>
    <w:rsid w:val="007D035F"/>
    <w:rsid w:val="007D06B2"/>
    <w:rsid w:val="007D06C7"/>
    <w:rsid w:val="007D0B38"/>
    <w:rsid w:val="007D16AC"/>
    <w:rsid w:val="007D45CC"/>
    <w:rsid w:val="007D5440"/>
    <w:rsid w:val="007D57A9"/>
    <w:rsid w:val="007D69EB"/>
    <w:rsid w:val="007E0DF5"/>
    <w:rsid w:val="007E128F"/>
    <w:rsid w:val="007E2564"/>
    <w:rsid w:val="007E367D"/>
    <w:rsid w:val="007F0586"/>
    <w:rsid w:val="007F0FF6"/>
    <w:rsid w:val="007F1017"/>
    <w:rsid w:val="007F2BB3"/>
    <w:rsid w:val="007F4A3F"/>
    <w:rsid w:val="007F4A61"/>
    <w:rsid w:val="007F5255"/>
    <w:rsid w:val="007F56CC"/>
    <w:rsid w:val="007F61C2"/>
    <w:rsid w:val="007F67D9"/>
    <w:rsid w:val="00801DCA"/>
    <w:rsid w:val="00803A90"/>
    <w:rsid w:val="00804BD1"/>
    <w:rsid w:val="00805142"/>
    <w:rsid w:val="00805FCE"/>
    <w:rsid w:val="00807A8B"/>
    <w:rsid w:val="00811383"/>
    <w:rsid w:val="00811AC8"/>
    <w:rsid w:val="00812149"/>
    <w:rsid w:val="00812CAC"/>
    <w:rsid w:val="00816361"/>
    <w:rsid w:val="008166EF"/>
    <w:rsid w:val="00816FEF"/>
    <w:rsid w:val="00820A8C"/>
    <w:rsid w:val="00820FD8"/>
    <w:rsid w:val="008215FB"/>
    <w:rsid w:val="00821882"/>
    <w:rsid w:val="008220CC"/>
    <w:rsid w:val="00823174"/>
    <w:rsid w:val="00825751"/>
    <w:rsid w:val="008263DA"/>
    <w:rsid w:val="008264EB"/>
    <w:rsid w:val="008268CE"/>
    <w:rsid w:val="00826CAA"/>
    <w:rsid w:val="00827C23"/>
    <w:rsid w:val="00830B2E"/>
    <w:rsid w:val="00832A5A"/>
    <w:rsid w:val="00833B05"/>
    <w:rsid w:val="008362B4"/>
    <w:rsid w:val="00836DF6"/>
    <w:rsid w:val="008379FF"/>
    <w:rsid w:val="00837B41"/>
    <w:rsid w:val="00840CA2"/>
    <w:rsid w:val="0084374F"/>
    <w:rsid w:val="00844A22"/>
    <w:rsid w:val="00845BC9"/>
    <w:rsid w:val="00847703"/>
    <w:rsid w:val="00847DF5"/>
    <w:rsid w:val="00851ADD"/>
    <w:rsid w:val="0085309D"/>
    <w:rsid w:val="00855B75"/>
    <w:rsid w:val="00856897"/>
    <w:rsid w:val="00856E9A"/>
    <w:rsid w:val="0086075D"/>
    <w:rsid w:val="00861002"/>
    <w:rsid w:val="00862502"/>
    <w:rsid w:val="00862CC1"/>
    <w:rsid w:val="00863025"/>
    <w:rsid w:val="008642A7"/>
    <w:rsid w:val="0086604A"/>
    <w:rsid w:val="008660D4"/>
    <w:rsid w:val="0086785E"/>
    <w:rsid w:val="00870BE5"/>
    <w:rsid w:val="00871FA9"/>
    <w:rsid w:val="008728E9"/>
    <w:rsid w:val="00874BB4"/>
    <w:rsid w:val="00874CF5"/>
    <w:rsid w:val="008768F4"/>
    <w:rsid w:val="0088260A"/>
    <w:rsid w:val="00882874"/>
    <w:rsid w:val="00882B74"/>
    <w:rsid w:val="00882E3C"/>
    <w:rsid w:val="0088308A"/>
    <w:rsid w:val="00883096"/>
    <w:rsid w:val="00883787"/>
    <w:rsid w:val="008855E4"/>
    <w:rsid w:val="00886CD2"/>
    <w:rsid w:val="00890939"/>
    <w:rsid w:val="00891E6F"/>
    <w:rsid w:val="0089212B"/>
    <w:rsid w:val="0089275D"/>
    <w:rsid w:val="00892A36"/>
    <w:rsid w:val="00893239"/>
    <w:rsid w:val="00894489"/>
    <w:rsid w:val="00894CD6"/>
    <w:rsid w:val="008963A5"/>
    <w:rsid w:val="00896D5D"/>
    <w:rsid w:val="0089781B"/>
    <w:rsid w:val="008A0AB0"/>
    <w:rsid w:val="008A3158"/>
    <w:rsid w:val="008A3363"/>
    <w:rsid w:val="008A3371"/>
    <w:rsid w:val="008A3C3E"/>
    <w:rsid w:val="008A5C45"/>
    <w:rsid w:val="008A79DE"/>
    <w:rsid w:val="008B01AC"/>
    <w:rsid w:val="008B10F2"/>
    <w:rsid w:val="008B1346"/>
    <w:rsid w:val="008B1757"/>
    <w:rsid w:val="008B1C33"/>
    <w:rsid w:val="008B226A"/>
    <w:rsid w:val="008B4B6F"/>
    <w:rsid w:val="008B7992"/>
    <w:rsid w:val="008B7D7E"/>
    <w:rsid w:val="008C02EC"/>
    <w:rsid w:val="008C05C1"/>
    <w:rsid w:val="008C1E6D"/>
    <w:rsid w:val="008C42BB"/>
    <w:rsid w:val="008C511B"/>
    <w:rsid w:val="008C5610"/>
    <w:rsid w:val="008C5739"/>
    <w:rsid w:val="008C68FC"/>
    <w:rsid w:val="008C7282"/>
    <w:rsid w:val="008C7973"/>
    <w:rsid w:val="008C7ECB"/>
    <w:rsid w:val="008D005B"/>
    <w:rsid w:val="008D1EB1"/>
    <w:rsid w:val="008D1ECC"/>
    <w:rsid w:val="008D2218"/>
    <w:rsid w:val="008D3B86"/>
    <w:rsid w:val="008D41BF"/>
    <w:rsid w:val="008D43FD"/>
    <w:rsid w:val="008D4755"/>
    <w:rsid w:val="008D4C3D"/>
    <w:rsid w:val="008D743C"/>
    <w:rsid w:val="008E044A"/>
    <w:rsid w:val="008E0D3C"/>
    <w:rsid w:val="008E119A"/>
    <w:rsid w:val="008E1B9E"/>
    <w:rsid w:val="008E234D"/>
    <w:rsid w:val="008E23EB"/>
    <w:rsid w:val="008E2543"/>
    <w:rsid w:val="008E55AB"/>
    <w:rsid w:val="008E79AF"/>
    <w:rsid w:val="008F08A9"/>
    <w:rsid w:val="008F0BC6"/>
    <w:rsid w:val="008F1165"/>
    <w:rsid w:val="008F120A"/>
    <w:rsid w:val="008F2427"/>
    <w:rsid w:val="008F27E0"/>
    <w:rsid w:val="008F3187"/>
    <w:rsid w:val="008F48EB"/>
    <w:rsid w:val="008F4F0B"/>
    <w:rsid w:val="008F76EC"/>
    <w:rsid w:val="009003AD"/>
    <w:rsid w:val="009046C4"/>
    <w:rsid w:val="009062A5"/>
    <w:rsid w:val="009073FA"/>
    <w:rsid w:val="00907699"/>
    <w:rsid w:val="00910FA7"/>
    <w:rsid w:val="00911272"/>
    <w:rsid w:val="00911339"/>
    <w:rsid w:val="00912756"/>
    <w:rsid w:val="009128EC"/>
    <w:rsid w:val="009135D6"/>
    <w:rsid w:val="0091433F"/>
    <w:rsid w:val="00914C77"/>
    <w:rsid w:val="00916691"/>
    <w:rsid w:val="00921ACB"/>
    <w:rsid w:val="009220EB"/>
    <w:rsid w:val="0092369B"/>
    <w:rsid w:val="009238D9"/>
    <w:rsid w:val="00927E75"/>
    <w:rsid w:val="00927EF8"/>
    <w:rsid w:val="00931A6B"/>
    <w:rsid w:val="0093312A"/>
    <w:rsid w:val="0093462C"/>
    <w:rsid w:val="00934988"/>
    <w:rsid w:val="00934995"/>
    <w:rsid w:val="00937089"/>
    <w:rsid w:val="00943948"/>
    <w:rsid w:val="00944F8A"/>
    <w:rsid w:val="0094570B"/>
    <w:rsid w:val="00945D94"/>
    <w:rsid w:val="00945F0F"/>
    <w:rsid w:val="00946338"/>
    <w:rsid w:val="009510A2"/>
    <w:rsid w:val="00952505"/>
    <w:rsid w:val="00952C6A"/>
    <w:rsid w:val="00952FB2"/>
    <w:rsid w:val="00953257"/>
    <w:rsid w:val="0095395D"/>
    <w:rsid w:val="0095474C"/>
    <w:rsid w:val="00955E06"/>
    <w:rsid w:val="009570CD"/>
    <w:rsid w:val="009576CE"/>
    <w:rsid w:val="00957D92"/>
    <w:rsid w:val="00957E77"/>
    <w:rsid w:val="00962CB9"/>
    <w:rsid w:val="00963FE0"/>
    <w:rsid w:val="00964312"/>
    <w:rsid w:val="00964A4D"/>
    <w:rsid w:val="00965B8A"/>
    <w:rsid w:val="00966814"/>
    <w:rsid w:val="00966A12"/>
    <w:rsid w:val="009704CC"/>
    <w:rsid w:val="0097071F"/>
    <w:rsid w:val="009717AC"/>
    <w:rsid w:val="00973571"/>
    <w:rsid w:val="009738F0"/>
    <w:rsid w:val="009751C1"/>
    <w:rsid w:val="0097740C"/>
    <w:rsid w:val="0097788C"/>
    <w:rsid w:val="009801A6"/>
    <w:rsid w:val="009810C9"/>
    <w:rsid w:val="009811F1"/>
    <w:rsid w:val="00981DBA"/>
    <w:rsid w:val="00983E57"/>
    <w:rsid w:val="00985DE2"/>
    <w:rsid w:val="0098675D"/>
    <w:rsid w:val="00987BA4"/>
    <w:rsid w:val="00990AC9"/>
    <w:rsid w:val="009920CA"/>
    <w:rsid w:val="009926E0"/>
    <w:rsid w:val="0099451E"/>
    <w:rsid w:val="00995671"/>
    <w:rsid w:val="00995FF0"/>
    <w:rsid w:val="00996B1A"/>
    <w:rsid w:val="009A0AE5"/>
    <w:rsid w:val="009A18F6"/>
    <w:rsid w:val="009A2DCC"/>
    <w:rsid w:val="009A464F"/>
    <w:rsid w:val="009A5607"/>
    <w:rsid w:val="009A57C7"/>
    <w:rsid w:val="009A5ABC"/>
    <w:rsid w:val="009A7F10"/>
    <w:rsid w:val="009B0486"/>
    <w:rsid w:val="009B286C"/>
    <w:rsid w:val="009B3E26"/>
    <w:rsid w:val="009C1271"/>
    <w:rsid w:val="009C1E21"/>
    <w:rsid w:val="009C3706"/>
    <w:rsid w:val="009C3A3A"/>
    <w:rsid w:val="009C469C"/>
    <w:rsid w:val="009C59C4"/>
    <w:rsid w:val="009C5B5F"/>
    <w:rsid w:val="009C6CEA"/>
    <w:rsid w:val="009C762B"/>
    <w:rsid w:val="009C78A2"/>
    <w:rsid w:val="009C7B85"/>
    <w:rsid w:val="009D0254"/>
    <w:rsid w:val="009D1A64"/>
    <w:rsid w:val="009D2C72"/>
    <w:rsid w:val="009D2CF7"/>
    <w:rsid w:val="009D4BD1"/>
    <w:rsid w:val="009D5B91"/>
    <w:rsid w:val="009D792E"/>
    <w:rsid w:val="009E0DFE"/>
    <w:rsid w:val="009E15A4"/>
    <w:rsid w:val="009E2BE8"/>
    <w:rsid w:val="009E31F6"/>
    <w:rsid w:val="009E3EF1"/>
    <w:rsid w:val="009E4445"/>
    <w:rsid w:val="009E444E"/>
    <w:rsid w:val="009E4C07"/>
    <w:rsid w:val="009E656F"/>
    <w:rsid w:val="009E777F"/>
    <w:rsid w:val="009F0F34"/>
    <w:rsid w:val="009F10E3"/>
    <w:rsid w:val="009F1424"/>
    <w:rsid w:val="009F499B"/>
    <w:rsid w:val="009F6120"/>
    <w:rsid w:val="009F6419"/>
    <w:rsid w:val="00A008A9"/>
    <w:rsid w:val="00A00D76"/>
    <w:rsid w:val="00A01184"/>
    <w:rsid w:val="00A01449"/>
    <w:rsid w:val="00A01CCC"/>
    <w:rsid w:val="00A029A6"/>
    <w:rsid w:val="00A037C2"/>
    <w:rsid w:val="00A03A84"/>
    <w:rsid w:val="00A03AE4"/>
    <w:rsid w:val="00A03D43"/>
    <w:rsid w:val="00A04380"/>
    <w:rsid w:val="00A045B1"/>
    <w:rsid w:val="00A04786"/>
    <w:rsid w:val="00A05472"/>
    <w:rsid w:val="00A05C32"/>
    <w:rsid w:val="00A0653F"/>
    <w:rsid w:val="00A07232"/>
    <w:rsid w:val="00A0755B"/>
    <w:rsid w:val="00A07598"/>
    <w:rsid w:val="00A11CD0"/>
    <w:rsid w:val="00A13948"/>
    <w:rsid w:val="00A141AB"/>
    <w:rsid w:val="00A1555B"/>
    <w:rsid w:val="00A155C5"/>
    <w:rsid w:val="00A16AD8"/>
    <w:rsid w:val="00A1747D"/>
    <w:rsid w:val="00A2021E"/>
    <w:rsid w:val="00A21C95"/>
    <w:rsid w:val="00A21CF3"/>
    <w:rsid w:val="00A22F99"/>
    <w:rsid w:val="00A236F3"/>
    <w:rsid w:val="00A2474C"/>
    <w:rsid w:val="00A24813"/>
    <w:rsid w:val="00A24F49"/>
    <w:rsid w:val="00A25E92"/>
    <w:rsid w:val="00A268C8"/>
    <w:rsid w:val="00A26BBD"/>
    <w:rsid w:val="00A27AEC"/>
    <w:rsid w:val="00A320DB"/>
    <w:rsid w:val="00A32C7C"/>
    <w:rsid w:val="00A33FA9"/>
    <w:rsid w:val="00A35D16"/>
    <w:rsid w:val="00A3768B"/>
    <w:rsid w:val="00A37BCD"/>
    <w:rsid w:val="00A41689"/>
    <w:rsid w:val="00A42592"/>
    <w:rsid w:val="00A43C59"/>
    <w:rsid w:val="00A50ECD"/>
    <w:rsid w:val="00A50EEE"/>
    <w:rsid w:val="00A5114E"/>
    <w:rsid w:val="00A518F3"/>
    <w:rsid w:val="00A51E4A"/>
    <w:rsid w:val="00A52729"/>
    <w:rsid w:val="00A53675"/>
    <w:rsid w:val="00A54044"/>
    <w:rsid w:val="00A549B3"/>
    <w:rsid w:val="00A54AC6"/>
    <w:rsid w:val="00A564D7"/>
    <w:rsid w:val="00A56951"/>
    <w:rsid w:val="00A56B6A"/>
    <w:rsid w:val="00A57424"/>
    <w:rsid w:val="00A578DC"/>
    <w:rsid w:val="00A60053"/>
    <w:rsid w:val="00A60BA1"/>
    <w:rsid w:val="00A640E2"/>
    <w:rsid w:val="00A64D65"/>
    <w:rsid w:val="00A654A3"/>
    <w:rsid w:val="00A6725B"/>
    <w:rsid w:val="00A70605"/>
    <w:rsid w:val="00A72424"/>
    <w:rsid w:val="00A73134"/>
    <w:rsid w:val="00A7359C"/>
    <w:rsid w:val="00A7365A"/>
    <w:rsid w:val="00A7373C"/>
    <w:rsid w:val="00A73F96"/>
    <w:rsid w:val="00A75114"/>
    <w:rsid w:val="00A75679"/>
    <w:rsid w:val="00A76001"/>
    <w:rsid w:val="00A777B2"/>
    <w:rsid w:val="00A779A2"/>
    <w:rsid w:val="00A802B8"/>
    <w:rsid w:val="00A8111C"/>
    <w:rsid w:val="00A8130A"/>
    <w:rsid w:val="00A81AA3"/>
    <w:rsid w:val="00A825D4"/>
    <w:rsid w:val="00A8269D"/>
    <w:rsid w:val="00A828F6"/>
    <w:rsid w:val="00A82B73"/>
    <w:rsid w:val="00A85884"/>
    <w:rsid w:val="00A86074"/>
    <w:rsid w:val="00A86B54"/>
    <w:rsid w:val="00A86E8B"/>
    <w:rsid w:val="00A87164"/>
    <w:rsid w:val="00A871A9"/>
    <w:rsid w:val="00A92AFC"/>
    <w:rsid w:val="00A93072"/>
    <w:rsid w:val="00A938BD"/>
    <w:rsid w:val="00A93953"/>
    <w:rsid w:val="00A94D73"/>
    <w:rsid w:val="00A959D8"/>
    <w:rsid w:val="00A96F42"/>
    <w:rsid w:val="00AA08B9"/>
    <w:rsid w:val="00AA1116"/>
    <w:rsid w:val="00AA113D"/>
    <w:rsid w:val="00AA232B"/>
    <w:rsid w:val="00AA4571"/>
    <w:rsid w:val="00AA6BD5"/>
    <w:rsid w:val="00AA6BD8"/>
    <w:rsid w:val="00AA6C7D"/>
    <w:rsid w:val="00AA7FD6"/>
    <w:rsid w:val="00AB042A"/>
    <w:rsid w:val="00AB11AD"/>
    <w:rsid w:val="00AB19BF"/>
    <w:rsid w:val="00AB19EF"/>
    <w:rsid w:val="00AB22B5"/>
    <w:rsid w:val="00AB2495"/>
    <w:rsid w:val="00AB2D34"/>
    <w:rsid w:val="00AB2FD8"/>
    <w:rsid w:val="00AB3430"/>
    <w:rsid w:val="00AB37B9"/>
    <w:rsid w:val="00AB4AD1"/>
    <w:rsid w:val="00AB4B7F"/>
    <w:rsid w:val="00AB531A"/>
    <w:rsid w:val="00AB5706"/>
    <w:rsid w:val="00AB5E07"/>
    <w:rsid w:val="00AB618D"/>
    <w:rsid w:val="00AB7CFA"/>
    <w:rsid w:val="00AC0A89"/>
    <w:rsid w:val="00AC5B42"/>
    <w:rsid w:val="00AC5B48"/>
    <w:rsid w:val="00AC6ED6"/>
    <w:rsid w:val="00AC767C"/>
    <w:rsid w:val="00AD0850"/>
    <w:rsid w:val="00AD1450"/>
    <w:rsid w:val="00AD15E8"/>
    <w:rsid w:val="00AD2AE5"/>
    <w:rsid w:val="00AD356D"/>
    <w:rsid w:val="00AD3A19"/>
    <w:rsid w:val="00AD40AF"/>
    <w:rsid w:val="00AD5B21"/>
    <w:rsid w:val="00AD6502"/>
    <w:rsid w:val="00AD6C07"/>
    <w:rsid w:val="00AE0695"/>
    <w:rsid w:val="00AE30C6"/>
    <w:rsid w:val="00AE3E7E"/>
    <w:rsid w:val="00AE5BA7"/>
    <w:rsid w:val="00AE772C"/>
    <w:rsid w:val="00AE7E53"/>
    <w:rsid w:val="00AF1315"/>
    <w:rsid w:val="00AF19BF"/>
    <w:rsid w:val="00AF2DC3"/>
    <w:rsid w:val="00AF3430"/>
    <w:rsid w:val="00AF38E5"/>
    <w:rsid w:val="00AF739C"/>
    <w:rsid w:val="00AF7A34"/>
    <w:rsid w:val="00B01269"/>
    <w:rsid w:val="00B01844"/>
    <w:rsid w:val="00B027AB"/>
    <w:rsid w:val="00B033E5"/>
    <w:rsid w:val="00B0365F"/>
    <w:rsid w:val="00B036CE"/>
    <w:rsid w:val="00B03A63"/>
    <w:rsid w:val="00B03FAB"/>
    <w:rsid w:val="00B05075"/>
    <w:rsid w:val="00B116F5"/>
    <w:rsid w:val="00B129A4"/>
    <w:rsid w:val="00B138D2"/>
    <w:rsid w:val="00B201A4"/>
    <w:rsid w:val="00B201D1"/>
    <w:rsid w:val="00B20506"/>
    <w:rsid w:val="00B213A6"/>
    <w:rsid w:val="00B215FC"/>
    <w:rsid w:val="00B2296D"/>
    <w:rsid w:val="00B229BF"/>
    <w:rsid w:val="00B235B0"/>
    <w:rsid w:val="00B24DF6"/>
    <w:rsid w:val="00B25543"/>
    <w:rsid w:val="00B27A61"/>
    <w:rsid w:val="00B32C0A"/>
    <w:rsid w:val="00B336EA"/>
    <w:rsid w:val="00B34FE2"/>
    <w:rsid w:val="00B35166"/>
    <w:rsid w:val="00B3545D"/>
    <w:rsid w:val="00B357D8"/>
    <w:rsid w:val="00B360F4"/>
    <w:rsid w:val="00B36A00"/>
    <w:rsid w:val="00B3792B"/>
    <w:rsid w:val="00B37BFC"/>
    <w:rsid w:val="00B37F40"/>
    <w:rsid w:val="00B40358"/>
    <w:rsid w:val="00B411BD"/>
    <w:rsid w:val="00B41250"/>
    <w:rsid w:val="00B41614"/>
    <w:rsid w:val="00B42851"/>
    <w:rsid w:val="00B42E69"/>
    <w:rsid w:val="00B42F80"/>
    <w:rsid w:val="00B435CB"/>
    <w:rsid w:val="00B43615"/>
    <w:rsid w:val="00B465EC"/>
    <w:rsid w:val="00B47508"/>
    <w:rsid w:val="00B505C8"/>
    <w:rsid w:val="00B5091C"/>
    <w:rsid w:val="00B50DB8"/>
    <w:rsid w:val="00B51303"/>
    <w:rsid w:val="00B51B74"/>
    <w:rsid w:val="00B53654"/>
    <w:rsid w:val="00B53905"/>
    <w:rsid w:val="00B546DB"/>
    <w:rsid w:val="00B54B5B"/>
    <w:rsid w:val="00B5562E"/>
    <w:rsid w:val="00B55862"/>
    <w:rsid w:val="00B55917"/>
    <w:rsid w:val="00B55D65"/>
    <w:rsid w:val="00B56305"/>
    <w:rsid w:val="00B57000"/>
    <w:rsid w:val="00B5747F"/>
    <w:rsid w:val="00B60939"/>
    <w:rsid w:val="00B60AFD"/>
    <w:rsid w:val="00B62715"/>
    <w:rsid w:val="00B64402"/>
    <w:rsid w:val="00B649E5"/>
    <w:rsid w:val="00B65611"/>
    <w:rsid w:val="00B70502"/>
    <w:rsid w:val="00B70E8E"/>
    <w:rsid w:val="00B761B5"/>
    <w:rsid w:val="00B76C92"/>
    <w:rsid w:val="00B76E93"/>
    <w:rsid w:val="00B80EFD"/>
    <w:rsid w:val="00B818A4"/>
    <w:rsid w:val="00B83739"/>
    <w:rsid w:val="00B84117"/>
    <w:rsid w:val="00B858F0"/>
    <w:rsid w:val="00B85AA2"/>
    <w:rsid w:val="00B862A6"/>
    <w:rsid w:val="00B8649C"/>
    <w:rsid w:val="00B8695D"/>
    <w:rsid w:val="00B87F0A"/>
    <w:rsid w:val="00B904A8"/>
    <w:rsid w:val="00B92D0B"/>
    <w:rsid w:val="00B93057"/>
    <w:rsid w:val="00B93AEC"/>
    <w:rsid w:val="00B93BF0"/>
    <w:rsid w:val="00B94945"/>
    <w:rsid w:val="00B94DD6"/>
    <w:rsid w:val="00B95226"/>
    <w:rsid w:val="00B955D9"/>
    <w:rsid w:val="00B95650"/>
    <w:rsid w:val="00B96B53"/>
    <w:rsid w:val="00BA0643"/>
    <w:rsid w:val="00BA2C33"/>
    <w:rsid w:val="00BA322D"/>
    <w:rsid w:val="00BA4AE0"/>
    <w:rsid w:val="00BA4B48"/>
    <w:rsid w:val="00BA4CF6"/>
    <w:rsid w:val="00BA5D26"/>
    <w:rsid w:val="00BA63FA"/>
    <w:rsid w:val="00BA78DB"/>
    <w:rsid w:val="00BA7E88"/>
    <w:rsid w:val="00BB00B3"/>
    <w:rsid w:val="00BB0BDD"/>
    <w:rsid w:val="00BB176C"/>
    <w:rsid w:val="00BB2802"/>
    <w:rsid w:val="00BB2A73"/>
    <w:rsid w:val="00BB3A45"/>
    <w:rsid w:val="00BB4ACC"/>
    <w:rsid w:val="00BB6804"/>
    <w:rsid w:val="00BB703E"/>
    <w:rsid w:val="00BB732D"/>
    <w:rsid w:val="00BB7405"/>
    <w:rsid w:val="00BB7B90"/>
    <w:rsid w:val="00BC0FB6"/>
    <w:rsid w:val="00BC27C9"/>
    <w:rsid w:val="00BC304F"/>
    <w:rsid w:val="00BC330C"/>
    <w:rsid w:val="00BC3631"/>
    <w:rsid w:val="00BC591F"/>
    <w:rsid w:val="00BC65D5"/>
    <w:rsid w:val="00BC7D6D"/>
    <w:rsid w:val="00BD004C"/>
    <w:rsid w:val="00BD2108"/>
    <w:rsid w:val="00BD2CF0"/>
    <w:rsid w:val="00BD3744"/>
    <w:rsid w:val="00BD37C1"/>
    <w:rsid w:val="00BD3E0D"/>
    <w:rsid w:val="00BD51CB"/>
    <w:rsid w:val="00BD68A3"/>
    <w:rsid w:val="00BD6938"/>
    <w:rsid w:val="00BD6CF3"/>
    <w:rsid w:val="00BD7F72"/>
    <w:rsid w:val="00BE0ECA"/>
    <w:rsid w:val="00BE2180"/>
    <w:rsid w:val="00BE21F2"/>
    <w:rsid w:val="00BE4275"/>
    <w:rsid w:val="00BE4E69"/>
    <w:rsid w:val="00BE6321"/>
    <w:rsid w:val="00BE633D"/>
    <w:rsid w:val="00BE7422"/>
    <w:rsid w:val="00BF06AE"/>
    <w:rsid w:val="00BF0F95"/>
    <w:rsid w:val="00BF198A"/>
    <w:rsid w:val="00BF2433"/>
    <w:rsid w:val="00BF2E6E"/>
    <w:rsid w:val="00BF3070"/>
    <w:rsid w:val="00BF363F"/>
    <w:rsid w:val="00BF61C9"/>
    <w:rsid w:val="00BF6C94"/>
    <w:rsid w:val="00C00424"/>
    <w:rsid w:val="00C00BB0"/>
    <w:rsid w:val="00C01E6B"/>
    <w:rsid w:val="00C03F52"/>
    <w:rsid w:val="00C053A1"/>
    <w:rsid w:val="00C063B0"/>
    <w:rsid w:val="00C0662B"/>
    <w:rsid w:val="00C071A7"/>
    <w:rsid w:val="00C07201"/>
    <w:rsid w:val="00C1064E"/>
    <w:rsid w:val="00C1179F"/>
    <w:rsid w:val="00C127B9"/>
    <w:rsid w:val="00C128FA"/>
    <w:rsid w:val="00C12C14"/>
    <w:rsid w:val="00C15E53"/>
    <w:rsid w:val="00C15F04"/>
    <w:rsid w:val="00C179B3"/>
    <w:rsid w:val="00C17E3F"/>
    <w:rsid w:val="00C200AA"/>
    <w:rsid w:val="00C237ED"/>
    <w:rsid w:val="00C24632"/>
    <w:rsid w:val="00C25418"/>
    <w:rsid w:val="00C25D9C"/>
    <w:rsid w:val="00C26D44"/>
    <w:rsid w:val="00C2774E"/>
    <w:rsid w:val="00C2778B"/>
    <w:rsid w:val="00C30D0E"/>
    <w:rsid w:val="00C31649"/>
    <w:rsid w:val="00C318A5"/>
    <w:rsid w:val="00C32377"/>
    <w:rsid w:val="00C3434C"/>
    <w:rsid w:val="00C3437C"/>
    <w:rsid w:val="00C40385"/>
    <w:rsid w:val="00C40C1B"/>
    <w:rsid w:val="00C41768"/>
    <w:rsid w:val="00C43D0B"/>
    <w:rsid w:val="00C44C0C"/>
    <w:rsid w:val="00C4648A"/>
    <w:rsid w:val="00C46CE2"/>
    <w:rsid w:val="00C475AA"/>
    <w:rsid w:val="00C5073A"/>
    <w:rsid w:val="00C527C7"/>
    <w:rsid w:val="00C53818"/>
    <w:rsid w:val="00C53C98"/>
    <w:rsid w:val="00C542D7"/>
    <w:rsid w:val="00C55241"/>
    <w:rsid w:val="00C55558"/>
    <w:rsid w:val="00C56FCF"/>
    <w:rsid w:val="00C574BA"/>
    <w:rsid w:val="00C57AFB"/>
    <w:rsid w:val="00C57B6C"/>
    <w:rsid w:val="00C61A59"/>
    <w:rsid w:val="00C628A6"/>
    <w:rsid w:val="00C64344"/>
    <w:rsid w:val="00C65108"/>
    <w:rsid w:val="00C65576"/>
    <w:rsid w:val="00C66165"/>
    <w:rsid w:val="00C67FEC"/>
    <w:rsid w:val="00C7060A"/>
    <w:rsid w:val="00C7151A"/>
    <w:rsid w:val="00C717E3"/>
    <w:rsid w:val="00C71F60"/>
    <w:rsid w:val="00C72241"/>
    <w:rsid w:val="00C7327F"/>
    <w:rsid w:val="00C750C8"/>
    <w:rsid w:val="00C7560F"/>
    <w:rsid w:val="00C76AF4"/>
    <w:rsid w:val="00C80A0E"/>
    <w:rsid w:val="00C8213F"/>
    <w:rsid w:val="00C8303F"/>
    <w:rsid w:val="00C83133"/>
    <w:rsid w:val="00C85154"/>
    <w:rsid w:val="00C85A70"/>
    <w:rsid w:val="00C8690B"/>
    <w:rsid w:val="00C8797A"/>
    <w:rsid w:val="00C900B8"/>
    <w:rsid w:val="00C90197"/>
    <w:rsid w:val="00C90C71"/>
    <w:rsid w:val="00C914A1"/>
    <w:rsid w:val="00C91FD1"/>
    <w:rsid w:val="00C931CF"/>
    <w:rsid w:val="00C938CF"/>
    <w:rsid w:val="00C94053"/>
    <w:rsid w:val="00C940B2"/>
    <w:rsid w:val="00C9624C"/>
    <w:rsid w:val="00C9624D"/>
    <w:rsid w:val="00C969DA"/>
    <w:rsid w:val="00C97B5E"/>
    <w:rsid w:val="00C97B8C"/>
    <w:rsid w:val="00CA1D25"/>
    <w:rsid w:val="00CA2C77"/>
    <w:rsid w:val="00CA3B1E"/>
    <w:rsid w:val="00CA4101"/>
    <w:rsid w:val="00CA444F"/>
    <w:rsid w:val="00CA5245"/>
    <w:rsid w:val="00CA5F6B"/>
    <w:rsid w:val="00CA71F4"/>
    <w:rsid w:val="00CA7768"/>
    <w:rsid w:val="00CA7B09"/>
    <w:rsid w:val="00CB019C"/>
    <w:rsid w:val="00CB12A5"/>
    <w:rsid w:val="00CB1CAC"/>
    <w:rsid w:val="00CB2B60"/>
    <w:rsid w:val="00CB2F2A"/>
    <w:rsid w:val="00CB34B4"/>
    <w:rsid w:val="00CB5B1A"/>
    <w:rsid w:val="00CB6B22"/>
    <w:rsid w:val="00CB6B61"/>
    <w:rsid w:val="00CB7F5F"/>
    <w:rsid w:val="00CC1B39"/>
    <w:rsid w:val="00CC1BFA"/>
    <w:rsid w:val="00CC2E9F"/>
    <w:rsid w:val="00CC35EA"/>
    <w:rsid w:val="00CC3848"/>
    <w:rsid w:val="00CC69D5"/>
    <w:rsid w:val="00CC6D5E"/>
    <w:rsid w:val="00CC6E26"/>
    <w:rsid w:val="00CD0200"/>
    <w:rsid w:val="00CD05F6"/>
    <w:rsid w:val="00CD194D"/>
    <w:rsid w:val="00CD3420"/>
    <w:rsid w:val="00CD3BA1"/>
    <w:rsid w:val="00CD3F77"/>
    <w:rsid w:val="00CD3F85"/>
    <w:rsid w:val="00CD50D4"/>
    <w:rsid w:val="00CD5D5D"/>
    <w:rsid w:val="00CD6ADC"/>
    <w:rsid w:val="00CD7193"/>
    <w:rsid w:val="00CE099F"/>
    <w:rsid w:val="00CE2CBB"/>
    <w:rsid w:val="00CE38C8"/>
    <w:rsid w:val="00CE3939"/>
    <w:rsid w:val="00CE3CAB"/>
    <w:rsid w:val="00CE524F"/>
    <w:rsid w:val="00CE56F9"/>
    <w:rsid w:val="00CE58CC"/>
    <w:rsid w:val="00CE5C87"/>
    <w:rsid w:val="00CE6274"/>
    <w:rsid w:val="00CE77B6"/>
    <w:rsid w:val="00CF2065"/>
    <w:rsid w:val="00CF2B8D"/>
    <w:rsid w:val="00CF3A1B"/>
    <w:rsid w:val="00CF456B"/>
    <w:rsid w:val="00CF5A22"/>
    <w:rsid w:val="00CF68ED"/>
    <w:rsid w:val="00CF6A3E"/>
    <w:rsid w:val="00CF743A"/>
    <w:rsid w:val="00D00567"/>
    <w:rsid w:val="00D016C4"/>
    <w:rsid w:val="00D01703"/>
    <w:rsid w:val="00D01F3B"/>
    <w:rsid w:val="00D0262E"/>
    <w:rsid w:val="00D03679"/>
    <w:rsid w:val="00D0367A"/>
    <w:rsid w:val="00D04B07"/>
    <w:rsid w:val="00D05E3D"/>
    <w:rsid w:val="00D06139"/>
    <w:rsid w:val="00D064ED"/>
    <w:rsid w:val="00D073F5"/>
    <w:rsid w:val="00D0790B"/>
    <w:rsid w:val="00D107A5"/>
    <w:rsid w:val="00D110BD"/>
    <w:rsid w:val="00D1174C"/>
    <w:rsid w:val="00D13675"/>
    <w:rsid w:val="00D13BC6"/>
    <w:rsid w:val="00D141E1"/>
    <w:rsid w:val="00D15314"/>
    <w:rsid w:val="00D15B48"/>
    <w:rsid w:val="00D16859"/>
    <w:rsid w:val="00D17D6C"/>
    <w:rsid w:val="00D2155B"/>
    <w:rsid w:val="00D22893"/>
    <w:rsid w:val="00D23D11"/>
    <w:rsid w:val="00D244B6"/>
    <w:rsid w:val="00D2565D"/>
    <w:rsid w:val="00D274AE"/>
    <w:rsid w:val="00D2754D"/>
    <w:rsid w:val="00D27B27"/>
    <w:rsid w:val="00D300B4"/>
    <w:rsid w:val="00D308F1"/>
    <w:rsid w:val="00D30D5B"/>
    <w:rsid w:val="00D30EB7"/>
    <w:rsid w:val="00D3237D"/>
    <w:rsid w:val="00D32917"/>
    <w:rsid w:val="00D33BE9"/>
    <w:rsid w:val="00D33F93"/>
    <w:rsid w:val="00D34D8A"/>
    <w:rsid w:val="00D356DC"/>
    <w:rsid w:val="00D357FF"/>
    <w:rsid w:val="00D42289"/>
    <w:rsid w:val="00D424C7"/>
    <w:rsid w:val="00D427FB"/>
    <w:rsid w:val="00D430EA"/>
    <w:rsid w:val="00D43B2A"/>
    <w:rsid w:val="00D43CF1"/>
    <w:rsid w:val="00D43D83"/>
    <w:rsid w:val="00D457B4"/>
    <w:rsid w:val="00D47575"/>
    <w:rsid w:val="00D52056"/>
    <w:rsid w:val="00D52352"/>
    <w:rsid w:val="00D5243B"/>
    <w:rsid w:val="00D533EC"/>
    <w:rsid w:val="00D5641A"/>
    <w:rsid w:val="00D56765"/>
    <w:rsid w:val="00D56A95"/>
    <w:rsid w:val="00D57AC2"/>
    <w:rsid w:val="00D6076E"/>
    <w:rsid w:val="00D63944"/>
    <w:rsid w:val="00D70F15"/>
    <w:rsid w:val="00D70F16"/>
    <w:rsid w:val="00D7151A"/>
    <w:rsid w:val="00D72617"/>
    <w:rsid w:val="00D72F57"/>
    <w:rsid w:val="00D73A1B"/>
    <w:rsid w:val="00D74C96"/>
    <w:rsid w:val="00D76A44"/>
    <w:rsid w:val="00D815EF"/>
    <w:rsid w:val="00D81949"/>
    <w:rsid w:val="00D81A9C"/>
    <w:rsid w:val="00D81F26"/>
    <w:rsid w:val="00D822E2"/>
    <w:rsid w:val="00D8314D"/>
    <w:rsid w:val="00D83734"/>
    <w:rsid w:val="00D843F2"/>
    <w:rsid w:val="00D86231"/>
    <w:rsid w:val="00D90804"/>
    <w:rsid w:val="00D912AB"/>
    <w:rsid w:val="00D9138A"/>
    <w:rsid w:val="00D9175C"/>
    <w:rsid w:val="00D91923"/>
    <w:rsid w:val="00D93753"/>
    <w:rsid w:val="00D937AB"/>
    <w:rsid w:val="00D9456B"/>
    <w:rsid w:val="00D960D1"/>
    <w:rsid w:val="00DA3167"/>
    <w:rsid w:val="00DA4DC3"/>
    <w:rsid w:val="00DA52E8"/>
    <w:rsid w:val="00DA77A5"/>
    <w:rsid w:val="00DB0C27"/>
    <w:rsid w:val="00DB0E36"/>
    <w:rsid w:val="00DB3DBF"/>
    <w:rsid w:val="00DB41C7"/>
    <w:rsid w:val="00DB484F"/>
    <w:rsid w:val="00DB6238"/>
    <w:rsid w:val="00DB75A9"/>
    <w:rsid w:val="00DB7F97"/>
    <w:rsid w:val="00DC04F6"/>
    <w:rsid w:val="00DC0690"/>
    <w:rsid w:val="00DC0ED4"/>
    <w:rsid w:val="00DC1D65"/>
    <w:rsid w:val="00DC389C"/>
    <w:rsid w:val="00DC3C57"/>
    <w:rsid w:val="00DC5501"/>
    <w:rsid w:val="00DC5DE4"/>
    <w:rsid w:val="00DC7154"/>
    <w:rsid w:val="00DC7E8A"/>
    <w:rsid w:val="00DD0D60"/>
    <w:rsid w:val="00DD0F78"/>
    <w:rsid w:val="00DD273C"/>
    <w:rsid w:val="00DD2A63"/>
    <w:rsid w:val="00DD3957"/>
    <w:rsid w:val="00DD3F28"/>
    <w:rsid w:val="00DD4446"/>
    <w:rsid w:val="00DD4537"/>
    <w:rsid w:val="00DD45AC"/>
    <w:rsid w:val="00DD4E15"/>
    <w:rsid w:val="00DD6132"/>
    <w:rsid w:val="00DD71B2"/>
    <w:rsid w:val="00DD7CD1"/>
    <w:rsid w:val="00DE096D"/>
    <w:rsid w:val="00DE2304"/>
    <w:rsid w:val="00DE252D"/>
    <w:rsid w:val="00DE3138"/>
    <w:rsid w:val="00DE37F8"/>
    <w:rsid w:val="00DE4273"/>
    <w:rsid w:val="00DE4A1A"/>
    <w:rsid w:val="00DE4B2C"/>
    <w:rsid w:val="00DE4FCB"/>
    <w:rsid w:val="00DE5D07"/>
    <w:rsid w:val="00DE65DA"/>
    <w:rsid w:val="00DE72A7"/>
    <w:rsid w:val="00DE7832"/>
    <w:rsid w:val="00DF0E62"/>
    <w:rsid w:val="00DF18FC"/>
    <w:rsid w:val="00DF1B73"/>
    <w:rsid w:val="00DF248B"/>
    <w:rsid w:val="00DF5D2B"/>
    <w:rsid w:val="00DF6341"/>
    <w:rsid w:val="00DF7529"/>
    <w:rsid w:val="00E00E8E"/>
    <w:rsid w:val="00E044D8"/>
    <w:rsid w:val="00E04DC2"/>
    <w:rsid w:val="00E05630"/>
    <w:rsid w:val="00E064DA"/>
    <w:rsid w:val="00E06DBB"/>
    <w:rsid w:val="00E10149"/>
    <w:rsid w:val="00E11340"/>
    <w:rsid w:val="00E122A1"/>
    <w:rsid w:val="00E1360C"/>
    <w:rsid w:val="00E13D67"/>
    <w:rsid w:val="00E13DBC"/>
    <w:rsid w:val="00E13FA6"/>
    <w:rsid w:val="00E15D60"/>
    <w:rsid w:val="00E16372"/>
    <w:rsid w:val="00E167FD"/>
    <w:rsid w:val="00E16AD8"/>
    <w:rsid w:val="00E17FFA"/>
    <w:rsid w:val="00E20E4D"/>
    <w:rsid w:val="00E20ED6"/>
    <w:rsid w:val="00E21358"/>
    <w:rsid w:val="00E2249B"/>
    <w:rsid w:val="00E22671"/>
    <w:rsid w:val="00E22A0D"/>
    <w:rsid w:val="00E244F6"/>
    <w:rsid w:val="00E258DB"/>
    <w:rsid w:val="00E25FC4"/>
    <w:rsid w:val="00E2771E"/>
    <w:rsid w:val="00E30505"/>
    <w:rsid w:val="00E311EF"/>
    <w:rsid w:val="00E32180"/>
    <w:rsid w:val="00E329E5"/>
    <w:rsid w:val="00E33ED1"/>
    <w:rsid w:val="00E34948"/>
    <w:rsid w:val="00E374FC"/>
    <w:rsid w:val="00E37569"/>
    <w:rsid w:val="00E37F07"/>
    <w:rsid w:val="00E401B2"/>
    <w:rsid w:val="00E405FF"/>
    <w:rsid w:val="00E410BB"/>
    <w:rsid w:val="00E41E30"/>
    <w:rsid w:val="00E42F73"/>
    <w:rsid w:val="00E43167"/>
    <w:rsid w:val="00E43967"/>
    <w:rsid w:val="00E43D70"/>
    <w:rsid w:val="00E466F3"/>
    <w:rsid w:val="00E47B2C"/>
    <w:rsid w:val="00E5034C"/>
    <w:rsid w:val="00E51560"/>
    <w:rsid w:val="00E517B9"/>
    <w:rsid w:val="00E51821"/>
    <w:rsid w:val="00E521D7"/>
    <w:rsid w:val="00E53FC8"/>
    <w:rsid w:val="00E54347"/>
    <w:rsid w:val="00E55424"/>
    <w:rsid w:val="00E55915"/>
    <w:rsid w:val="00E55BB5"/>
    <w:rsid w:val="00E5748D"/>
    <w:rsid w:val="00E57704"/>
    <w:rsid w:val="00E6079B"/>
    <w:rsid w:val="00E611DF"/>
    <w:rsid w:val="00E62C78"/>
    <w:rsid w:val="00E65E79"/>
    <w:rsid w:val="00E66BA2"/>
    <w:rsid w:val="00E67416"/>
    <w:rsid w:val="00E67516"/>
    <w:rsid w:val="00E67D05"/>
    <w:rsid w:val="00E7076B"/>
    <w:rsid w:val="00E713AB"/>
    <w:rsid w:val="00E718B6"/>
    <w:rsid w:val="00E723BA"/>
    <w:rsid w:val="00E73566"/>
    <w:rsid w:val="00E73581"/>
    <w:rsid w:val="00E750CC"/>
    <w:rsid w:val="00E767AE"/>
    <w:rsid w:val="00E77EEB"/>
    <w:rsid w:val="00E77F93"/>
    <w:rsid w:val="00E81789"/>
    <w:rsid w:val="00E82C7A"/>
    <w:rsid w:val="00E833F7"/>
    <w:rsid w:val="00E83BDF"/>
    <w:rsid w:val="00E84E5D"/>
    <w:rsid w:val="00E85A31"/>
    <w:rsid w:val="00E85EDB"/>
    <w:rsid w:val="00E86FCC"/>
    <w:rsid w:val="00E87A1D"/>
    <w:rsid w:val="00E9094A"/>
    <w:rsid w:val="00E90CE8"/>
    <w:rsid w:val="00E91D35"/>
    <w:rsid w:val="00E926A5"/>
    <w:rsid w:val="00E92FDC"/>
    <w:rsid w:val="00E944B4"/>
    <w:rsid w:val="00E948C4"/>
    <w:rsid w:val="00E9565E"/>
    <w:rsid w:val="00E95794"/>
    <w:rsid w:val="00E962CC"/>
    <w:rsid w:val="00EA17C3"/>
    <w:rsid w:val="00EA1A2C"/>
    <w:rsid w:val="00EA2791"/>
    <w:rsid w:val="00EA2CAA"/>
    <w:rsid w:val="00EA3864"/>
    <w:rsid w:val="00EA5C88"/>
    <w:rsid w:val="00EA7F1C"/>
    <w:rsid w:val="00EB0884"/>
    <w:rsid w:val="00EB15B6"/>
    <w:rsid w:val="00EB3725"/>
    <w:rsid w:val="00EB3D06"/>
    <w:rsid w:val="00EB4916"/>
    <w:rsid w:val="00EC00C9"/>
    <w:rsid w:val="00EC0DC0"/>
    <w:rsid w:val="00EC0DD9"/>
    <w:rsid w:val="00EC2649"/>
    <w:rsid w:val="00EC31ED"/>
    <w:rsid w:val="00EC3DB4"/>
    <w:rsid w:val="00EC5836"/>
    <w:rsid w:val="00EC688C"/>
    <w:rsid w:val="00ED03B1"/>
    <w:rsid w:val="00ED12E3"/>
    <w:rsid w:val="00ED4B04"/>
    <w:rsid w:val="00ED4F95"/>
    <w:rsid w:val="00ED57EA"/>
    <w:rsid w:val="00ED5BD4"/>
    <w:rsid w:val="00ED723A"/>
    <w:rsid w:val="00EE07D3"/>
    <w:rsid w:val="00EE11B6"/>
    <w:rsid w:val="00EE1256"/>
    <w:rsid w:val="00EE1996"/>
    <w:rsid w:val="00EE1C01"/>
    <w:rsid w:val="00EE22AF"/>
    <w:rsid w:val="00EE38B8"/>
    <w:rsid w:val="00EE653C"/>
    <w:rsid w:val="00EE69DF"/>
    <w:rsid w:val="00EF0171"/>
    <w:rsid w:val="00EF1B25"/>
    <w:rsid w:val="00EF1DA0"/>
    <w:rsid w:val="00EF331F"/>
    <w:rsid w:val="00EF4747"/>
    <w:rsid w:val="00EF4A07"/>
    <w:rsid w:val="00EF4BF8"/>
    <w:rsid w:val="00EF4EAC"/>
    <w:rsid w:val="00EF6842"/>
    <w:rsid w:val="00F02253"/>
    <w:rsid w:val="00F03C2E"/>
    <w:rsid w:val="00F04A66"/>
    <w:rsid w:val="00F04B4B"/>
    <w:rsid w:val="00F04CFC"/>
    <w:rsid w:val="00F0516C"/>
    <w:rsid w:val="00F05D87"/>
    <w:rsid w:val="00F067A2"/>
    <w:rsid w:val="00F07B9E"/>
    <w:rsid w:val="00F1116F"/>
    <w:rsid w:val="00F1263A"/>
    <w:rsid w:val="00F139C5"/>
    <w:rsid w:val="00F14A61"/>
    <w:rsid w:val="00F151EC"/>
    <w:rsid w:val="00F15B77"/>
    <w:rsid w:val="00F16268"/>
    <w:rsid w:val="00F16DA3"/>
    <w:rsid w:val="00F173D5"/>
    <w:rsid w:val="00F21236"/>
    <w:rsid w:val="00F239DF"/>
    <w:rsid w:val="00F23D48"/>
    <w:rsid w:val="00F24837"/>
    <w:rsid w:val="00F2575F"/>
    <w:rsid w:val="00F27531"/>
    <w:rsid w:val="00F27565"/>
    <w:rsid w:val="00F30D3E"/>
    <w:rsid w:val="00F310D4"/>
    <w:rsid w:val="00F31D5A"/>
    <w:rsid w:val="00F32823"/>
    <w:rsid w:val="00F33975"/>
    <w:rsid w:val="00F33DE9"/>
    <w:rsid w:val="00F34EF2"/>
    <w:rsid w:val="00F34F61"/>
    <w:rsid w:val="00F35E6D"/>
    <w:rsid w:val="00F3619A"/>
    <w:rsid w:val="00F3756B"/>
    <w:rsid w:val="00F37BBD"/>
    <w:rsid w:val="00F4048F"/>
    <w:rsid w:val="00F40AAA"/>
    <w:rsid w:val="00F40BA7"/>
    <w:rsid w:val="00F40F9D"/>
    <w:rsid w:val="00F417BF"/>
    <w:rsid w:val="00F41ACD"/>
    <w:rsid w:val="00F43527"/>
    <w:rsid w:val="00F43B69"/>
    <w:rsid w:val="00F44EAA"/>
    <w:rsid w:val="00F46CB6"/>
    <w:rsid w:val="00F47507"/>
    <w:rsid w:val="00F4756D"/>
    <w:rsid w:val="00F4781C"/>
    <w:rsid w:val="00F47DE8"/>
    <w:rsid w:val="00F510C6"/>
    <w:rsid w:val="00F542C1"/>
    <w:rsid w:val="00F550E3"/>
    <w:rsid w:val="00F55980"/>
    <w:rsid w:val="00F55E73"/>
    <w:rsid w:val="00F55EDA"/>
    <w:rsid w:val="00F5643A"/>
    <w:rsid w:val="00F56C80"/>
    <w:rsid w:val="00F60092"/>
    <w:rsid w:val="00F6047B"/>
    <w:rsid w:val="00F60558"/>
    <w:rsid w:val="00F61C18"/>
    <w:rsid w:val="00F65F18"/>
    <w:rsid w:val="00F65F4B"/>
    <w:rsid w:val="00F6612A"/>
    <w:rsid w:val="00F663D1"/>
    <w:rsid w:val="00F67A69"/>
    <w:rsid w:val="00F67B05"/>
    <w:rsid w:val="00F70BFF"/>
    <w:rsid w:val="00F70C9D"/>
    <w:rsid w:val="00F727A1"/>
    <w:rsid w:val="00F73B13"/>
    <w:rsid w:val="00F73E08"/>
    <w:rsid w:val="00F74CD9"/>
    <w:rsid w:val="00F80A7B"/>
    <w:rsid w:val="00F80E5D"/>
    <w:rsid w:val="00F81E78"/>
    <w:rsid w:val="00F820D5"/>
    <w:rsid w:val="00F83916"/>
    <w:rsid w:val="00F84631"/>
    <w:rsid w:val="00F851CE"/>
    <w:rsid w:val="00F90291"/>
    <w:rsid w:val="00F91031"/>
    <w:rsid w:val="00F91219"/>
    <w:rsid w:val="00F92444"/>
    <w:rsid w:val="00F93882"/>
    <w:rsid w:val="00F9393E"/>
    <w:rsid w:val="00F96FD0"/>
    <w:rsid w:val="00F97A78"/>
    <w:rsid w:val="00FA065A"/>
    <w:rsid w:val="00FA0B20"/>
    <w:rsid w:val="00FA24E7"/>
    <w:rsid w:val="00FA4CB5"/>
    <w:rsid w:val="00FA5EE6"/>
    <w:rsid w:val="00FA7956"/>
    <w:rsid w:val="00FB0824"/>
    <w:rsid w:val="00FB14EE"/>
    <w:rsid w:val="00FB209E"/>
    <w:rsid w:val="00FB2FCB"/>
    <w:rsid w:val="00FB4C9C"/>
    <w:rsid w:val="00FB7C55"/>
    <w:rsid w:val="00FC1074"/>
    <w:rsid w:val="00FC1884"/>
    <w:rsid w:val="00FC1E88"/>
    <w:rsid w:val="00FC3306"/>
    <w:rsid w:val="00FC371D"/>
    <w:rsid w:val="00FC3D9C"/>
    <w:rsid w:val="00FC4F8A"/>
    <w:rsid w:val="00FC5F0B"/>
    <w:rsid w:val="00FC7263"/>
    <w:rsid w:val="00FD03B7"/>
    <w:rsid w:val="00FD2100"/>
    <w:rsid w:val="00FD3131"/>
    <w:rsid w:val="00FD436C"/>
    <w:rsid w:val="00FD446D"/>
    <w:rsid w:val="00FD4564"/>
    <w:rsid w:val="00FD4F2C"/>
    <w:rsid w:val="00FD5DB4"/>
    <w:rsid w:val="00FD6394"/>
    <w:rsid w:val="00FE0E6C"/>
    <w:rsid w:val="00FE1B1D"/>
    <w:rsid w:val="00FE1CDC"/>
    <w:rsid w:val="00FE3F41"/>
    <w:rsid w:val="00FE5831"/>
    <w:rsid w:val="00FE6649"/>
    <w:rsid w:val="00FE6F68"/>
    <w:rsid w:val="00FE70C3"/>
    <w:rsid w:val="00FF129F"/>
    <w:rsid w:val="00FF1A8B"/>
    <w:rsid w:val="00FF2AD9"/>
    <w:rsid w:val="00FF2E11"/>
    <w:rsid w:val="00FF359F"/>
    <w:rsid w:val="00FF3715"/>
    <w:rsid w:val="00FF3DCF"/>
    <w:rsid w:val="00FF3EE6"/>
    <w:rsid w:val="00FF4469"/>
    <w:rsid w:val="00FF492C"/>
    <w:rsid w:val="00FF4A21"/>
    <w:rsid w:val="00FF5AA3"/>
    <w:rsid w:val="00FF5AD8"/>
    <w:rsid w:val="00FF7C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1"/>
    <w:qFormat/>
    <w:rsid w:val="00E2771E"/>
    <w:rPr>
      <w:rFonts w:ascii="Arial Narrow" w:hAnsi="Arial Narrow"/>
      <w:sz w:val="18"/>
    </w:rPr>
  </w:style>
  <w:style w:type="character" w:customStyle="1" w:styleId="TableFooterChar">
    <w:name w:val="Table Footer Char"/>
    <w:link w:val="TableFooter"/>
    <w:uiPriority w:val="1"/>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Caption Char2 Char,Bullet,- H17,Char,! Q"/>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Bullet Char"/>
    <w:link w:val="Caption"/>
    <w:uiPriority w:val="35"/>
    <w:qFormat/>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 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PHE Table Grid,Lash Style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30224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3"/>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uiPriority w:val="3"/>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customStyle="1" w:styleId="TableText1">
    <w:name w:val="TableText"/>
    <w:basedOn w:val="Normal"/>
    <w:link w:val="TableTextChar1"/>
    <w:uiPriority w:val="3"/>
    <w:qFormat/>
    <w:rsid w:val="005026AF"/>
    <w:pPr>
      <w:keepNext/>
      <w:spacing w:before="60" w:after="60"/>
      <w:jc w:val="left"/>
    </w:pPr>
    <w:rPr>
      <w:rFonts w:ascii="Times New Roman" w:hAnsi="Times New Roman" w:cs="Times New Roman"/>
      <w:color w:val="000000"/>
      <w:sz w:val="21"/>
      <w:szCs w:val="21"/>
    </w:rPr>
  </w:style>
  <w:style w:type="character" w:customStyle="1" w:styleId="TableTextChar1">
    <w:name w:val="TableText Char"/>
    <w:link w:val="TableText1"/>
    <w:uiPriority w:val="3"/>
    <w:rsid w:val="005026AF"/>
    <w:rPr>
      <w:color w:val="000000"/>
      <w:sz w:val="21"/>
      <w:szCs w:val="21"/>
    </w:rPr>
  </w:style>
  <w:style w:type="paragraph" w:customStyle="1" w:styleId="Body">
    <w:name w:val="Body"/>
    <w:basedOn w:val="BodyText"/>
    <w:link w:val="BodyChar"/>
    <w:qFormat/>
    <w:rsid w:val="005026AF"/>
    <w:pPr>
      <w:spacing w:after="120" w:line="360" w:lineRule="auto"/>
      <w:jc w:val="both"/>
    </w:pPr>
    <w:rPr>
      <w:rFonts w:ascii="Arial" w:hAnsi="Arial" w:cs="Times New Roman"/>
      <w:sz w:val="22"/>
      <w:szCs w:val="20"/>
      <w:lang w:val="en-GB" w:eastAsia="en-US"/>
    </w:rPr>
  </w:style>
  <w:style w:type="character" w:customStyle="1" w:styleId="BodyChar">
    <w:name w:val="Body Char"/>
    <w:basedOn w:val="DefaultParagraphFont"/>
    <w:link w:val="Body"/>
    <w:rsid w:val="005026AF"/>
    <w:rPr>
      <w:rFonts w:ascii="Arial" w:hAnsi="Arial"/>
      <w:sz w:val="22"/>
      <w:lang w:val="en-GB" w:eastAsia="en-US"/>
    </w:rPr>
  </w:style>
  <w:style w:type="paragraph" w:customStyle="1" w:styleId="TableHeading0">
    <w:name w:val="Table Heading"/>
    <w:basedOn w:val="TableText0"/>
    <w:link w:val="TableHeadingChar"/>
    <w:uiPriority w:val="3"/>
    <w:qFormat/>
    <w:rsid w:val="009E15A4"/>
    <w:pPr>
      <w:keepLines/>
      <w:spacing w:before="20" w:after="20" w:line="276" w:lineRule="auto"/>
    </w:pPr>
    <w:rPr>
      <w:rFonts w:cs="Arial"/>
      <w:b/>
      <w:bCs w:val="0"/>
      <w:szCs w:val="20"/>
      <w:lang w:bidi="en-US"/>
    </w:rPr>
  </w:style>
  <w:style w:type="table" w:customStyle="1" w:styleId="AZTable">
    <w:name w:val="AZ Table"/>
    <w:basedOn w:val="TableNormal"/>
    <w:uiPriority w:val="99"/>
    <w:rsid w:val="009E15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HeadingChar">
    <w:name w:val="Table Heading Char"/>
    <w:basedOn w:val="DefaultParagraphFont"/>
    <w:link w:val="TableHeading0"/>
    <w:uiPriority w:val="3"/>
    <w:locked/>
    <w:rsid w:val="009E15A4"/>
    <w:rPr>
      <w:rFonts w:ascii="Arial Narrow" w:eastAsiaTheme="majorEastAsia" w:hAnsi="Arial Narrow" w:cs="Arial"/>
      <w:b/>
      <w:lang w:bidi="en-US"/>
    </w:rPr>
  </w:style>
  <w:style w:type="table" w:customStyle="1" w:styleId="Summarybox1">
    <w:name w:val="Summary box1"/>
    <w:basedOn w:val="TableNormal"/>
    <w:next w:val="TableGrid"/>
    <w:rsid w:val="009E15A4"/>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0"/>
    <w:link w:val="TableBulletChar"/>
    <w:qFormat/>
    <w:rsid w:val="000250C9"/>
    <w:pPr>
      <w:keepNext w:val="0"/>
      <w:numPr>
        <w:numId w:val="8"/>
      </w:numPr>
      <w:spacing w:before="20" w:after="20" w:line="276" w:lineRule="auto"/>
      <w:ind w:left="284" w:hanging="284"/>
    </w:pPr>
    <w:rPr>
      <w:rFonts w:cs="Arial"/>
      <w:bCs w:val="0"/>
      <w:lang w:bidi="en-US"/>
    </w:rPr>
  </w:style>
  <w:style w:type="character" w:customStyle="1" w:styleId="TableBulletChar">
    <w:name w:val="Table Bullet Char"/>
    <w:basedOn w:val="TableTextChar0"/>
    <w:link w:val="TableBullet"/>
    <w:rsid w:val="000250C9"/>
    <w:rPr>
      <w:rFonts w:ascii="Arial Narrow" w:eastAsiaTheme="majorEastAsia" w:hAnsi="Arial Narrow" w:cs="Arial"/>
      <w:bCs w:val="0"/>
      <w:szCs w:val="24"/>
      <w:lang w:bidi="en-US"/>
    </w:rPr>
  </w:style>
  <w:style w:type="paragraph" w:customStyle="1" w:styleId="Heading4Alt">
    <w:name w:val="Heading 4 Alt"/>
    <w:basedOn w:val="Heading4"/>
    <w:link w:val="Heading4AltChar"/>
    <w:qFormat/>
    <w:rsid w:val="000250C9"/>
    <w:pPr>
      <w:keepLines/>
      <w:spacing w:before="40" w:after="0" w:line="360" w:lineRule="auto"/>
      <w:outlineLvl w:val="9"/>
    </w:pPr>
    <w:rPr>
      <w:rFonts w:ascii="Arial" w:eastAsiaTheme="majorEastAsia" w:hAnsi="Arial" w:cstheme="majorBidi"/>
      <w:bCs w:val="0"/>
      <w:i w:val="0"/>
      <w:iCs/>
      <w:color w:val="000000" w:themeColor="text1"/>
      <w:sz w:val="24"/>
      <w:szCs w:val="22"/>
      <w:lang w:eastAsia="en-US"/>
    </w:rPr>
  </w:style>
  <w:style w:type="character" w:customStyle="1" w:styleId="Heading4AltChar">
    <w:name w:val="Heading 4 Alt Char"/>
    <w:basedOn w:val="DefaultParagraphFont"/>
    <w:link w:val="Heading4Alt"/>
    <w:rsid w:val="000250C9"/>
    <w:rPr>
      <w:rFonts w:ascii="Arial" w:eastAsiaTheme="majorEastAsia" w:hAnsi="Arial" w:cstheme="majorBidi"/>
      <w:b/>
      <w:iCs/>
      <w:color w:val="000000" w:themeColor="text1"/>
      <w:sz w:val="24"/>
      <w:szCs w:val="22"/>
      <w:lang w:eastAsia="en-US"/>
    </w:rPr>
  </w:style>
  <w:style w:type="paragraph" w:customStyle="1" w:styleId="TableFigNotes18">
    <w:name w:val="TableFigNotes+18"/>
    <w:basedOn w:val="BodyText"/>
    <w:next w:val="BodyText"/>
    <w:link w:val="TableFigNotes18Char"/>
    <w:uiPriority w:val="4"/>
    <w:qFormat/>
    <w:rsid w:val="000250C9"/>
    <w:pPr>
      <w:keepLines/>
      <w:spacing w:after="360" w:line="276" w:lineRule="auto"/>
      <w:contextualSpacing/>
    </w:pPr>
    <w:rPr>
      <w:rFonts w:ascii="Arial Narrow" w:eastAsiaTheme="minorHAnsi" w:hAnsi="Arial Narrow" w:cs="Tahoma"/>
      <w:color w:val="000000"/>
      <w:sz w:val="18"/>
      <w:szCs w:val="18"/>
    </w:rPr>
  </w:style>
  <w:style w:type="character" w:customStyle="1" w:styleId="TableFigNotes18Char">
    <w:name w:val="TableFigNotes+18 Char"/>
    <w:basedOn w:val="DefaultParagraphFont"/>
    <w:link w:val="TableFigNotes18"/>
    <w:uiPriority w:val="4"/>
    <w:rsid w:val="000250C9"/>
    <w:rPr>
      <w:rFonts w:ascii="Arial Narrow" w:eastAsiaTheme="minorHAnsi" w:hAnsi="Arial Narrow" w:cs="Tahoma"/>
      <w:color w:val="000000"/>
      <w:sz w:val="18"/>
      <w:szCs w:val="18"/>
    </w:rPr>
  </w:style>
  <w:style w:type="table" w:customStyle="1" w:styleId="SummaryTable1">
    <w:name w:val="Summary Table1"/>
    <w:basedOn w:val="TableNormal"/>
    <w:next w:val="TableGrid"/>
    <w:uiPriority w:val="39"/>
    <w:rsid w:val="000250C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0250C9"/>
    <w:rPr>
      <w:sz w:val="20"/>
      <w:szCs w:val="20"/>
    </w:rPr>
  </w:style>
  <w:style w:type="character" w:customStyle="1" w:styleId="FootnoteTextChar">
    <w:name w:val="Footnote Text Char"/>
    <w:basedOn w:val="DefaultParagraphFont"/>
    <w:link w:val="FootnoteText"/>
    <w:rsid w:val="000250C9"/>
    <w:rPr>
      <w:rFonts w:ascii="Calibri" w:hAnsi="Calibri" w:cs="Arial"/>
    </w:rPr>
  </w:style>
  <w:style w:type="character" w:styleId="FootnoteReference">
    <w:name w:val="footnote reference"/>
    <w:basedOn w:val="DefaultParagraphFont"/>
    <w:semiHidden/>
    <w:unhideWhenUsed/>
    <w:rsid w:val="000250C9"/>
    <w:rPr>
      <w:vertAlign w:val="superscript"/>
    </w:rPr>
  </w:style>
  <w:style w:type="character" w:styleId="UnresolvedMention">
    <w:name w:val="Unresolved Mention"/>
    <w:basedOn w:val="DefaultParagraphFont"/>
    <w:uiPriority w:val="99"/>
    <w:semiHidden/>
    <w:unhideWhenUsed/>
    <w:rsid w:val="000250C9"/>
    <w:rPr>
      <w:color w:val="605E5C"/>
      <w:shd w:val="clear" w:color="auto" w:fill="E1DFDD"/>
    </w:rPr>
  </w:style>
  <w:style w:type="paragraph" w:customStyle="1" w:styleId="Tabletextcent">
    <w:name w:val="Table text cent"/>
    <w:basedOn w:val="Normal"/>
    <w:uiPriority w:val="99"/>
    <w:qFormat/>
    <w:rsid w:val="000250C9"/>
    <w:pPr>
      <w:spacing w:before="20" w:after="20"/>
      <w:ind w:left="113" w:right="113"/>
      <w:jc w:val="center"/>
    </w:pPr>
    <w:rPr>
      <w:rFonts w:cs="Times New Roman"/>
      <w:sz w:val="20"/>
      <w:szCs w:val="20"/>
      <w:lang w:val="de-DE"/>
    </w:rPr>
  </w:style>
  <w:style w:type="paragraph" w:customStyle="1" w:styleId="TableNumber">
    <w:name w:val="Table Number"/>
    <w:basedOn w:val="TableText0"/>
    <w:link w:val="TableNumberChar"/>
    <w:qFormat/>
    <w:rsid w:val="000250C9"/>
    <w:pPr>
      <w:keepNext w:val="0"/>
      <w:widowControl w:val="0"/>
      <w:tabs>
        <w:tab w:val="decimal" w:pos="396"/>
      </w:tabs>
      <w:spacing w:before="40" w:after="40" w:line="256" w:lineRule="auto"/>
      <w:jc w:val="center"/>
    </w:pPr>
    <w:rPr>
      <w:bCs w:val="0"/>
      <w:lang w:eastAsia="en-GB"/>
    </w:rPr>
  </w:style>
  <w:style w:type="character" w:customStyle="1" w:styleId="TableNumberChar">
    <w:name w:val="Table Number Char"/>
    <w:basedOn w:val="TableTextChar0"/>
    <w:link w:val="TableNumber"/>
    <w:rsid w:val="000250C9"/>
    <w:rPr>
      <w:rFonts w:ascii="Arial Narrow" w:eastAsiaTheme="majorEastAsia" w:hAnsi="Arial Narrow" w:cstheme="majorBidi"/>
      <w:bCs w:val="0"/>
      <w:szCs w:val="24"/>
      <w:lang w:eastAsia="en-GB"/>
    </w:rPr>
  </w:style>
  <w:style w:type="paragraph" w:customStyle="1" w:styleId="TableHeadingRow">
    <w:name w:val="TableHeadingRow"/>
    <w:basedOn w:val="TableText1"/>
    <w:uiPriority w:val="3"/>
    <w:qFormat/>
    <w:rsid w:val="000250C9"/>
    <w:pPr>
      <w:spacing w:before="40" w:after="40"/>
      <w:jc w:val="center"/>
    </w:pPr>
    <w:rPr>
      <w:rFonts w:ascii="Calibri" w:hAnsi="Calibri" w:cs="Calibri"/>
      <w:b/>
      <w:color w:val="auto"/>
      <w:sz w:val="20"/>
      <w:szCs w:val="20"/>
      <w:lang w:eastAsia="zh-CN"/>
    </w:rPr>
  </w:style>
  <w:style w:type="table" w:customStyle="1" w:styleId="AZTable1">
    <w:name w:val="AZ Table1"/>
    <w:basedOn w:val="TableNormal"/>
    <w:uiPriority w:val="99"/>
    <w:rsid w:val="000250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FigureFooter">
    <w:name w:val="Table/Figure Footer"/>
    <w:basedOn w:val="Normal"/>
    <w:link w:val="TableFigureFooterChar"/>
    <w:qFormat/>
    <w:rsid w:val="000250C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250C9"/>
    <w:rPr>
      <w:rFonts w:ascii="Arial Narrow" w:hAnsi="Arial Narrow" w:cs="Arial"/>
      <w:snapToGrid w:val="0"/>
      <w:sz w:val="18"/>
      <w:szCs w:val="22"/>
    </w:rPr>
  </w:style>
  <w:style w:type="table" w:customStyle="1" w:styleId="PBACTableStyle">
    <w:name w:val="PBAC Table Style"/>
    <w:basedOn w:val="TableGrid1"/>
    <w:uiPriority w:val="99"/>
    <w:rsid w:val="000250C9"/>
    <w:pPr>
      <w:widowControl w:val="0"/>
      <w:tabs>
        <w:tab w:val="num" w:pos="360"/>
      </w:tabs>
      <w:spacing w:before="120"/>
      <w:contextualSpacing/>
      <w:jc w:val="center"/>
    </w:pPr>
    <w:rPr>
      <w:rFonts w:ascii="Arial Narrow" w:eastAsiaTheme="minorHAnsi" w:hAnsi="Arial Narrow" w:cstheme="minorBidi"/>
      <w:color w:val="000000" w:themeColor="text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Bahnschrift SemiLight Condensed" w:hAnsi="Bahnschrift SemiLight Condensed"/>
        <w:b/>
        <w:sz w:val="20"/>
      </w:rPr>
    </w:tblStylePr>
    <w:tblStylePr w:type="lastRow">
      <w:rPr>
        <w:i/>
        <w:iCs/>
      </w:rPr>
      <w:tblPr/>
      <w:tcPr>
        <w:tcBorders>
          <w:tl2br w:val="none" w:sz="0" w:space="0" w:color="auto"/>
          <w:tr2bl w:val="none" w:sz="0" w:space="0" w:color="auto"/>
        </w:tcBorders>
      </w:tcPr>
    </w:tblStylePr>
    <w:tblStylePr w:type="firstCol">
      <w:rPr>
        <w:rFonts w:ascii="Bahnschrift SemiLight Condensed" w:hAnsi="Bahnschrift SemiLight Condensed"/>
        <w:sz w:val="20"/>
      </w:rPr>
    </w:tblStylePr>
    <w:tblStylePr w:type="lastCol">
      <w:rPr>
        <w:rFonts w:ascii="Bahnschrift SemiLight Condensed" w:hAnsi="Bahnschrift SemiLight Condensed"/>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0250C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0250C9"/>
    <w:pPr>
      <w:jc w:val="center"/>
    </w:pPr>
    <w:rPr>
      <w:rFonts w:ascii="Arial Narrow" w:eastAsiaTheme="majorEastAsia" w:hAnsi="Arial Narrow"/>
      <w:noProof/>
      <w:sz w:val="18"/>
    </w:rPr>
  </w:style>
  <w:style w:type="character" w:customStyle="1" w:styleId="EndNoteBibliographyTitleChar">
    <w:name w:val="EndNote Bibliography Title Char"/>
    <w:basedOn w:val="TableTextChar0"/>
    <w:link w:val="EndNoteBibliographyTitle"/>
    <w:rsid w:val="000250C9"/>
    <w:rPr>
      <w:rFonts w:ascii="Arial Narrow" w:eastAsiaTheme="majorEastAsia" w:hAnsi="Arial Narrow" w:cs="Arial"/>
      <w:bCs w:val="0"/>
      <w:noProof/>
      <w:sz w:val="18"/>
      <w:szCs w:val="24"/>
    </w:rPr>
  </w:style>
  <w:style w:type="paragraph" w:customStyle="1" w:styleId="EndNoteBibliography">
    <w:name w:val="EndNote Bibliography"/>
    <w:basedOn w:val="Normal"/>
    <w:link w:val="EndNoteBibliographyChar"/>
    <w:rsid w:val="000250C9"/>
    <w:rPr>
      <w:rFonts w:ascii="Arial Narrow" w:eastAsiaTheme="majorEastAsia" w:hAnsi="Arial Narrow"/>
      <w:noProof/>
      <w:sz w:val="18"/>
    </w:rPr>
  </w:style>
  <w:style w:type="character" w:customStyle="1" w:styleId="EndNoteBibliographyChar">
    <w:name w:val="EndNote Bibliography Char"/>
    <w:basedOn w:val="TableTextChar0"/>
    <w:link w:val="EndNoteBibliography"/>
    <w:rsid w:val="000250C9"/>
    <w:rPr>
      <w:rFonts w:ascii="Arial Narrow" w:eastAsiaTheme="majorEastAsia" w:hAnsi="Arial Narrow" w:cs="Arial"/>
      <w:bCs w:val="0"/>
      <w:noProof/>
      <w:sz w:val="18"/>
      <w:szCs w:val="24"/>
    </w:rPr>
  </w:style>
  <w:style w:type="paragraph" w:styleId="EndnoteText">
    <w:name w:val="endnote text"/>
    <w:basedOn w:val="Normal"/>
    <w:link w:val="EndnoteTextChar"/>
    <w:uiPriority w:val="99"/>
    <w:semiHidden/>
    <w:unhideWhenUsed/>
    <w:rsid w:val="000250C9"/>
    <w:rPr>
      <w:sz w:val="20"/>
      <w:szCs w:val="20"/>
    </w:rPr>
  </w:style>
  <w:style w:type="character" w:customStyle="1" w:styleId="EndnoteTextChar">
    <w:name w:val="Endnote Text Char"/>
    <w:basedOn w:val="DefaultParagraphFont"/>
    <w:link w:val="EndnoteText"/>
    <w:uiPriority w:val="99"/>
    <w:semiHidden/>
    <w:rsid w:val="000250C9"/>
    <w:rPr>
      <w:rFonts w:ascii="Calibri" w:hAnsi="Calibri" w:cs="Arial"/>
    </w:rPr>
  </w:style>
  <w:style w:type="character" w:styleId="EndnoteReference">
    <w:name w:val="endnote reference"/>
    <w:basedOn w:val="DefaultParagraphFont"/>
    <w:semiHidden/>
    <w:unhideWhenUsed/>
    <w:rsid w:val="000250C9"/>
    <w:rPr>
      <w:vertAlign w:val="superscript"/>
    </w:rPr>
  </w:style>
  <w:style w:type="character" w:customStyle="1" w:styleId="Heading1Char">
    <w:name w:val="Heading 1 Char"/>
    <w:basedOn w:val="DefaultParagraphFont"/>
    <w:link w:val="Heading1"/>
    <w:uiPriority w:val="1"/>
    <w:rsid w:val="00B25543"/>
    <w:rPr>
      <w:rFonts w:ascii="Calibri" w:hAnsi="Calibri" w:cs="Arial"/>
      <w:b/>
      <w:caps/>
      <w:sz w:val="32"/>
      <w:szCs w:val="24"/>
    </w:rPr>
  </w:style>
  <w:style w:type="character" w:customStyle="1" w:styleId="Heading3Char">
    <w:name w:val="Heading 3 Char"/>
    <w:basedOn w:val="DefaultParagraphFont"/>
    <w:link w:val="Heading3"/>
    <w:rsid w:val="00B25543"/>
    <w:rPr>
      <w:rFonts w:ascii="Calibri" w:hAnsi="Calibri" w:cs="Arial"/>
      <w:sz w:val="24"/>
      <w:szCs w:val="24"/>
      <w:u w:val="single"/>
    </w:rPr>
  </w:style>
  <w:style w:type="character" w:customStyle="1" w:styleId="Heading4Char">
    <w:name w:val="Heading 4 Char"/>
    <w:basedOn w:val="DefaultParagraphFont"/>
    <w:link w:val="Heading4"/>
    <w:rsid w:val="00B25543"/>
    <w:rPr>
      <w:rFonts w:ascii="Calibri" w:hAnsi="Calibri" w:cs="Arial"/>
      <w:b/>
      <w:bCs/>
      <w:i/>
      <w:sz w:val="26"/>
      <w:szCs w:val="28"/>
    </w:rPr>
  </w:style>
  <w:style w:type="character" w:customStyle="1" w:styleId="Heading5Char">
    <w:name w:val="Heading 5 Char"/>
    <w:basedOn w:val="DefaultParagraphFont"/>
    <w:link w:val="Heading5"/>
    <w:rsid w:val="00B25543"/>
    <w:rPr>
      <w:rFonts w:ascii="Calibri" w:hAnsi="Calibri" w:cs="Arial"/>
      <w:b/>
      <w:bCs/>
      <w:iCs/>
      <w:sz w:val="26"/>
      <w:szCs w:val="26"/>
    </w:rPr>
  </w:style>
  <w:style w:type="character" w:customStyle="1" w:styleId="Heading6Char">
    <w:name w:val="Heading 6 Char"/>
    <w:basedOn w:val="DefaultParagraphFont"/>
    <w:link w:val="Heading6"/>
    <w:rsid w:val="00B25543"/>
    <w:rPr>
      <w:rFonts w:ascii="Calibri" w:hAnsi="Calibri" w:cs="Arial"/>
      <w:b/>
      <w:bCs/>
      <w:i/>
      <w:sz w:val="24"/>
      <w:szCs w:val="24"/>
    </w:rPr>
  </w:style>
  <w:style w:type="paragraph" w:customStyle="1" w:styleId="msonormal0">
    <w:name w:val="msonormal"/>
    <w:basedOn w:val="Normal"/>
    <w:uiPriority w:val="99"/>
    <w:rsid w:val="00B25543"/>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B25543"/>
    <w:rPr>
      <w:rFonts w:ascii="Calibri" w:hAnsi="Calibri" w:cs="Arial"/>
      <w:sz w:val="24"/>
      <w:szCs w:val="24"/>
    </w:rPr>
  </w:style>
  <w:style w:type="character" w:customStyle="1" w:styleId="normaltextrun">
    <w:name w:val="normaltextrun"/>
    <w:basedOn w:val="DefaultParagraphFont"/>
    <w:rsid w:val="003F3AA2"/>
  </w:style>
  <w:style w:type="table" w:customStyle="1" w:styleId="TableHTAsimple">
    <w:name w:val="Table HTA simple"/>
    <w:basedOn w:val="TableNormal"/>
    <w:uiPriority w:val="99"/>
    <w:rsid w:val="003F3AA2"/>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customStyle="1" w:styleId="cf01">
    <w:name w:val="cf01"/>
    <w:basedOn w:val="DefaultParagraphFont"/>
    <w:rsid w:val="00143D73"/>
    <w:rPr>
      <w:rFonts w:ascii="Segoe UI" w:hAnsi="Segoe UI" w:cs="Segoe UI" w:hint="default"/>
      <w:sz w:val="18"/>
      <w:szCs w:val="18"/>
      <w:shd w:val="clear" w:color="auto" w:fill="FFFF00"/>
    </w:rPr>
  </w:style>
  <w:style w:type="paragraph" w:customStyle="1" w:styleId="3-SubsectionHeading">
    <w:name w:val="3-Subsection Heading"/>
    <w:basedOn w:val="Heading2"/>
    <w:next w:val="Normal"/>
    <w:link w:val="3-SubsectionHeadingChar"/>
    <w:qFormat/>
    <w:rsid w:val="001074C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074C6"/>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4412884">
      <w:bodyDiv w:val="1"/>
      <w:marLeft w:val="0"/>
      <w:marRight w:val="0"/>
      <w:marTop w:val="0"/>
      <w:marBottom w:val="0"/>
      <w:divBdr>
        <w:top w:val="none" w:sz="0" w:space="0" w:color="auto"/>
        <w:left w:val="none" w:sz="0" w:space="0" w:color="auto"/>
        <w:bottom w:val="none" w:sz="0" w:space="0" w:color="auto"/>
        <w:right w:val="none" w:sz="0" w:space="0" w:color="auto"/>
      </w:divBdr>
    </w:div>
    <w:div w:id="2967656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3551224">
      <w:bodyDiv w:val="1"/>
      <w:marLeft w:val="0"/>
      <w:marRight w:val="0"/>
      <w:marTop w:val="0"/>
      <w:marBottom w:val="0"/>
      <w:divBdr>
        <w:top w:val="none" w:sz="0" w:space="0" w:color="auto"/>
        <w:left w:val="none" w:sz="0" w:space="0" w:color="auto"/>
        <w:bottom w:val="none" w:sz="0" w:space="0" w:color="auto"/>
        <w:right w:val="none" w:sz="0" w:space="0" w:color="auto"/>
      </w:divBdr>
    </w:div>
    <w:div w:id="468597790">
      <w:bodyDiv w:val="1"/>
      <w:marLeft w:val="0"/>
      <w:marRight w:val="0"/>
      <w:marTop w:val="0"/>
      <w:marBottom w:val="0"/>
      <w:divBdr>
        <w:top w:val="none" w:sz="0" w:space="0" w:color="auto"/>
        <w:left w:val="none" w:sz="0" w:space="0" w:color="auto"/>
        <w:bottom w:val="none" w:sz="0" w:space="0" w:color="auto"/>
        <w:right w:val="none" w:sz="0" w:space="0" w:color="auto"/>
      </w:divBdr>
      <w:divsChild>
        <w:div w:id="2067994967">
          <w:marLeft w:val="1800"/>
          <w:marRight w:val="0"/>
          <w:marTop w:val="100"/>
          <w:marBottom w:val="0"/>
          <w:divBdr>
            <w:top w:val="none" w:sz="0" w:space="0" w:color="auto"/>
            <w:left w:val="none" w:sz="0" w:space="0" w:color="auto"/>
            <w:bottom w:val="none" w:sz="0" w:space="0" w:color="auto"/>
            <w:right w:val="none" w:sz="0" w:space="0" w:color="auto"/>
          </w:divBdr>
        </w:div>
      </w:divsChild>
    </w:div>
    <w:div w:id="583494583">
      <w:bodyDiv w:val="1"/>
      <w:marLeft w:val="0"/>
      <w:marRight w:val="0"/>
      <w:marTop w:val="0"/>
      <w:marBottom w:val="0"/>
      <w:divBdr>
        <w:top w:val="none" w:sz="0" w:space="0" w:color="auto"/>
        <w:left w:val="none" w:sz="0" w:space="0" w:color="auto"/>
        <w:bottom w:val="none" w:sz="0" w:space="0" w:color="auto"/>
        <w:right w:val="none" w:sz="0" w:space="0" w:color="auto"/>
      </w:divBdr>
      <w:divsChild>
        <w:div w:id="2139764284">
          <w:marLeft w:val="446"/>
          <w:marRight w:val="0"/>
          <w:marTop w:val="0"/>
          <w:marBottom w:val="0"/>
          <w:divBdr>
            <w:top w:val="none" w:sz="0" w:space="0" w:color="auto"/>
            <w:left w:val="none" w:sz="0" w:space="0" w:color="auto"/>
            <w:bottom w:val="none" w:sz="0" w:space="0" w:color="auto"/>
            <w:right w:val="none" w:sz="0" w:space="0" w:color="auto"/>
          </w:divBdr>
        </w:div>
      </w:divsChild>
    </w:div>
    <w:div w:id="70224894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7547547">
      <w:bodyDiv w:val="1"/>
      <w:marLeft w:val="0"/>
      <w:marRight w:val="0"/>
      <w:marTop w:val="0"/>
      <w:marBottom w:val="0"/>
      <w:divBdr>
        <w:top w:val="none" w:sz="0" w:space="0" w:color="auto"/>
        <w:left w:val="none" w:sz="0" w:space="0" w:color="auto"/>
        <w:bottom w:val="none" w:sz="0" w:space="0" w:color="auto"/>
        <w:right w:val="none" w:sz="0" w:space="0" w:color="auto"/>
      </w:divBdr>
    </w:div>
    <w:div w:id="862592323">
      <w:bodyDiv w:val="1"/>
      <w:marLeft w:val="0"/>
      <w:marRight w:val="0"/>
      <w:marTop w:val="0"/>
      <w:marBottom w:val="0"/>
      <w:divBdr>
        <w:top w:val="none" w:sz="0" w:space="0" w:color="auto"/>
        <w:left w:val="none" w:sz="0" w:space="0" w:color="auto"/>
        <w:bottom w:val="none" w:sz="0" w:space="0" w:color="auto"/>
        <w:right w:val="none" w:sz="0" w:space="0" w:color="auto"/>
      </w:divBdr>
    </w:div>
    <w:div w:id="977104800">
      <w:bodyDiv w:val="1"/>
      <w:marLeft w:val="0"/>
      <w:marRight w:val="0"/>
      <w:marTop w:val="0"/>
      <w:marBottom w:val="0"/>
      <w:divBdr>
        <w:top w:val="none" w:sz="0" w:space="0" w:color="auto"/>
        <w:left w:val="none" w:sz="0" w:space="0" w:color="auto"/>
        <w:bottom w:val="none" w:sz="0" w:space="0" w:color="auto"/>
        <w:right w:val="none" w:sz="0" w:space="0" w:color="auto"/>
      </w:divBdr>
    </w:div>
    <w:div w:id="1063943144">
      <w:bodyDiv w:val="1"/>
      <w:marLeft w:val="0"/>
      <w:marRight w:val="0"/>
      <w:marTop w:val="0"/>
      <w:marBottom w:val="0"/>
      <w:divBdr>
        <w:top w:val="none" w:sz="0" w:space="0" w:color="auto"/>
        <w:left w:val="none" w:sz="0" w:space="0" w:color="auto"/>
        <w:bottom w:val="none" w:sz="0" w:space="0" w:color="auto"/>
        <w:right w:val="none" w:sz="0" w:space="0" w:color="auto"/>
      </w:divBdr>
    </w:div>
    <w:div w:id="1074669469">
      <w:bodyDiv w:val="1"/>
      <w:marLeft w:val="0"/>
      <w:marRight w:val="0"/>
      <w:marTop w:val="0"/>
      <w:marBottom w:val="0"/>
      <w:divBdr>
        <w:top w:val="none" w:sz="0" w:space="0" w:color="auto"/>
        <w:left w:val="none" w:sz="0" w:space="0" w:color="auto"/>
        <w:bottom w:val="none" w:sz="0" w:space="0" w:color="auto"/>
        <w:right w:val="none" w:sz="0" w:space="0" w:color="auto"/>
      </w:divBdr>
    </w:div>
    <w:div w:id="1078862058">
      <w:bodyDiv w:val="1"/>
      <w:marLeft w:val="0"/>
      <w:marRight w:val="0"/>
      <w:marTop w:val="0"/>
      <w:marBottom w:val="0"/>
      <w:divBdr>
        <w:top w:val="none" w:sz="0" w:space="0" w:color="auto"/>
        <w:left w:val="none" w:sz="0" w:space="0" w:color="auto"/>
        <w:bottom w:val="none" w:sz="0" w:space="0" w:color="auto"/>
        <w:right w:val="none" w:sz="0" w:space="0" w:color="auto"/>
      </w:divBdr>
    </w:div>
    <w:div w:id="1115253437">
      <w:bodyDiv w:val="1"/>
      <w:marLeft w:val="0"/>
      <w:marRight w:val="0"/>
      <w:marTop w:val="0"/>
      <w:marBottom w:val="0"/>
      <w:divBdr>
        <w:top w:val="none" w:sz="0" w:space="0" w:color="auto"/>
        <w:left w:val="none" w:sz="0" w:space="0" w:color="auto"/>
        <w:bottom w:val="none" w:sz="0" w:space="0" w:color="auto"/>
        <w:right w:val="none" w:sz="0" w:space="0" w:color="auto"/>
      </w:divBdr>
      <w:divsChild>
        <w:div w:id="781651550">
          <w:marLeft w:val="180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8266">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6496662">
      <w:bodyDiv w:val="1"/>
      <w:marLeft w:val="0"/>
      <w:marRight w:val="0"/>
      <w:marTop w:val="0"/>
      <w:marBottom w:val="0"/>
      <w:divBdr>
        <w:top w:val="none" w:sz="0" w:space="0" w:color="auto"/>
        <w:left w:val="none" w:sz="0" w:space="0" w:color="auto"/>
        <w:bottom w:val="none" w:sz="0" w:space="0" w:color="auto"/>
        <w:right w:val="none" w:sz="0" w:space="0" w:color="auto"/>
      </w:divBdr>
    </w:div>
    <w:div w:id="1295479310">
      <w:bodyDiv w:val="1"/>
      <w:marLeft w:val="0"/>
      <w:marRight w:val="0"/>
      <w:marTop w:val="0"/>
      <w:marBottom w:val="0"/>
      <w:divBdr>
        <w:top w:val="none" w:sz="0" w:space="0" w:color="auto"/>
        <w:left w:val="none" w:sz="0" w:space="0" w:color="auto"/>
        <w:bottom w:val="none" w:sz="0" w:space="0" w:color="auto"/>
        <w:right w:val="none" w:sz="0" w:space="0" w:color="auto"/>
      </w:divBdr>
    </w:div>
    <w:div w:id="1538472411">
      <w:bodyDiv w:val="1"/>
      <w:marLeft w:val="0"/>
      <w:marRight w:val="0"/>
      <w:marTop w:val="0"/>
      <w:marBottom w:val="0"/>
      <w:divBdr>
        <w:top w:val="none" w:sz="0" w:space="0" w:color="auto"/>
        <w:left w:val="none" w:sz="0" w:space="0" w:color="auto"/>
        <w:bottom w:val="none" w:sz="0" w:space="0" w:color="auto"/>
        <w:right w:val="none" w:sz="0" w:space="0" w:color="auto"/>
      </w:divBdr>
    </w:div>
    <w:div w:id="1629622131">
      <w:bodyDiv w:val="1"/>
      <w:marLeft w:val="0"/>
      <w:marRight w:val="0"/>
      <w:marTop w:val="0"/>
      <w:marBottom w:val="0"/>
      <w:divBdr>
        <w:top w:val="none" w:sz="0" w:space="0" w:color="auto"/>
        <w:left w:val="none" w:sz="0" w:space="0" w:color="auto"/>
        <w:bottom w:val="none" w:sz="0" w:space="0" w:color="auto"/>
        <w:right w:val="none" w:sz="0" w:space="0" w:color="auto"/>
      </w:divBdr>
    </w:div>
    <w:div w:id="16782630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linicaltria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ervicesaustralia"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anceraustralia.gov.au/publications-and-resources/cancer-australia-publications/recommendations-management-early-breast-cancer-women-identified-brca1-or-brca2-gene-mutation-or-hi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FD35-E9D0-4C69-9AAE-FFF1B125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20254</Words>
  <Characters>111575</Characters>
  <Application>Microsoft Office Word</Application>
  <DocSecurity>0</DocSecurity>
  <Lines>929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2024-02-28T23:35:00Z</dcterms:created>
  <dcterms:modified xsi:type="dcterms:W3CDTF">2024-02-29T23:54:00Z</dcterms:modified>
</cp:coreProperties>
</file>