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1635" w14:textId="3589F9E3" w:rsidR="002C14F7" w:rsidRPr="00933708" w:rsidRDefault="000F17CA" w:rsidP="002C14F7">
      <w:pPr>
        <w:pStyle w:val="COMH1-non-numbered"/>
      </w:pPr>
      <w:bookmarkStart w:id="0" w:name="_Toc145496426"/>
      <w:bookmarkStart w:id="1" w:name="_Toc22897637"/>
      <w:r w:rsidRPr="00933708">
        <w:t>6</w:t>
      </w:r>
      <w:r w:rsidR="002C14F7" w:rsidRPr="00933708">
        <w:t>.</w:t>
      </w:r>
      <w:r w:rsidRPr="00933708">
        <w:t>06</w:t>
      </w:r>
      <w:r w:rsidR="002C14F7" w:rsidRPr="00933708">
        <w:tab/>
        <w:t>EMPAGLIFLOZIN,</w:t>
      </w:r>
      <w:r w:rsidR="002C14F7" w:rsidRPr="00933708">
        <w:br/>
        <w:t>Tablet 10 mg,</w:t>
      </w:r>
      <w:r w:rsidR="002C14F7" w:rsidRPr="00933708">
        <w:br/>
        <w:t>Jardiance</w:t>
      </w:r>
      <w:r w:rsidR="002C14F7" w:rsidRPr="00933708">
        <w:rPr>
          <w:vertAlign w:val="superscript"/>
        </w:rPr>
        <w:t>®</w:t>
      </w:r>
      <w:r w:rsidR="002C14F7" w:rsidRPr="00933708">
        <w:t>,</w:t>
      </w:r>
      <w:r w:rsidR="002C14F7" w:rsidRPr="00933708">
        <w:br/>
        <w:t>Boehringer Ingelheim Pty Ltd.</w:t>
      </w:r>
      <w:bookmarkEnd w:id="0"/>
    </w:p>
    <w:p w14:paraId="11C00795" w14:textId="3DFB6D23" w:rsidR="00B50DB8" w:rsidRPr="00933708" w:rsidRDefault="00B50DB8" w:rsidP="004A6040">
      <w:pPr>
        <w:pStyle w:val="COMH1numbered"/>
      </w:pPr>
      <w:bookmarkStart w:id="2" w:name="_Toc145496428"/>
      <w:bookmarkEnd w:id="1"/>
      <w:r w:rsidRPr="00933708">
        <w:t xml:space="preserve">Purpose of </w:t>
      </w:r>
      <w:r w:rsidR="00CD7193" w:rsidRPr="00933708">
        <w:t>s</w:t>
      </w:r>
      <w:r w:rsidR="00BB3A45" w:rsidRPr="00933708">
        <w:t>ubmission</w:t>
      </w:r>
      <w:bookmarkEnd w:id="2"/>
    </w:p>
    <w:p w14:paraId="3D140104" w14:textId="77777777" w:rsidR="00E73B39" w:rsidRPr="00933708" w:rsidRDefault="00E73B39" w:rsidP="007C4C88">
      <w:pPr>
        <w:pStyle w:val="3-BodyText"/>
        <w:numPr>
          <w:ilvl w:val="1"/>
          <w:numId w:val="1"/>
        </w:numPr>
      </w:pPr>
      <w:r w:rsidRPr="00933708">
        <w:t xml:space="preserve">The Category 2 submission requested a General Schedule Authority Required (STREAMLINED) listing for empagliflozin for the treatment of chronic kidney disease (CKD). </w:t>
      </w:r>
    </w:p>
    <w:p w14:paraId="4377C2E1" w14:textId="498FE21F" w:rsidR="00E73B39" w:rsidRPr="00933708" w:rsidRDefault="00E73B39" w:rsidP="007C4C88">
      <w:pPr>
        <w:pStyle w:val="3-BodyText"/>
        <w:numPr>
          <w:ilvl w:val="1"/>
          <w:numId w:val="1"/>
        </w:numPr>
      </w:pPr>
      <w:r w:rsidRPr="00933708">
        <w:t>Listing was requested on the basis of a cost minimisation versus dapagliflozin (both in combination with standard care) and a cost-effectiveness analysis versus placebo (both in combination with standard care)</w:t>
      </w:r>
      <w:r w:rsidR="00933708">
        <w:t xml:space="preserve">. </w:t>
      </w:r>
    </w:p>
    <w:p w14:paraId="3718DE61" w14:textId="31B9B644" w:rsidR="008B1757" w:rsidRPr="00933708" w:rsidRDefault="00696EF9" w:rsidP="004A6040">
      <w:pPr>
        <w:pStyle w:val="COMtablefigcaption"/>
      </w:pPr>
      <w:r w:rsidRPr="00933708">
        <w:t xml:space="preserve">Table </w:t>
      </w:r>
      <w:r w:rsidR="00D5135E">
        <w:fldChar w:fldCharType="begin"/>
      </w:r>
      <w:r w:rsidR="00D5135E">
        <w:instrText xml:space="preserve"> SEQ Table \* ARABIC </w:instrText>
      </w:r>
      <w:r w:rsidR="00D5135E">
        <w:fldChar w:fldCharType="separate"/>
      </w:r>
      <w:r w:rsidR="00D5135E">
        <w:rPr>
          <w:noProof/>
        </w:rPr>
        <w:t>1</w:t>
      </w:r>
      <w:r w:rsidR="00D5135E">
        <w:rPr>
          <w:noProof/>
        </w:rPr>
        <w:fldChar w:fldCharType="end"/>
      </w:r>
      <w:r w:rsidRPr="00933708">
        <w:t>:</w:t>
      </w:r>
      <w:r w:rsidR="00BC591F" w:rsidRPr="00933708">
        <w:t xml:space="preserve"> </w:t>
      </w:r>
      <w:r w:rsidR="008B1757" w:rsidRPr="00933708">
        <w:t>Key components of the clinical issue addressed by the submission</w:t>
      </w:r>
      <w:r w:rsidR="007170DA" w:rsidRPr="00933708">
        <w:t xml:space="preserve">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B10497" w:rsidRPr="00933708" w14:paraId="49EEB110" w14:textId="77777777" w:rsidTr="00794EFC">
        <w:tc>
          <w:tcPr>
            <w:tcW w:w="1668" w:type="dxa"/>
            <w:vAlign w:val="center"/>
          </w:tcPr>
          <w:p w14:paraId="6A7AE14E" w14:textId="77777777" w:rsidR="00B10497" w:rsidRPr="00933708" w:rsidRDefault="00B10497" w:rsidP="00794EFC">
            <w:pPr>
              <w:pStyle w:val="COMTableheadingrow"/>
              <w:rPr>
                <w:lang w:val="en-AU"/>
              </w:rPr>
            </w:pPr>
            <w:r w:rsidRPr="00933708">
              <w:rPr>
                <w:lang w:val="en-AU"/>
              </w:rPr>
              <w:t>Component</w:t>
            </w:r>
          </w:p>
        </w:tc>
        <w:tc>
          <w:tcPr>
            <w:tcW w:w="7488" w:type="dxa"/>
            <w:vAlign w:val="center"/>
          </w:tcPr>
          <w:p w14:paraId="07224CF3" w14:textId="77777777" w:rsidR="00B10497" w:rsidRPr="00933708" w:rsidRDefault="00B10497" w:rsidP="00794EFC">
            <w:pPr>
              <w:pStyle w:val="COMTableheadingrow"/>
              <w:rPr>
                <w:lang w:val="en-AU"/>
              </w:rPr>
            </w:pPr>
            <w:r w:rsidRPr="00933708">
              <w:rPr>
                <w:lang w:val="en-AU"/>
              </w:rPr>
              <w:t>Description</w:t>
            </w:r>
          </w:p>
        </w:tc>
      </w:tr>
      <w:tr w:rsidR="00B10497" w:rsidRPr="00933708" w14:paraId="70744CD9" w14:textId="77777777" w:rsidTr="00794EFC">
        <w:tc>
          <w:tcPr>
            <w:tcW w:w="1668" w:type="dxa"/>
            <w:vAlign w:val="center"/>
          </w:tcPr>
          <w:p w14:paraId="650B81C9" w14:textId="77777777" w:rsidR="00B10497" w:rsidRPr="00933708" w:rsidRDefault="00B10497" w:rsidP="00794EFC">
            <w:pPr>
              <w:pStyle w:val="COMTabletext"/>
            </w:pPr>
            <w:r w:rsidRPr="00933708">
              <w:t>Population</w:t>
            </w:r>
          </w:p>
        </w:tc>
        <w:tc>
          <w:tcPr>
            <w:tcW w:w="7488" w:type="dxa"/>
            <w:vAlign w:val="center"/>
          </w:tcPr>
          <w:p w14:paraId="057EE719" w14:textId="13A157F2" w:rsidR="00B10497" w:rsidRPr="00933708" w:rsidRDefault="00B10497" w:rsidP="00794EFC">
            <w:pPr>
              <w:pStyle w:val="COMTabletext"/>
              <w:rPr>
                <w:szCs w:val="20"/>
              </w:rPr>
            </w:pPr>
            <w:r w:rsidRPr="00933708">
              <w:rPr>
                <w:szCs w:val="20"/>
              </w:rPr>
              <w:t xml:space="preserve">Adult patients with chronic kidney disease </w:t>
            </w:r>
            <w:r w:rsidRPr="00933708">
              <w:rPr>
                <w:rFonts w:cstheme="minorHAnsi"/>
                <w:szCs w:val="20"/>
              </w:rPr>
              <w:t>with eGFR 20 to &lt;45 mL/min/1.73 m</w:t>
            </w:r>
            <w:r w:rsidRPr="00933708">
              <w:rPr>
                <w:rFonts w:cstheme="minorHAnsi"/>
                <w:szCs w:val="20"/>
                <w:vertAlign w:val="superscript"/>
              </w:rPr>
              <w:t>2</w:t>
            </w:r>
            <w:r w:rsidRPr="00933708">
              <w:rPr>
                <w:rFonts w:cstheme="minorHAnsi"/>
                <w:szCs w:val="20"/>
              </w:rPr>
              <w:t xml:space="preserve"> or eGFR 45 to &lt;90</w:t>
            </w:r>
            <w:r w:rsidR="00CF0F25" w:rsidRPr="00933708">
              <w:rPr>
                <w:rFonts w:cstheme="minorHAnsi"/>
                <w:szCs w:val="20"/>
              </w:rPr>
              <w:t> </w:t>
            </w:r>
            <w:r w:rsidRPr="00933708">
              <w:rPr>
                <w:rFonts w:cstheme="minorHAnsi"/>
                <w:szCs w:val="20"/>
              </w:rPr>
              <w:t>mL/min/1.73 m</w:t>
            </w:r>
            <w:r w:rsidRPr="00933708">
              <w:rPr>
                <w:rFonts w:cstheme="minorHAnsi"/>
                <w:szCs w:val="20"/>
                <w:vertAlign w:val="superscript"/>
              </w:rPr>
              <w:t>2</w:t>
            </w:r>
            <w:r w:rsidRPr="00933708">
              <w:rPr>
                <w:rFonts w:cstheme="minorHAnsi"/>
                <w:szCs w:val="20"/>
              </w:rPr>
              <w:t xml:space="preserve"> with UACR ≥200 mg/g.</w:t>
            </w:r>
          </w:p>
        </w:tc>
      </w:tr>
      <w:tr w:rsidR="00B10497" w:rsidRPr="00933708" w14:paraId="62F0CA0C" w14:textId="77777777" w:rsidTr="00794EFC">
        <w:tc>
          <w:tcPr>
            <w:tcW w:w="1668" w:type="dxa"/>
            <w:vAlign w:val="center"/>
          </w:tcPr>
          <w:p w14:paraId="38B50576" w14:textId="77777777" w:rsidR="00B10497" w:rsidRPr="00933708" w:rsidRDefault="00B10497" w:rsidP="00794EFC">
            <w:pPr>
              <w:pStyle w:val="COMTabletext"/>
            </w:pPr>
            <w:r w:rsidRPr="00933708">
              <w:t>Intervention</w:t>
            </w:r>
          </w:p>
        </w:tc>
        <w:tc>
          <w:tcPr>
            <w:tcW w:w="7488" w:type="dxa"/>
            <w:vAlign w:val="center"/>
          </w:tcPr>
          <w:p w14:paraId="139F579C" w14:textId="77777777" w:rsidR="00B10497" w:rsidRPr="00933708" w:rsidRDefault="00B10497" w:rsidP="00794EFC">
            <w:pPr>
              <w:pStyle w:val="COMTabletext"/>
              <w:rPr>
                <w:szCs w:val="20"/>
              </w:rPr>
            </w:pPr>
            <w:r w:rsidRPr="00933708">
              <w:rPr>
                <w:szCs w:val="20"/>
              </w:rPr>
              <w:t>Empagliflozin 10 mg once daily (add-on to standard care)</w:t>
            </w:r>
          </w:p>
        </w:tc>
      </w:tr>
      <w:tr w:rsidR="00B10497" w:rsidRPr="00933708" w14:paraId="10999C32" w14:textId="77777777" w:rsidTr="00794EFC">
        <w:tc>
          <w:tcPr>
            <w:tcW w:w="1668" w:type="dxa"/>
            <w:vAlign w:val="center"/>
          </w:tcPr>
          <w:p w14:paraId="4A84080C" w14:textId="77777777" w:rsidR="00B10497" w:rsidRPr="00933708" w:rsidRDefault="00B10497" w:rsidP="00794EFC">
            <w:pPr>
              <w:pStyle w:val="COMTabletext"/>
            </w:pPr>
            <w:r w:rsidRPr="00933708">
              <w:t>Comparator</w:t>
            </w:r>
          </w:p>
        </w:tc>
        <w:tc>
          <w:tcPr>
            <w:tcW w:w="7488" w:type="dxa"/>
            <w:vAlign w:val="center"/>
          </w:tcPr>
          <w:p w14:paraId="46359E75" w14:textId="77777777" w:rsidR="00B10497" w:rsidRPr="00933708" w:rsidRDefault="00B10497" w:rsidP="00794EFC">
            <w:pPr>
              <w:pStyle w:val="COMTabletext"/>
              <w:rPr>
                <w:rFonts w:cstheme="minorHAnsi"/>
                <w:szCs w:val="20"/>
              </w:rPr>
            </w:pPr>
            <w:r w:rsidRPr="00933708">
              <w:rPr>
                <w:rFonts w:cstheme="minorHAnsi"/>
                <w:szCs w:val="20"/>
              </w:rPr>
              <w:t>Dapagliflozin (add-on to standard care) in patients with CKD with eGFR 25 to 75 mL/min/1.73 m</w:t>
            </w:r>
            <w:r w:rsidRPr="00933708">
              <w:rPr>
                <w:rFonts w:cstheme="minorHAnsi"/>
                <w:szCs w:val="20"/>
                <w:vertAlign w:val="superscript"/>
              </w:rPr>
              <w:t>2</w:t>
            </w:r>
            <w:r w:rsidRPr="00933708">
              <w:rPr>
                <w:rFonts w:cstheme="minorHAnsi"/>
                <w:szCs w:val="20"/>
              </w:rPr>
              <w:t xml:space="preserve"> and UACR of 200 to 5,000 mg/g (overlap population).</w:t>
            </w:r>
          </w:p>
          <w:p w14:paraId="120CD023" w14:textId="013573FA" w:rsidR="00B10497" w:rsidRPr="00933708" w:rsidRDefault="00B10497" w:rsidP="00794EFC">
            <w:pPr>
              <w:pStyle w:val="COMTabletext"/>
              <w:rPr>
                <w:szCs w:val="20"/>
              </w:rPr>
            </w:pPr>
            <w:r w:rsidRPr="00933708">
              <w:rPr>
                <w:rFonts w:cstheme="minorHAnsi"/>
                <w:szCs w:val="20"/>
              </w:rPr>
              <w:t>Placebo (add-on to standard care) in patients with CKD with eGFR 20 to &lt;45 mL/min/1.73 m</w:t>
            </w:r>
            <w:r w:rsidRPr="00933708">
              <w:rPr>
                <w:rFonts w:cstheme="minorHAnsi"/>
                <w:szCs w:val="20"/>
                <w:vertAlign w:val="superscript"/>
              </w:rPr>
              <w:t>2</w:t>
            </w:r>
            <w:r w:rsidRPr="00933708">
              <w:rPr>
                <w:rFonts w:cstheme="minorHAnsi"/>
                <w:szCs w:val="20"/>
              </w:rPr>
              <w:t xml:space="preserve"> or eGFR 45 to &lt;90 mL/min/1.73 m</w:t>
            </w:r>
            <w:r w:rsidRPr="00933708">
              <w:rPr>
                <w:rFonts w:cstheme="minorHAnsi"/>
                <w:szCs w:val="20"/>
                <w:vertAlign w:val="superscript"/>
              </w:rPr>
              <w:t>2</w:t>
            </w:r>
            <w:r w:rsidRPr="00933708">
              <w:rPr>
                <w:rFonts w:cstheme="minorHAnsi"/>
                <w:szCs w:val="20"/>
              </w:rPr>
              <w:t xml:space="preserve"> with UACR ≥200 mg/g, who do not meet the biomedical criteria for dapagliflozin (incremental population)</w:t>
            </w:r>
            <w:r w:rsidRPr="00933708">
              <w:rPr>
                <w:rFonts w:cstheme="minorHAnsi"/>
                <w:szCs w:val="20"/>
                <w:vertAlign w:val="superscript"/>
              </w:rPr>
              <w:t>a</w:t>
            </w:r>
            <w:r w:rsidR="00822B37" w:rsidRPr="00933708">
              <w:rPr>
                <w:rFonts w:cstheme="minorHAnsi"/>
                <w:szCs w:val="20"/>
              </w:rPr>
              <w:t>.</w:t>
            </w:r>
          </w:p>
        </w:tc>
      </w:tr>
      <w:tr w:rsidR="00B10497" w:rsidRPr="00933708" w14:paraId="29B6C4EB" w14:textId="77777777" w:rsidTr="00794EFC">
        <w:tc>
          <w:tcPr>
            <w:tcW w:w="1668" w:type="dxa"/>
            <w:vAlign w:val="center"/>
          </w:tcPr>
          <w:p w14:paraId="7009D698" w14:textId="77777777" w:rsidR="00B10497" w:rsidRPr="00933708" w:rsidRDefault="00B10497" w:rsidP="00794EFC">
            <w:pPr>
              <w:pStyle w:val="COMTabletext"/>
            </w:pPr>
            <w:r w:rsidRPr="00933708">
              <w:t>Outcomes</w:t>
            </w:r>
          </w:p>
        </w:tc>
        <w:tc>
          <w:tcPr>
            <w:tcW w:w="7488" w:type="dxa"/>
            <w:vAlign w:val="center"/>
          </w:tcPr>
          <w:p w14:paraId="447A7A68" w14:textId="41EAE367" w:rsidR="00B10497" w:rsidRPr="00933708" w:rsidRDefault="00B10497" w:rsidP="00794EFC">
            <w:pPr>
              <w:pStyle w:val="COMTabletext"/>
              <w:rPr>
                <w:szCs w:val="20"/>
              </w:rPr>
            </w:pPr>
            <w:r w:rsidRPr="00933708">
              <w:rPr>
                <w:szCs w:val="20"/>
              </w:rPr>
              <w:t xml:space="preserve">Composite of kidney disease progression and cardiovascular death, all-cause mortality, hospitalisation for heart failure, all-cause hospitalisation, kidney disease progression, cardiovascular death, composite of cardiovascular death or </w:t>
            </w:r>
            <w:r w:rsidR="00941F36" w:rsidRPr="00933708">
              <w:rPr>
                <w:szCs w:val="20"/>
              </w:rPr>
              <w:t>Stage 5 CKD</w:t>
            </w:r>
            <w:r w:rsidRPr="00933708">
              <w:rPr>
                <w:szCs w:val="20"/>
              </w:rPr>
              <w:t>, annual rate of change in eGFR, sustained decline in eGFR, quality of life and adverse events.</w:t>
            </w:r>
          </w:p>
        </w:tc>
      </w:tr>
      <w:tr w:rsidR="00B10497" w:rsidRPr="00933708" w14:paraId="45745EBE" w14:textId="77777777" w:rsidTr="00794EFC">
        <w:tc>
          <w:tcPr>
            <w:tcW w:w="1668" w:type="dxa"/>
            <w:vAlign w:val="center"/>
          </w:tcPr>
          <w:p w14:paraId="63AD3CBE" w14:textId="77777777" w:rsidR="00B10497" w:rsidRPr="00933708" w:rsidRDefault="00B10497" w:rsidP="00794EFC">
            <w:pPr>
              <w:pStyle w:val="COMTabletext"/>
            </w:pPr>
            <w:r w:rsidRPr="00933708">
              <w:t>Clinical claim</w:t>
            </w:r>
          </w:p>
        </w:tc>
        <w:tc>
          <w:tcPr>
            <w:tcW w:w="7488" w:type="dxa"/>
            <w:vAlign w:val="center"/>
          </w:tcPr>
          <w:p w14:paraId="080028E8" w14:textId="08B357F8" w:rsidR="00B10497" w:rsidRPr="00933708" w:rsidRDefault="00B10497" w:rsidP="00794EFC">
            <w:pPr>
              <w:pStyle w:val="COMTabletext"/>
              <w:rPr>
                <w:szCs w:val="20"/>
              </w:rPr>
            </w:pPr>
            <w:r w:rsidRPr="00933708">
              <w:rPr>
                <w:szCs w:val="20"/>
              </w:rPr>
              <w:t>Empagliflozin (add-on to standard care) is noninferior in terms of efficacy and safety compared to dapagliflozin (add-on to standard care), in the overlap population.</w:t>
            </w:r>
          </w:p>
          <w:p w14:paraId="092E04A2" w14:textId="63427EB6" w:rsidR="00B10497" w:rsidRPr="00933708" w:rsidRDefault="00B10497" w:rsidP="00794EFC">
            <w:pPr>
              <w:pStyle w:val="COMTabletext"/>
              <w:rPr>
                <w:szCs w:val="20"/>
              </w:rPr>
            </w:pPr>
            <w:r w:rsidRPr="00933708">
              <w:rPr>
                <w:szCs w:val="20"/>
              </w:rPr>
              <w:t>Empagliflozin (add-on to standard care) is superior in terms of efficacy and noninferior in terms of safety compared to placebo (add-on to standard care), in the incremental population.</w:t>
            </w:r>
          </w:p>
        </w:tc>
      </w:tr>
    </w:tbl>
    <w:p w14:paraId="52A2EC96" w14:textId="77777777" w:rsidR="009678D8" w:rsidRPr="00933708" w:rsidRDefault="009678D8" w:rsidP="009678D8">
      <w:pPr>
        <w:pStyle w:val="COMTablefooter"/>
      </w:pPr>
      <w:r w:rsidRPr="00933708">
        <w:t>Source: Table 1.2, p19 of the submission.</w:t>
      </w:r>
    </w:p>
    <w:p w14:paraId="4F5B26F5" w14:textId="36F60A97" w:rsidR="009678D8" w:rsidRPr="00933708" w:rsidRDefault="009678D8" w:rsidP="009678D8">
      <w:pPr>
        <w:pStyle w:val="COMTablefooter"/>
      </w:pPr>
      <w:r w:rsidRPr="00933708">
        <w:t>Abbreviations: ACEi, angiotensin-converting enzyme inhibitors; ARB, angiotensin II receptor blocker; CKD, chronic kidney disease; eGFR, estimated glomerular filtration rate; UACR, urin</w:t>
      </w:r>
      <w:r w:rsidR="002F07E9" w:rsidRPr="00933708">
        <w:t>e</w:t>
      </w:r>
      <w:r w:rsidRPr="00933708">
        <w:t xml:space="preserve"> albumin-creatinine ratio.</w:t>
      </w:r>
    </w:p>
    <w:p w14:paraId="76F2777E" w14:textId="77777777" w:rsidR="009678D8" w:rsidRPr="00933708" w:rsidRDefault="009678D8" w:rsidP="009678D8">
      <w:pPr>
        <w:pStyle w:val="COMTablefooter"/>
      </w:pPr>
      <w:proofErr w:type="spellStart"/>
      <w:r w:rsidRPr="00933708">
        <w:rPr>
          <w:vertAlign w:val="superscript"/>
        </w:rPr>
        <w:t>a</w:t>
      </w:r>
      <w:proofErr w:type="spellEnd"/>
      <w:r w:rsidRPr="00933708">
        <w:t xml:space="preserve"> Incremental population includes patients with an eGFR 75 to &lt;90 mL/min/1.73m</w:t>
      </w:r>
      <w:r w:rsidRPr="00933708">
        <w:rPr>
          <w:vertAlign w:val="superscript"/>
        </w:rPr>
        <w:t>2</w:t>
      </w:r>
      <w:r w:rsidRPr="00933708">
        <w:t xml:space="preserve"> with UACR ≥200 mg/g, or 25 to 75 mL/min/1.73m</w:t>
      </w:r>
      <w:r w:rsidRPr="00933708">
        <w:rPr>
          <w:vertAlign w:val="superscript"/>
        </w:rPr>
        <w:t>2</w:t>
      </w:r>
      <w:r w:rsidRPr="00933708">
        <w:t xml:space="preserve"> with UACR &gt;5,000 mg/g, or 25 to &lt;45 mL/min/1.73m</w:t>
      </w:r>
      <w:r w:rsidRPr="00933708">
        <w:rPr>
          <w:vertAlign w:val="superscript"/>
        </w:rPr>
        <w:t>2</w:t>
      </w:r>
      <w:r w:rsidRPr="00933708">
        <w:t xml:space="preserve"> with UACR &lt;200 mg/g, or 20 to &lt;25 mL/min/1.73m</w:t>
      </w:r>
      <w:r w:rsidRPr="00933708">
        <w:rPr>
          <w:vertAlign w:val="superscript"/>
        </w:rPr>
        <w:t>2</w:t>
      </w:r>
      <w:r w:rsidRPr="00933708">
        <w:t xml:space="preserve"> regardless of UACR.</w:t>
      </w:r>
    </w:p>
    <w:p w14:paraId="527CA7F0" w14:textId="7B91C82C" w:rsidR="004E43B2" w:rsidRPr="00933708" w:rsidRDefault="009678D8" w:rsidP="004A6040">
      <w:pPr>
        <w:pStyle w:val="COMTablefooter"/>
      </w:pPr>
      <w:r w:rsidRPr="00933708">
        <w:t>Note: Standard care includes treatment with an ACEi or an ARB to reduce proteinuria and cardiovascular risk.</w:t>
      </w:r>
    </w:p>
    <w:p w14:paraId="6B4AB6C2" w14:textId="7F01D731" w:rsidR="005C25FF" w:rsidRPr="00933708" w:rsidRDefault="005C25FF" w:rsidP="004A6040">
      <w:pPr>
        <w:pStyle w:val="COMH1numbered"/>
      </w:pPr>
      <w:bookmarkStart w:id="3" w:name="_Toc145496429"/>
      <w:r w:rsidRPr="00933708">
        <w:t>Background</w:t>
      </w:r>
      <w:bookmarkEnd w:id="3"/>
    </w:p>
    <w:p w14:paraId="2C521D6D" w14:textId="78CF03EE" w:rsidR="005C25FF" w:rsidRPr="00933708" w:rsidRDefault="005C25FF" w:rsidP="004A6040">
      <w:pPr>
        <w:pStyle w:val="COMH2-non-numbered"/>
        <w:rPr>
          <w:iCs/>
        </w:rPr>
      </w:pPr>
      <w:bookmarkStart w:id="4" w:name="_Toc22897638"/>
      <w:bookmarkStart w:id="5" w:name="_Toc145496430"/>
      <w:r w:rsidRPr="00933708">
        <w:rPr>
          <w:iCs/>
        </w:rPr>
        <w:t>Registration status</w:t>
      </w:r>
      <w:bookmarkEnd w:id="4"/>
      <w:bookmarkEnd w:id="5"/>
    </w:p>
    <w:p w14:paraId="13BA6952" w14:textId="0FDE1D3D" w:rsidR="009C65AB" w:rsidRPr="00933708" w:rsidRDefault="007346FF" w:rsidP="007C4C88">
      <w:pPr>
        <w:pStyle w:val="3-BodyText"/>
        <w:numPr>
          <w:ilvl w:val="1"/>
          <w:numId w:val="1"/>
        </w:numPr>
      </w:pPr>
      <w:r w:rsidRPr="00933708">
        <w:t xml:space="preserve">TGA status at time of </w:t>
      </w:r>
      <w:r w:rsidR="00B56829" w:rsidRPr="00933708">
        <w:t xml:space="preserve">PBAC </w:t>
      </w:r>
      <w:r w:rsidR="009A36D9" w:rsidRPr="00933708">
        <w:t>consideration</w:t>
      </w:r>
      <w:r w:rsidRPr="00933708">
        <w:t xml:space="preserve">: </w:t>
      </w:r>
      <w:r w:rsidR="009C65AB" w:rsidRPr="00933708">
        <w:t xml:space="preserve">The submission was made under the TGA/PBAC Parallel Process. </w:t>
      </w:r>
      <w:r w:rsidR="00C645CE" w:rsidRPr="00933708">
        <w:t xml:space="preserve">The </w:t>
      </w:r>
      <w:r w:rsidR="009A36D9" w:rsidRPr="00933708">
        <w:t xml:space="preserve">positive </w:t>
      </w:r>
      <w:r w:rsidR="00C645CE" w:rsidRPr="00933708">
        <w:t xml:space="preserve">TGA Delegate’s overview </w:t>
      </w:r>
      <w:r w:rsidR="009A36D9" w:rsidRPr="00933708">
        <w:t>wa</w:t>
      </w:r>
      <w:r w:rsidR="00C645CE" w:rsidRPr="00933708">
        <w:t xml:space="preserve">s </w:t>
      </w:r>
      <w:r w:rsidR="009A36D9" w:rsidRPr="00933708">
        <w:t>receiv</w:t>
      </w:r>
      <w:r w:rsidR="00C645CE" w:rsidRPr="00933708">
        <w:t>ed on 31</w:t>
      </w:r>
      <w:r w:rsidR="00BC58FF">
        <w:t> </w:t>
      </w:r>
      <w:r w:rsidR="00C645CE" w:rsidRPr="00933708">
        <w:t>October</w:t>
      </w:r>
      <w:r w:rsidR="00BC58FF">
        <w:t> </w:t>
      </w:r>
      <w:r w:rsidR="00E630EC" w:rsidRPr="00933708">
        <w:t>2023</w:t>
      </w:r>
      <w:r w:rsidR="00C645CE" w:rsidRPr="00933708">
        <w:t xml:space="preserve">. </w:t>
      </w:r>
      <w:r w:rsidR="009C65AB" w:rsidRPr="00933708">
        <w:t>It is anticipated that empagliflozin will be considered at the 1</w:t>
      </w:r>
      <w:r w:rsidR="00BC58FF">
        <w:t> </w:t>
      </w:r>
      <w:r w:rsidR="009C65AB" w:rsidRPr="00933708">
        <w:t>December</w:t>
      </w:r>
      <w:r w:rsidR="00BC58FF">
        <w:t> </w:t>
      </w:r>
      <w:r w:rsidR="009C65AB" w:rsidRPr="00933708">
        <w:t xml:space="preserve">2023 ACM meeting, and the Delegate’s decision available on 12 January 2024. The proposed TGA indication is: </w:t>
      </w:r>
    </w:p>
    <w:p w14:paraId="7167396A" w14:textId="77777777" w:rsidR="009C65AB" w:rsidRPr="00933708" w:rsidRDefault="009C65AB" w:rsidP="002A2231">
      <w:pPr>
        <w:pStyle w:val="COMexecsumnumberedpara"/>
        <w:numPr>
          <w:ilvl w:val="0"/>
          <w:numId w:val="0"/>
        </w:numPr>
        <w:ind w:left="1077"/>
        <w:rPr>
          <w:color w:val="0066FF"/>
        </w:rPr>
      </w:pPr>
      <w:r w:rsidRPr="00251484">
        <w:lastRenderedPageBreak/>
        <w:t>For the treatment of adults with chronic kidney disease, to reduce the risk of kidney disease progression (sustained decline in estimated glomerular filtration rate (eGFR), end-stage kidney disease or renal death) or cardiovascular death, and all-cause hospitalisation.</w:t>
      </w:r>
    </w:p>
    <w:p w14:paraId="3A20989B" w14:textId="70253F45" w:rsidR="009C65AB" w:rsidRPr="00933708" w:rsidRDefault="009C65AB" w:rsidP="007C4C88">
      <w:pPr>
        <w:pStyle w:val="3-BodyText"/>
        <w:numPr>
          <w:ilvl w:val="1"/>
          <w:numId w:val="1"/>
        </w:numPr>
      </w:pPr>
      <w:r w:rsidRPr="00933708">
        <w:t>During the evaluation</w:t>
      </w:r>
      <w:r w:rsidR="00E8331C" w:rsidRPr="00933708">
        <w:t>,</w:t>
      </w:r>
      <w:r w:rsidRPr="00933708">
        <w:t xml:space="preserve"> the TGA Clinical Evaluation Report became available, with the recommendation the indication be amended as follows:</w:t>
      </w:r>
    </w:p>
    <w:p w14:paraId="7BFF532C" w14:textId="35845D29" w:rsidR="00DC4D74" w:rsidRPr="00933708" w:rsidRDefault="00DF3E74" w:rsidP="00DC4D74">
      <w:pPr>
        <w:pStyle w:val="COMexecsumnumberedpara"/>
        <w:numPr>
          <w:ilvl w:val="0"/>
          <w:numId w:val="0"/>
        </w:numPr>
        <w:ind w:left="1077"/>
      </w:pPr>
      <w:r w:rsidRPr="00933708">
        <w:t>For the treatment of adult patients with chronic kidney disease, as an adjunct to standard of care therapy, to reduce the risk of kidney disease progression.</w:t>
      </w:r>
    </w:p>
    <w:p w14:paraId="79C516D4" w14:textId="2358A3D0" w:rsidR="00540362" w:rsidRPr="00933708" w:rsidRDefault="00615540" w:rsidP="007C4C88">
      <w:pPr>
        <w:pStyle w:val="3-BodyText"/>
        <w:numPr>
          <w:ilvl w:val="1"/>
          <w:numId w:val="1"/>
        </w:numPr>
      </w:pPr>
      <w:r w:rsidRPr="00933708">
        <w:t>In addition, the TGA Clinical Evaluation Report requested justification of the use of a sustained decline of ≥40% in eGFR in the composite primary endpoint in the EMPA-KIDNEY trial</w:t>
      </w:r>
      <w:r w:rsidR="0000276F" w:rsidRPr="00933708">
        <w:t xml:space="preserve">; </w:t>
      </w:r>
      <w:r w:rsidRPr="00933708">
        <w:t>a sustained decline of ≥50% in eGFR</w:t>
      </w:r>
      <w:r w:rsidR="001D6374" w:rsidRPr="00933708">
        <w:t xml:space="preserve"> was used</w:t>
      </w:r>
      <w:r w:rsidRPr="00933708">
        <w:t xml:space="preserve"> in the composite primary endpoint</w:t>
      </w:r>
      <w:r w:rsidR="001D6374" w:rsidRPr="00933708">
        <w:t xml:space="preserve"> of the DAPA-CKD trial</w:t>
      </w:r>
      <w:r w:rsidRPr="00933708">
        <w:t>.</w:t>
      </w:r>
      <w:r w:rsidR="00FE46A3" w:rsidRPr="00933708">
        <w:t xml:space="preserve"> </w:t>
      </w:r>
      <w:r w:rsidR="001D7F1E" w:rsidRPr="00933708">
        <w:t xml:space="preserve">The sponsor </w:t>
      </w:r>
      <w:r w:rsidRPr="00933708">
        <w:t xml:space="preserve">was also requested </w:t>
      </w:r>
      <w:r w:rsidR="001D7F1E" w:rsidRPr="00933708">
        <w:t>to provide</w:t>
      </w:r>
      <w:r w:rsidRPr="00933708">
        <w:t xml:space="preserve"> the data/justification which led to the acceptance of the broader CKD indication in the European Union, particularly the benefits in less advanced CKD patients</w:t>
      </w:r>
      <w:r w:rsidR="00540362" w:rsidRPr="00933708">
        <w:t>.</w:t>
      </w:r>
    </w:p>
    <w:p w14:paraId="0F576C05" w14:textId="32A709B3" w:rsidR="009A36D9" w:rsidRPr="00933708" w:rsidRDefault="009A36D9" w:rsidP="009A36D9">
      <w:pPr>
        <w:pStyle w:val="COMexecsumnumberedpara"/>
        <w:ind w:left="720" w:hanging="720"/>
      </w:pPr>
      <w:r w:rsidRPr="00933708">
        <w:t xml:space="preserve">The TGA Delegate advised that overall, the submitted data and subsequent responses by the sponsor support following extension of indication: </w:t>
      </w:r>
    </w:p>
    <w:p w14:paraId="1A9137E9" w14:textId="74EAF046" w:rsidR="009A36D9" w:rsidRPr="00933708" w:rsidRDefault="009A36D9" w:rsidP="009A36D9">
      <w:pPr>
        <w:pStyle w:val="COMexecsumnumberedpara"/>
        <w:numPr>
          <w:ilvl w:val="0"/>
          <w:numId w:val="0"/>
        </w:numPr>
        <w:ind w:left="1134"/>
      </w:pPr>
      <w:r w:rsidRPr="00933708">
        <w:t>JARDIANCE is indicated in adult patients with chronic kidney disease to reduce the risk of kidney disease progression.</w:t>
      </w:r>
    </w:p>
    <w:p w14:paraId="1909B642" w14:textId="632DF834" w:rsidR="00540362" w:rsidRPr="00933708" w:rsidRDefault="00540362" w:rsidP="007C4C88">
      <w:pPr>
        <w:pStyle w:val="COMexecsumnumberedpara"/>
        <w:ind w:left="720" w:hanging="720"/>
      </w:pPr>
      <w:r w:rsidRPr="00933708">
        <w:t xml:space="preserve">Empagliflozin was approved by the FDA in November 2022, to reduce the risk of sustained decline in eGFR, </w:t>
      </w:r>
      <w:r w:rsidR="007C6B9E" w:rsidRPr="00933708">
        <w:t>end stage kidney disease (</w:t>
      </w:r>
      <w:r w:rsidRPr="00933708">
        <w:t>ESKD</w:t>
      </w:r>
      <w:r w:rsidR="007C6B9E" w:rsidRPr="00933708">
        <w:t>)</w:t>
      </w:r>
      <w:r w:rsidRPr="00933708">
        <w:t>, renal death, cardiovascular death, and all-cause hospitalisation in adults with CKD. The EMA extended the indication for empagliflozin to include the treatment of adult CKD patients on 22 June 2023.</w:t>
      </w:r>
    </w:p>
    <w:p w14:paraId="3E2A6EAB" w14:textId="469C8C0C" w:rsidR="005C25FF" w:rsidRPr="00933708" w:rsidRDefault="005C25FF" w:rsidP="004E18E9">
      <w:pPr>
        <w:pStyle w:val="COMH2-non-numbered"/>
        <w:rPr>
          <w:iCs/>
        </w:rPr>
      </w:pPr>
      <w:bookmarkStart w:id="6" w:name="_Toc22897639"/>
      <w:bookmarkStart w:id="7" w:name="_Toc145496431"/>
      <w:r w:rsidRPr="00933708">
        <w:rPr>
          <w:iCs/>
        </w:rPr>
        <w:t>Previous PBAC consideration</w:t>
      </w:r>
      <w:bookmarkEnd w:id="6"/>
      <w:bookmarkEnd w:id="7"/>
    </w:p>
    <w:p w14:paraId="4870A516" w14:textId="141C4951" w:rsidR="00865A4F" w:rsidRPr="00933708" w:rsidRDefault="00865A4F" w:rsidP="00A51AD5">
      <w:pPr>
        <w:pStyle w:val="COMexecsumnumberedpara"/>
      </w:pPr>
      <w:r w:rsidRPr="00933708">
        <w:t xml:space="preserve">Empagliflozin is listed on the PBS: </w:t>
      </w:r>
    </w:p>
    <w:p w14:paraId="247A13B0" w14:textId="46271BB5" w:rsidR="00865A4F" w:rsidRPr="00933708" w:rsidRDefault="00865A4F" w:rsidP="00A51AD5">
      <w:pPr>
        <w:pStyle w:val="COMexecsummbulletlist"/>
        <w:numPr>
          <w:ilvl w:val="0"/>
          <w:numId w:val="13"/>
        </w:numPr>
        <w:ind w:left="1134" w:hanging="357"/>
      </w:pPr>
      <w:r w:rsidRPr="00251484">
        <w:t xml:space="preserve">For the treatment of </w:t>
      </w:r>
      <w:r w:rsidR="00797A74" w:rsidRPr="00251484">
        <w:t>type 2 diabetes</w:t>
      </w:r>
      <w:r w:rsidR="00251484">
        <w:t xml:space="preserve"> </w:t>
      </w:r>
      <w:r w:rsidR="00251484" w:rsidRPr="00251484">
        <w:t>mellitus</w:t>
      </w:r>
      <w:r w:rsidR="00797A74" w:rsidRPr="00251484">
        <w:t xml:space="preserve"> (</w:t>
      </w:r>
      <w:r w:rsidRPr="00251484">
        <w:t>T2D</w:t>
      </w:r>
      <w:r w:rsidR="00251484">
        <w:t>M</w:t>
      </w:r>
      <w:r w:rsidR="00797A74" w:rsidRPr="00251484">
        <w:t>)</w:t>
      </w:r>
      <w:r w:rsidRPr="00251484">
        <w:t xml:space="preserve"> in combination with metformin and/or a sulfonylurea, or in combination with insulin, or in combination with metformin and a gliptin</w:t>
      </w:r>
      <w:r w:rsidR="00797A74" w:rsidRPr="00251484">
        <w:t>.</w:t>
      </w:r>
    </w:p>
    <w:p w14:paraId="7A52007B" w14:textId="77777777" w:rsidR="00865A4F" w:rsidRPr="00933708" w:rsidRDefault="00865A4F" w:rsidP="00BC58FF">
      <w:pPr>
        <w:pStyle w:val="COMexecsummbulletlist"/>
        <w:numPr>
          <w:ilvl w:val="0"/>
          <w:numId w:val="13"/>
        </w:numPr>
        <w:ind w:left="1134"/>
        <w:contextualSpacing/>
      </w:pPr>
      <w:r w:rsidRPr="00251484">
        <w:t xml:space="preserve">For the treatment of adults with symptomatic NYHA class II, III, or IV chronic heart failure with a left ventricular ejection fraction </w:t>
      </w:r>
      <w:r w:rsidRPr="00251484">
        <w:rPr>
          <w:rFonts w:cstheme="minorHAnsi"/>
        </w:rPr>
        <w:t>≤</w:t>
      </w:r>
      <w:r w:rsidRPr="00251484">
        <w:t>40%, as an adjunct to standard care.</w:t>
      </w:r>
    </w:p>
    <w:p w14:paraId="36E95BB5" w14:textId="395BDB14" w:rsidR="00865A4F" w:rsidRPr="00933708" w:rsidRDefault="00865A4F" w:rsidP="007C4C88">
      <w:pPr>
        <w:pStyle w:val="COMexecsumnumberedpara"/>
        <w:ind w:left="720" w:hanging="720"/>
      </w:pPr>
      <w:r w:rsidRPr="00933708">
        <w:t xml:space="preserve">At the December 2022 meeting, the PBAC recommended extending the existing listing of empagliflozin to include the treatment of chronic heart failure in patients with a left ventricular ejection fraction &gt;40% (para 12.1, Empagliflozin </w:t>
      </w:r>
      <w:r w:rsidR="00495030" w:rsidRPr="00933708">
        <w:t>Public Summary Document (</w:t>
      </w:r>
      <w:r w:rsidRPr="00933708">
        <w:t>PSD</w:t>
      </w:r>
      <w:r w:rsidR="00495030" w:rsidRPr="00933708">
        <w:t>)</w:t>
      </w:r>
      <w:r w:rsidRPr="00933708">
        <w:t xml:space="preserve">, November 2022 PBAC meeting and December 2022 addendum). This recommendation </w:t>
      </w:r>
      <w:r w:rsidR="00745532" w:rsidRPr="00933708">
        <w:t>wa</w:t>
      </w:r>
      <w:r w:rsidRPr="00933708">
        <w:t>s not PBS listed</w:t>
      </w:r>
      <w:r w:rsidR="00745532" w:rsidRPr="00933708">
        <w:t xml:space="preserve"> at the time of evaluation</w:t>
      </w:r>
      <w:r w:rsidRPr="00933708">
        <w:t>.</w:t>
      </w:r>
    </w:p>
    <w:p w14:paraId="76E4EF3C" w14:textId="13040F70" w:rsidR="00B60939" w:rsidRPr="00933708" w:rsidRDefault="00B50DB8" w:rsidP="004E18E9">
      <w:pPr>
        <w:pStyle w:val="COMH1numbered"/>
      </w:pPr>
      <w:bookmarkStart w:id="8" w:name="_Toc107902078"/>
      <w:bookmarkStart w:id="9" w:name="_Toc145496432"/>
      <w:bookmarkEnd w:id="8"/>
      <w:r w:rsidRPr="00933708">
        <w:lastRenderedPageBreak/>
        <w:t>Requested listing</w:t>
      </w:r>
      <w:bookmarkEnd w:id="9"/>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8"/>
        <w:gridCol w:w="1508"/>
        <w:gridCol w:w="993"/>
        <w:gridCol w:w="970"/>
        <w:gridCol w:w="829"/>
        <w:gridCol w:w="1689"/>
      </w:tblGrid>
      <w:tr w:rsidR="009251C3" w:rsidRPr="00933708" w14:paraId="0B6D1C24" w14:textId="77777777" w:rsidTr="00A51AD5">
        <w:trPr>
          <w:cantSplit/>
          <w:trHeight w:val="20"/>
        </w:trPr>
        <w:tc>
          <w:tcPr>
            <w:tcW w:w="3028" w:type="dxa"/>
            <w:vAlign w:val="center"/>
          </w:tcPr>
          <w:p w14:paraId="0F967F08" w14:textId="77777777" w:rsidR="009251C3" w:rsidRPr="00933708" w:rsidRDefault="009251C3" w:rsidP="00794EFC">
            <w:pPr>
              <w:keepNext/>
              <w:keepLines/>
              <w:rPr>
                <w:rFonts w:ascii="Arial Narrow" w:hAnsi="Arial Narrow"/>
                <w:b/>
                <w:bCs/>
                <w:sz w:val="20"/>
                <w:szCs w:val="20"/>
              </w:rPr>
            </w:pPr>
            <w:r w:rsidRPr="00933708">
              <w:rPr>
                <w:rFonts w:ascii="Arial Narrow" w:hAnsi="Arial Narrow"/>
                <w:b/>
                <w:bCs/>
                <w:sz w:val="20"/>
                <w:szCs w:val="20"/>
              </w:rPr>
              <w:t>MEDICINAL PRODUCT</w:t>
            </w:r>
          </w:p>
          <w:p w14:paraId="1B9408B6" w14:textId="77777777" w:rsidR="009251C3" w:rsidRPr="00933708" w:rsidRDefault="009251C3" w:rsidP="00794EFC">
            <w:pPr>
              <w:keepNext/>
              <w:keepLines/>
              <w:rPr>
                <w:rFonts w:ascii="Arial Narrow" w:hAnsi="Arial Narrow"/>
                <w:b/>
                <w:sz w:val="20"/>
                <w:szCs w:val="20"/>
              </w:rPr>
            </w:pPr>
            <w:r w:rsidRPr="00933708">
              <w:rPr>
                <w:rFonts w:ascii="Arial Narrow" w:hAnsi="Arial Narrow"/>
                <w:b/>
                <w:bCs/>
                <w:sz w:val="20"/>
                <w:szCs w:val="20"/>
              </w:rPr>
              <w:t>medicinal product pack</w:t>
            </w:r>
          </w:p>
        </w:tc>
        <w:tc>
          <w:tcPr>
            <w:tcW w:w="1508" w:type="dxa"/>
            <w:vAlign w:val="center"/>
          </w:tcPr>
          <w:p w14:paraId="191EE771" w14:textId="77777777" w:rsidR="009251C3" w:rsidRPr="00933708" w:rsidRDefault="009251C3" w:rsidP="00794EFC">
            <w:pPr>
              <w:pStyle w:val="COMTabletext"/>
              <w:keepLines/>
              <w:jc w:val="center"/>
              <w:rPr>
                <w:b/>
                <w:bCs w:val="0"/>
                <w:szCs w:val="20"/>
              </w:rPr>
            </w:pPr>
            <w:r w:rsidRPr="00933708">
              <w:rPr>
                <w:b/>
                <w:bCs w:val="0"/>
                <w:snapToGrid w:val="0"/>
              </w:rPr>
              <w:t>Dispensed Price Max. Qty</w:t>
            </w:r>
          </w:p>
        </w:tc>
        <w:tc>
          <w:tcPr>
            <w:tcW w:w="993" w:type="dxa"/>
            <w:vAlign w:val="center"/>
          </w:tcPr>
          <w:p w14:paraId="51A18BCD" w14:textId="77777777" w:rsidR="009251C3" w:rsidRPr="00933708" w:rsidRDefault="009251C3" w:rsidP="00794EFC">
            <w:pPr>
              <w:keepNext/>
              <w:keepLines/>
              <w:jc w:val="center"/>
              <w:rPr>
                <w:rFonts w:ascii="Arial Narrow" w:hAnsi="Arial Narrow"/>
                <w:b/>
                <w:sz w:val="20"/>
                <w:szCs w:val="20"/>
              </w:rPr>
            </w:pPr>
            <w:r w:rsidRPr="00933708">
              <w:rPr>
                <w:rFonts w:ascii="Arial Narrow" w:hAnsi="Arial Narrow"/>
                <w:b/>
                <w:sz w:val="20"/>
                <w:szCs w:val="20"/>
              </w:rPr>
              <w:t>Max. qty packs</w:t>
            </w:r>
          </w:p>
        </w:tc>
        <w:tc>
          <w:tcPr>
            <w:tcW w:w="970" w:type="dxa"/>
            <w:vAlign w:val="center"/>
          </w:tcPr>
          <w:p w14:paraId="3D7D28B1" w14:textId="77777777" w:rsidR="009251C3" w:rsidRPr="00933708" w:rsidRDefault="009251C3" w:rsidP="00794EFC">
            <w:pPr>
              <w:keepNext/>
              <w:keepLines/>
              <w:jc w:val="center"/>
              <w:rPr>
                <w:rFonts w:ascii="Arial Narrow" w:hAnsi="Arial Narrow"/>
                <w:b/>
                <w:sz w:val="20"/>
                <w:szCs w:val="20"/>
              </w:rPr>
            </w:pPr>
            <w:r w:rsidRPr="00933708">
              <w:rPr>
                <w:rFonts w:ascii="Arial Narrow" w:hAnsi="Arial Narrow"/>
                <w:b/>
                <w:sz w:val="20"/>
                <w:szCs w:val="20"/>
              </w:rPr>
              <w:t>Max. qty units</w:t>
            </w:r>
          </w:p>
        </w:tc>
        <w:tc>
          <w:tcPr>
            <w:tcW w:w="829" w:type="dxa"/>
            <w:vAlign w:val="center"/>
          </w:tcPr>
          <w:p w14:paraId="058ED363" w14:textId="77777777" w:rsidR="009251C3" w:rsidRPr="00933708" w:rsidRDefault="009251C3" w:rsidP="00794EFC">
            <w:pPr>
              <w:keepNext/>
              <w:keepLines/>
              <w:jc w:val="center"/>
              <w:rPr>
                <w:rFonts w:ascii="Arial Narrow" w:hAnsi="Arial Narrow"/>
                <w:b/>
                <w:sz w:val="20"/>
                <w:szCs w:val="20"/>
              </w:rPr>
            </w:pPr>
            <w:r w:rsidRPr="00933708">
              <w:rPr>
                <w:rFonts w:ascii="Arial Narrow" w:hAnsi="Arial Narrow"/>
                <w:b/>
                <w:sz w:val="20"/>
                <w:szCs w:val="20"/>
              </w:rPr>
              <w:t>№.of</w:t>
            </w:r>
          </w:p>
          <w:p w14:paraId="53504293" w14:textId="77777777" w:rsidR="009251C3" w:rsidRPr="00933708" w:rsidRDefault="009251C3" w:rsidP="00794EFC">
            <w:pPr>
              <w:keepNext/>
              <w:keepLines/>
              <w:jc w:val="center"/>
              <w:rPr>
                <w:rFonts w:ascii="Arial Narrow" w:hAnsi="Arial Narrow"/>
                <w:b/>
                <w:sz w:val="20"/>
                <w:szCs w:val="20"/>
              </w:rPr>
            </w:pPr>
            <w:r w:rsidRPr="00933708">
              <w:rPr>
                <w:rFonts w:ascii="Arial Narrow" w:hAnsi="Arial Narrow"/>
                <w:b/>
                <w:sz w:val="20"/>
                <w:szCs w:val="20"/>
              </w:rPr>
              <w:t>Rpts</w:t>
            </w:r>
          </w:p>
        </w:tc>
        <w:tc>
          <w:tcPr>
            <w:tcW w:w="1689" w:type="dxa"/>
            <w:vAlign w:val="center"/>
          </w:tcPr>
          <w:p w14:paraId="4916D16D" w14:textId="77777777" w:rsidR="009251C3" w:rsidRPr="00933708" w:rsidRDefault="009251C3" w:rsidP="00794EFC">
            <w:pPr>
              <w:keepNext/>
              <w:keepLines/>
              <w:jc w:val="center"/>
              <w:rPr>
                <w:rFonts w:ascii="Arial Narrow" w:hAnsi="Arial Narrow"/>
                <w:b/>
                <w:sz w:val="20"/>
                <w:szCs w:val="20"/>
              </w:rPr>
            </w:pPr>
            <w:r w:rsidRPr="00933708">
              <w:rPr>
                <w:rFonts w:ascii="Arial Narrow" w:hAnsi="Arial Narrow"/>
                <w:b/>
                <w:sz w:val="20"/>
                <w:szCs w:val="20"/>
              </w:rPr>
              <w:t>Available brands</w:t>
            </w:r>
          </w:p>
        </w:tc>
      </w:tr>
      <w:tr w:rsidR="009251C3" w:rsidRPr="00933708" w14:paraId="0AF4E941" w14:textId="77777777" w:rsidTr="00B01274">
        <w:trPr>
          <w:cantSplit/>
          <w:trHeight w:val="20"/>
        </w:trPr>
        <w:tc>
          <w:tcPr>
            <w:tcW w:w="9017" w:type="dxa"/>
            <w:gridSpan w:val="6"/>
            <w:vAlign w:val="center"/>
          </w:tcPr>
          <w:p w14:paraId="73DD46E0" w14:textId="77777777" w:rsidR="009251C3" w:rsidRPr="00933708" w:rsidRDefault="009251C3" w:rsidP="00794EFC">
            <w:pPr>
              <w:pStyle w:val="COMTabletext"/>
              <w:keepLines/>
              <w:rPr>
                <w:rFonts w:cs="Arial"/>
                <w:szCs w:val="20"/>
              </w:rPr>
            </w:pPr>
            <w:r w:rsidRPr="00933708">
              <w:t>EMPAGLIFLOZIN</w:t>
            </w:r>
            <w:r w:rsidRPr="00933708">
              <w:rPr>
                <w:rFonts w:cs="Arial"/>
                <w:color w:val="0066FF"/>
                <w:szCs w:val="20"/>
              </w:rPr>
              <w:t xml:space="preserve"> </w:t>
            </w:r>
          </w:p>
        </w:tc>
      </w:tr>
      <w:tr w:rsidR="009251C3" w:rsidRPr="00933708" w14:paraId="73BD459D" w14:textId="77777777" w:rsidTr="00A51AD5">
        <w:trPr>
          <w:cantSplit/>
          <w:trHeight w:val="20"/>
        </w:trPr>
        <w:tc>
          <w:tcPr>
            <w:tcW w:w="3028" w:type="dxa"/>
            <w:vAlign w:val="center"/>
          </w:tcPr>
          <w:p w14:paraId="70A5090D" w14:textId="77777777" w:rsidR="009251C3" w:rsidRPr="00933708" w:rsidRDefault="009251C3" w:rsidP="00794EFC">
            <w:pPr>
              <w:pStyle w:val="COMTabletext"/>
              <w:keepLines/>
              <w:rPr>
                <w:color w:val="0066FF"/>
                <w:szCs w:val="20"/>
              </w:rPr>
            </w:pPr>
            <w:r w:rsidRPr="00933708">
              <w:t>Empagliflozin 10 mg tablet, 30</w:t>
            </w:r>
            <w:r w:rsidRPr="00933708">
              <w:rPr>
                <w:color w:val="0066FF"/>
                <w:szCs w:val="20"/>
              </w:rPr>
              <w:t xml:space="preserve"> </w:t>
            </w:r>
          </w:p>
        </w:tc>
        <w:tc>
          <w:tcPr>
            <w:tcW w:w="1508" w:type="dxa"/>
            <w:vAlign w:val="center"/>
          </w:tcPr>
          <w:p w14:paraId="06591889" w14:textId="77777777" w:rsidR="009251C3" w:rsidRPr="00933708" w:rsidRDefault="009251C3" w:rsidP="00794EFC">
            <w:pPr>
              <w:pStyle w:val="COMTabletext"/>
              <w:keepLines/>
              <w:jc w:val="center"/>
              <w:rPr>
                <w:szCs w:val="20"/>
              </w:rPr>
            </w:pPr>
            <w:r w:rsidRPr="00A51AD5">
              <w:t>$61.01</w:t>
            </w:r>
          </w:p>
        </w:tc>
        <w:tc>
          <w:tcPr>
            <w:tcW w:w="993" w:type="dxa"/>
            <w:vAlign w:val="center"/>
          </w:tcPr>
          <w:p w14:paraId="230EE6F6" w14:textId="77777777" w:rsidR="009251C3" w:rsidRPr="00933708" w:rsidRDefault="009251C3" w:rsidP="00794EFC">
            <w:pPr>
              <w:keepNext/>
              <w:keepLines/>
              <w:jc w:val="center"/>
              <w:rPr>
                <w:rFonts w:ascii="Arial Narrow" w:hAnsi="Arial Narrow"/>
                <w:sz w:val="20"/>
                <w:szCs w:val="20"/>
              </w:rPr>
            </w:pPr>
            <w:r w:rsidRPr="00933708">
              <w:rPr>
                <w:rFonts w:ascii="Arial Narrow" w:hAnsi="Arial Narrow"/>
                <w:sz w:val="20"/>
              </w:rPr>
              <w:t>1</w:t>
            </w:r>
          </w:p>
        </w:tc>
        <w:tc>
          <w:tcPr>
            <w:tcW w:w="970" w:type="dxa"/>
            <w:vAlign w:val="center"/>
          </w:tcPr>
          <w:p w14:paraId="0DBF1EC5" w14:textId="77777777" w:rsidR="009251C3" w:rsidRPr="00933708" w:rsidRDefault="009251C3" w:rsidP="00794EFC">
            <w:pPr>
              <w:keepNext/>
              <w:keepLines/>
              <w:jc w:val="center"/>
              <w:rPr>
                <w:rFonts w:ascii="Arial Narrow" w:hAnsi="Arial Narrow"/>
                <w:sz w:val="20"/>
                <w:szCs w:val="20"/>
              </w:rPr>
            </w:pPr>
            <w:r w:rsidRPr="00933708">
              <w:rPr>
                <w:rFonts w:ascii="Arial Narrow" w:hAnsi="Arial Narrow"/>
                <w:sz w:val="20"/>
              </w:rPr>
              <w:t>30</w:t>
            </w:r>
          </w:p>
        </w:tc>
        <w:tc>
          <w:tcPr>
            <w:tcW w:w="829" w:type="dxa"/>
            <w:vAlign w:val="center"/>
          </w:tcPr>
          <w:p w14:paraId="780C3644" w14:textId="77777777" w:rsidR="009251C3" w:rsidRPr="00933708" w:rsidRDefault="009251C3" w:rsidP="00794EFC">
            <w:pPr>
              <w:keepNext/>
              <w:keepLines/>
              <w:jc w:val="center"/>
              <w:rPr>
                <w:rFonts w:ascii="Arial Narrow" w:hAnsi="Arial Narrow"/>
                <w:sz w:val="20"/>
                <w:szCs w:val="20"/>
              </w:rPr>
            </w:pPr>
            <w:r w:rsidRPr="00933708">
              <w:rPr>
                <w:rFonts w:ascii="Arial Narrow" w:hAnsi="Arial Narrow"/>
                <w:sz w:val="20"/>
              </w:rPr>
              <w:t>5</w:t>
            </w:r>
          </w:p>
        </w:tc>
        <w:tc>
          <w:tcPr>
            <w:tcW w:w="1689" w:type="dxa"/>
            <w:vAlign w:val="center"/>
          </w:tcPr>
          <w:p w14:paraId="078AD295" w14:textId="77777777" w:rsidR="009251C3" w:rsidRPr="00933708" w:rsidRDefault="009251C3" w:rsidP="00794EFC">
            <w:pPr>
              <w:keepNext/>
              <w:keepLines/>
              <w:jc w:val="left"/>
              <w:rPr>
                <w:rFonts w:ascii="Arial Narrow" w:hAnsi="Arial Narrow" w:cs="Calibri"/>
                <w:sz w:val="20"/>
                <w:szCs w:val="20"/>
              </w:rPr>
            </w:pPr>
            <w:r w:rsidRPr="00933708">
              <w:rPr>
                <w:rFonts w:ascii="Arial Narrow" w:hAnsi="Arial Narrow" w:cstheme="minorHAnsi"/>
                <w:sz w:val="20"/>
                <w:szCs w:val="20"/>
              </w:rPr>
              <w:t>Jardiance</w:t>
            </w:r>
          </w:p>
        </w:tc>
      </w:tr>
      <w:tr w:rsidR="009251C3" w:rsidRPr="00933708" w14:paraId="785BE037" w14:textId="77777777" w:rsidTr="00B01274">
        <w:tblPrEx>
          <w:tblCellMar>
            <w:top w:w="15" w:type="dxa"/>
            <w:bottom w:w="15" w:type="dxa"/>
          </w:tblCellMar>
          <w:tblLook w:val="04A0" w:firstRow="1" w:lastRow="0" w:firstColumn="1" w:lastColumn="0" w:noHBand="0" w:noVBand="1"/>
        </w:tblPrEx>
        <w:trPr>
          <w:cantSplit/>
          <w:trHeight w:val="20"/>
        </w:trPr>
        <w:tc>
          <w:tcPr>
            <w:tcW w:w="9017" w:type="dxa"/>
            <w:gridSpan w:val="6"/>
          </w:tcPr>
          <w:p w14:paraId="3F248DAC" w14:textId="77777777" w:rsidR="009251C3" w:rsidRPr="00933708" w:rsidRDefault="009251C3" w:rsidP="00794EFC">
            <w:pPr>
              <w:pStyle w:val="COMTabletext"/>
              <w:keepLines/>
            </w:pPr>
            <w:r w:rsidRPr="00933708">
              <w:rPr>
                <w:b/>
              </w:rPr>
              <w:t xml:space="preserve">Category / Program: </w:t>
            </w:r>
            <w:r w:rsidRPr="00933708">
              <w:t>General Schedule (code GE)</w:t>
            </w:r>
          </w:p>
        </w:tc>
      </w:tr>
      <w:tr w:rsidR="009251C3" w:rsidRPr="00933708" w14:paraId="0A9F8423" w14:textId="77777777" w:rsidTr="00B01274">
        <w:tblPrEx>
          <w:tblCellMar>
            <w:top w:w="15" w:type="dxa"/>
            <w:bottom w:w="15" w:type="dxa"/>
          </w:tblCellMar>
          <w:tblLook w:val="04A0" w:firstRow="1" w:lastRow="0" w:firstColumn="1" w:lastColumn="0" w:noHBand="0" w:noVBand="1"/>
        </w:tblPrEx>
        <w:trPr>
          <w:cantSplit/>
          <w:trHeight w:val="20"/>
        </w:trPr>
        <w:tc>
          <w:tcPr>
            <w:tcW w:w="9017" w:type="dxa"/>
            <w:gridSpan w:val="6"/>
          </w:tcPr>
          <w:p w14:paraId="77B58AEC" w14:textId="77777777" w:rsidR="009251C3" w:rsidRPr="00933708" w:rsidRDefault="009251C3" w:rsidP="00794EFC">
            <w:pPr>
              <w:pStyle w:val="COMTabletext"/>
              <w:keepLines/>
              <w:rPr>
                <w:b/>
              </w:rPr>
            </w:pPr>
            <w:r w:rsidRPr="00933708">
              <w:rPr>
                <w:b/>
              </w:rPr>
              <w:t xml:space="preserve">Prescriber type: </w:t>
            </w:r>
            <w:r w:rsidRPr="00933708">
              <w:fldChar w:fldCharType="begin">
                <w:ffData>
                  <w:name w:val=""/>
                  <w:enabled/>
                  <w:calcOnExit w:val="0"/>
                  <w:checkBox>
                    <w:sizeAuto/>
                    <w:default w:val="1"/>
                  </w:checkBox>
                </w:ffData>
              </w:fldChar>
            </w:r>
            <w:r w:rsidRPr="00933708">
              <w:instrText xml:space="preserve"> FORMCHECKBOX </w:instrText>
            </w:r>
            <w:r w:rsidR="00D5135E">
              <w:fldChar w:fldCharType="separate"/>
            </w:r>
            <w:r w:rsidRPr="00933708">
              <w:fldChar w:fldCharType="end"/>
            </w:r>
            <w:r w:rsidRPr="00933708">
              <w:t xml:space="preserve">Medical Practitioners </w:t>
            </w:r>
            <w:r w:rsidRPr="00933708">
              <w:fldChar w:fldCharType="begin">
                <w:ffData>
                  <w:name w:val="Check3"/>
                  <w:enabled/>
                  <w:calcOnExit w:val="0"/>
                  <w:checkBox>
                    <w:sizeAuto/>
                    <w:default w:val="1"/>
                  </w:checkBox>
                </w:ffData>
              </w:fldChar>
            </w:r>
            <w:r w:rsidRPr="00933708">
              <w:instrText xml:space="preserve"> FORMCHECKBOX </w:instrText>
            </w:r>
            <w:r w:rsidR="00D5135E">
              <w:fldChar w:fldCharType="separate"/>
            </w:r>
            <w:r w:rsidRPr="00933708">
              <w:fldChar w:fldCharType="end"/>
            </w:r>
            <w:r w:rsidRPr="00933708">
              <w:t>Nurse practitioners</w:t>
            </w:r>
          </w:p>
        </w:tc>
      </w:tr>
      <w:tr w:rsidR="009251C3" w:rsidRPr="00933708" w14:paraId="31FE3A0F" w14:textId="77777777" w:rsidTr="00B01274">
        <w:tblPrEx>
          <w:tblCellMar>
            <w:top w:w="15" w:type="dxa"/>
            <w:bottom w:w="15" w:type="dxa"/>
          </w:tblCellMar>
          <w:tblLook w:val="04A0" w:firstRow="1" w:lastRow="0" w:firstColumn="1" w:lastColumn="0" w:noHBand="0" w:noVBand="1"/>
        </w:tblPrEx>
        <w:trPr>
          <w:cantSplit/>
          <w:trHeight w:val="20"/>
        </w:trPr>
        <w:tc>
          <w:tcPr>
            <w:tcW w:w="9017" w:type="dxa"/>
            <w:gridSpan w:val="6"/>
          </w:tcPr>
          <w:p w14:paraId="249CE4B2" w14:textId="77777777" w:rsidR="009251C3" w:rsidRPr="00933708" w:rsidRDefault="009251C3" w:rsidP="00794EFC">
            <w:pPr>
              <w:pStyle w:val="COMTabletext"/>
              <w:keepLines/>
              <w:rPr>
                <w:rFonts w:eastAsia="Times New Roman"/>
              </w:rPr>
            </w:pPr>
            <w:r w:rsidRPr="00933708">
              <w:rPr>
                <w:b/>
              </w:rPr>
              <w:t xml:space="preserve">Restriction type: </w:t>
            </w:r>
            <w:r w:rsidRPr="00933708">
              <w:rPr>
                <w:rFonts w:eastAsia="Times New Roman"/>
              </w:rPr>
              <w:fldChar w:fldCharType="begin">
                <w:ffData>
                  <w:name w:val=""/>
                  <w:enabled/>
                  <w:calcOnExit w:val="0"/>
                  <w:checkBox>
                    <w:sizeAuto/>
                    <w:default w:val="1"/>
                  </w:checkBox>
                </w:ffData>
              </w:fldChar>
            </w:r>
            <w:r w:rsidRPr="00933708">
              <w:rPr>
                <w:rFonts w:eastAsia="Times New Roman"/>
              </w:rPr>
              <w:instrText xml:space="preserve"> FORMCHECKBOX </w:instrText>
            </w:r>
            <w:r w:rsidR="00D5135E">
              <w:rPr>
                <w:rFonts w:eastAsia="Times New Roman"/>
              </w:rPr>
            </w:r>
            <w:r w:rsidR="00D5135E">
              <w:rPr>
                <w:rFonts w:eastAsia="Times New Roman"/>
              </w:rPr>
              <w:fldChar w:fldCharType="separate"/>
            </w:r>
            <w:r w:rsidRPr="00933708">
              <w:rPr>
                <w:rFonts w:eastAsia="Times New Roman"/>
              </w:rPr>
              <w:fldChar w:fldCharType="end"/>
            </w:r>
            <w:r w:rsidRPr="00933708">
              <w:rPr>
                <w:rFonts w:eastAsia="Times New Roman"/>
              </w:rPr>
              <w:t xml:space="preserve">Authority Required (STREAMLINED) </w:t>
            </w:r>
          </w:p>
        </w:tc>
      </w:tr>
      <w:tr w:rsidR="009251C3" w:rsidRPr="00933708" w14:paraId="6580BE80" w14:textId="77777777" w:rsidTr="00B01274">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0106308A" w14:textId="77777777" w:rsidR="009251C3" w:rsidRPr="00933708" w:rsidRDefault="009251C3" w:rsidP="00794EFC">
            <w:pPr>
              <w:pStyle w:val="COMTabletext"/>
              <w:keepLines/>
            </w:pPr>
            <w:r w:rsidRPr="00933708">
              <w:rPr>
                <w:b/>
              </w:rPr>
              <w:t>Indication:</w:t>
            </w:r>
            <w:r w:rsidRPr="00933708">
              <w:t xml:space="preserve"> Chronic kidney disease</w:t>
            </w:r>
          </w:p>
        </w:tc>
      </w:tr>
      <w:tr w:rsidR="009251C3" w:rsidRPr="00933708" w14:paraId="39F9DDB4" w14:textId="77777777" w:rsidTr="00B01274">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17192053" w14:textId="77777777" w:rsidR="009251C3" w:rsidRPr="00933708" w:rsidRDefault="009251C3" w:rsidP="00794EFC">
            <w:pPr>
              <w:pStyle w:val="COMTabletext"/>
              <w:keepLines/>
            </w:pPr>
            <w:r w:rsidRPr="00933708">
              <w:rPr>
                <w:b/>
              </w:rPr>
              <w:t>Clinical criteria:</w:t>
            </w:r>
          </w:p>
        </w:tc>
      </w:tr>
      <w:tr w:rsidR="009251C3" w:rsidRPr="00933708" w14:paraId="4233F53C" w14:textId="77777777" w:rsidTr="00B01274">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41BB1C28" w14:textId="77777777" w:rsidR="009251C3" w:rsidRPr="00933708" w:rsidRDefault="009251C3" w:rsidP="00794EFC">
            <w:pPr>
              <w:pStyle w:val="COMTabletext"/>
              <w:keepLines/>
            </w:pPr>
            <w:r w:rsidRPr="00933708">
              <w:t>Patient must have a diagnosis of chronic kidney disease, defined as abnormalities of at least one of: (i) kidney structure, (ii) kidney function, present for at least 3 months, prior to initiating treatment with this drug,</w:t>
            </w:r>
          </w:p>
        </w:tc>
      </w:tr>
      <w:tr w:rsidR="009251C3" w:rsidRPr="00933708" w14:paraId="5237908D" w14:textId="77777777" w:rsidTr="00B01274">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5E53DC4E" w14:textId="77777777" w:rsidR="009251C3" w:rsidRPr="00933708" w:rsidRDefault="009251C3" w:rsidP="00794EFC">
            <w:pPr>
              <w:pStyle w:val="COMTabletext"/>
              <w:keepLines/>
            </w:pPr>
            <w:r w:rsidRPr="00933708">
              <w:rPr>
                <w:b/>
              </w:rPr>
              <w:t>AND</w:t>
            </w:r>
          </w:p>
        </w:tc>
      </w:tr>
      <w:tr w:rsidR="009251C3" w:rsidRPr="00933708" w14:paraId="030428B9" w14:textId="77777777" w:rsidTr="00B01274">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38B1407F" w14:textId="77777777" w:rsidR="009251C3" w:rsidRPr="00933708" w:rsidRDefault="009251C3" w:rsidP="00794EFC">
            <w:pPr>
              <w:pStyle w:val="COMTabletext"/>
              <w:keepLines/>
            </w:pPr>
            <w:r w:rsidRPr="00933708">
              <w:rPr>
                <w:b/>
              </w:rPr>
              <w:t>Clinical criteria:</w:t>
            </w:r>
          </w:p>
        </w:tc>
      </w:tr>
      <w:tr w:rsidR="009251C3" w:rsidRPr="00933708" w14:paraId="41700653" w14:textId="77777777" w:rsidTr="00B01274">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519AF9DA" w14:textId="77777777" w:rsidR="009251C3" w:rsidRPr="00933708" w:rsidRDefault="009251C3" w:rsidP="00794EFC">
            <w:pPr>
              <w:pStyle w:val="COMTabletext"/>
              <w:keepLines/>
            </w:pPr>
            <w:r w:rsidRPr="00933708">
              <w:t>Patient must have an estimated glomerular filtration rate of at least 20 mL/min/1.73 m</w:t>
            </w:r>
            <w:r w:rsidRPr="00933708">
              <w:rPr>
                <w:vertAlign w:val="superscript"/>
              </w:rPr>
              <w:t>2</w:t>
            </w:r>
            <w:r w:rsidRPr="00933708">
              <w:t xml:space="preserve"> but less than 90 mL/min/1.73 m</w:t>
            </w:r>
            <w:r w:rsidRPr="00933708">
              <w:rPr>
                <w:vertAlign w:val="superscript"/>
              </w:rPr>
              <w:t>2</w:t>
            </w:r>
            <w:r w:rsidRPr="00933708">
              <w:t xml:space="preserve"> prior to initiating treatment with this drug,</w:t>
            </w:r>
          </w:p>
        </w:tc>
      </w:tr>
      <w:tr w:rsidR="009251C3" w:rsidRPr="00933708" w14:paraId="449DD14E" w14:textId="77777777" w:rsidTr="00B01274">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01AF7EBD" w14:textId="77777777" w:rsidR="009251C3" w:rsidRPr="00933708" w:rsidRDefault="009251C3" w:rsidP="00794EFC">
            <w:pPr>
              <w:pStyle w:val="COMTabletext"/>
              <w:keepLines/>
            </w:pPr>
            <w:r w:rsidRPr="00933708">
              <w:rPr>
                <w:b/>
              </w:rPr>
              <w:t>AND</w:t>
            </w:r>
          </w:p>
        </w:tc>
      </w:tr>
      <w:tr w:rsidR="009251C3" w:rsidRPr="00933708" w14:paraId="6B874CD0" w14:textId="77777777" w:rsidTr="00B01274">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75738376" w14:textId="77777777" w:rsidR="009251C3" w:rsidRPr="00933708" w:rsidRDefault="009251C3" w:rsidP="00794EFC">
            <w:pPr>
              <w:pStyle w:val="COMTabletext"/>
              <w:keepLines/>
            </w:pPr>
            <w:r w:rsidRPr="00933708">
              <w:rPr>
                <w:b/>
              </w:rPr>
              <w:t>Clinical criteria:</w:t>
            </w:r>
          </w:p>
        </w:tc>
      </w:tr>
      <w:tr w:rsidR="009251C3" w:rsidRPr="00933708" w14:paraId="07F7F51E" w14:textId="77777777" w:rsidTr="00B01274">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409AA6A6" w14:textId="77777777" w:rsidR="009251C3" w:rsidRPr="00933708" w:rsidRDefault="009251C3" w:rsidP="00794EFC">
            <w:pPr>
              <w:pStyle w:val="COMTabletext"/>
              <w:keepLines/>
            </w:pPr>
            <w:r w:rsidRPr="00933708">
              <w:t>If the patient has an estimated glomerular filtration rate of at least 45 mL/min/1.73 m</w:t>
            </w:r>
            <w:r w:rsidRPr="00933708">
              <w:rPr>
                <w:vertAlign w:val="superscript"/>
              </w:rPr>
              <w:t>2</w:t>
            </w:r>
            <w:r w:rsidRPr="00933708">
              <w:t xml:space="preserve"> but less than 90 mL/min/1.73 m</w:t>
            </w:r>
            <w:r w:rsidRPr="00933708">
              <w:rPr>
                <w:vertAlign w:val="superscript"/>
              </w:rPr>
              <w:t>2</w:t>
            </w:r>
            <w:r w:rsidRPr="00933708">
              <w:t>, the patient must have a urinary albumin to creatinine ratio of at least 200 mg/g (22.6 mg/mmol) prior to initiating treatment with this drug,</w:t>
            </w:r>
          </w:p>
        </w:tc>
      </w:tr>
      <w:tr w:rsidR="009251C3" w:rsidRPr="00933708" w14:paraId="185432B3" w14:textId="77777777" w:rsidTr="00B01274">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4E8325F6" w14:textId="77777777" w:rsidR="009251C3" w:rsidRPr="00933708" w:rsidRDefault="009251C3" w:rsidP="00794EFC">
            <w:pPr>
              <w:pStyle w:val="COMTabletext"/>
              <w:keepLines/>
            </w:pPr>
            <w:r w:rsidRPr="00933708">
              <w:rPr>
                <w:b/>
              </w:rPr>
              <w:t>AND</w:t>
            </w:r>
          </w:p>
        </w:tc>
      </w:tr>
      <w:tr w:rsidR="009251C3" w:rsidRPr="00933708" w14:paraId="68A4282E" w14:textId="77777777" w:rsidTr="00B01274">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7129B8D1" w14:textId="77777777" w:rsidR="009251C3" w:rsidRPr="00933708" w:rsidRDefault="009251C3" w:rsidP="00794EFC">
            <w:pPr>
              <w:pStyle w:val="COMTabletext"/>
              <w:keepLines/>
            </w:pPr>
            <w:r w:rsidRPr="00933708">
              <w:rPr>
                <w:b/>
              </w:rPr>
              <w:t>Clinical criteria:</w:t>
            </w:r>
          </w:p>
        </w:tc>
      </w:tr>
      <w:tr w:rsidR="009251C3" w:rsidRPr="00933708" w14:paraId="124F1C80" w14:textId="77777777" w:rsidTr="00B01274">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7CA64918" w14:textId="77777777" w:rsidR="009251C3" w:rsidRPr="00933708" w:rsidRDefault="009251C3" w:rsidP="00794EFC">
            <w:pPr>
              <w:pStyle w:val="COMTabletext"/>
              <w:keepLines/>
            </w:pPr>
            <w:r w:rsidRPr="00933708">
              <w:t>Patient must discontinue treatment with this drug prior to initiating renal replacement therapy, defined as dialysis or kidney transplant,</w:t>
            </w:r>
          </w:p>
        </w:tc>
      </w:tr>
      <w:tr w:rsidR="009251C3" w:rsidRPr="00933708" w14:paraId="5EE46B3F" w14:textId="77777777" w:rsidTr="00B01274">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00051ADE" w14:textId="77777777" w:rsidR="009251C3" w:rsidRPr="00933708" w:rsidRDefault="009251C3" w:rsidP="00794EFC">
            <w:pPr>
              <w:pStyle w:val="COMTabletext"/>
              <w:keepLines/>
            </w:pPr>
            <w:r w:rsidRPr="00933708">
              <w:rPr>
                <w:b/>
              </w:rPr>
              <w:t>AND</w:t>
            </w:r>
          </w:p>
        </w:tc>
      </w:tr>
      <w:tr w:rsidR="009251C3" w:rsidRPr="00933708" w14:paraId="3D85C239" w14:textId="77777777" w:rsidTr="00B01274">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7BF33D5B" w14:textId="77777777" w:rsidR="009251C3" w:rsidRPr="00933708" w:rsidRDefault="009251C3" w:rsidP="00794EFC">
            <w:pPr>
              <w:pStyle w:val="COMTabletext"/>
              <w:keepLines/>
            </w:pPr>
            <w:r w:rsidRPr="00933708">
              <w:rPr>
                <w:b/>
              </w:rPr>
              <w:t>Clinical criteria:</w:t>
            </w:r>
          </w:p>
        </w:tc>
      </w:tr>
      <w:tr w:rsidR="009251C3" w:rsidRPr="00933708" w14:paraId="67D3D700" w14:textId="77777777" w:rsidTr="00B01274">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4F78C96A" w14:textId="77777777" w:rsidR="009251C3" w:rsidRPr="00933708" w:rsidRDefault="009251C3" w:rsidP="00794EFC">
            <w:pPr>
              <w:pStyle w:val="COMTabletext"/>
              <w:keepLines/>
            </w:pPr>
            <w:r w:rsidRPr="00933708">
              <w:t>Patient must not be receiving treatment with another sodium-glucose co-transporter 2 (SGLT2) inhibitor.</w:t>
            </w:r>
          </w:p>
        </w:tc>
      </w:tr>
      <w:tr w:rsidR="009251C3" w:rsidRPr="00933708" w14:paraId="2CBA9B28" w14:textId="77777777" w:rsidTr="00B01274">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44EBFFA1" w14:textId="77777777" w:rsidR="009251C3" w:rsidRPr="00933708" w:rsidRDefault="009251C3" w:rsidP="00794EFC">
            <w:pPr>
              <w:pStyle w:val="COMTabletext"/>
              <w:keepLines/>
            </w:pPr>
            <w:r w:rsidRPr="00933708">
              <w:rPr>
                <w:b/>
              </w:rPr>
              <w:t xml:space="preserve">Prescribing Instructions: </w:t>
            </w:r>
            <w:r w:rsidRPr="00933708">
              <w:rPr>
                <w:bCs w:val="0"/>
              </w:rPr>
              <w:t>Patient must be treated with either: (i) an ACE inhibitor or (ii) an angiotensin II receptor antagonist, unless not tolerated or not medically indicated, prior to initiation of combination therapy with this drug.</w:t>
            </w:r>
          </w:p>
        </w:tc>
      </w:tr>
      <w:tr w:rsidR="009251C3" w:rsidRPr="00933708" w14:paraId="423318FF" w14:textId="77777777" w:rsidTr="00B01274">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0DDF14F1" w14:textId="77777777" w:rsidR="009251C3" w:rsidRPr="00933708" w:rsidRDefault="009251C3" w:rsidP="00794EFC">
            <w:pPr>
              <w:pStyle w:val="COMTabletext"/>
              <w:keepLines/>
            </w:pPr>
            <w:r w:rsidRPr="00933708">
              <w:rPr>
                <w:b/>
              </w:rPr>
              <w:t xml:space="preserve">Prescribing Instructions: </w:t>
            </w:r>
            <w:r w:rsidRPr="00933708">
              <w:rPr>
                <w:bCs w:val="0"/>
              </w:rPr>
              <w:t>Patients with polycystic kidney disease; patients with a recent history of intravenous immunosuppressive therapy; and patients currently receiving immunosuppressive therapy comprising of at least 45 mg prednisolone (or equivalent) are not eligible for treatment with this drug.</w:t>
            </w:r>
          </w:p>
        </w:tc>
      </w:tr>
      <w:tr w:rsidR="009251C3" w:rsidRPr="00933708" w14:paraId="612BB77B" w14:textId="77777777" w:rsidTr="00B01274">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3D52D85C" w14:textId="77777777" w:rsidR="009251C3" w:rsidRPr="00933708" w:rsidRDefault="009251C3" w:rsidP="00794EFC">
            <w:pPr>
              <w:pStyle w:val="COMTabletext"/>
              <w:keepLines/>
              <w:rPr>
                <w:b/>
              </w:rPr>
            </w:pPr>
            <w:r w:rsidRPr="00933708">
              <w:rPr>
                <w:b/>
              </w:rPr>
              <w:t xml:space="preserve">Administrative Advice: </w:t>
            </w:r>
          </w:p>
          <w:p w14:paraId="2E432694" w14:textId="77777777" w:rsidR="009251C3" w:rsidRPr="00933708" w:rsidRDefault="009251C3" w:rsidP="00794EFC">
            <w:pPr>
              <w:pStyle w:val="COMTabletext"/>
              <w:keepLines/>
              <w:rPr>
                <w:bCs w:val="0"/>
              </w:rPr>
            </w:pPr>
            <w:r w:rsidRPr="00933708">
              <w:rPr>
                <w:bCs w:val="0"/>
              </w:rPr>
              <w:t>Note Continuing Therapy Only: For prescribing by Nurse Practitioners as continuing therapy only, where the treatment of, and prescribing of medicine for, a patient has been initiated by a medical practitioner. Further information can be found in the Explanatory Notes for Nurse Practitioner</w:t>
            </w:r>
          </w:p>
        </w:tc>
      </w:tr>
    </w:tbl>
    <w:p w14:paraId="0AA6E0A4" w14:textId="466700E2" w:rsidR="00FE1F52" w:rsidRPr="00FE1F52" w:rsidRDefault="00B01274" w:rsidP="00A51AD5">
      <w:pPr>
        <w:pStyle w:val="COMTablefooter"/>
      </w:pPr>
      <w:r w:rsidRPr="00933708">
        <w:t>Note: The DPMQ was corrected during the evaluation. The submission proposed 60 days</w:t>
      </w:r>
      <w:r w:rsidR="000041C5" w:rsidRPr="00933708">
        <w:t>’</w:t>
      </w:r>
      <w:r w:rsidRPr="00933708">
        <w:t xml:space="preserve"> supply to reflect the PBS 60 day dispensing program. Empagliflozin is not an eligible stage one medicine for 60 day dispensing from 1 September 2023. There are no treatments for CKD currently recommended for 60 day dispensing (</w:t>
      </w:r>
      <w:hyperlink r:id="rId8" w:history="1">
        <w:r w:rsidR="00FE1F52" w:rsidRPr="00CB5958">
          <w:rPr>
            <w:rStyle w:val="Hyperlink"/>
          </w:rPr>
          <w:t>https://www.pbs.gov.au/industry/listing/elements/pbac-meetings/pbac-outcomes/2022-12/Increased-Dispensing-Quantities-List-of-Medicines.pdf</w:t>
        </w:r>
      </w:hyperlink>
      <w:r w:rsidRPr="00933708">
        <w:t>).</w:t>
      </w:r>
      <w:r w:rsidR="00FE1F52">
        <w:t xml:space="preserve"> </w:t>
      </w:r>
    </w:p>
    <w:p w14:paraId="2EEA490B" w14:textId="62A776CB" w:rsidR="0029270F" w:rsidRPr="00933708" w:rsidRDefault="0029270F" w:rsidP="007C4C88">
      <w:pPr>
        <w:pStyle w:val="ListParagraph"/>
        <w:numPr>
          <w:ilvl w:val="1"/>
          <w:numId w:val="1"/>
        </w:numPr>
        <w:ind w:left="720" w:hanging="720"/>
        <w:rPr>
          <w:rFonts w:cs="Calibri"/>
          <w:bCs/>
        </w:rPr>
      </w:pPr>
      <w:r w:rsidRPr="00933708">
        <w:rPr>
          <w:rFonts w:cs="Calibri"/>
          <w:bCs/>
        </w:rPr>
        <w:t>The submission requested a dispensed price for empagliflozin 10 mg of $108.18 (DPMQ per 2 packs of 30 tablets) assuming 60 day dispensing and an AEMP of $44.66 (1 pack of 30 tablets). The requested AEMP ($44.66) is consistent with the PBS listed AEMP of empagliflozin for the treatment of diabetes and chronic heart failure. Given empagliflozin is not an eligible stage one medicine for 60 day dispensing, the requested DPMQ was corrected during the evaluation ($61.01) to reflect a maximum qua</w:t>
      </w:r>
      <w:r w:rsidR="0068132C" w:rsidRPr="00933708">
        <w:rPr>
          <w:rFonts w:cs="Calibri"/>
          <w:bCs/>
        </w:rPr>
        <w:t>nt</w:t>
      </w:r>
      <w:r w:rsidRPr="00933708">
        <w:rPr>
          <w:rFonts w:cs="Calibri"/>
          <w:bCs/>
        </w:rPr>
        <w:t>ity of 1</w:t>
      </w:r>
      <w:r w:rsidR="00310DE6" w:rsidRPr="00933708">
        <w:rPr>
          <w:rFonts w:cs="Calibri"/>
          <w:bCs/>
        </w:rPr>
        <w:t> </w:t>
      </w:r>
      <w:r w:rsidRPr="00933708">
        <w:rPr>
          <w:rFonts w:cs="Calibri"/>
          <w:bCs/>
        </w:rPr>
        <w:t>pack (30 tablets) dispensed, updated for current mark-ups at 1 July 2023.</w:t>
      </w:r>
    </w:p>
    <w:p w14:paraId="6D00FE3D" w14:textId="44659166" w:rsidR="0029270F" w:rsidRPr="00933708" w:rsidRDefault="0029270F" w:rsidP="007C4C88">
      <w:pPr>
        <w:pStyle w:val="ListParagraph"/>
        <w:numPr>
          <w:ilvl w:val="1"/>
          <w:numId w:val="1"/>
        </w:numPr>
        <w:ind w:left="720" w:hanging="720"/>
        <w:rPr>
          <w:color w:val="0066FF"/>
        </w:rPr>
      </w:pPr>
      <w:r w:rsidRPr="00933708">
        <w:lastRenderedPageBreak/>
        <w:t xml:space="preserve">The requested restriction is narrower than the proposed TGA </w:t>
      </w:r>
      <w:r w:rsidR="00933708" w:rsidRPr="00933708">
        <w:t>indication and</w:t>
      </w:r>
      <w:r w:rsidRPr="00933708">
        <w:t xml:space="preserve"> limits subsidised treatment with empagliflozin for CKD to patients with biomedical markers consistent with the inclusion criteria of the key clinical trial (EMPA-KIDNEY) on initiation</w:t>
      </w:r>
      <w:r w:rsidR="00310DE6" w:rsidRPr="00933708">
        <w:t>.</w:t>
      </w:r>
      <w:r w:rsidR="006F3D87" w:rsidRPr="00933708">
        <w:t xml:space="preserve"> </w:t>
      </w:r>
    </w:p>
    <w:p w14:paraId="070BBCAE" w14:textId="1306BD95" w:rsidR="000940A7" w:rsidRPr="00933708" w:rsidRDefault="006F3D87" w:rsidP="007C4C88">
      <w:pPr>
        <w:pStyle w:val="ListParagraph"/>
        <w:numPr>
          <w:ilvl w:val="1"/>
          <w:numId w:val="1"/>
        </w:numPr>
        <w:ind w:left="720" w:hanging="720"/>
        <w:rPr>
          <w:color w:val="0066FF"/>
        </w:rPr>
      </w:pPr>
      <w:bookmarkStart w:id="10" w:name="_Ref145426693"/>
      <w:r w:rsidRPr="00933708">
        <w:t>The</w:t>
      </w:r>
      <w:r w:rsidR="0029270F" w:rsidRPr="00933708">
        <w:t xml:space="preserve"> requested restriction is based on the current PBS listing for dapagliflozin for the treatment of CKD, encompassing the Australian population eligible for PBS subsidised dapagliflozin (eGFR 25 to 75 mL/min/1.73 m</w:t>
      </w:r>
      <w:r w:rsidR="0029270F" w:rsidRPr="00933708">
        <w:rPr>
          <w:vertAlign w:val="superscript"/>
        </w:rPr>
        <w:t>2</w:t>
      </w:r>
      <w:r w:rsidR="0029270F" w:rsidRPr="00933708">
        <w:t xml:space="preserve"> with</w:t>
      </w:r>
      <w:r w:rsidR="00A731D9" w:rsidRPr="00933708">
        <w:t xml:space="preserve"> urine albumin-creatinine</w:t>
      </w:r>
      <w:r w:rsidR="0029270F" w:rsidRPr="00933708">
        <w:t xml:space="preserve"> </w:t>
      </w:r>
      <w:r w:rsidR="00A731D9" w:rsidRPr="00933708">
        <w:t>ratio (</w:t>
      </w:r>
      <w:r w:rsidR="0029270F" w:rsidRPr="00933708">
        <w:t>UACR</w:t>
      </w:r>
      <w:r w:rsidR="00A731D9" w:rsidRPr="00933708">
        <w:t>)</w:t>
      </w:r>
      <w:r w:rsidR="0029270F" w:rsidRPr="00933708">
        <w:t xml:space="preserve"> 200 to 5,000 mg/g). The requested restriction also includes additional patients with similarly impaired kidney function (eGFR 25 to 75 mL/min/1.73 m</w:t>
      </w:r>
      <w:r w:rsidR="0029270F" w:rsidRPr="00933708">
        <w:rPr>
          <w:vertAlign w:val="superscript"/>
        </w:rPr>
        <w:t>2</w:t>
      </w:r>
      <w:r w:rsidR="0029270F" w:rsidRPr="00933708">
        <w:t xml:space="preserve"> and UACR </w:t>
      </w:r>
      <w:r w:rsidR="0029270F" w:rsidRPr="00933708">
        <w:rPr>
          <w:rFonts w:cs="Calibri"/>
        </w:rPr>
        <w:t>&gt;</w:t>
      </w:r>
      <w:r w:rsidR="0029270F" w:rsidRPr="00933708">
        <w:t>5,000 mg/g; eGFR 25 to 45</w:t>
      </w:r>
      <w:r w:rsidR="008F2121" w:rsidRPr="00933708">
        <w:t> </w:t>
      </w:r>
      <w:r w:rsidR="0029270F" w:rsidRPr="00933708">
        <w:t>mL/min/1.73 m</w:t>
      </w:r>
      <w:r w:rsidR="0029270F" w:rsidRPr="00933708">
        <w:rPr>
          <w:vertAlign w:val="superscript"/>
        </w:rPr>
        <w:t>2</w:t>
      </w:r>
      <w:r w:rsidR="0029270F" w:rsidRPr="00933708">
        <w:t xml:space="preserve"> and UACR </w:t>
      </w:r>
      <w:r w:rsidR="0029270F" w:rsidRPr="00933708">
        <w:rPr>
          <w:rFonts w:cs="Calibri"/>
        </w:rPr>
        <w:t>&lt;</w:t>
      </w:r>
      <w:r w:rsidR="0029270F" w:rsidRPr="00933708">
        <w:t>200 mg/g), more severely impaired kidney function (eGFR 20 to &lt;25 mL/min/1.73 m</w:t>
      </w:r>
      <w:r w:rsidR="0029270F" w:rsidRPr="00933708">
        <w:rPr>
          <w:vertAlign w:val="superscript"/>
        </w:rPr>
        <w:t>2</w:t>
      </w:r>
      <w:r w:rsidR="0029270F" w:rsidRPr="00933708">
        <w:t xml:space="preserve"> regardless of albuminuria), and less severely impaired kidney function (eGFR 75 to &lt;90 mL/min/1.73 m</w:t>
      </w:r>
      <w:r w:rsidR="0029270F" w:rsidRPr="00933708">
        <w:rPr>
          <w:vertAlign w:val="superscript"/>
        </w:rPr>
        <w:t>2</w:t>
      </w:r>
      <w:r w:rsidR="0029270F" w:rsidRPr="00933708">
        <w:t xml:space="preserve"> and UACR </w:t>
      </w:r>
      <w:r w:rsidR="0029270F" w:rsidRPr="00933708">
        <w:rPr>
          <w:rFonts w:cs="Calibri"/>
        </w:rPr>
        <w:t>≥</w:t>
      </w:r>
      <w:r w:rsidR="0029270F" w:rsidRPr="00933708">
        <w:t>200 mg/g).</w:t>
      </w:r>
      <w:bookmarkEnd w:id="10"/>
      <w:r w:rsidR="00F403CD" w:rsidRPr="00933708">
        <w:t xml:space="preserve"> </w:t>
      </w:r>
      <w:r w:rsidR="00F403CD" w:rsidRPr="00933708">
        <w:rPr>
          <w:iCs/>
        </w:rPr>
        <w:t>The ESC considered there will potentially be confusion amongst prescribers given the different PBS eligibility between the SGLT2</w:t>
      </w:r>
      <w:r w:rsidR="00F83EC4" w:rsidRPr="00933708">
        <w:rPr>
          <w:iCs/>
        </w:rPr>
        <w:t xml:space="preserve"> inhibitors</w:t>
      </w:r>
      <w:r w:rsidR="00F403CD" w:rsidRPr="00933708">
        <w:rPr>
          <w:iCs/>
        </w:rPr>
        <w:t xml:space="preserve">, however </w:t>
      </w:r>
      <w:r w:rsidR="00F83EC4" w:rsidRPr="00933708">
        <w:rPr>
          <w:iCs/>
        </w:rPr>
        <w:t xml:space="preserve">the ESC </w:t>
      </w:r>
      <w:r w:rsidR="00F403CD" w:rsidRPr="00933708">
        <w:rPr>
          <w:iCs/>
        </w:rPr>
        <w:t xml:space="preserve">advised </w:t>
      </w:r>
      <w:r w:rsidR="00F83EC4" w:rsidRPr="00933708">
        <w:rPr>
          <w:iCs/>
        </w:rPr>
        <w:t>against</w:t>
      </w:r>
      <w:r w:rsidR="00F403CD" w:rsidRPr="00933708">
        <w:rPr>
          <w:iCs/>
        </w:rPr>
        <w:t xml:space="preserve"> expand</w:t>
      </w:r>
      <w:r w:rsidR="00F83EC4" w:rsidRPr="00933708">
        <w:rPr>
          <w:iCs/>
        </w:rPr>
        <w:t>ing</w:t>
      </w:r>
      <w:r w:rsidR="00F403CD" w:rsidRPr="00933708">
        <w:rPr>
          <w:iCs/>
        </w:rPr>
        <w:t xml:space="preserve"> the dapagliflozin restriction</w:t>
      </w:r>
      <w:r w:rsidR="00F83EC4" w:rsidRPr="00933708">
        <w:rPr>
          <w:iCs/>
        </w:rPr>
        <w:t xml:space="preserve"> to match the proposed empagliflozin restriction given it would be outside the available trial evidence for dapagliflozin.</w:t>
      </w:r>
      <w:r w:rsidR="00F403CD" w:rsidRPr="00933708">
        <w:rPr>
          <w:iCs/>
        </w:rPr>
        <w:t xml:space="preserve"> </w:t>
      </w:r>
    </w:p>
    <w:p w14:paraId="50DF3000" w14:textId="0AE0F1E5" w:rsidR="00CC35EA" w:rsidRPr="00933708" w:rsidRDefault="0029270F" w:rsidP="007C4C88">
      <w:pPr>
        <w:pStyle w:val="ListParagraph"/>
        <w:numPr>
          <w:ilvl w:val="1"/>
          <w:numId w:val="1"/>
        </w:numPr>
        <w:ind w:left="720" w:hanging="720"/>
        <w:rPr>
          <w:iCs/>
          <w:color w:val="0066FF"/>
        </w:rPr>
      </w:pPr>
      <w:bookmarkStart w:id="11" w:name="_Ref145426728"/>
      <w:r w:rsidRPr="00933708">
        <w:t xml:space="preserve">In addition, the requested restriction </w:t>
      </w:r>
      <w:r w:rsidR="00FC3E4D" w:rsidRPr="00933708">
        <w:t>does not exclude</w:t>
      </w:r>
      <w:r w:rsidRPr="00933708">
        <w:t xml:space="preserve"> patients with CKD related to lupus nephritis or anti-neutrophil cytoplasmic antibody related vasculitis (excluded from the dapagliflozin restriction) and only requires treatment with an ACE inhibitor or ARB without the requirement to be stabilised on treatment for at least 4 weeks (included in the dapagliflozin restriction).</w:t>
      </w:r>
      <w:bookmarkEnd w:id="11"/>
      <w:r w:rsidR="00F47567" w:rsidRPr="00933708">
        <w:t xml:space="preserve"> </w:t>
      </w:r>
      <w:r w:rsidR="002B232E" w:rsidRPr="00933708">
        <w:rPr>
          <w:iCs/>
        </w:rPr>
        <w:t>The pre-PBAC response indicated the sponsor would accept the same restriction wording as the current dapagliflozin CKD listing should</w:t>
      </w:r>
      <w:r w:rsidR="002B232E" w:rsidRPr="00933708">
        <w:t xml:space="preserve"> </w:t>
      </w:r>
      <w:r w:rsidR="002B232E" w:rsidRPr="00933708">
        <w:rPr>
          <w:iCs/>
        </w:rPr>
        <w:t>the PBAC make a positive recommendation to enable a PBS listing for empagliflozin to proceed for the currently reimbursed CKD population. The response suggested this would enable an alternative SGLT2 inhibitor to be available for patients with a high clinical need for treatment and allow prescribers choice of SGLT2 inhibitor based on individual patient characteristics.</w:t>
      </w:r>
    </w:p>
    <w:p w14:paraId="2F17A08E" w14:textId="77777777" w:rsidR="00356D8C" w:rsidRPr="00933708" w:rsidRDefault="00356D8C" w:rsidP="00356D8C">
      <w:pPr>
        <w:spacing w:after="200" w:line="276" w:lineRule="auto"/>
        <w:ind w:left="709"/>
        <w:rPr>
          <w:rFonts w:asciiTheme="minorHAnsi" w:hAnsiTheme="minorHAnsi" w:cstheme="minorHAnsi"/>
          <w:i/>
        </w:rPr>
      </w:pPr>
      <w:r w:rsidRPr="00933708">
        <w:rPr>
          <w:rFonts w:asciiTheme="minorHAnsi" w:hAnsiTheme="minorHAnsi" w:cstheme="minorHAnsi"/>
          <w:i/>
        </w:rPr>
        <w:t>For more detail on PBAC’s view, see section 7 PBAC outcome</w:t>
      </w:r>
    </w:p>
    <w:p w14:paraId="7075B85C" w14:textId="62A47B7B" w:rsidR="00B50DB8" w:rsidRPr="00933708" w:rsidDel="00195452" w:rsidRDefault="00203181" w:rsidP="004E18E9">
      <w:pPr>
        <w:pStyle w:val="COMH1numbered"/>
      </w:pPr>
      <w:bookmarkStart w:id="12" w:name="_Toc145496433"/>
      <w:r w:rsidRPr="00933708" w:rsidDel="00195452">
        <w:t xml:space="preserve">Population and </w:t>
      </w:r>
      <w:r w:rsidR="008E0D3C" w:rsidRPr="00933708" w:rsidDel="00195452">
        <w:t>d</w:t>
      </w:r>
      <w:r w:rsidRPr="00933708" w:rsidDel="00195452">
        <w:t>isease</w:t>
      </w:r>
      <w:bookmarkEnd w:id="12"/>
    </w:p>
    <w:p w14:paraId="025B0437" w14:textId="3032B72D" w:rsidR="00C94474" w:rsidRPr="00933708" w:rsidDel="00195452" w:rsidRDefault="00C94474" w:rsidP="007C4C88">
      <w:pPr>
        <w:pStyle w:val="ListParagraph"/>
        <w:numPr>
          <w:ilvl w:val="1"/>
          <w:numId w:val="1"/>
        </w:numPr>
        <w:ind w:left="720" w:hanging="720"/>
        <w:rPr>
          <w:color w:val="0066FF"/>
        </w:rPr>
      </w:pPr>
      <w:r w:rsidRPr="00933708">
        <w:t>CKD</w:t>
      </w:r>
      <w:r w:rsidRPr="00933708">
        <w:rPr>
          <w:rFonts w:cstheme="minorHAnsi"/>
        </w:rPr>
        <w:t xml:space="preserve"> </w:t>
      </w:r>
      <w:r w:rsidRPr="00933708">
        <w:rPr>
          <w:rFonts w:cstheme="minorHAnsi"/>
          <w:color w:val="111111"/>
          <w:shd w:val="clear" w:color="auto" w:fill="FFFFFF"/>
        </w:rPr>
        <w:t xml:space="preserve">is characterised by the gradual loss of kidney function over time as a natural consequence of ageing, </w:t>
      </w:r>
      <w:r w:rsidR="00F403CD" w:rsidRPr="00933708">
        <w:rPr>
          <w:rFonts w:cstheme="minorHAnsi"/>
          <w:i/>
          <w:iCs/>
          <w:color w:val="111111"/>
          <w:shd w:val="clear" w:color="auto" w:fill="FFFFFF"/>
        </w:rPr>
        <w:t xml:space="preserve">both </w:t>
      </w:r>
      <w:r w:rsidR="009A2795" w:rsidRPr="00933708">
        <w:rPr>
          <w:rFonts w:cstheme="minorHAnsi"/>
          <w:i/>
          <w:iCs/>
          <w:color w:val="111111"/>
          <w:shd w:val="clear" w:color="auto" w:fill="FFFFFF"/>
        </w:rPr>
        <w:t>reversible and</w:t>
      </w:r>
      <w:r w:rsidR="009A2795" w:rsidRPr="00933708">
        <w:rPr>
          <w:rFonts w:cstheme="minorHAnsi"/>
          <w:color w:val="111111"/>
          <w:shd w:val="clear" w:color="auto" w:fill="FFFFFF"/>
        </w:rPr>
        <w:t xml:space="preserve"> </w:t>
      </w:r>
      <w:r w:rsidRPr="00933708">
        <w:rPr>
          <w:rFonts w:cstheme="minorHAnsi"/>
          <w:color w:val="111111"/>
          <w:shd w:val="clear" w:color="auto" w:fill="FFFFFF"/>
        </w:rPr>
        <w:t>irreversible causes (e.g. diabetic nephropathy, polycystic kidney disease, auto immune disease, recurrent kidney/urinary infection and scarring) and related risk factors (e.g. diabetes, hypertension, cardiovascular disease, obesity, prior acute kidney injury, family history of kidney disease, smoking, age &gt;60 years, Aboriginal and Torres Strait Islander descent; Kidney Health Australia 2020)</w:t>
      </w:r>
      <w:r w:rsidR="00933708">
        <w:rPr>
          <w:rFonts w:cstheme="minorHAnsi"/>
          <w:color w:val="111111"/>
          <w:shd w:val="clear" w:color="auto" w:fill="FFFFFF"/>
        </w:rPr>
        <w:t xml:space="preserve">. </w:t>
      </w:r>
    </w:p>
    <w:p w14:paraId="78BD5E7C" w14:textId="797A4829" w:rsidR="00C94474" w:rsidRPr="00933708" w:rsidRDefault="00C94474" w:rsidP="007C4C88">
      <w:pPr>
        <w:pStyle w:val="ListParagraph"/>
        <w:numPr>
          <w:ilvl w:val="1"/>
          <w:numId w:val="1"/>
        </w:numPr>
        <w:ind w:left="720" w:hanging="720"/>
        <w:rPr>
          <w:color w:val="0066FF"/>
        </w:rPr>
      </w:pPr>
      <w:r w:rsidRPr="00933708">
        <w:rPr>
          <w:rFonts w:cstheme="minorHAnsi"/>
        </w:rPr>
        <w:t xml:space="preserve">CKD </w:t>
      </w:r>
      <w:r w:rsidRPr="00933708">
        <w:rPr>
          <w:rFonts w:cstheme="minorHAnsi"/>
          <w:color w:val="111111"/>
          <w:shd w:val="clear" w:color="auto" w:fill="FFFFFF"/>
        </w:rPr>
        <w:t xml:space="preserve">is defined as having </w:t>
      </w:r>
      <w:r w:rsidRPr="00933708">
        <w:rPr>
          <w:rFonts w:cstheme="minorHAnsi"/>
        </w:rPr>
        <w:t xml:space="preserve">an </w:t>
      </w:r>
      <w:r w:rsidRPr="00933708">
        <w:rPr>
          <w:szCs w:val="18"/>
        </w:rPr>
        <w:t>estimated or measured glomerular filtration rate</w:t>
      </w:r>
      <w:r w:rsidRPr="00933708">
        <w:rPr>
          <w:rFonts w:cstheme="minorHAnsi"/>
        </w:rPr>
        <w:t xml:space="preserve"> (eGFR) of &lt;60 mL/min/1.73 m</w:t>
      </w:r>
      <w:r w:rsidRPr="00933708">
        <w:rPr>
          <w:rFonts w:cstheme="minorHAnsi"/>
          <w:vertAlign w:val="superscript"/>
        </w:rPr>
        <w:t>2</w:t>
      </w:r>
      <w:r w:rsidRPr="00933708">
        <w:rPr>
          <w:rFonts w:cstheme="minorHAnsi"/>
        </w:rPr>
        <w:t xml:space="preserve"> that is present for 3 months or more with or without evidence of kidney damage, and/or evidence of kidney damage (albuminuria, haematuria, </w:t>
      </w:r>
      <w:r w:rsidRPr="00933708">
        <w:rPr>
          <w:rFonts w:cstheme="minorHAnsi"/>
        </w:rPr>
        <w:lastRenderedPageBreak/>
        <w:t>structural abnormalities, pathological abnormalities) with or without a decrease in eGFR, present for 3 month</w:t>
      </w:r>
      <w:r w:rsidR="0059080C" w:rsidRPr="00933708">
        <w:rPr>
          <w:rFonts w:cstheme="minorHAnsi"/>
        </w:rPr>
        <w:t>s</w:t>
      </w:r>
      <w:r w:rsidRPr="00933708">
        <w:rPr>
          <w:rFonts w:cstheme="minorHAnsi"/>
        </w:rPr>
        <w:t>, irrespective of underlying cause (Kidney Health Australia 2020, CKD Management in Primary Care).</w:t>
      </w:r>
    </w:p>
    <w:p w14:paraId="13DEB735" w14:textId="3A2CE956" w:rsidR="00C94474" w:rsidRPr="00933708" w:rsidRDefault="00C94474" w:rsidP="007C4C88">
      <w:pPr>
        <w:pStyle w:val="ListParagraph"/>
        <w:numPr>
          <w:ilvl w:val="1"/>
          <w:numId w:val="1"/>
        </w:numPr>
        <w:ind w:left="720" w:hanging="720"/>
        <w:rPr>
          <w:color w:val="0066FF"/>
        </w:rPr>
      </w:pPr>
      <w:r w:rsidRPr="00933708">
        <w:rPr>
          <w:rFonts w:cstheme="minorHAnsi"/>
        </w:rPr>
        <w:t>The current prevalence of CKD in the Australian population is not known, but available data</w:t>
      </w:r>
      <w:r w:rsidR="00DD0814" w:rsidRPr="00933708">
        <w:rPr>
          <w:rFonts w:cstheme="minorHAnsi"/>
        </w:rPr>
        <w:t xml:space="preserve"> base</w:t>
      </w:r>
      <w:r w:rsidRPr="00933708">
        <w:rPr>
          <w:rFonts w:cstheme="minorHAnsi"/>
        </w:rPr>
        <w:t xml:space="preserve">d on a single biological measurement suggest that approximately one in three Australian adults are at risk of developing CKD, one in ten have early signs of disease and up to 1.7 million may be living with undiagnosed CKD (National Health Measurement Survey NHMS 2011-2012). Approximately 10% of the Australian population with biomedical signs of CKD will be diagnosed, given diagnosis is typically delayed until progression to CKD stage 3-4 disease when symptoms of kidney disease are more apparent (AIHW 2023). The severity of CKD and the risk of progression to </w:t>
      </w:r>
      <w:r w:rsidR="00732238" w:rsidRPr="00933708">
        <w:rPr>
          <w:rFonts w:cstheme="minorHAnsi"/>
        </w:rPr>
        <w:t>Stage 5 CKD</w:t>
      </w:r>
      <w:r w:rsidRPr="00933708">
        <w:rPr>
          <w:rFonts w:cstheme="minorHAnsi"/>
        </w:rPr>
        <w:t xml:space="preserve"> or cardiovascular death can be assessed using the Kidney Disease Improving Global Outcomes (KDIGO) classification of CKD prognosis. </w:t>
      </w:r>
    </w:p>
    <w:p w14:paraId="622735E8" w14:textId="3DCDACFE" w:rsidR="00C94474" w:rsidRPr="00933708" w:rsidRDefault="00C94474" w:rsidP="00C94474">
      <w:pPr>
        <w:pStyle w:val="COMexecsumnumberedpara"/>
        <w:rPr>
          <w:color w:val="0066FF"/>
        </w:rPr>
      </w:pPr>
      <w:r w:rsidRPr="00933708">
        <w:fldChar w:fldCharType="begin"/>
      </w:r>
      <w:r w:rsidRPr="00933708">
        <w:instrText xml:space="preserve"> REF _Ref144719577 \h </w:instrText>
      </w:r>
      <w:r w:rsidRPr="00933708">
        <w:fldChar w:fldCharType="separate"/>
      </w:r>
      <w:r w:rsidR="00D5135E" w:rsidRPr="00933708">
        <w:t xml:space="preserve">Figure </w:t>
      </w:r>
      <w:r w:rsidR="00D5135E">
        <w:rPr>
          <w:noProof/>
        </w:rPr>
        <w:t>1</w:t>
      </w:r>
      <w:r w:rsidRPr="00933708">
        <w:fldChar w:fldCharType="end"/>
      </w:r>
      <w:r w:rsidRPr="00933708">
        <w:t xml:space="preserve"> describes the proposed population in terms of KDIGO risk classification.</w:t>
      </w:r>
    </w:p>
    <w:p w14:paraId="7398493B" w14:textId="30A217CA" w:rsidR="00F456E8" w:rsidRPr="00933708" w:rsidRDefault="00F456E8" w:rsidP="00F456E8">
      <w:pPr>
        <w:pStyle w:val="COMTableheadingrow"/>
        <w:rPr>
          <w:lang w:val="en-AU"/>
        </w:rPr>
      </w:pPr>
      <w:bookmarkStart w:id="13" w:name="_Ref144719577"/>
      <w:r w:rsidRPr="00933708">
        <w:rPr>
          <w:lang w:val="en-AU"/>
        </w:rPr>
        <w:lastRenderedPageBreak/>
        <w:t xml:space="preserve">Figure </w:t>
      </w:r>
      <w:r w:rsidRPr="00933708">
        <w:rPr>
          <w:lang w:val="en-AU"/>
        </w:rPr>
        <w:fldChar w:fldCharType="begin"/>
      </w:r>
      <w:r w:rsidRPr="00933708">
        <w:rPr>
          <w:lang w:val="en-AU"/>
        </w:rPr>
        <w:instrText xml:space="preserve"> SEQ Figure \* ARABIC </w:instrText>
      </w:r>
      <w:r w:rsidRPr="00933708">
        <w:rPr>
          <w:lang w:val="en-AU"/>
        </w:rPr>
        <w:fldChar w:fldCharType="separate"/>
      </w:r>
      <w:r w:rsidR="00D5135E">
        <w:rPr>
          <w:noProof/>
          <w:lang w:val="en-AU"/>
        </w:rPr>
        <w:t>1</w:t>
      </w:r>
      <w:r w:rsidRPr="00933708">
        <w:rPr>
          <w:lang w:val="en-AU"/>
        </w:rPr>
        <w:fldChar w:fldCharType="end"/>
      </w:r>
      <w:bookmarkEnd w:id="13"/>
      <w:r w:rsidRPr="00933708">
        <w:rPr>
          <w:lang w:val="en-AU"/>
        </w:rPr>
        <w:t>: Summary of the proposed PBS populations by KDIGO risk classification</w:t>
      </w:r>
    </w:p>
    <w:p w14:paraId="343E646E" w14:textId="77777777" w:rsidR="00F456E8" w:rsidRPr="00933708" w:rsidRDefault="00F456E8" w:rsidP="00F456E8">
      <w:r w:rsidRPr="00251484">
        <w:rPr>
          <w:noProof/>
        </w:rPr>
        <w:drawing>
          <wp:inline distT="0" distB="0" distL="0" distR="0" wp14:anchorId="4107536D" wp14:editId="20ABBDB9">
            <wp:extent cx="5732145" cy="5353050"/>
            <wp:effectExtent l="0" t="0" r="1905" b="0"/>
            <wp:docPr id="1182064198" name="Picture 1182064198" descr="A chart with different colo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chart with different colored squares&#10;&#10;Description automatically generated"/>
                    <pic:cNvPicPr/>
                  </pic:nvPicPr>
                  <pic:blipFill rotWithShape="1">
                    <a:blip r:embed="rId9"/>
                    <a:srcRect t="2070" b="1000"/>
                    <a:stretch/>
                  </pic:blipFill>
                  <pic:spPr bwMode="auto">
                    <a:xfrm>
                      <a:off x="0" y="0"/>
                      <a:ext cx="5732145" cy="5353050"/>
                    </a:xfrm>
                    <a:prstGeom prst="rect">
                      <a:avLst/>
                    </a:prstGeom>
                    <a:ln>
                      <a:noFill/>
                    </a:ln>
                    <a:extLst>
                      <a:ext uri="{53640926-AAD7-44D8-BBD7-CCE9431645EC}">
                        <a14:shadowObscured xmlns:a14="http://schemas.microsoft.com/office/drawing/2010/main"/>
                      </a:ext>
                    </a:extLst>
                  </pic:spPr>
                </pic:pic>
              </a:graphicData>
            </a:graphic>
          </wp:inline>
        </w:drawing>
      </w:r>
    </w:p>
    <w:p w14:paraId="589F9D83" w14:textId="77777777" w:rsidR="00F456E8" w:rsidRPr="00933708" w:rsidRDefault="00F456E8" w:rsidP="00F456E8">
      <w:pPr>
        <w:pStyle w:val="COMTablefooter"/>
      </w:pPr>
      <w:r w:rsidRPr="00933708">
        <w:t>Source: Figure 1.1, p17 of the submission.</w:t>
      </w:r>
    </w:p>
    <w:p w14:paraId="7E6A845A" w14:textId="77777777" w:rsidR="00F456E8" w:rsidRPr="00933708" w:rsidRDefault="00F456E8" w:rsidP="00F456E8">
      <w:pPr>
        <w:pStyle w:val="COMTablefooter"/>
      </w:pPr>
      <w:r w:rsidRPr="00933708">
        <w:t>Abbreviations: CKD, chronic kidney disease; eGFR, estimated glomerular filtration rate; PBS, Pharmaceutical Benefits Scheme; SC, standard care; UACR, urine albumin to creatinine ratio.</w:t>
      </w:r>
    </w:p>
    <w:p w14:paraId="05464380" w14:textId="576461C3" w:rsidR="00F456E8" w:rsidRPr="00933708" w:rsidRDefault="00F456E8" w:rsidP="00F456E8">
      <w:pPr>
        <w:pStyle w:val="COMTablefooter"/>
      </w:pPr>
      <w:r w:rsidRPr="00933708">
        <w:rPr>
          <w:vertAlign w:val="superscript"/>
        </w:rPr>
        <w:t>a</w:t>
      </w:r>
      <w:r w:rsidRPr="00933708">
        <w:t xml:space="preserve"> Dapagliflozin PBS listing for the treatment of CKD (PBS item 13106T).</w:t>
      </w:r>
    </w:p>
    <w:p w14:paraId="18BAE3BE" w14:textId="1091CD87" w:rsidR="00AF3C01" w:rsidRPr="00933708" w:rsidRDefault="00AF3C01" w:rsidP="007C4C88">
      <w:pPr>
        <w:pStyle w:val="ListParagraph"/>
        <w:numPr>
          <w:ilvl w:val="1"/>
          <w:numId w:val="1"/>
        </w:numPr>
        <w:ind w:left="720" w:hanging="720"/>
        <w:rPr>
          <w:color w:val="0066FF"/>
        </w:rPr>
      </w:pPr>
      <w:r w:rsidRPr="00933708">
        <w:t>The overlap population include</w:t>
      </w:r>
      <w:r w:rsidR="004F1DFE" w:rsidRPr="00933708">
        <w:t>s</w:t>
      </w:r>
      <w:r w:rsidRPr="00933708">
        <w:t xml:space="preserve"> patients enrolled in the EMPA-KIDNEY trial who would be eligible for PBS subsidised treatment with dapagliflozin for CKD (based on baseline eGFR and UACR)</w:t>
      </w:r>
      <w:r w:rsidR="00F93BEA" w:rsidRPr="00933708">
        <w:t xml:space="preserve">. </w:t>
      </w:r>
      <w:r w:rsidR="00F93BEA" w:rsidRPr="00933708">
        <w:rPr>
          <w:iCs/>
        </w:rPr>
        <w:t xml:space="preserve">As per paragraph </w:t>
      </w:r>
      <w:r w:rsidR="00F93BEA" w:rsidRPr="00933708">
        <w:rPr>
          <w:iCs/>
        </w:rPr>
        <w:fldChar w:fldCharType="begin"/>
      </w:r>
      <w:r w:rsidR="00F93BEA" w:rsidRPr="00933708">
        <w:rPr>
          <w:iCs/>
        </w:rPr>
        <w:instrText xml:space="preserve"> REF _Ref145426728 \r \h </w:instrText>
      </w:r>
      <w:r w:rsidR="00F93BEA" w:rsidRPr="00933708">
        <w:rPr>
          <w:iCs/>
        </w:rPr>
      </w:r>
      <w:r w:rsidR="00F93BEA" w:rsidRPr="00933708">
        <w:rPr>
          <w:iCs/>
        </w:rPr>
        <w:fldChar w:fldCharType="separate"/>
      </w:r>
      <w:r w:rsidR="00D5135E">
        <w:rPr>
          <w:iCs/>
        </w:rPr>
        <w:t>3.4</w:t>
      </w:r>
      <w:r w:rsidR="00F93BEA" w:rsidRPr="00933708">
        <w:rPr>
          <w:iCs/>
        </w:rPr>
        <w:fldChar w:fldCharType="end"/>
      </w:r>
      <w:r w:rsidRPr="00933708">
        <w:t>,</w:t>
      </w:r>
      <w:r w:rsidR="00F93BEA" w:rsidRPr="00933708">
        <w:t xml:space="preserve"> </w:t>
      </w:r>
      <w:r w:rsidR="00F93BEA" w:rsidRPr="00933708">
        <w:rPr>
          <w:iCs/>
        </w:rPr>
        <w:t xml:space="preserve">the population </w:t>
      </w:r>
      <w:r w:rsidRPr="00933708">
        <w:t>also include</w:t>
      </w:r>
      <w:r w:rsidR="00B049E9" w:rsidRPr="00933708">
        <w:t>s</w:t>
      </w:r>
      <w:r w:rsidRPr="00933708">
        <w:t xml:space="preserve"> patients not eligible </w:t>
      </w:r>
      <w:r w:rsidR="00B049E9" w:rsidRPr="00933708">
        <w:t xml:space="preserve">for dapagliflozin treatment </w:t>
      </w:r>
      <w:r w:rsidRPr="00933708">
        <w:t>by other criteria (CKD related to lupus nephritis or anti-neutrophil cytoplasmic antibody related vasculitis; prior RAS therapy stabilised over 4 weeks).</w:t>
      </w:r>
      <w:r w:rsidR="00F93BEA" w:rsidRPr="00933708">
        <w:t xml:space="preserve"> </w:t>
      </w:r>
      <w:r w:rsidR="00F93BEA" w:rsidRPr="00933708">
        <w:rPr>
          <w:iCs/>
        </w:rPr>
        <w:t>The ESC considered it would be appropriate to align these aspects of the</w:t>
      </w:r>
      <w:r w:rsidR="003C7E84" w:rsidRPr="00933708">
        <w:rPr>
          <w:iCs/>
        </w:rPr>
        <w:t xml:space="preserve"> dapagliflozin and empagliflozin</w:t>
      </w:r>
      <w:r w:rsidR="00F93BEA" w:rsidRPr="00933708">
        <w:rPr>
          <w:iCs/>
        </w:rPr>
        <w:t xml:space="preserve"> restrictions.</w:t>
      </w:r>
      <w:r w:rsidRPr="00933708">
        <w:t xml:space="preserve"> </w:t>
      </w:r>
    </w:p>
    <w:p w14:paraId="54BFBC39" w14:textId="30886A5B" w:rsidR="00AF3C01" w:rsidRPr="00933708" w:rsidRDefault="00AF3C01" w:rsidP="007C4C88">
      <w:pPr>
        <w:pStyle w:val="ListParagraph"/>
        <w:numPr>
          <w:ilvl w:val="1"/>
          <w:numId w:val="1"/>
        </w:numPr>
        <w:ind w:left="720" w:hanging="720"/>
        <w:rPr>
          <w:color w:val="0066FF"/>
        </w:rPr>
      </w:pPr>
      <w:r w:rsidRPr="00933708">
        <w:t>The incremental population include</w:t>
      </w:r>
      <w:r w:rsidR="004F1DFE" w:rsidRPr="00933708">
        <w:t>s</w:t>
      </w:r>
      <w:r w:rsidRPr="00933708">
        <w:t xml:space="preserve"> a broad amalgam of patients with substantially variable eGFR and UACR characteristics, and baseline risk of CKD progression. The </w:t>
      </w:r>
      <w:r w:rsidRPr="00933708">
        <w:lastRenderedPageBreak/>
        <w:t>incremental population was not sufficiently homogenous to be considered suitable for reliable subgroup analyses</w:t>
      </w:r>
      <w:r w:rsidR="002D24DC" w:rsidRPr="00933708">
        <w:t xml:space="preserve"> (see paras </w:t>
      </w:r>
      <w:r w:rsidR="002D24DC" w:rsidRPr="00933708">
        <w:fldChar w:fldCharType="begin"/>
      </w:r>
      <w:r w:rsidR="002D24DC" w:rsidRPr="00933708">
        <w:instrText xml:space="preserve"> REF _Ref145318215 \r \h  \* MERGEFORMAT </w:instrText>
      </w:r>
      <w:r w:rsidR="002D24DC" w:rsidRPr="00933708">
        <w:fldChar w:fldCharType="separate"/>
      </w:r>
      <w:r w:rsidR="00D5135E">
        <w:t>6.25</w:t>
      </w:r>
      <w:r w:rsidR="002D24DC" w:rsidRPr="00933708">
        <w:fldChar w:fldCharType="end"/>
      </w:r>
      <w:r w:rsidR="002D24DC" w:rsidRPr="00933708">
        <w:t xml:space="preserve"> to </w:t>
      </w:r>
      <w:r w:rsidR="002D24DC" w:rsidRPr="00933708">
        <w:fldChar w:fldCharType="begin"/>
      </w:r>
      <w:r w:rsidR="002D24DC" w:rsidRPr="00933708">
        <w:instrText xml:space="preserve"> REF _Ref145318228 \r \h  \* MERGEFORMAT </w:instrText>
      </w:r>
      <w:r w:rsidR="002D24DC" w:rsidRPr="00933708">
        <w:fldChar w:fldCharType="separate"/>
      </w:r>
      <w:r w:rsidR="00D5135E">
        <w:t>6.30</w:t>
      </w:r>
      <w:r w:rsidR="002D24DC" w:rsidRPr="00933708">
        <w:fldChar w:fldCharType="end"/>
      </w:r>
      <w:r w:rsidR="002D24DC" w:rsidRPr="00933708">
        <w:t xml:space="preserve"> below)</w:t>
      </w:r>
      <w:r w:rsidRPr="00933708">
        <w:t>.</w:t>
      </w:r>
    </w:p>
    <w:p w14:paraId="5AA4CC7E" w14:textId="45728E32" w:rsidR="00AF3C01" w:rsidRPr="00933708" w:rsidRDefault="00AF3C01" w:rsidP="007C4C88">
      <w:pPr>
        <w:pStyle w:val="ListParagraph"/>
        <w:numPr>
          <w:ilvl w:val="1"/>
          <w:numId w:val="1"/>
        </w:numPr>
        <w:ind w:left="720" w:hanging="720"/>
        <w:rPr>
          <w:color w:val="0066FF"/>
        </w:rPr>
      </w:pPr>
      <w:r w:rsidRPr="00933708">
        <w:t xml:space="preserve">Empagliflozin is a selective sodium-glucose co-transporter-2 </w:t>
      </w:r>
      <w:r w:rsidR="00B34034" w:rsidRPr="00933708">
        <w:t xml:space="preserve">(SGLT2) </w:t>
      </w:r>
      <w:r w:rsidRPr="00933708">
        <w:t xml:space="preserve">inhibitor widely used for the treatment of adults with </w:t>
      </w:r>
      <w:r w:rsidR="007C094E">
        <w:t>T2DM</w:t>
      </w:r>
      <w:r w:rsidRPr="00251484">
        <w:rPr>
          <w:rFonts w:cstheme="minorHAnsi"/>
        </w:rPr>
        <w:t>. T</w:t>
      </w:r>
      <w:r w:rsidRPr="00251484">
        <w:t xml:space="preserve">he precise mechanisms of action underlying the protective cardiovascular and renal effects of empagliflozin are not completely understood, but </w:t>
      </w:r>
      <w:r w:rsidRPr="00933708">
        <w:t>several</w:t>
      </w:r>
      <w:r w:rsidRPr="00251484">
        <w:t xml:space="preserve"> mechanisms of action have been proposed for SGLT2</w:t>
      </w:r>
      <w:r w:rsidR="00B34034" w:rsidRPr="00251484">
        <w:t xml:space="preserve"> </w:t>
      </w:r>
      <w:r w:rsidRPr="00251484">
        <w:t>i</w:t>
      </w:r>
      <w:r w:rsidR="00B34034" w:rsidRPr="00251484">
        <w:t>nhibitors</w:t>
      </w:r>
      <w:r w:rsidRPr="00251484">
        <w:t xml:space="preserve"> (</w:t>
      </w:r>
      <w:proofErr w:type="spellStart"/>
      <w:r w:rsidRPr="00251484">
        <w:t>Seferovic</w:t>
      </w:r>
      <w:proofErr w:type="spellEnd"/>
      <w:r w:rsidRPr="00251484">
        <w:t xml:space="preserve"> et al. 2020; Figure 1.1.3, Attachment 1 of the commentary), </w:t>
      </w:r>
      <w:r w:rsidRPr="00933708">
        <w:t xml:space="preserve">and these actions are thought to be independent of the glycaemic effects of SGLT2 inhibitors. </w:t>
      </w:r>
    </w:p>
    <w:p w14:paraId="7F45EC4A" w14:textId="7F740E9F" w:rsidR="00AF3C01" w:rsidRPr="00933708" w:rsidRDefault="00AF3C01" w:rsidP="007C4C88">
      <w:pPr>
        <w:pStyle w:val="ListParagraph"/>
        <w:numPr>
          <w:ilvl w:val="1"/>
          <w:numId w:val="1"/>
        </w:numPr>
        <w:ind w:left="720" w:hanging="720"/>
      </w:pPr>
      <w:r w:rsidRPr="00933708">
        <w:t xml:space="preserve">The recommended dose of empagliflozin for the treatment of CKD is empagliflozin 10 mg orally, once daily, adjunctive to standard care (including treatment with an ACE inhibitor or ARB). The empagliflozin 25 mg strength was not requested in the submission, as both empagliflozin dose strengths were found to be equally effective in patients with </w:t>
      </w:r>
      <w:r w:rsidR="007C094E">
        <w:t>T2DM</w:t>
      </w:r>
      <w:r w:rsidRPr="00933708">
        <w:t xml:space="preserve"> in slowing eGFR decline in subgroup analyses conducted for the EMPA-REG OUTCOME trial.</w:t>
      </w:r>
    </w:p>
    <w:p w14:paraId="26E6EA1E" w14:textId="016B5487" w:rsidR="00AF3C01" w:rsidRPr="00933708" w:rsidRDefault="00AF3C01" w:rsidP="007C4C88">
      <w:pPr>
        <w:pStyle w:val="ListParagraph"/>
        <w:numPr>
          <w:ilvl w:val="1"/>
          <w:numId w:val="1"/>
        </w:numPr>
        <w:ind w:left="720" w:hanging="720"/>
      </w:pPr>
      <w:r w:rsidRPr="00933708">
        <w:t>The proposed clinical management algorithm positions empagliflozin as an adjunctive therapy to standard care with an ACE inhibitor or ARB, as an alternative SGLT2</w:t>
      </w:r>
      <w:r w:rsidR="003A09B4" w:rsidRPr="00933708">
        <w:t xml:space="preserve"> </w:t>
      </w:r>
      <w:r w:rsidRPr="00933708">
        <w:t>i</w:t>
      </w:r>
      <w:r w:rsidR="003A09B4" w:rsidRPr="00933708">
        <w:t>nhibitor</w:t>
      </w:r>
      <w:r w:rsidRPr="00933708">
        <w:t xml:space="preserve"> to dapagliflozin, and as an SGLT2 inhibitor treatment option for patients in a broader CKD population not eligible for PBS subsidised dapagliflozin.</w:t>
      </w:r>
    </w:p>
    <w:p w14:paraId="19943CE6" w14:textId="77777777" w:rsidR="008C1FA8" w:rsidRPr="00933708" w:rsidRDefault="00AF3C01" w:rsidP="007C4C88">
      <w:pPr>
        <w:pStyle w:val="ListParagraph"/>
        <w:numPr>
          <w:ilvl w:val="1"/>
          <w:numId w:val="1"/>
        </w:numPr>
        <w:ind w:left="720" w:hanging="720"/>
      </w:pPr>
      <w:r w:rsidRPr="00933708">
        <w:t>The NPS MedicineWise practice guideline criteria for use of SGLT2 inhibitor medicines in CKD (2022), and UK Kidney Association Clinical Practice Guidelines (2021) are derived from the inclusion criteria of the key dapagliflozin clinical trial (DAPA-CKD) and are consistent with the similarly derived dapagliflozin PBS listing and dapagliflozin Product Information.</w:t>
      </w:r>
    </w:p>
    <w:p w14:paraId="03B05160" w14:textId="23A8DA52" w:rsidR="00AF3C01" w:rsidRPr="00933708" w:rsidDel="00195452" w:rsidRDefault="008C1FA8" w:rsidP="007C4C88">
      <w:pPr>
        <w:pStyle w:val="ListParagraph"/>
        <w:numPr>
          <w:ilvl w:val="1"/>
          <w:numId w:val="1"/>
        </w:numPr>
        <w:ind w:left="720" w:hanging="720"/>
      </w:pPr>
      <w:bookmarkStart w:id="14" w:name="_Ref150849245"/>
      <w:r w:rsidRPr="00933708">
        <w:t>A recent meta-analysis of the use of SGLT2 inhibitors for the treatment of kidney outcomes supported a class effect of SGLT2 inhibitors in reducing the risk of kidney disease progression, acute kidney injury, cardiovascular death, and hospitalisation for heart failure in patients with CKD (Nuffield et al. 2022).</w:t>
      </w:r>
      <w:bookmarkEnd w:id="14"/>
    </w:p>
    <w:p w14:paraId="51E5AE96" w14:textId="136A63B1" w:rsidR="00B50DB8" w:rsidRPr="00933708" w:rsidRDefault="00B50DB8" w:rsidP="004E18E9">
      <w:pPr>
        <w:pStyle w:val="COMH1numbered"/>
      </w:pPr>
      <w:bookmarkStart w:id="15" w:name="_Toc145496434"/>
      <w:r w:rsidRPr="00933708">
        <w:t>Comparator</w:t>
      </w:r>
      <w:bookmarkEnd w:id="15"/>
    </w:p>
    <w:p w14:paraId="10632A47" w14:textId="030CF9A0" w:rsidR="00126779" w:rsidRPr="00933708" w:rsidRDefault="00126779" w:rsidP="007C4C88">
      <w:pPr>
        <w:pStyle w:val="ListParagraph"/>
        <w:numPr>
          <w:ilvl w:val="1"/>
          <w:numId w:val="1"/>
        </w:numPr>
        <w:ind w:left="720" w:hanging="720"/>
        <w:rPr>
          <w:snapToGrid/>
        </w:rPr>
      </w:pPr>
      <w:r w:rsidRPr="00933708">
        <w:t xml:space="preserve">The submission nominated dapagliflozin (add-on to standard care) and placebo (add-on to standard care) as the main comparators. </w:t>
      </w:r>
      <w:r w:rsidRPr="00933708">
        <w:rPr>
          <w:rFonts w:eastAsia="Cambria" w:cstheme="minorHAnsi"/>
          <w:bCs/>
          <w:szCs w:val="22"/>
        </w:rPr>
        <w:t>The submission argued that dapagliflozin is the appropriate comparator for the overlap population of CKD patients eligible for PBS subsidised dapagliflozin (</w:t>
      </w:r>
      <w:r w:rsidRPr="00933708">
        <w:t xml:space="preserve">CKD </w:t>
      </w:r>
      <w:r w:rsidRPr="00933708">
        <w:rPr>
          <w:rFonts w:eastAsia="Cambria" w:cstheme="minorHAnsi"/>
          <w:bCs/>
          <w:szCs w:val="22"/>
        </w:rPr>
        <w:t>with an eGFR of ≥25 to ≤75</w:t>
      </w:r>
      <w:r w:rsidR="008E3DC4" w:rsidRPr="00933708">
        <w:rPr>
          <w:rFonts w:eastAsia="Cambria" w:cstheme="minorHAnsi"/>
          <w:bCs/>
          <w:szCs w:val="22"/>
        </w:rPr>
        <w:t> </w:t>
      </w:r>
      <w:r w:rsidRPr="00933708">
        <w:rPr>
          <w:rFonts w:eastAsia="Cambria" w:cstheme="minorHAnsi"/>
          <w:bCs/>
          <w:szCs w:val="22"/>
        </w:rPr>
        <w:t>mL/min/1.73</w:t>
      </w:r>
      <w:r w:rsidR="008E3DC4" w:rsidRPr="00933708">
        <w:rPr>
          <w:rFonts w:eastAsia="Cambria" w:cstheme="minorHAnsi"/>
          <w:bCs/>
          <w:szCs w:val="22"/>
        </w:rPr>
        <w:t> </w:t>
      </w:r>
      <w:r w:rsidRPr="00933708">
        <w:rPr>
          <w:rFonts w:eastAsia="Cambria" w:cstheme="minorHAnsi"/>
          <w:bCs/>
          <w:szCs w:val="22"/>
        </w:rPr>
        <w:t>m² and a UACR of ≥200 to ≤5,000 mg/g)</w:t>
      </w:r>
      <w:r w:rsidRPr="00933708">
        <w:t xml:space="preserve">. For other patients eligible for treatment with empagliflozin, the incremental population, placebo is the appropriate comparator (see </w:t>
      </w:r>
      <w:r w:rsidRPr="00933708">
        <w:fldChar w:fldCharType="begin"/>
      </w:r>
      <w:r w:rsidRPr="00933708">
        <w:instrText xml:space="preserve"> REF _Ref144719501 \h </w:instrText>
      </w:r>
      <w:r w:rsidRPr="00933708">
        <w:fldChar w:fldCharType="separate"/>
      </w:r>
      <w:r w:rsidR="00D5135E" w:rsidRPr="00933708">
        <w:t xml:space="preserve">Table </w:t>
      </w:r>
      <w:r w:rsidR="00D5135E">
        <w:rPr>
          <w:noProof/>
        </w:rPr>
        <w:t>2</w:t>
      </w:r>
      <w:r w:rsidRPr="00933708">
        <w:fldChar w:fldCharType="end"/>
      </w:r>
      <w:r w:rsidRPr="00933708">
        <w:t xml:space="preserve"> below).</w:t>
      </w:r>
    </w:p>
    <w:p w14:paraId="16D8D4F0" w14:textId="071A96A6" w:rsidR="006A7B9A" w:rsidRPr="00933708" w:rsidRDefault="006A7B9A" w:rsidP="006A7B9A">
      <w:pPr>
        <w:pStyle w:val="COMTableheadingrow"/>
        <w:rPr>
          <w:lang w:val="en-AU"/>
        </w:rPr>
      </w:pPr>
      <w:bookmarkStart w:id="16" w:name="_Ref144719501"/>
      <w:r w:rsidRPr="00933708">
        <w:rPr>
          <w:lang w:val="en-AU"/>
        </w:rPr>
        <w:lastRenderedPageBreak/>
        <w:t xml:space="preserve">Table </w:t>
      </w:r>
      <w:r w:rsidRPr="00251484">
        <w:rPr>
          <w:lang w:val="en-AU"/>
        </w:rPr>
        <w:fldChar w:fldCharType="begin"/>
      </w:r>
      <w:r w:rsidRPr="00933708">
        <w:rPr>
          <w:lang w:val="en-AU"/>
        </w:rPr>
        <w:instrText xml:space="preserve"> SEQ Table \* ARABIC </w:instrText>
      </w:r>
      <w:r w:rsidRPr="00251484">
        <w:rPr>
          <w:lang w:val="en-AU"/>
        </w:rPr>
        <w:fldChar w:fldCharType="separate"/>
      </w:r>
      <w:r w:rsidR="00D5135E">
        <w:rPr>
          <w:noProof/>
          <w:lang w:val="en-AU"/>
        </w:rPr>
        <w:t>2</w:t>
      </w:r>
      <w:r w:rsidRPr="00251484">
        <w:rPr>
          <w:lang w:val="en-AU"/>
        </w:rPr>
        <w:fldChar w:fldCharType="end"/>
      </w:r>
      <w:bookmarkEnd w:id="16"/>
      <w:r w:rsidRPr="00933708">
        <w:rPr>
          <w:lang w:val="en-AU"/>
        </w:rPr>
        <w:t xml:space="preserve">: Proposed comparators for the PBS populations </w:t>
      </w:r>
    </w:p>
    <w:tbl>
      <w:tblPr>
        <w:tblStyle w:val="Summarybox1"/>
        <w:tblW w:w="5000" w:type="pct"/>
        <w:tblLayout w:type="fixed"/>
        <w:tblCellMar>
          <w:left w:w="28" w:type="dxa"/>
          <w:right w:w="28" w:type="dxa"/>
        </w:tblCellMar>
        <w:tblLook w:val="04A0" w:firstRow="1" w:lastRow="0" w:firstColumn="1" w:lastColumn="0" w:noHBand="0" w:noVBand="1"/>
      </w:tblPr>
      <w:tblGrid>
        <w:gridCol w:w="1969"/>
        <w:gridCol w:w="4689"/>
        <w:gridCol w:w="2359"/>
      </w:tblGrid>
      <w:tr w:rsidR="006A7B9A" w:rsidRPr="00933708" w14:paraId="2CEFF021" w14:textId="77777777" w:rsidTr="006A333E">
        <w:tc>
          <w:tcPr>
            <w:tcW w:w="1969" w:type="dxa"/>
            <w:shd w:val="clear" w:color="auto" w:fill="auto"/>
          </w:tcPr>
          <w:p w14:paraId="176DC48C" w14:textId="77777777" w:rsidR="006A7B9A" w:rsidRPr="00933708" w:rsidRDefault="006A7B9A" w:rsidP="006A7B9A">
            <w:pPr>
              <w:pStyle w:val="COMTabletext"/>
              <w:jc w:val="left"/>
              <w:rPr>
                <w:b/>
                <w:bCs w:val="0"/>
              </w:rPr>
            </w:pPr>
            <w:r w:rsidRPr="00933708">
              <w:rPr>
                <w:b/>
                <w:bCs w:val="0"/>
              </w:rPr>
              <w:t xml:space="preserve">Population ID </w:t>
            </w:r>
          </w:p>
        </w:tc>
        <w:tc>
          <w:tcPr>
            <w:tcW w:w="4689" w:type="dxa"/>
            <w:shd w:val="clear" w:color="auto" w:fill="auto"/>
          </w:tcPr>
          <w:p w14:paraId="6919DBAA" w14:textId="77777777" w:rsidR="006A7B9A" w:rsidRPr="00933708" w:rsidRDefault="006A7B9A" w:rsidP="006A7B9A">
            <w:pPr>
              <w:pStyle w:val="COMTabletext"/>
              <w:jc w:val="left"/>
              <w:rPr>
                <w:b/>
                <w:bCs w:val="0"/>
              </w:rPr>
            </w:pPr>
            <w:r w:rsidRPr="00933708">
              <w:rPr>
                <w:b/>
                <w:bCs w:val="0"/>
              </w:rPr>
              <w:t>Population criteria</w:t>
            </w:r>
          </w:p>
        </w:tc>
        <w:tc>
          <w:tcPr>
            <w:tcW w:w="2359" w:type="dxa"/>
            <w:shd w:val="clear" w:color="auto" w:fill="auto"/>
          </w:tcPr>
          <w:p w14:paraId="200CFA6D" w14:textId="77777777" w:rsidR="006A7B9A" w:rsidRPr="00933708" w:rsidRDefault="006A7B9A" w:rsidP="006A7B9A">
            <w:pPr>
              <w:pStyle w:val="COMTabletext"/>
              <w:jc w:val="left"/>
              <w:rPr>
                <w:b/>
                <w:bCs w:val="0"/>
                <w:vertAlign w:val="superscript"/>
              </w:rPr>
            </w:pPr>
            <w:proofErr w:type="spellStart"/>
            <w:r w:rsidRPr="00933708">
              <w:rPr>
                <w:b/>
                <w:bCs w:val="0"/>
              </w:rPr>
              <w:t>Comparators</w:t>
            </w:r>
            <w:r w:rsidRPr="00933708">
              <w:rPr>
                <w:b/>
                <w:bCs w:val="0"/>
                <w:vertAlign w:val="superscript"/>
              </w:rPr>
              <w:t>a</w:t>
            </w:r>
            <w:proofErr w:type="spellEnd"/>
          </w:p>
        </w:tc>
      </w:tr>
      <w:tr w:rsidR="006A7B9A" w:rsidRPr="00933708" w14:paraId="4BB734E6" w14:textId="77777777" w:rsidTr="006A333E">
        <w:tc>
          <w:tcPr>
            <w:tcW w:w="1969" w:type="dxa"/>
            <w:shd w:val="clear" w:color="auto" w:fill="auto"/>
            <w:vAlign w:val="center"/>
          </w:tcPr>
          <w:p w14:paraId="0BDBF53D" w14:textId="77777777" w:rsidR="006A7B9A" w:rsidRPr="00933708" w:rsidRDefault="006A7B9A" w:rsidP="006A7B9A">
            <w:pPr>
              <w:pStyle w:val="COMTabletext"/>
              <w:jc w:val="left"/>
            </w:pPr>
            <w:r w:rsidRPr="00933708">
              <w:t xml:space="preserve">Overlap </w:t>
            </w:r>
            <w:proofErr w:type="spellStart"/>
            <w:r w:rsidRPr="00933708">
              <w:t>population</w:t>
            </w:r>
            <w:r w:rsidRPr="00933708">
              <w:rPr>
                <w:vertAlign w:val="superscript"/>
              </w:rPr>
              <w:t>b</w:t>
            </w:r>
            <w:proofErr w:type="spellEnd"/>
          </w:p>
        </w:tc>
        <w:tc>
          <w:tcPr>
            <w:tcW w:w="4689" w:type="dxa"/>
            <w:shd w:val="clear" w:color="auto" w:fill="auto"/>
            <w:vAlign w:val="center"/>
          </w:tcPr>
          <w:p w14:paraId="105BD112" w14:textId="77777777" w:rsidR="006A7B9A" w:rsidRPr="00933708" w:rsidRDefault="006A7B9A" w:rsidP="00461569">
            <w:pPr>
              <w:pStyle w:val="TableText"/>
              <w:keepNext w:val="0"/>
              <w:numPr>
                <w:ilvl w:val="0"/>
                <w:numId w:val="10"/>
              </w:numPr>
              <w:ind w:left="113" w:hanging="113"/>
              <w:jc w:val="left"/>
            </w:pPr>
            <w:r w:rsidRPr="00933708">
              <w:t>eGFR 25 to 75 mL/min/1.73m</w:t>
            </w:r>
            <w:r w:rsidRPr="00933708">
              <w:rPr>
                <w:vertAlign w:val="superscript"/>
              </w:rPr>
              <w:t>2</w:t>
            </w:r>
            <w:r w:rsidRPr="00933708">
              <w:t xml:space="preserve"> with UACR 200 to 5,000 mg/g.</w:t>
            </w:r>
          </w:p>
        </w:tc>
        <w:tc>
          <w:tcPr>
            <w:tcW w:w="2359" w:type="dxa"/>
            <w:shd w:val="clear" w:color="auto" w:fill="auto"/>
            <w:vAlign w:val="center"/>
          </w:tcPr>
          <w:p w14:paraId="2D7063F3" w14:textId="5A99EED8" w:rsidR="006A7B9A" w:rsidRPr="00933708" w:rsidRDefault="006A7B9A" w:rsidP="006A7B9A">
            <w:pPr>
              <w:pStyle w:val="COMTabletext"/>
              <w:jc w:val="left"/>
            </w:pPr>
            <w:r w:rsidRPr="00933708">
              <w:t>Dapagliflozin (add-on to SC)</w:t>
            </w:r>
            <w:r w:rsidR="00674988" w:rsidRPr="00933708">
              <w:t>.</w:t>
            </w:r>
          </w:p>
        </w:tc>
      </w:tr>
      <w:tr w:rsidR="006A7B9A" w:rsidRPr="00933708" w14:paraId="256D8874" w14:textId="77777777" w:rsidTr="006A333E">
        <w:tc>
          <w:tcPr>
            <w:tcW w:w="1969" w:type="dxa"/>
            <w:shd w:val="clear" w:color="auto" w:fill="auto"/>
            <w:vAlign w:val="center"/>
          </w:tcPr>
          <w:p w14:paraId="4E752A4E" w14:textId="77777777" w:rsidR="006A7B9A" w:rsidRPr="00933708" w:rsidRDefault="006A7B9A" w:rsidP="006A7B9A">
            <w:pPr>
              <w:pStyle w:val="COMTabletext"/>
              <w:jc w:val="left"/>
              <w:rPr>
                <w:vertAlign w:val="superscript"/>
              </w:rPr>
            </w:pPr>
            <w:r w:rsidRPr="00933708">
              <w:t xml:space="preserve">Incremental </w:t>
            </w:r>
            <w:proofErr w:type="spellStart"/>
            <w:r w:rsidRPr="00933708">
              <w:t>population</w:t>
            </w:r>
            <w:r w:rsidRPr="00933708">
              <w:rPr>
                <w:vertAlign w:val="superscript"/>
              </w:rPr>
              <w:t>c</w:t>
            </w:r>
            <w:proofErr w:type="spellEnd"/>
          </w:p>
        </w:tc>
        <w:tc>
          <w:tcPr>
            <w:tcW w:w="4689" w:type="dxa"/>
            <w:shd w:val="clear" w:color="auto" w:fill="auto"/>
            <w:vAlign w:val="center"/>
          </w:tcPr>
          <w:p w14:paraId="7FE4C880" w14:textId="77777777" w:rsidR="006A7B9A" w:rsidRPr="00933708" w:rsidRDefault="006A7B9A" w:rsidP="00461569">
            <w:pPr>
              <w:pStyle w:val="TableText"/>
              <w:keepNext w:val="0"/>
              <w:numPr>
                <w:ilvl w:val="0"/>
                <w:numId w:val="10"/>
              </w:numPr>
              <w:ind w:left="113" w:hanging="113"/>
              <w:jc w:val="left"/>
            </w:pPr>
            <w:bookmarkStart w:id="17" w:name="_Hlk144748682"/>
            <w:r w:rsidRPr="00933708">
              <w:t>eGFR 75 to &lt;90 mL/min/1.73m</w:t>
            </w:r>
            <w:r w:rsidRPr="00933708">
              <w:rPr>
                <w:vertAlign w:val="superscript"/>
              </w:rPr>
              <w:t>2</w:t>
            </w:r>
            <w:r w:rsidRPr="00933708">
              <w:t xml:space="preserve"> with UACR ≥200 mg/g.</w:t>
            </w:r>
          </w:p>
          <w:p w14:paraId="06ECD25C" w14:textId="77777777" w:rsidR="006A7B9A" w:rsidRPr="00933708" w:rsidRDefault="006A7B9A" w:rsidP="00461569">
            <w:pPr>
              <w:pStyle w:val="TableText"/>
              <w:keepNext w:val="0"/>
              <w:numPr>
                <w:ilvl w:val="0"/>
                <w:numId w:val="10"/>
              </w:numPr>
              <w:ind w:left="113" w:hanging="113"/>
              <w:jc w:val="left"/>
            </w:pPr>
            <w:r w:rsidRPr="00933708">
              <w:t>eGFR 25 to 75 mL/min/1.73m</w:t>
            </w:r>
            <w:r w:rsidRPr="00933708">
              <w:rPr>
                <w:vertAlign w:val="superscript"/>
              </w:rPr>
              <w:t>2</w:t>
            </w:r>
            <w:r w:rsidRPr="00933708">
              <w:t xml:space="preserve"> with UACR &gt;5,000 mg/g.</w:t>
            </w:r>
          </w:p>
          <w:p w14:paraId="464ED0A3" w14:textId="77777777" w:rsidR="006A7B9A" w:rsidRPr="00933708" w:rsidRDefault="006A7B9A" w:rsidP="00461569">
            <w:pPr>
              <w:pStyle w:val="TableText"/>
              <w:keepNext w:val="0"/>
              <w:numPr>
                <w:ilvl w:val="0"/>
                <w:numId w:val="10"/>
              </w:numPr>
              <w:ind w:left="113" w:hanging="113"/>
              <w:jc w:val="left"/>
            </w:pPr>
            <w:r w:rsidRPr="00933708">
              <w:t>eGFR 25 to &lt;45 mL/min/1.73m</w:t>
            </w:r>
            <w:r w:rsidRPr="00933708">
              <w:rPr>
                <w:vertAlign w:val="superscript"/>
              </w:rPr>
              <w:t>2</w:t>
            </w:r>
            <w:r w:rsidRPr="00933708">
              <w:t xml:space="preserve"> with UACR &lt;200 mg/g.</w:t>
            </w:r>
          </w:p>
          <w:p w14:paraId="58A6E66A" w14:textId="633B75B5" w:rsidR="006A7B9A" w:rsidRPr="00933708" w:rsidRDefault="006A7B9A" w:rsidP="00461569">
            <w:pPr>
              <w:pStyle w:val="TableText"/>
              <w:keepNext w:val="0"/>
              <w:numPr>
                <w:ilvl w:val="0"/>
                <w:numId w:val="10"/>
              </w:numPr>
              <w:ind w:left="113" w:hanging="113"/>
              <w:jc w:val="left"/>
            </w:pPr>
            <w:r w:rsidRPr="00933708">
              <w:t>eGFR 20 to &lt;25 mL/min/1.73m</w:t>
            </w:r>
            <w:r w:rsidRPr="00933708">
              <w:rPr>
                <w:vertAlign w:val="superscript"/>
              </w:rPr>
              <w:t>2</w:t>
            </w:r>
            <w:r w:rsidRPr="00933708">
              <w:t xml:space="preserve"> regardless of UACR.</w:t>
            </w:r>
            <w:bookmarkEnd w:id="17"/>
          </w:p>
        </w:tc>
        <w:tc>
          <w:tcPr>
            <w:tcW w:w="2359" w:type="dxa"/>
            <w:shd w:val="clear" w:color="auto" w:fill="auto"/>
            <w:vAlign w:val="center"/>
          </w:tcPr>
          <w:p w14:paraId="15E24B40" w14:textId="77777777" w:rsidR="006A7B9A" w:rsidRPr="00933708" w:rsidRDefault="006A7B9A" w:rsidP="006A7B9A">
            <w:pPr>
              <w:pStyle w:val="COMTabletext"/>
            </w:pPr>
            <w:r w:rsidRPr="00933708">
              <w:t>Placebo (add-on to SC).</w:t>
            </w:r>
          </w:p>
        </w:tc>
      </w:tr>
    </w:tbl>
    <w:p w14:paraId="76189870" w14:textId="77777777" w:rsidR="006A7B9A" w:rsidRPr="00933708" w:rsidRDefault="006A7B9A" w:rsidP="006A7B9A">
      <w:pPr>
        <w:pStyle w:val="COMTablefooter"/>
      </w:pPr>
      <w:r w:rsidRPr="00933708">
        <w:t>Source: Table 1.1, p18 of the submission.</w:t>
      </w:r>
    </w:p>
    <w:p w14:paraId="289CF9C6" w14:textId="77777777" w:rsidR="006A7B9A" w:rsidRPr="00933708" w:rsidRDefault="006A7B9A" w:rsidP="006A7B9A">
      <w:pPr>
        <w:pStyle w:val="COMTablefooter"/>
      </w:pPr>
      <w:r w:rsidRPr="00933708">
        <w:t>Abbreviations: ACEi, angiotensin-converting enzyme inhibitor; ARB, angiotensin II receptor blocker; eGFR, estimated glomerular filtration rate; ITT, intention-to-treat; SC, standard care; UACR, urine albumin to creatinine ratio.</w:t>
      </w:r>
    </w:p>
    <w:p w14:paraId="2926E8CA" w14:textId="77777777" w:rsidR="006A7B9A" w:rsidRPr="00933708" w:rsidRDefault="006A7B9A" w:rsidP="006A7B9A">
      <w:pPr>
        <w:pStyle w:val="COMTablefooter"/>
      </w:pPr>
      <w:r w:rsidRPr="00933708">
        <w:rPr>
          <w:vertAlign w:val="superscript"/>
        </w:rPr>
        <w:t>a</w:t>
      </w:r>
      <w:r w:rsidRPr="00933708">
        <w:t xml:space="preserve"> Standard care consists of treatment with either an ACEi or an ARB.</w:t>
      </w:r>
    </w:p>
    <w:p w14:paraId="54BD4847" w14:textId="77777777" w:rsidR="006A7B9A" w:rsidRPr="00933708" w:rsidRDefault="006A7B9A" w:rsidP="006A7B9A">
      <w:pPr>
        <w:pStyle w:val="COMTablefooter"/>
      </w:pPr>
      <w:r w:rsidRPr="00933708">
        <w:rPr>
          <w:vertAlign w:val="superscript"/>
        </w:rPr>
        <w:t>b</w:t>
      </w:r>
      <w:r w:rsidRPr="00933708">
        <w:t xml:space="preserve"> Based on the biomedical criteria of the Dapagliflozin PBS listing for the treatment of CKD (PBS item 13106T). </w:t>
      </w:r>
    </w:p>
    <w:p w14:paraId="7C8A9CC9" w14:textId="77777777" w:rsidR="006A7B9A" w:rsidRPr="00933708" w:rsidRDefault="006A7B9A" w:rsidP="006A7B9A">
      <w:pPr>
        <w:pStyle w:val="COMTablefooter"/>
      </w:pPr>
      <w:r w:rsidRPr="00933708">
        <w:rPr>
          <w:vertAlign w:val="superscript"/>
        </w:rPr>
        <w:t>c</w:t>
      </w:r>
      <w:r w:rsidRPr="00933708">
        <w:t xml:space="preserve"> An amalgam of the biomedical criteria of all other eligible patients not otherwise eligible for treatment with dapagliflozin.</w:t>
      </w:r>
    </w:p>
    <w:p w14:paraId="01D220CF" w14:textId="3CAC9566" w:rsidR="009E3665" w:rsidRPr="00933708" w:rsidRDefault="009E3665" w:rsidP="007C4C88">
      <w:pPr>
        <w:pStyle w:val="ListParagraph"/>
        <w:numPr>
          <w:ilvl w:val="1"/>
          <w:numId w:val="1"/>
        </w:numPr>
        <w:ind w:left="720" w:hanging="720"/>
      </w:pPr>
      <w:r w:rsidRPr="00933708">
        <w:t>The recommended dosing and administration of empagliflozin and dapagliflozin are similar, and unlikely to impact use in the eligible populations. However, there are differences in the recommended use and precautions in patients with impaired kidney function. The dapagliflozin Product Information states that initiating treatment with dapagliflozin in patients with eGFR &lt;25 mL/min/1.73 m2 is not recommended, and the glucose lowering efficacy of dapagliflozin is reduced in patients with eGFR &lt;45</w:t>
      </w:r>
      <w:r w:rsidR="003C2861" w:rsidRPr="00933708">
        <w:t> </w:t>
      </w:r>
      <w:r w:rsidRPr="00933708">
        <w:t xml:space="preserve">mL/min/1.73 m2. The </w:t>
      </w:r>
      <w:r w:rsidR="00B94237" w:rsidRPr="00933708">
        <w:t xml:space="preserve">current </w:t>
      </w:r>
      <w:r w:rsidRPr="00933708">
        <w:t xml:space="preserve">empagliflozin Product Information states that empagliflozin should not be used in patients with </w:t>
      </w:r>
      <w:r w:rsidR="007C094E">
        <w:t>T2DM</w:t>
      </w:r>
      <w:r w:rsidRPr="00933708">
        <w:t xml:space="preserve"> with severe renal impairment (eGFR &lt;30</w:t>
      </w:r>
      <w:r w:rsidR="00727B9C" w:rsidRPr="00933708">
        <w:t> </w:t>
      </w:r>
      <w:r w:rsidRPr="00933708">
        <w:t>mL/min/1.73m2). The proposed empagliflozin Product Information removes the precautions and contraindications related to use of the empagliflozin 10</w:t>
      </w:r>
      <w:r w:rsidR="00674988" w:rsidRPr="00933708">
        <w:t> </w:t>
      </w:r>
      <w:r w:rsidRPr="00933708">
        <w:t xml:space="preserve">mg dose in patients with eGFR &lt;30 mL/min/1.73 m2 for </w:t>
      </w:r>
      <w:r w:rsidR="007C094E">
        <w:t>T2DM</w:t>
      </w:r>
      <w:r w:rsidRPr="00933708">
        <w:t xml:space="preserve"> and &lt;20</w:t>
      </w:r>
      <w:r w:rsidR="00674988" w:rsidRPr="00933708">
        <w:t> </w:t>
      </w:r>
      <w:r w:rsidRPr="00933708">
        <w:t>mL/min/1.73</w:t>
      </w:r>
      <w:r w:rsidR="00674988" w:rsidRPr="00933708">
        <w:t> </w:t>
      </w:r>
      <w:r w:rsidRPr="00933708">
        <w:t>m2 for heart failure and recommends that empagliflozin 10 mg can be used regardless of renal function, but due to limited experience, is not recommended in patients on dialysis.</w:t>
      </w:r>
    </w:p>
    <w:p w14:paraId="75416449" w14:textId="5954811B" w:rsidR="009E3665" w:rsidRPr="00933708" w:rsidRDefault="009E3665" w:rsidP="007C4C88">
      <w:pPr>
        <w:pStyle w:val="ListParagraph"/>
        <w:numPr>
          <w:ilvl w:val="1"/>
          <w:numId w:val="1"/>
        </w:numPr>
        <w:ind w:left="720" w:hanging="720"/>
        <w:rPr>
          <w:snapToGrid/>
        </w:rPr>
      </w:pPr>
      <w:r w:rsidRPr="00933708">
        <w:t>The TGA Clinical Evaluator noted that empagliflozin should not be used in patients with eGFR &lt;20 mL/min/1.73 m</w:t>
      </w:r>
      <w:r w:rsidRPr="00933708">
        <w:rPr>
          <w:vertAlign w:val="superscript"/>
        </w:rPr>
        <w:t>2</w:t>
      </w:r>
      <w:r w:rsidRPr="00933708">
        <w:t xml:space="preserve"> and considered that dose recommendations for CKD patients based on results in the EMPA-KIDNEY trial should not automatically apply to patients with </w:t>
      </w:r>
      <w:r w:rsidR="007C094E">
        <w:t>T2DM</w:t>
      </w:r>
      <w:r w:rsidRPr="00933708">
        <w:t xml:space="preserve"> and heart failure. </w:t>
      </w:r>
    </w:p>
    <w:p w14:paraId="4659267E" w14:textId="24F9434D" w:rsidR="00356D8C" w:rsidRPr="00933708" w:rsidRDefault="00356D8C" w:rsidP="00356D8C">
      <w:pPr>
        <w:pStyle w:val="COMexecsumnumberedpara"/>
        <w:numPr>
          <w:ilvl w:val="0"/>
          <w:numId w:val="0"/>
        </w:numPr>
        <w:ind w:left="720"/>
        <w:rPr>
          <w:snapToGrid/>
        </w:rPr>
      </w:pPr>
      <w:r w:rsidRPr="00933708">
        <w:rPr>
          <w:rFonts w:cstheme="minorHAnsi"/>
          <w:i/>
        </w:rPr>
        <w:t>For more detail on PBAC’s view, see section 7 PBAC outcome</w:t>
      </w:r>
    </w:p>
    <w:p w14:paraId="7F9C27C8" w14:textId="77777777" w:rsidR="00223D5A" w:rsidRPr="00933708" w:rsidRDefault="00223D5A" w:rsidP="00223D5A">
      <w:pPr>
        <w:pStyle w:val="COMH1numbered"/>
        <w:numPr>
          <w:ilvl w:val="0"/>
          <w:numId w:val="1"/>
        </w:numPr>
      </w:pPr>
      <w:bookmarkStart w:id="18" w:name="_Toc145496435"/>
      <w:bookmarkStart w:id="19" w:name="_Toc22897640"/>
      <w:r w:rsidRPr="00933708">
        <w:t>Consideration of the evidence</w:t>
      </w:r>
      <w:bookmarkEnd w:id="18"/>
    </w:p>
    <w:p w14:paraId="0B602379" w14:textId="77777777" w:rsidR="007D7B54" w:rsidRPr="00933708" w:rsidRDefault="007D7B54" w:rsidP="00747FCF">
      <w:pPr>
        <w:pStyle w:val="COMH2-non-numbered"/>
        <w:rPr>
          <w:iCs/>
        </w:rPr>
      </w:pPr>
      <w:bookmarkStart w:id="20" w:name="_Hlk76375935"/>
      <w:bookmarkStart w:id="21" w:name="_Toc145496436"/>
      <w:r w:rsidRPr="00933708">
        <w:rPr>
          <w:iCs/>
        </w:rPr>
        <w:t>Sponsor hearing</w:t>
      </w:r>
    </w:p>
    <w:p w14:paraId="0E27712A" w14:textId="38630DDD" w:rsidR="007D7B54" w:rsidRPr="00933708" w:rsidRDefault="007D7B54" w:rsidP="007D7B54">
      <w:pPr>
        <w:widowControl w:val="0"/>
        <w:numPr>
          <w:ilvl w:val="1"/>
          <w:numId w:val="1"/>
        </w:numPr>
        <w:spacing w:after="120"/>
        <w:ind w:left="720" w:hanging="720"/>
        <w:rPr>
          <w:rFonts w:cs="Calibri"/>
          <w:bCs/>
          <w:snapToGrid w:val="0"/>
        </w:rPr>
      </w:pPr>
      <w:r w:rsidRPr="00933708">
        <w:rPr>
          <w:rFonts w:cs="Calibri"/>
          <w:bCs/>
          <w:snapToGrid w:val="0"/>
        </w:rPr>
        <w:t>There was no hearing for this item.</w:t>
      </w:r>
    </w:p>
    <w:p w14:paraId="4CE5F6F2" w14:textId="77777777" w:rsidR="007D7B54" w:rsidRPr="00933708" w:rsidRDefault="007D7B54" w:rsidP="00747FCF">
      <w:pPr>
        <w:pStyle w:val="COMH2-non-numbered"/>
        <w:rPr>
          <w:iCs/>
        </w:rPr>
      </w:pPr>
      <w:r w:rsidRPr="00933708">
        <w:rPr>
          <w:iCs/>
        </w:rPr>
        <w:t>Consumer comments</w:t>
      </w:r>
    </w:p>
    <w:p w14:paraId="2D3F844C" w14:textId="69BF2FFF" w:rsidR="007D7B54" w:rsidRPr="00933708" w:rsidRDefault="007D7B54" w:rsidP="007D7B54">
      <w:pPr>
        <w:widowControl w:val="0"/>
        <w:numPr>
          <w:ilvl w:val="1"/>
          <w:numId w:val="1"/>
        </w:numPr>
        <w:spacing w:after="120"/>
        <w:ind w:left="720" w:hanging="720"/>
        <w:rPr>
          <w:rFonts w:asciiTheme="minorHAnsi" w:hAnsiTheme="minorHAnsi"/>
          <w:bCs/>
          <w:snapToGrid w:val="0"/>
        </w:rPr>
      </w:pPr>
      <w:bookmarkStart w:id="22" w:name="_Hlk76382618"/>
      <w:r w:rsidRPr="00933708">
        <w:rPr>
          <w:rFonts w:asciiTheme="minorHAnsi" w:hAnsiTheme="minorHAnsi"/>
          <w:bCs/>
          <w:snapToGrid w:val="0"/>
        </w:rPr>
        <w:t>The PBAC noted and welcomed the input from individuals (</w:t>
      </w:r>
      <w:r w:rsidR="007C3336" w:rsidRPr="00933708">
        <w:rPr>
          <w:rFonts w:asciiTheme="minorHAnsi" w:hAnsiTheme="minorHAnsi"/>
          <w:bCs/>
          <w:snapToGrid w:val="0"/>
        </w:rPr>
        <w:t>3</w:t>
      </w:r>
      <w:r w:rsidRPr="00933708">
        <w:rPr>
          <w:rFonts w:asciiTheme="minorHAnsi" w:hAnsiTheme="minorHAnsi"/>
          <w:bCs/>
          <w:snapToGrid w:val="0"/>
        </w:rPr>
        <w:t>), and organisations (</w:t>
      </w:r>
      <w:r w:rsidR="007C3336" w:rsidRPr="00933708">
        <w:rPr>
          <w:rFonts w:asciiTheme="minorHAnsi" w:hAnsiTheme="minorHAnsi"/>
          <w:bCs/>
          <w:snapToGrid w:val="0"/>
        </w:rPr>
        <w:t>3</w:t>
      </w:r>
      <w:r w:rsidRPr="00933708">
        <w:rPr>
          <w:rFonts w:asciiTheme="minorHAnsi" w:hAnsiTheme="minorHAnsi"/>
          <w:bCs/>
          <w:snapToGrid w:val="0"/>
        </w:rPr>
        <w:t>) via the Consumer Comments facility on the PBS website</w:t>
      </w:r>
      <w:r w:rsidR="00933708">
        <w:rPr>
          <w:rFonts w:asciiTheme="minorHAnsi" w:hAnsiTheme="minorHAnsi"/>
          <w:bCs/>
          <w:snapToGrid w:val="0"/>
        </w:rPr>
        <w:t xml:space="preserve">. </w:t>
      </w:r>
      <w:r w:rsidR="007C3336" w:rsidRPr="00933708">
        <w:rPr>
          <w:rFonts w:asciiTheme="minorHAnsi" w:hAnsiTheme="minorHAnsi"/>
          <w:bCs/>
          <w:snapToGrid w:val="0"/>
        </w:rPr>
        <w:t xml:space="preserve">The comments from patients who would like to access the medicine and those caring for an individual with CKD </w:t>
      </w:r>
      <w:r w:rsidRPr="00933708">
        <w:rPr>
          <w:rFonts w:asciiTheme="minorHAnsi" w:hAnsiTheme="minorHAnsi"/>
          <w:bCs/>
          <w:snapToGrid w:val="0"/>
        </w:rPr>
        <w:t xml:space="preserve">described </w:t>
      </w:r>
      <w:r w:rsidR="007C3336" w:rsidRPr="00933708">
        <w:rPr>
          <w:rFonts w:asciiTheme="minorHAnsi" w:hAnsiTheme="minorHAnsi"/>
          <w:bCs/>
          <w:snapToGrid w:val="0"/>
        </w:rPr>
        <w:t>the</w:t>
      </w:r>
      <w:r w:rsidRPr="00933708">
        <w:rPr>
          <w:rFonts w:asciiTheme="minorHAnsi" w:hAnsiTheme="minorHAnsi"/>
          <w:bCs/>
          <w:snapToGrid w:val="0"/>
        </w:rPr>
        <w:t xml:space="preserve"> </w:t>
      </w:r>
      <w:r w:rsidR="007C3336" w:rsidRPr="00933708">
        <w:rPr>
          <w:rFonts w:asciiTheme="minorHAnsi" w:hAnsiTheme="minorHAnsi"/>
          <w:bCs/>
          <w:snapToGrid w:val="0"/>
        </w:rPr>
        <w:t xml:space="preserve">expected </w:t>
      </w:r>
      <w:r w:rsidRPr="00933708">
        <w:rPr>
          <w:rFonts w:asciiTheme="minorHAnsi" w:hAnsiTheme="minorHAnsi"/>
          <w:bCs/>
          <w:snapToGrid w:val="0"/>
        </w:rPr>
        <w:t>benefits of treatment with</w:t>
      </w:r>
      <w:r w:rsidR="007C3336" w:rsidRPr="00933708">
        <w:rPr>
          <w:rFonts w:asciiTheme="minorHAnsi" w:hAnsiTheme="minorHAnsi"/>
          <w:bCs/>
          <w:snapToGrid w:val="0"/>
        </w:rPr>
        <w:t xml:space="preserve"> </w:t>
      </w:r>
      <w:r w:rsidR="00933708" w:rsidRPr="00933708">
        <w:rPr>
          <w:rFonts w:asciiTheme="minorHAnsi" w:hAnsiTheme="minorHAnsi"/>
          <w:bCs/>
          <w:snapToGrid w:val="0"/>
        </w:rPr>
        <w:t>empagliflozin</w:t>
      </w:r>
      <w:r w:rsidRPr="00933708">
        <w:rPr>
          <w:rFonts w:asciiTheme="minorHAnsi" w:hAnsiTheme="minorHAnsi"/>
          <w:bCs/>
          <w:snapToGrid w:val="0"/>
        </w:rPr>
        <w:t xml:space="preserve"> </w:t>
      </w:r>
      <w:r w:rsidR="007C3336" w:rsidRPr="00933708">
        <w:rPr>
          <w:rFonts w:asciiTheme="minorHAnsi" w:hAnsiTheme="minorHAnsi"/>
          <w:bCs/>
          <w:snapToGrid w:val="0"/>
        </w:rPr>
        <w:t xml:space="preserve">included slowing progression of the disease, improving quality of life, and reducing the need for dialysis and transplant. </w:t>
      </w:r>
    </w:p>
    <w:p w14:paraId="386B117A" w14:textId="64A4830D" w:rsidR="00547C0D" w:rsidRPr="00933708" w:rsidRDefault="007D7B54" w:rsidP="007D7B54">
      <w:pPr>
        <w:widowControl w:val="0"/>
        <w:numPr>
          <w:ilvl w:val="1"/>
          <w:numId w:val="1"/>
        </w:numPr>
        <w:spacing w:after="120"/>
        <w:ind w:left="720" w:hanging="720"/>
        <w:rPr>
          <w:rFonts w:asciiTheme="minorHAnsi" w:hAnsiTheme="minorHAnsi"/>
          <w:bCs/>
          <w:snapToGrid w:val="0"/>
        </w:rPr>
      </w:pPr>
      <w:r w:rsidRPr="00933708">
        <w:rPr>
          <w:rFonts w:asciiTheme="minorHAnsi" w:hAnsiTheme="minorHAnsi"/>
          <w:bCs/>
          <w:snapToGrid w:val="0"/>
        </w:rPr>
        <w:lastRenderedPageBreak/>
        <w:t xml:space="preserve">The PBAC noted the </w:t>
      </w:r>
      <w:r w:rsidR="00547C0D" w:rsidRPr="00933708">
        <w:rPr>
          <w:rFonts w:asciiTheme="minorHAnsi" w:hAnsiTheme="minorHAnsi"/>
          <w:bCs/>
          <w:snapToGrid w:val="0"/>
        </w:rPr>
        <w:t>input from hearts4heart described the benefit</w:t>
      </w:r>
      <w:r w:rsidR="00747FCF" w:rsidRPr="00933708">
        <w:rPr>
          <w:rFonts w:asciiTheme="minorHAnsi" w:hAnsiTheme="minorHAnsi"/>
          <w:bCs/>
          <w:snapToGrid w:val="0"/>
        </w:rPr>
        <w:t>s</w:t>
      </w:r>
      <w:r w:rsidR="00547C0D" w:rsidRPr="00933708">
        <w:rPr>
          <w:rFonts w:asciiTheme="minorHAnsi" w:hAnsiTheme="minorHAnsi"/>
          <w:bCs/>
          <w:snapToGrid w:val="0"/>
        </w:rPr>
        <w:t xml:space="preserve"> of the proposed listing for empagliflozin </w:t>
      </w:r>
      <w:r w:rsidR="00747FCF" w:rsidRPr="00933708">
        <w:rPr>
          <w:rFonts w:asciiTheme="minorHAnsi" w:hAnsiTheme="minorHAnsi"/>
          <w:bCs/>
          <w:snapToGrid w:val="0"/>
        </w:rPr>
        <w:t>providing treatment for a</w:t>
      </w:r>
      <w:r w:rsidR="00547C0D" w:rsidRPr="00933708">
        <w:rPr>
          <w:rFonts w:asciiTheme="minorHAnsi" w:hAnsiTheme="minorHAnsi"/>
          <w:bCs/>
          <w:snapToGrid w:val="0"/>
        </w:rPr>
        <w:t xml:space="preserve"> broader population of high-risk CKD patients that do not have PBS access to a SGLT2 inhibitor and have limited alternative treatment options. The expanded population was noted to include patients with very poor kidney function without proteinuria, patients with very high proteinuria, and patients with rarer causes of CKD such as IgA nephropathy and ANCA-associated vasculitis. These high-risk patient populations may lack access to effective treatments.</w:t>
      </w:r>
      <w:r w:rsidRPr="00933708">
        <w:rPr>
          <w:rFonts w:asciiTheme="minorHAnsi" w:hAnsiTheme="minorHAnsi"/>
          <w:bCs/>
          <w:snapToGrid w:val="0"/>
        </w:rPr>
        <w:t xml:space="preserve"> </w:t>
      </w:r>
    </w:p>
    <w:p w14:paraId="5A52E9F9" w14:textId="08B7185F" w:rsidR="00747FCF" w:rsidRPr="00933708" w:rsidRDefault="00747FCF" w:rsidP="00747FCF">
      <w:pPr>
        <w:widowControl w:val="0"/>
        <w:numPr>
          <w:ilvl w:val="1"/>
          <w:numId w:val="1"/>
        </w:numPr>
        <w:spacing w:after="120"/>
        <w:ind w:left="720" w:hanging="720"/>
        <w:rPr>
          <w:bCs/>
          <w:snapToGrid w:val="0"/>
        </w:rPr>
      </w:pPr>
      <w:r w:rsidRPr="00933708">
        <w:rPr>
          <w:rFonts w:asciiTheme="minorHAnsi" w:hAnsiTheme="minorHAnsi"/>
          <w:bCs/>
          <w:snapToGrid w:val="0"/>
        </w:rPr>
        <w:t>The</w:t>
      </w:r>
      <w:r w:rsidRPr="00933708">
        <w:rPr>
          <w:bCs/>
          <w:snapToGrid w:val="0"/>
        </w:rPr>
        <w:t xml:space="preserve"> PBAC noted the input from </w:t>
      </w:r>
      <w:r w:rsidR="00016A87" w:rsidRPr="00933708">
        <w:rPr>
          <w:bCs/>
          <w:snapToGrid w:val="0"/>
        </w:rPr>
        <w:t>Kidney Health Aust</w:t>
      </w:r>
      <w:r w:rsidRPr="00933708">
        <w:rPr>
          <w:bCs/>
          <w:snapToGrid w:val="0"/>
        </w:rPr>
        <w:t xml:space="preserve">ralia described benefits of </w:t>
      </w:r>
      <w:r w:rsidR="0047444C" w:rsidRPr="00933708">
        <w:rPr>
          <w:bCs/>
          <w:snapToGrid w:val="0"/>
        </w:rPr>
        <w:t>slowing</w:t>
      </w:r>
      <w:r w:rsidRPr="00933708">
        <w:rPr>
          <w:bCs/>
          <w:snapToGrid w:val="0"/>
        </w:rPr>
        <w:t xml:space="preserve"> progression of disease and </w:t>
      </w:r>
      <w:r w:rsidR="0047444C" w:rsidRPr="00933708">
        <w:rPr>
          <w:bCs/>
          <w:snapToGrid w:val="0"/>
        </w:rPr>
        <w:t xml:space="preserve">delaying the time to requiring dialysis or </w:t>
      </w:r>
      <w:r w:rsidR="00602469" w:rsidRPr="00933708">
        <w:rPr>
          <w:bCs/>
          <w:snapToGrid w:val="0"/>
        </w:rPr>
        <w:t>transplantation, providing</w:t>
      </w:r>
      <w:r w:rsidR="0047444C" w:rsidRPr="00933708">
        <w:rPr>
          <w:bCs/>
          <w:snapToGrid w:val="0"/>
        </w:rPr>
        <w:t xml:space="preserve"> hope to both the clinicians and their patients. Comments further described</w:t>
      </w:r>
      <w:r w:rsidRPr="00933708">
        <w:rPr>
          <w:bCs/>
          <w:snapToGrid w:val="0"/>
        </w:rPr>
        <w:t xml:space="preserve"> </w:t>
      </w:r>
      <w:r w:rsidR="0047444C" w:rsidRPr="00933708">
        <w:rPr>
          <w:bCs/>
          <w:snapToGrid w:val="0"/>
        </w:rPr>
        <w:t>that d</w:t>
      </w:r>
      <w:r w:rsidRPr="00933708">
        <w:rPr>
          <w:bCs/>
        </w:rPr>
        <w:t>ata arising from trials using empagliflozin in kidney disease ha</w:t>
      </w:r>
      <w:r w:rsidR="0047444C" w:rsidRPr="00933708">
        <w:rPr>
          <w:bCs/>
        </w:rPr>
        <w:t>ve</w:t>
      </w:r>
      <w:r w:rsidRPr="00933708">
        <w:rPr>
          <w:bCs/>
        </w:rPr>
        <w:t xml:space="preserve"> shown benefit across a wide range of eGFR and proteinuria levels. In particular, benefit was shown for those that had a preserved eGFR with proteinuria and those with a low eGFR without proteinuria. Both these groups currently are limited in available therapies and are yet highly vulnerable populations</w:t>
      </w:r>
      <w:r w:rsidR="0047444C" w:rsidRPr="00933708">
        <w:rPr>
          <w:bCs/>
        </w:rPr>
        <w:t>.</w:t>
      </w:r>
      <w:r w:rsidR="00016A87" w:rsidRPr="00933708">
        <w:rPr>
          <w:bCs/>
          <w:snapToGrid w:val="0"/>
        </w:rPr>
        <w:t xml:space="preserve"> </w:t>
      </w:r>
    </w:p>
    <w:p w14:paraId="15BB39C9" w14:textId="2F322498" w:rsidR="00016A87" w:rsidRPr="00933708" w:rsidRDefault="0047444C" w:rsidP="00543EF9">
      <w:pPr>
        <w:widowControl w:val="0"/>
        <w:numPr>
          <w:ilvl w:val="1"/>
          <w:numId w:val="1"/>
        </w:numPr>
        <w:spacing w:after="120"/>
        <w:ind w:left="720" w:hanging="720"/>
        <w:rPr>
          <w:rFonts w:asciiTheme="minorHAnsi" w:hAnsiTheme="minorHAnsi"/>
          <w:bCs/>
          <w:snapToGrid w:val="0"/>
        </w:rPr>
      </w:pPr>
      <w:r w:rsidRPr="00933708">
        <w:rPr>
          <w:rFonts w:asciiTheme="minorHAnsi" w:hAnsiTheme="minorHAnsi"/>
          <w:bCs/>
          <w:snapToGrid w:val="0"/>
        </w:rPr>
        <w:t>The PBAC noted the National Aboriginal Community Controlled Health Organisation (</w:t>
      </w:r>
      <w:r w:rsidR="00016A87" w:rsidRPr="00933708">
        <w:rPr>
          <w:rFonts w:asciiTheme="minorHAnsi" w:hAnsiTheme="minorHAnsi"/>
          <w:bCs/>
          <w:snapToGrid w:val="0"/>
        </w:rPr>
        <w:t>NACCHO</w:t>
      </w:r>
      <w:r w:rsidRPr="00933708">
        <w:rPr>
          <w:rFonts w:asciiTheme="minorHAnsi" w:hAnsiTheme="minorHAnsi"/>
          <w:bCs/>
          <w:snapToGrid w:val="0"/>
        </w:rPr>
        <w:t xml:space="preserve">) described the increased disease burden and mortality associated with CKD for Aboriginal and Torres Strait Islander peoples. The ACCHO sector has been strongly advocating for wider access to SGLT-2 inhibitors due to benefits of reduced proteinuria, reduced progression to CKD 5 and cardiovascular mortality benefit. Patients may not meet PBS eligibility criteria, such as can’t be combined with GLP-1 agonists when used for diabetes or not having all recent pathology data available. For </w:t>
      </w:r>
      <w:r w:rsidR="00933708" w:rsidRPr="00933708">
        <w:rPr>
          <w:rFonts w:asciiTheme="minorHAnsi" w:hAnsiTheme="minorHAnsi"/>
          <w:bCs/>
          <w:snapToGrid w:val="0"/>
        </w:rPr>
        <w:t>example,</w:t>
      </w:r>
      <w:r w:rsidRPr="00933708">
        <w:rPr>
          <w:rFonts w:asciiTheme="minorHAnsi" w:hAnsiTheme="minorHAnsi"/>
          <w:bCs/>
          <w:snapToGrid w:val="0"/>
        </w:rPr>
        <w:t xml:space="preserve"> dapagliflozin for CKD requires urine ACR: 22.6 – 565 mg/mmol, pathology may not be available or can exclude patients with CKD grade 1 and multiple other risk factors for progression. NACCHO would like to propose removing this barrier by listing on PBS for Aboriginal and Torres Strait Islander peoples with CKD, without reference to other clinical criteria, to allow clinician discretion.</w:t>
      </w:r>
    </w:p>
    <w:p w14:paraId="0D72F0F8" w14:textId="1056291A" w:rsidR="00016A87" w:rsidRPr="00933708" w:rsidRDefault="00016A87" w:rsidP="00016A87">
      <w:pPr>
        <w:widowControl w:val="0"/>
        <w:numPr>
          <w:ilvl w:val="1"/>
          <w:numId w:val="1"/>
        </w:numPr>
        <w:spacing w:after="120"/>
        <w:ind w:left="720" w:hanging="720"/>
        <w:rPr>
          <w:rFonts w:asciiTheme="minorHAnsi" w:hAnsiTheme="minorHAnsi"/>
          <w:bCs/>
          <w:snapToGrid w:val="0"/>
        </w:rPr>
      </w:pPr>
      <w:r w:rsidRPr="00933708">
        <w:rPr>
          <w:rFonts w:asciiTheme="minorHAnsi" w:hAnsiTheme="minorHAnsi"/>
          <w:bCs/>
          <w:snapToGrid w:val="0"/>
        </w:rPr>
        <w:t xml:space="preserve">The PBAC noted </w:t>
      </w:r>
      <w:r w:rsidR="0047444C" w:rsidRPr="00933708">
        <w:rPr>
          <w:rFonts w:asciiTheme="minorHAnsi" w:hAnsiTheme="minorHAnsi"/>
          <w:bCs/>
          <w:snapToGrid w:val="0"/>
        </w:rPr>
        <w:t>and appreciated the need for effective therapies in this disease, however it considered the</w:t>
      </w:r>
      <w:r w:rsidRPr="00933708">
        <w:rPr>
          <w:rFonts w:asciiTheme="minorHAnsi" w:hAnsiTheme="minorHAnsi"/>
          <w:bCs/>
          <w:snapToGrid w:val="0"/>
        </w:rPr>
        <w:t xml:space="preserve"> evidence provided in the submission did not adequately support the benefits of expand</w:t>
      </w:r>
      <w:r w:rsidR="00E45471" w:rsidRPr="00933708">
        <w:rPr>
          <w:rFonts w:asciiTheme="minorHAnsi" w:hAnsiTheme="minorHAnsi"/>
          <w:bCs/>
          <w:snapToGrid w:val="0"/>
        </w:rPr>
        <w:t>ing</w:t>
      </w:r>
      <w:r w:rsidRPr="00933708">
        <w:rPr>
          <w:rFonts w:asciiTheme="minorHAnsi" w:hAnsiTheme="minorHAnsi"/>
          <w:bCs/>
          <w:snapToGrid w:val="0"/>
        </w:rPr>
        <w:t xml:space="preserve"> access </w:t>
      </w:r>
      <w:r w:rsidR="00E45471" w:rsidRPr="00933708">
        <w:rPr>
          <w:rFonts w:asciiTheme="minorHAnsi" w:hAnsiTheme="minorHAnsi"/>
          <w:bCs/>
          <w:snapToGrid w:val="0"/>
        </w:rPr>
        <w:t xml:space="preserve">for empagliflozin </w:t>
      </w:r>
      <w:r w:rsidRPr="00933708">
        <w:rPr>
          <w:rFonts w:asciiTheme="minorHAnsi" w:hAnsiTheme="minorHAnsi"/>
          <w:bCs/>
          <w:snapToGrid w:val="0"/>
        </w:rPr>
        <w:t>in CKD</w:t>
      </w:r>
      <w:r w:rsidR="00E45471" w:rsidRPr="00933708">
        <w:rPr>
          <w:rFonts w:asciiTheme="minorHAnsi" w:hAnsiTheme="minorHAnsi"/>
          <w:bCs/>
          <w:snapToGrid w:val="0"/>
        </w:rPr>
        <w:t xml:space="preserve"> to include a broader population than </w:t>
      </w:r>
      <w:r w:rsidR="00602469" w:rsidRPr="00933708">
        <w:rPr>
          <w:rFonts w:asciiTheme="minorHAnsi" w:hAnsiTheme="minorHAnsi"/>
          <w:bCs/>
          <w:snapToGrid w:val="0"/>
        </w:rPr>
        <w:t>is</w:t>
      </w:r>
      <w:r w:rsidR="00E45471" w:rsidRPr="00933708">
        <w:rPr>
          <w:rFonts w:asciiTheme="minorHAnsi" w:hAnsiTheme="minorHAnsi"/>
          <w:bCs/>
          <w:snapToGrid w:val="0"/>
        </w:rPr>
        <w:t xml:space="preserve"> currently eligible for dapagliflozin</w:t>
      </w:r>
      <w:r w:rsidRPr="00933708">
        <w:rPr>
          <w:rFonts w:asciiTheme="minorHAnsi" w:hAnsiTheme="minorHAnsi"/>
          <w:bCs/>
          <w:snapToGrid w:val="0"/>
        </w:rPr>
        <w:t>.</w:t>
      </w:r>
    </w:p>
    <w:p w14:paraId="7E054129" w14:textId="77777777" w:rsidR="00E45471" w:rsidRPr="00933708" w:rsidRDefault="00E45471" w:rsidP="00E45471">
      <w:pPr>
        <w:pStyle w:val="COMexecsumnumberedpara"/>
        <w:numPr>
          <w:ilvl w:val="0"/>
          <w:numId w:val="0"/>
        </w:numPr>
        <w:ind w:left="720"/>
        <w:rPr>
          <w:snapToGrid/>
        </w:rPr>
      </w:pPr>
      <w:r w:rsidRPr="00933708">
        <w:rPr>
          <w:rFonts w:cstheme="minorHAnsi"/>
          <w:i/>
        </w:rPr>
        <w:t>For more detail on PBAC’s view, see section 7 PBAC outcome</w:t>
      </w:r>
    </w:p>
    <w:bookmarkEnd w:id="20"/>
    <w:bookmarkEnd w:id="22"/>
    <w:p w14:paraId="609C0765" w14:textId="4A5B5275" w:rsidR="00B60939" w:rsidRPr="00933708" w:rsidRDefault="00B60939" w:rsidP="002E4F02">
      <w:pPr>
        <w:pStyle w:val="COMH2-non-numbered"/>
        <w:rPr>
          <w:iCs/>
        </w:rPr>
      </w:pPr>
      <w:r w:rsidRPr="00933708">
        <w:rPr>
          <w:iCs/>
        </w:rPr>
        <w:t>Clinical trials</w:t>
      </w:r>
      <w:bookmarkEnd w:id="19"/>
      <w:bookmarkEnd w:id="21"/>
    </w:p>
    <w:p w14:paraId="2B6FCB2B" w14:textId="05C5CF0A" w:rsidR="006713BA" w:rsidRPr="00933708" w:rsidRDefault="006713BA" w:rsidP="007C4C88">
      <w:pPr>
        <w:pStyle w:val="ListParagraph"/>
        <w:numPr>
          <w:ilvl w:val="1"/>
          <w:numId w:val="1"/>
        </w:numPr>
        <w:ind w:left="720" w:hanging="720"/>
        <w:rPr>
          <w:color w:val="0066FF"/>
        </w:rPr>
      </w:pPr>
      <w:r w:rsidRPr="00933708">
        <w:t xml:space="preserve">The submission was based on discrete comparisons for the overall eligible population, overlap </w:t>
      </w:r>
      <w:r w:rsidR="0098132C" w:rsidRPr="00933708">
        <w:t xml:space="preserve">population, </w:t>
      </w:r>
      <w:r w:rsidRPr="00933708">
        <w:t>and incremental population.</w:t>
      </w:r>
    </w:p>
    <w:p w14:paraId="7AD20D01" w14:textId="4357D931" w:rsidR="006713BA" w:rsidRPr="00933708" w:rsidRDefault="006713BA" w:rsidP="00A51AD5">
      <w:pPr>
        <w:pStyle w:val="COMexecsummbulletlist"/>
        <w:numPr>
          <w:ilvl w:val="0"/>
          <w:numId w:val="19"/>
        </w:numPr>
        <w:ind w:left="1134" w:hanging="357"/>
      </w:pPr>
      <w:r w:rsidRPr="00933708">
        <w:t>Overall eligible population: based on one randomised controlled trial of patients with CKD (EMPA-KIDNEY), comparing empagliflozin to placebo (both in addition to standard care).</w:t>
      </w:r>
    </w:p>
    <w:p w14:paraId="21D69653" w14:textId="77777777" w:rsidR="008805F7" w:rsidRPr="00933708" w:rsidRDefault="008805F7" w:rsidP="00A51AD5">
      <w:pPr>
        <w:pStyle w:val="COMexecsummbulletlist"/>
        <w:numPr>
          <w:ilvl w:val="0"/>
          <w:numId w:val="19"/>
        </w:numPr>
        <w:ind w:left="1134" w:hanging="357"/>
      </w:pPr>
      <w:r w:rsidRPr="00933708">
        <w:lastRenderedPageBreak/>
        <w:t xml:space="preserve">Incremental population: based on </w:t>
      </w:r>
      <w:r w:rsidRPr="00933708">
        <w:rPr>
          <w:i/>
          <w:iCs/>
        </w:rPr>
        <w:t>post hoc</w:t>
      </w:r>
      <w:r w:rsidRPr="00933708">
        <w:t xml:space="preserve"> subgroup analyses of the EMPA-KIDNEY trial incremental population (excluding patients in the overlap population) comparing empagliflozin to placebo (both in addition to standard care).</w:t>
      </w:r>
    </w:p>
    <w:p w14:paraId="0C6DF4B2" w14:textId="0CD94D1D" w:rsidR="00A27289" w:rsidRPr="00933708" w:rsidRDefault="00A27289" w:rsidP="00A51AD5">
      <w:pPr>
        <w:pStyle w:val="COMexecsummbulletlist"/>
        <w:numPr>
          <w:ilvl w:val="0"/>
          <w:numId w:val="19"/>
        </w:numPr>
        <w:ind w:left="1134" w:hanging="357"/>
      </w:pPr>
      <w:r w:rsidRPr="00933708">
        <w:t xml:space="preserve">Overlap population: based on an indirect comparison of empagliflozin (EMPA-KIDNEY) to dapagliflozin (DAPA-CKD), with placebo as the common reference. Analyses included indirect comparisons using the EMPA-KIDNEY overall population and </w:t>
      </w:r>
      <w:r w:rsidRPr="00933708">
        <w:rPr>
          <w:i/>
          <w:iCs/>
        </w:rPr>
        <w:t>post hoc</w:t>
      </w:r>
      <w:r w:rsidRPr="00933708">
        <w:t xml:space="preserve"> subgroup analyses of the EMPA-KIDNEY overlap population.</w:t>
      </w:r>
    </w:p>
    <w:p w14:paraId="6BD846CC" w14:textId="3C57A50D" w:rsidR="006713BA" w:rsidRPr="00933708" w:rsidRDefault="006713BA" w:rsidP="006713BA">
      <w:pPr>
        <w:pStyle w:val="COMexecsumnumberedpara"/>
      </w:pPr>
      <w:r w:rsidRPr="00933708">
        <w:rPr>
          <w:snapToGrid/>
        </w:rPr>
        <w:t xml:space="preserve">Details of the trials presented in the submission are provided in </w:t>
      </w:r>
      <w:r w:rsidR="00FF62E5" w:rsidRPr="00933708">
        <w:rPr>
          <w:snapToGrid/>
        </w:rPr>
        <w:fldChar w:fldCharType="begin"/>
      </w:r>
      <w:r w:rsidR="00FF62E5" w:rsidRPr="00933708">
        <w:rPr>
          <w:snapToGrid/>
        </w:rPr>
        <w:instrText xml:space="preserve"> REF _Ref145318363 \h </w:instrText>
      </w:r>
      <w:r w:rsidR="00FF62E5" w:rsidRPr="00933708">
        <w:rPr>
          <w:snapToGrid/>
        </w:rPr>
      </w:r>
      <w:r w:rsidR="00FF62E5" w:rsidRPr="00933708">
        <w:rPr>
          <w:snapToGrid/>
        </w:rPr>
        <w:fldChar w:fldCharType="separate"/>
      </w:r>
      <w:r w:rsidR="00D5135E" w:rsidRPr="00933708">
        <w:t xml:space="preserve">Table </w:t>
      </w:r>
      <w:r w:rsidR="00D5135E">
        <w:rPr>
          <w:noProof/>
        </w:rPr>
        <w:t>3</w:t>
      </w:r>
      <w:r w:rsidR="00FF62E5" w:rsidRPr="00933708">
        <w:rPr>
          <w:snapToGrid/>
        </w:rPr>
        <w:fldChar w:fldCharType="end"/>
      </w:r>
      <w:r w:rsidR="00117AAB" w:rsidRPr="00933708">
        <w:rPr>
          <w:snapToGrid/>
        </w:rPr>
        <w:t xml:space="preserve"> below</w:t>
      </w:r>
      <w:r w:rsidRPr="00933708">
        <w:rPr>
          <w:snapToGrid/>
        </w:rPr>
        <w:t>.</w:t>
      </w:r>
    </w:p>
    <w:p w14:paraId="657B95B7" w14:textId="1EAEFF86" w:rsidR="008A195E" w:rsidRPr="00933708" w:rsidRDefault="008A195E" w:rsidP="008A195E">
      <w:pPr>
        <w:pStyle w:val="COMTableheadingrow"/>
        <w:rPr>
          <w:lang w:val="en-AU"/>
        </w:rPr>
      </w:pPr>
      <w:bookmarkStart w:id="23" w:name="_Ref145318363"/>
      <w:r w:rsidRPr="00933708">
        <w:rPr>
          <w:lang w:val="en-AU"/>
        </w:rPr>
        <w:t xml:space="preserve">Table </w:t>
      </w:r>
      <w:r w:rsidRPr="00251484">
        <w:rPr>
          <w:lang w:val="en-AU"/>
        </w:rPr>
        <w:fldChar w:fldCharType="begin"/>
      </w:r>
      <w:r w:rsidRPr="00933708">
        <w:rPr>
          <w:lang w:val="en-AU"/>
        </w:rPr>
        <w:instrText xml:space="preserve"> SEQ Table \* ARABIC </w:instrText>
      </w:r>
      <w:r w:rsidRPr="00251484">
        <w:rPr>
          <w:lang w:val="en-AU"/>
        </w:rPr>
        <w:fldChar w:fldCharType="separate"/>
      </w:r>
      <w:r w:rsidR="00D5135E">
        <w:rPr>
          <w:noProof/>
          <w:lang w:val="en-AU"/>
        </w:rPr>
        <w:t>3</w:t>
      </w:r>
      <w:r w:rsidRPr="00251484">
        <w:rPr>
          <w:lang w:val="en-AU"/>
        </w:rPr>
        <w:fldChar w:fldCharType="end"/>
      </w:r>
      <w:bookmarkEnd w:id="23"/>
      <w:r w:rsidRPr="00933708">
        <w:rPr>
          <w:lang w:val="en-AU"/>
        </w:rPr>
        <w:t>: Trials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2"/>
        <w:gridCol w:w="5244"/>
        <w:gridCol w:w="2501"/>
      </w:tblGrid>
      <w:tr w:rsidR="008A195E" w:rsidRPr="00933708" w14:paraId="3AC695EB" w14:textId="77777777" w:rsidTr="003A4CE5">
        <w:trPr>
          <w:tblHeader/>
        </w:trPr>
        <w:tc>
          <w:tcPr>
            <w:tcW w:w="705" w:type="pct"/>
            <w:vAlign w:val="center"/>
          </w:tcPr>
          <w:p w14:paraId="512B7541" w14:textId="77777777" w:rsidR="008A195E" w:rsidRPr="00933708" w:rsidRDefault="008A195E" w:rsidP="003A4CE5">
            <w:pPr>
              <w:pStyle w:val="Tableheadingrow"/>
              <w:rPr>
                <w:lang w:val="en-AU"/>
              </w:rPr>
            </w:pPr>
            <w:r w:rsidRPr="00933708">
              <w:rPr>
                <w:lang w:val="en-AU"/>
              </w:rPr>
              <w:t>Trial ID</w:t>
            </w:r>
          </w:p>
        </w:tc>
        <w:tc>
          <w:tcPr>
            <w:tcW w:w="2908" w:type="pct"/>
            <w:vAlign w:val="center"/>
          </w:tcPr>
          <w:p w14:paraId="0B3E2E69" w14:textId="77777777" w:rsidR="008A195E" w:rsidRPr="00933708" w:rsidRDefault="008A195E" w:rsidP="003A4CE5">
            <w:pPr>
              <w:pStyle w:val="Tableheadingrow"/>
              <w:rPr>
                <w:lang w:val="en-AU"/>
              </w:rPr>
            </w:pPr>
            <w:r w:rsidRPr="00933708">
              <w:rPr>
                <w:lang w:val="en-AU"/>
              </w:rPr>
              <w:t>Protocol title/ Publication title</w:t>
            </w:r>
          </w:p>
        </w:tc>
        <w:tc>
          <w:tcPr>
            <w:tcW w:w="1387" w:type="pct"/>
            <w:vAlign w:val="center"/>
          </w:tcPr>
          <w:p w14:paraId="6B8725EB" w14:textId="77777777" w:rsidR="008A195E" w:rsidRPr="00933708" w:rsidRDefault="008A195E" w:rsidP="003A4CE5">
            <w:pPr>
              <w:pStyle w:val="Tableheadingrow"/>
              <w:rPr>
                <w:lang w:val="en-AU"/>
              </w:rPr>
            </w:pPr>
            <w:r w:rsidRPr="00933708">
              <w:rPr>
                <w:lang w:val="en-AU"/>
              </w:rPr>
              <w:t>Publication citation</w:t>
            </w:r>
          </w:p>
        </w:tc>
      </w:tr>
      <w:tr w:rsidR="008A195E" w:rsidRPr="00933708" w14:paraId="08793043" w14:textId="77777777" w:rsidTr="008A195E">
        <w:tc>
          <w:tcPr>
            <w:tcW w:w="5000" w:type="pct"/>
            <w:gridSpan w:val="3"/>
            <w:tcBorders>
              <w:bottom w:val="nil"/>
            </w:tcBorders>
          </w:tcPr>
          <w:p w14:paraId="6F72216C" w14:textId="77777777" w:rsidR="008A195E" w:rsidRPr="00933708" w:rsidRDefault="008A195E" w:rsidP="003A4CE5">
            <w:pPr>
              <w:pStyle w:val="TableText"/>
              <w:rPr>
                <w:b/>
                <w:bCs w:val="0"/>
              </w:rPr>
            </w:pPr>
            <w:r w:rsidRPr="00933708">
              <w:rPr>
                <w:b/>
                <w:bCs w:val="0"/>
              </w:rPr>
              <w:t>Empagliflozin trials</w:t>
            </w:r>
          </w:p>
        </w:tc>
      </w:tr>
      <w:tr w:rsidR="008A195E" w:rsidRPr="00933708" w14:paraId="6AC62E5B" w14:textId="77777777" w:rsidTr="003A4CE5">
        <w:tc>
          <w:tcPr>
            <w:tcW w:w="705" w:type="pct"/>
            <w:vMerge w:val="restart"/>
          </w:tcPr>
          <w:p w14:paraId="2C3D2FEA" w14:textId="77777777" w:rsidR="008A195E" w:rsidRPr="00933708" w:rsidRDefault="008A195E" w:rsidP="003A4CE5">
            <w:pPr>
              <w:pStyle w:val="TableText"/>
              <w:spacing w:after="60"/>
            </w:pPr>
            <w:r w:rsidRPr="00933708">
              <w:t>EMPA-KIDNEY</w:t>
            </w:r>
          </w:p>
        </w:tc>
        <w:tc>
          <w:tcPr>
            <w:tcW w:w="2908" w:type="pct"/>
            <w:tcBorders>
              <w:bottom w:val="nil"/>
            </w:tcBorders>
          </w:tcPr>
          <w:p w14:paraId="4263F8FA" w14:textId="77777777" w:rsidR="008A195E" w:rsidRPr="00933708" w:rsidRDefault="008A195E" w:rsidP="003A4CE5">
            <w:pPr>
              <w:pStyle w:val="TableText"/>
              <w:spacing w:after="60"/>
              <w:rPr>
                <w:szCs w:val="18"/>
              </w:rPr>
            </w:pPr>
            <w:r w:rsidRPr="00933708">
              <w:t>A multicentre international randomized parallel group double-blind placebo-controlled clinical trial of empagliflozin once daily to assess cardio-renal outcomes in patients with chronic kidney disease.</w:t>
            </w:r>
          </w:p>
        </w:tc>
        <w:tc>
          <w:tcPr>
            <w:tcW w:w="1387" w:type="pct"/>
            <w:tcBorders>
              <w:bottom w:val="nil"/>
            </w:tcBorders>
          </w:tcPr>
          <w:p w14:paraId="105367EA" w14:textId="77777777" w:rsidR="008A195E" w:rsidRPr="00933708" w:rsidRDefault="008A195E" w:rsidP="003A4CE5">
            <w:pPr>
              <w:pStyle w:val="TableText"/>
              <w:spacing w:after="60"/>
            </w:pPr>
            <w:r w:rsidRPr="00933708">
              <w:t>Clinical Study Report, 28 October 2022.</w:t>
            </w:r>
          </w:p>
        </w:tc>
      </w:tr>
      <w:tr w:rsidR="008A195E" w:rsidRPr="00933708" w14:paraId="6195C249" w14:textId="77777777" w:rsidTr="003A4CE5">
        <w:tc>
          <w:tcPr>
            <w:tcW w:w="705" w:type="pct"/>
            <w:vMerge/>
          </w:tcPr>
          <w:p w14:paraId="4FED5BA8" w14:textId="77777777" w:rsidR="008A195E" w:rsidRPr="00933708" w:rsidRDefault="008A195E" w:rsidP="003A4CE5">
            <w:pPr>
              <w:pStyle w:val="TableText"/>
              <w:spacing w:after="60"/>
            </w:pPr>
          </w:p>
        </w:tc>
        <w:tc>
          <w:tcPr>
            <w:tcW w:w="2908" w:type="pct"/>
            <w:tcBorders>
              <w:top w:val="nil"/>
              <w:bottom w:val="nil"/>
            </w:tcBorders>
          </w:tcPr>
          <w:p w14:paraId="5FE22CF2" w14:textId="77777777" w:rsidR="008A195E" w:rsidRPr="00933708" w:rsidRDefault="008A195E" w:rsidP="003A4CE5">
            <w:pPr>
              <w:pStyle w:val="TableText"/>
              <w:spacing w:after="60"/>
              <w:rPr>
                <w:szCs w:val="18"/>
              </w:rPr>
            </w:pPr>
            <w:r w:rsidRPr="00933708">
              <w:t xml:space="preserve">Herrington WG, </w:t>
            </w:r>
            <w:proofErr w:type="spellStart"/>
            <w:r w:rsidRPr="00933708">
              <w:t>Staplin</w:t>
            </w:r>
            <w:proofErr w:type="spellEnd"/>
            <w:r w:rsidRPr="00933708">
              <w:t xml:space="preserve"> N, Wanner C, et al. Empagliflozin in patients with chronic kidney disease.</w:t>
            </w:r>
          </w:p>
        </w:tc>
        <w:tc>
          <w:tcPr>
            <w:tcW w:w="1387" w:type="pct"/>
            <w:tcBorders>
              <w:top w:val="nil"/>
              <w:bottom w:val="nil"/>
            </w:tcBorders>
          </w:tcPr>
          <w:p w14:paraId="02E335DB" w14:textId="77777777" w:rsidR="008A195E" w:rsidRPr="00933708" w:rsidRDefault="008A195E" w:rsidP="003A4CE5">
            <w:pPr>
              <w:pStyle w:val="TableText"/>
              <w:spacing w:after="60"/>
              <w:rPr>
                <w:szCs w:val="18"/>
              </w:rPr>
            </w:pPr>
            <w:r w:rsidRPr="00933708">
              <w:t>New England Journal of Medicine 2023; 388(2):117-127.</w:t>
            </w:r>
          </w:p>
        </w:tc>
      </w:tr>
      <w:tr w:rsidR="008A195E" w:rsidRPr="00933708" w14:paraId="1EEF871B" w14:textId="77777777" w:rsidTr="003A4CE5">
        <w:tc>
          <w:tcPr>
            <w:tcW w:w="705" w:type="pct"/>
            <w:vMerge/>
          </w:tcPr>
          <w:p w14:paraId="494B5F69" w14:textId="77777777" w:rsidR="008A195E" w:rsidRPr="00933708" w:rsidRDefault="008A195E" w:rsidP="003A4CE5">
            <w:pPr>
              <w:pStyle w:val="TableText"/>
              <w:spacing w:after="60"/>
            </w:pPr>
          </w:p>
        </w:tc>
        <w:tc>
          <w:tcPr>
            <w:tcW w:w="2908" w:type="pct"/>
            <w:tcBorders>
              <w:top w:val="nil"/>
              <w:bottom w:val="nil"/>
            </w:tcBorders>
          </w:tcPr>
          <w:p w14:paraId="6B981768" w14:textId="77777777" w:rsidR="008A195E" w:rsidRPr="00933708" w:rsidRDefault="008A195E" w:rsidP="003A4CE5">
            <w:pPr>
              <w:pStyle w:val="TableText"/>
              <w:spacing w:after="60"/>
              <w:rPr>
                <w:szCs w:val="18"/>
              </w:rPr>
            </w:pPr>
            <w:r w:rsidRPr="00933708">
              <w:t xml:space="preserve">Herrington WG, Preiss D, Haynes R, et al. The potential for improving cardio-renal outcomes by sodium-glucose co-transporter-2 inhibition in people with chronic kidney disease: a rationale for the EMPA-KIDNEY study. </w:t>
            </w:r>
          </w:p>
        </w:tc>
        <w:tc>
          <w:tcPr>
            <w:tcW w:w="1387" w:type="pct"/>
            <w:tcBorders>
              <w:top w:val="nil"/>
              <w:bottom w:val="nil"/>
            </w:tcBorders>
          </w:tcPr>
          <w:p w14:paraId="44C6EFEF" w14:textId="77777777" w:rsidR="008A195E" w:rsidRPr="00933708" w:rsidRDefault="008A195E" w:rsidP="003A4CE5">
            <w:pPr>
              <w:pStyle w:val="TableText"/>
              <w:spacing w:after="60"/>
              <w:rPr>
                <w:szCs w:val="18"/>
              </w:rPr>
            </w:pPr>
            <w:r w:rsidRPr="00933708">
              <w:t>Clinical Kidney Journal 2018; 11(6):749-761.</w:t>
            </w:r>
          </w:p>
        </w:tc>
      </w:tr>
      <w:tr w:rsidR="008A195E" w:rsidRPr="00933708" w14:paraId="7AD34CFA" w14:textId="77777777" w:rsidTr="003A4CE5">
        <w:tc>
          <w:tcPr>
            <w:tcW w:w="705" w:type="pct"/>
            <w:vMerge/>
            <w:tcBorders>
              <w:bottom w:val="single" w:sz="4" w:space="0" w:color="auto"/>
            </w:tcBorders>
          </w:tcPr>
          <w:p w14:paraId="661EE422" w14:textId="77777777" w:rsidR="008A195E" w:rsidRPr="00933708" w:rsidRDefault="008A195E" w:rsidP="003A4CE5">
            <w:pPr>
              <w:pStyle w:val="TableText"/>
            </w:pPr>
          </w:p>
        </w:tc>
        <w:tc>
          <w:tcPr>
            <w:tcW w:w="2908" w:type="pct"/>
            <w:tcBorders>
              <w:top w:val="nil"/>
              <w:bottom w:val="single" w:sz="4" w:space="0" w:color="auto"/>
            </w:tcBorders>
          </w:tcPr>
          <w:p w14:paraId="4A22D793" w14:textId="77777777" w:rsidR="008A195E" w:rsidRPr="00933708" w:rsidRDefault="008A195E" w:rsidP="003A4CE5">
            <w:pPr>
              <w:pStyle w:val="TableText"/>
            </w:pPr>
            <w:r w:rsidRPr="00933708">
              <w:t xml:space="preserve">Herington WG, Wanner C, Green JB, et al. Design, recruitment, and baseline characteristics of the EMPA-KIDNEY trial. </w:t>
            </w:r>
          </w:p>
        </w:tc>
        <w:tc>
          <w:tcPr>
            <w:tcW w:w="1387" w:type="pct"/>
            <w:tcBorders>
              <w:top w:val="nil"/>
              <w:bottom w:val="single" w:sz="4" w:space="0" w:color="auto"/>
            </w:tcBorders>
          </w:tcPr>
          <w:p w14:paraId="35B4F978" w14:textId="77777777" w:rsidR="008A195E" w:rsidRPr="00933708" w:rsidRDefault="008A195E" w:rsidP="003A4CE5">
            <w:pPr>
              <w:pStyle w:val="TableText"/>
            </w:pPr>
            <w:r w:rsidRPr="00933708">
              <w:t>Nephrology Dialysis Transplantation 2022; 37(7):1317-1329.</w:t>
            </w:r>
          </w:p>
        </w:tc>
      </w:tr>
      <w:tr w:rsidR="008A195E" w:rsidRPr="00933708" w14:paraId="1CD90150" w14:textId="77777777" w:rsidTr="008A195E">
        <w:tc>
          <w:tcPr>
            <w:tcW w:w="5000" w:type="pct"/>
            <w:gridSpan w:val="3"/>
            <w:tcBorders>
              <w:bottom w:val="single" w:sz="4" w:space="0" w:color="auto"/>
            </w:tcBorders>
          </w:tcPr>
          <w:p w14:paraId="173D119A" w14:textId="77777777" w:rsidR="008A195E" w:rsidRPr="00933708" w:rsidRDefault="008A195E" w:rsidP="003A4CE5">
            <w:pPr>
              <w:pStyle w:val="TableText"/>
              <w:rPr>
                <w:b/>
                <w:bCs w:val="0"/>
              </w:rPr>
            </w:pPr>
            <w:r w:rsidRPr="00933708">
              <w:rPr>
                <w:b/>
                <w:bCs w:val="0"/>
              </w:rPr>
              <w:t>Dapagliflozin trials</w:t>
            </w:r>
          </w:p>
        </w:tc>
      </w:tr>
      <w:tr w:rsidR="008A195E" w:rsidRPr="00933708" w14:paraId="4F5C0256" w14:textId="77777777" w:rsidTr="003A4CE5">
        <w:tc>
          <w:tcPr>
            <w:tcW w:w="705" w:type="pct"/>
            <w:vMerge w:val="restart"/>
            <w:tcBorders>
              <w:top w:val="single" w:sz="4" w:space="0" w:color="auto"/>
              <w:left w:val="single" w:sz="4" w:space="0" w:color="auto"/>
              <w:right w:val="single" w:sz="4" w:space="0" w:color="auto"/>
            </w:tcBorders>
          </w:tcPr>
          <w:p w14:paraId="4C140EA9" w14:textId="77777777" w:rsidR="008A195E" w:rsidRPr="00933708" w:rsidRDefault="008A195E" w:rsidP="003A4CE5">
            <w:pPr>
              <w:pStyle w:val="TableText"/>
            </w:pPr>
            <w:r w:rsidRPr="00933708">
              <w:t>DAPA-CKD</w:t>
            </w:r>
          </w:p>
        </w:tc>
        <w:tc>
          <w:tcPr>
            <w:tcW w:w="2908" w:type="pct"/>
            <w:tcBorders>
              <w:top w:val="single" w:sz="4" w:space="0" w:color="auto"/>
              <w:left w:val="single" w:sz="4" w:space="0" w:color="auto"/>
              <w:bottom w:val="nil"/>
              <w:right w:val="single" w:sz="4" w:space="0" w:color="auto"/>
            </w:tcBorders>
          </w:tcPr>
          <w:p w14:paraId="388356DE" w14:textId="77777777" w:rsidR="008A195E" w:rsidRPr="00933708" w:rsidRDefault="008A195E" w:rsidP="003A4CE5">
            <w:pPr>
              <w:pStyle w:val="TableText"/>
              <w:spacing w:after="60"/>
            </w:pPr>
            <w:r w:rsidRPr="00933708">
              <w:t xml:space="preserve">Heerspink HJL, </w:t>
            </w:r>
            <w:proofErr w:type="spellStart"/>
            <w:r w:rsidRPr="00933708">
              <w:t>Stefánsson</w:t>
            </w:r>
            <w:proofErr w:type="spellEnd"/>
            <w:r w:rsidRPr="00933708">
              <w:t xml:space="preserve"> BV, Correa-Rotter R, et al. Dapagliflozin in patients with chronic kidney disease.</w:t>
            </w:r>
          </w:p>
        </w:tc>
        <w:tc>
          <w:tcPr>
            <w:tcW w:w="1387" w:type="pct"/>
            <w:tcBorders>
              <w:top w:val="single" w:sz="4" w:space="0" w:color="auto"/>
              <w:left w:val="single" w:sz="4" w:space="0" w:color="auto"/>
              <w:bottom w:val="nil"/>
              <w:right w:val="single" w:sz="4" w:space="0" w:color="auto"/>
            </w:tcBorders>
          </w:tcPr>
          <w:p w14:paraId="21A84496" w14:textId="77777777" w:rsidR="008A195E" w:rsidRPr="00933708" w:rsidRDefault="008A195E" w:rsidP="003A4CE5">
            <w:pPr>
              <w:pStyle w:val="TableText"/>
              <w:spacing w:after="60"/>
            </w:pPr>
            <w:r w:rsidRPr="00933708">
              <w:t xml:space="preserve">New England Journal of Medicine </w:t>
            </w:r>
            <w:r w:rsidRPr="00933708">
              <w:rPr>
                <w:iCs/>
              </w:rPr>
              <w:t>2020; 383:1436-1446.</w:t>
            </w:r>
          </w:p>
        </w:tc>
      </w:tr>
      <w:tr w:rsidR="008A195E" w:rsidRPr="00933708" w14:paraId="0CAE0194" w14:textId="77777777" w:rsidTr="003A4CE5">
        <w:tc>
          <w:tcPr>
            <w:tcW w:w="705" w:type="pct"/>
            <w:vMerge/>
            <w:tcBorders>
              <w:left w:val="single" w:sz="4" w:space="0" w:color="auto"/>
              <w:bottom w:val="single" w:sz="4" w:space="0" w:color="auto"/>
              <w:right w:val="single" w:sz="4" w:space="0" w:color="auto"/>
            </w:tcBorders>
          </w:tcPr>
          <w:p w14:paraId="17D280E6" w14:textId="77777777" w:rsidR="008A195E" w:rsidRPr="00933708" w:rsidRDefault="008A195E" w:rsidP="003A4CE5">
            <w:pPr>
              <w:pStyle w:val="TableText"/>
            </w:pPr>
          </w:p>
        </w:tc>
        <w:tc>
          <w:tcPr>
            <w:tcW w:w="2908" w:type="pct"/>
            <w:tcBorders>
              <w:top w:val="nil"/>
              <w:left w:val="single" w:sz="4" w:space="0" w:color="auto"/>
              <w:bottom w:val="single" w:sz="4" w:space="0" w:color="auto"/>
              <w:right w:val="single" w:sz="4" w:space="0" w:color="auto"/>
            </w:tcBorders>
          </w:tcPr>
          <w:p w14:paraId="01A7C15D" w14:textId="77777777" w:rsidR="008A195E" w:rsidRPr="00933708" w:rsidRDefault="008A195E" w:rsidP="003A4CE5">
            <w:pPr>
              <w:pStyle w:val="TableText"/>
            </w:pPr>
            <w:r w:rsidRPr="00933708">
              <w:t xml:space="preserve">Wheeler DC, </w:t>
            </w:r>
            <w:proofErr w:type="spellStart"/>
            <w:r w:rsidRPr="00933708">
              <w:t>Stefánsson</w:t>
            </w:r>
            <w:proofErr w:type="spellEnd"/>
            <w:r w:rsidRPr="00933708">
              <w:t xml:space="preserve"> BV, </w:t>
            </w:r>
            <w:proofErr w:type="spellStart"/>
            <w:r w:rsidRPr="00933708">
              <w:t>Jongs</w:t>
            </w:r>
            <w:proofErr w:type="spellEnd"/>
            <w:r w:rsidRPr="00933708">
              <w:t xml:space="preserve"> N, et al. The dapagliflozin and prevention of adverse outcomes in chronic kidney disease (DAPA</w:t>
            </w:r>
            <w:r w:rsidRPr="00933708">
              <w:noBreakHyphen/>
              <w:t>CKD) trial: baseline characteristics.</w:t>
            </w:r>
          </w:p>
        </w:tc>
        <w:tc>
          <w:tcPr>
            <w:tcW w:w="1387" w:type="pct"/>
            <w:tcBorders>
              <w:top w:val="nil"/>
              <w:left w:val="single" w:sz="4" w:space="0" w:color="auto"/>
              <w:bottom w:val="single" w:sz="4" w:space="0" w:color="auto"/>
              <w:right w:val="single" w:sz="4" w:space="0" w:color="auto"/>
            </w:tcBorders>
          </w:tcPr>
          <w:p w14:paraId="1BB1BD0B" w14:textId="77777777" w:rsidR="008A195E" w:rsidRPr="00933708" w:rsidRDefault="008A195E" w:rsidP="003A4CE5">
            <w:pPr>
              <w:pStyle w:val="TableText"/>
            </w:pPr>
            <w:r w:rsidRPr="00933708">
              <w:t xml:space="preserve">Nephrology Dialysis Transplant </w:t>
            </w:r>
            <w:r w:rsidRPr="00933708">
              <w:rPr>
                <w:iCs/>
              </w:rPr>
              <w:t>2020; 35(10):1700-1711.</w:t>
            </w:r>
          </w:p>
        </w:tc>
      </w:tr>
    </w:tbl>
    <w:p w14:paraId="0A7F3AB0" w14:textId="77777777" w:rsidR="008A195E" w:rsidRPr="00933708" w:rsidRDefault="008A195E" w:rsidP="008A195E">
      <w:pPr>
        <w:pStyle w:val="COMTablefooter"/>
        <w:rPr>
          <w:sz w:val="20"/>
        </w:rPr>
      </w:pPr>
      <w:r w:rsidRPr="00933708">
        <w:t>Source: Table 2.1, p71 and Table 2A.1, pp184-185 of the submission.</w:t>
      </w:r>
    </w:p>
    <w:p w14:paraId="18BE4E97" w14:textId="7899BA7C" w:rsidR="00A25297" w:rsidRPr="00933708" w:rsidRDefault="00A25297" w:rsidP="007C4C88">
      <w:pPr>
        <w:pStyle w:val="ListParagraph"/>
        <w:numPr>
          <w:ilvl w:val="1"/>
          <w:numId w:val="1"/>
        </w:numPr>
        <w:ind w:left="720" w:hanging="720"/>
      </w:pPr>
      <w:r w:rsidRPr="00933708">
        <w:t>The PBAC previously considered the DAPA-CKD trial for the treatment of patients with CKD at the July</w:t>
      </w:r>
      <w:r w:rsidR="00F702D7" w:rsidRPr="00933708">
        <w:t xml:space="preserve">, September </w:t>
      </w:r>
      <w:r w:rsidR="00BB44DB" w:rsidRPr="00933708">
        <w:t>and</w:t>
      </w:r>
      <w:r w:rsidR="00582B66" w:rsidRPr="00933708">
        <w:t xml:space="preserve"> </w:t>
      </w:r>
      <w:r w:rsidR="00F702D7" w:rsidRPr="00933708">
        <w:t>November 2021</w:t>
      </w:r>
      <w:r w:rsidRPr="00933708">
        <w:t xml:space="preserve"> </w:t>
      </w:r>
      <w:r w:rsidR="00BB44DB" w:rsidRPr="00933708">
        <w:t xml:space="preserve">meetings </w:t>
      </w:r>
      <w:r w:rsidRPr="00933708">
        <w:t>(Dapagliflozin PSD, July</w:t>
      </w:r>
      <w:r w:rsidR="00BC58FF">
        <w:t> </w:t>
      </w:r>
      <w:r w:rsidRPr="00933708">
        <w:t>2021 PBAC meeting</w:t>
      </w:r>
      <w:r w:rsidR="00582B66" w:rsidRPr="00933708">
        <w:t xml:space="preserve"> with September 2021 Addendum and </w:t>
      </w:r>
      <w:r w:rsidR="00BB44DB" w:rsidRPr="00933708">
        <w:t>November 2021 Addendum</w:t>
      </w:r>
      <w:r w:rsidRPr="00933708">
        <w:t>) and March 2022 meeting (Dapagliflozin PSD, March 2022 PBAC meeting).</w:t>
      </w:r>
    </w:p>
    <w:p w14:paraId="57D9A4EF" w14:textId="5BB4B687" w:rsidR="00A25297" w:rsidRPr="00933708" w:rsidRDefault="00A25297" w:rsidP="007C4C88">
      <w:pPr>
        <w:pStyle w:val="ListParagraph"/>
        <w:numPr>
          <w:ilvl w:val="1"/>
          <w:numId w:val="1"/>
        </w:numPr>
        <w:ind w:left="720" w:hanging="720"/>
        <w:rPr>
          <w:color w:val="0066FF"/>
        </w:rPr>
      </w:pPr>
      <w:r w:rsidRPr="00933708">
        <w:t>The key features of the trials are summarised in</w:t>
      </w:r>
      <w:r w:rsidR="006E01B0" w:rsidRPr="00933708">
        <w:t xml:space="preserve"> </w:t>
      </w:r>
      <w:r w:rsidR="006E01B0" w:rsidRPr="00933708">
        <w:fldChar w:fldCharType="begin"/>
      </w:r>
      <w:r w:rsidR="006E01B0" w:rsidRPr="00933708">
        <w:instrText xml:space="preserve"> REF _Ref144901737 \h </w:instrText>
      </w:r>
      <w:r w:rsidR="006E01B0" w:rsidRPr="00933708">
        <w:fldChar w:fldCharType="separate"/>
      </w:r>
      <w:r w:rsidR="00D5135E" w:rsidRPr="00933708">
        <w:t xml:space="preserve">Table </w:t>
      </w:r>
      <w:r w:rsidR="00D5135E">
        <w:rPr>
          <w:noProof/>
        </w:rPr>
        <w:t>4</w:t>
      </w:r>
      <w:r w:rsidR="006E01B0" w:rsidRPr="00933708">
        <w:fldChar w:fldCharType="end"/>
      </w:r>
      <w:r w:rsidRPr="00933708">
        <w:t xml:space="preserve">. </w:t>
      </w:r>
    </w:p>
    <w:p w14:paraId="08CBDF2C" w14:textId="7C19B038" w:rsidR="00490165" w:rsidRPr="00933708" w:rsidRDefault="00490165" w:rsidP="00490165">
      <w:pPr>
        <w:pStyle w:val="COMTableheadingrow"/>
        <w:rPr>
          <w:lang w:val="en-AU"/>
        </w:rPr>
      </w:pPr>
      <w:bookmarkStart w:id="24" w:name="_Ref144901737"/>
      <w:r w:rsidRPr="00933708">
        <w:rPr>
          <w:lang w:val="en-AU"/>
        </w:rPr>
        <w:lastRenderedPageBreak/>
        <w:t xml:space="preserve">Table </w:t>
      </w:r>
      <w:r w:rsidRPr="00251484">
        <w:rPr>
          <w:lang w:val="en-AU"/>
        </w:rPr>
        <w:fldChar w:fldCharType="begin"/>
      </w:r>
      <w:r w:rsidRPr="00933708">
        <w:rPr>
          <w:lang w:val="en-AU"/>
        </w:rPr>
        <w:instrText xml:space="preserve"> SEQ Table \* ARABIC </w:instrText>
      </w:r>
      <w:r w:rsidRPr="00251484">
        <w:rPr>
          <w:lang w:val="en-AU"/>
        </w:rPr>
        <w:fldChar w:fldCharType="separate"/>
      </w:r>
      <w:r w:rsidR="00D5135E">
        <w:rPr>
          <w:noProof/>
          <w:lang w:val="en-AU"/>
        </w:rPr>
        <w:t>4</w:t>
      </w:r>
      <w:r w:rsidRPr="00251484">
        <w:rPr>
          <w:lang w:val="en-AU"/>
        </w:rPr>
        <w:fldChar w:fldCharType="end"/>
      </w:r>
      <w:bookmarkEnd w:id="24"/>
      <w:r w:rsidRPr="00933708">
        <w:rPr>
          <w:lang w:val="en-AU"/>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0"/>
        <w:gridCol w:w="557"/>
        <w:gridCol w:w="985"/>
        <w:gridCol w:w="702"/>
        <w:gridCol w:w="2157"/>
        <w:gridCol w:w="2269"/>
        <w:gridCol w:w="1367"/>
      </w:tblGrid>
      <w:tr w:rsidR="00490165" w:rsidRPr="00933708" w14:paraId="7103D947" w14:textId="77777777" w:rsidTr="00794EFC">
        <w:trPr>
          <w:cantSplit/>
          <w:tblHeader/>
        </w:trPr>
        <w:tc>
          <w:tcPr>
            <w:tcW w:w="543" w:type="pct"/>
            <w:shd w:val="clear" w:color="auto" w:fill="auto"/>
            <w:vAlign w:val="center"/>
          </w:tcPr>
          <w:p w14:paraId="103D51D6" w14:textId="77777777" w:rsidR="00490165" w:rsidRPr="00933708" w:rsidRDefault="00490165" w:rsidP="00B5072D">
            <w:pPr>
              <w:pStyle w:val="Tableheadingrow"/>
              <w:rPr>
                <w:lang w:val="en-AU"/>
              </w:rPr>
            </w:pPr>
            <w:r w:rsidRPr="00933708">
              <w:rPr>
                <w:lang w:val="en-AU"/>
              </w:rPr>
              <w:t>Trial</w:t>
            </w:r>
          </w:p>
        </w:tc>
        <w:tc>
          <w:tcPr>
            <w:tcW w:w="309" w:type="pct"/>
            <w:shd w:val="clear" w:color="auto" w:fill="auto"/>
            <w:vAlign w:val="center"/>
          </w:tcPr>
          <w:p w14:paraId="1B793C39" w14:textId="77777777" w:rsidR="00490165" w:rsidRPr="00933708" w:rsidRDefault="00490165" w:rsidP="00B5072D">
            <w:pPr>
              <w:pStyle w:val="Tableheadingrow"/>
              <w:jc w:val="center"/>
              <w:rPr>
                <w:lang w:val="en-AU"/>
              </w:rPr>
            </w:pPr>
            <w:r w:rsidRPr="00933708">
              <w:rPr>
                <w:lang w:val="en-AU"/>
              </w:rPr>
              <w:t>N</w:t>
            </w:r>
          </w:p>
        </w:tc>
        <w:tc>
          <w:tcPr>
            <w:tcW w:w="546" w:type="pct"/>
            <w:shd w:val="clear" w:color="auto" w:fill="auto"/>
            <w:vAlign w:val="center"/>
          </w:tcPr>
          <w:p w14:paraId="15081EC1" w14:textId="77777777" w:rsidR="00490165" w:rsidRPr="00933708" w:rsidRDefault="00490165" w:rsidP="00B5072D">
            <w:pPr>
              <w:pStyle w:val="Tableheadingrow"/>
              <w:jc w:val="center"/>
              <w:rPr>
                <w:lang w:val="en-AU"/>
              </w:rPr>
            </w:pPr>
            <w:r w:rsidRPr="00933708">
              <w:rPr>
                <w:lang w:val="en-AU"/>
              </w:rPr>
              <w:t>Design/ duration</w:t>
            </w:r>
          </w:p>
        </w:tc>
        <w:tc>
          <w:tcPr>
            <w:tcW w:w="389" w:type="pct"/>
            <w:shd w:val="clear" w:color="auto" w:fill="auto"/>
            <w:vAlign w:val="center"/>
          </w:tcPr>
          <w:p w14:paraId="73908B3E" w14:textId="77777777" w:rsidR="00490165" w:rsidRPr="00933708" w:rsidRDefault="00490165" w:rsidP="00B5072D">
            <w:pPr>
              <w:pStyle w:val="Tableheadingrow"/>
              <w:jc w:val="center"/>
              <w:rPr>
                <w:lang w:val="en-AU"/>
              </w:rPr>
            </w:pPr>
            <w:r w:rsidRPr="00933708">
              <w:rPr>
                <w:lang w:val="en-AU"/>
              </w:rPr>
              <w:t>Risk of bias</w:t>
            </w:r>
          </w:p>
        </w:tc>
        <w:tc>
          <w:tcPr>
            <w:tcW w:w="1196" w:type="pct"/>
            <w:shd w:val="clear" w:color="auto" w:fill="auto"/>
            <w:vAlign w:val="center"/>
          </w:tcPr>
          <w:p w14:paraId="0B3AC9C4" w14:textId="77777777" w:rsidR="00490165" w:rsidRPr="00933708" w:rsidRDefault="00490165" w:rsidP="00B5072D">
            <w:pPr>
              <w:pStyle w:val="Tableheadingrow"/>
              <w:jc w:val="center"/>
              <w:rPr>
                <w:lang w:val="en-AU"/>
              </w:rPr>
            </w:pPr>
            <w:r w:rsidRPr="00933708">
              <w:rPr>
                <w:lang w:val="en-AU"/>
              </w:rPr>
              <w:t>Patient population</w:t>
            </w:r>
          </w:p>
        </w:tc>
        <w:tc>
          <w:tcPr>
            <w:tcW w:w="1258" w:type="pct"/>
            <w:shd w:val="clear" w:color="auto" w:fill="auto"/>
            <w:vAlign w:val="center"/>
          </w:tcPr>
          <w:p w14:paraId="695B2636" w14:textId="77777777" w:rsidR="00490165" w:rsidRPr="00933708" w:rsidRDefault="00490165" w:rsidP="00B5072D">
            <w:pPr>
              <w:pStyle w:val="Tableheadingrow"/>
              <w:jc w:val="center"/>
              <w:rPr>
                <w:lang w:val="en-AU"/>
              </w:rPr>
            </w:pPr>
            <w:r w:rsidRPr="00933708">
              <w:rPr>
                <w:lang w:val="en-AU"/>
              </w:rPr>
              <w:t>Outcomes</w:t>
            </w:r>
          </w:p>
        </w:tc>
        <w:tc>
          <w:tcPr>
            <w:tcW w:w="758" w:type="pct"/>
            <w:shd w:val="clear" w:color="auto" w:fill="auto"/>
            <w:vAlign w:val="center"/>
          </w:tcPr>
          <w:p w14:paraId="68D5E6CB" w14:textId="77777777" w:rsidR="00490165" w:rsidRPr="00933708" w:rsidRDefault="00490165" w:rsidP="00B5072D">
            <w:pPr>
              <w:pStyle w:val="Tableheadingrow"/>
              <w:jc w:val="center"/>
              <w:rPr>
                <w:lang w:val="en-AU"/>
              </w:rPr>
            </w:pPr>
            <w:r w:rsidRPr="00933708">
              <w:rPr>
                <w:lang w:val="en-AU"/>
              </w:rPr>
              <w:t>Use in model</w:t>
            </w:r>
          </w:p>
        </w:tc>
      </w:tr>
      <w:tr w:rsidR="00490165" w:rsidRPr="00933708" w14:paraId="3D6D6452" w14:textId="77777777" w:rsidTr="00794EFC">
        <w:trPr>
          <w:cantSplit/>
          <w:tblHeader/>
        </w:trPr>
        <w:tc>
          <w:tcPr>
            <w:tcW w:w="543" w:type="pct"/>
            <w:shd w:val="clear" w:color="auto" w:fill="auto"/>
            <w:vAlign w:val="center"/>
          </w:tcPr>
          <w:p w14:paraId="3BB36956" w14:textId="77777777" w:rsidR="00490165" w:rsidRPr="00933708" w:rsidRDefault="00490165" w:rsidP="00B5072D">
            <w:pPr>
              <w:pStyle w:val="Tableheadingrow"/>
              <w:rPr>
                <w:b w:val="0"/>
                <w:bCs/>
                <w:lang w:val="en-AU"/>
              </w:rPr>
            </w:pPr>
            <w:r w:rsidRPr="00933708">
              <w:rPr>
                <w:b w:val="0"/>
                <w:bCs/>
                <w:lang w:val="en-AU"/>
              </w:rPr>
              <w:t>EMPA-KIDNEY</w:t>
            </w:r>
          </w:p>
        </w:tc>
        <w:tc>
          <w:tcPr>
            <w:tcW w:w="309" w:type="pct"/>
            <w:shd w:val="clear" w:color="auto" w:fill="auto"/>
            <w:vAlign w:val="center"/>
          </w:tcPr>
          <w:p w14:paraId="6CDCDB7C" w14:textId="77777777" w:rsidR="00490165" w:rsidRPr="00933708" w:rsidRDefault="00490165" w:rsidP="00B5072D">
            <w:pPr>
              <w:pStyle w:val="Tableheadingrow"/>
              <w:jc w:val="center"/>
              <w:rPr>
                <w:b w:val="0"/>
                <w:bCs/>
                <w:lang w:val="en-AU"/>
              </w:rPr>
            </w:pPr>
            <w:r w:rsidRPr="00933708">
              <w:rPr>
                <w:b w:val="0"/>
                <w:bCs/>
                <w:lang w:val="en-AU"/>
              </w:rPr>
              <w:t>6,609</w:t>
            </w:r>
          </w:p>
        </w:tc>
        <w:tc>
          <w:tcPr>
            <w:tcW w:w="546" w:type="pct"/>
            <w:shd w:val="clear" w:color="auto" w:fill="auto"/>
            <w:vAlign w:val="center"/>
          </w:tcPr>
          <w:p w14:paraId="6FDD1CAE" w14:textId="77777777" w:rsidR="00490165" w:rsidRPr="00933708" w:rsidRDefault="00490165" w:rsidP="00B5072D">
            <w:pPr>
              <w:pStyle w:val="Tableheadingrow"/>
              <w:jc w:val="center"/>
              <w:rPr>
                <w:b w:val="0"/>
                <w:bCs/>
                <w:lang w:val="en-AU"/>
              </w:rPr>
            </w:pPr>
            <w:r w:rsidRPr="00933708">
              <w:rPr>
                <w:b w:val="0"/>
                <w:bCs/>
                <w:lang w:val="en-AU"/>
              </w:rPr>
              <w:t xml:space="preserve">R, DB, PC, MC </w:t>
            </w:r>
          </w:p>
          <w:p w14:paraId="10A22A23" w14:textId="77777777" w:rsidR="00490165" w:rsidRPr="00933708" w:rsidRDefault="00490165" w:rsidP="00B5072D">
            <w:pPr>
              <w:pStyle w:val="Tableheadingrow"/>
              <w:jc w:val="center"/>
              <w:rPr>
                <w:b w:val="0"/>
                <w:bCs/>
                <w:lang w:val="en-AU"/>
              </w:rPr>
            </w:pPr>
            <w:r w:rsidRPr="00933708">
              <w:rPr>
                <w:b w:val="0"/>
                <w:bCs/>
                <w:lang w:val="en-AU"/>
              </w:rPr>
              <w:t>12 months</w:t>
            </w:r>
          </w:p>
        </w:tc>
        <w:tc>
          <w:tcPr>
            <w:tcW w:w="389" w:type="pct"/>
            <w:shd w:val="clear" w:color="auto" w:fill="auto"/>
            <w:vAlign w:val="center"/>
          </w:tcPr>
          <w:p w14:paraId="38373BFC" w14:textId="77777777" w:rsidR="00490165" w:rsidRPr="00933708" w:rsidRDefault="00490165" w:rsidP="00B5072D">
            <w:pPr>
              <w:pStyle w:val="Tableheadingrow"/>
              <w:jc w:val="center"/>
              <w:rPr>
                <w:b w:val="0"/>
                <w:bCs/>
                <w:lang w:val="en-AU"/>
              </w:rPr>
            </w:pPr>
            <w:r w:rsidRPr="00933708">
              <w:rPr>
                <w:b w:val="0"/>
                <w:bCs/>
                <w:lang w:val="en-AU"/>
              </w:rPr>
              <w:t>Low</w:t>
            </w:r>
          </w:p>
        </w:tc>
        <w:tc>
          <w:tcPr>
            <w:tcW w:w="1196" w:type="pct"/>
            <w:shd w:val="clear" w:color="auto" w:fill="auto"/>
            <w:vAlign w:val="center"/>
          </w:tcPr>
          <w:p w14:paraId="3A050006" w14:textId="77777777" w:rsidR="00490165" w:rsidRPr="00933708" w:rsidRDefault="00490165" w:rsidP="00B5072D">
            <w:pPr>
              <w:pStyle w:val="TableText"/>
              <w:jc w:val="center"/>
            </w:pPr>
            <w:r w:rsidRPr="00933708">
              <w:t xml:space="preserve">Adults with CKD and eGFR </w:t>
            </w:r>
          </w:p>
          <w:p w14:paraId="6CDEB8F9" w14:textId="77777777" w:rsidR="00490165" w:rsidRPr="00933708" w:rsidRDefault="00490165" w:rsidP="00B5072D">
            <w:pPr>
              <w:pStyle w:val="TableText"/>
              <w:jc w:val="center"/>
            </w:pPr>
            <w:r w:rsidRPr="00933708">
              <w:t>20 to &lt;45 mL/min/1.73 m</w:t>
            </w:r>
            <w:r w:rsidRPr="00933708">
              <w:rPr>
                <w:vertAlign w:val="superscript"/>
              </w:rPr>
              <w:t>2</w:t>
            </w:r>
            <w:r w:rsidRPr="00933708">
              <w:t xml:space="preserve"> </w:t>
            </w:r>
          </w:p>
          <w:p w14:paraId="376B1DA5" w14:textId="77777777" w:rsidR="00490165" w:rsidRPr="00933708" w:rsidRDefault="00490165" w:rsidP="00B5072D">
            <w:pPr>
              <w:pStyle w:val="TableText"/>
              <w:jc w:val="center"/>
            </w:pPr>
            <w:r w:rsidRPr="00933708">
              <w:t>or eGFR</w:t>
            </w:r>
          </w:p>
          <w:p w14:paraId="235D2014" w14:textId="77777777" w:rsidR="00490165" w:rsidRPr="00933708" w:rsidRDefault="00490165" w:rsidP="00B5072D">
            <w:pPr>
              <w:pStyle w:val="TableText"/>
              <w:jc w:val="center"/>
            </w:pPr>
            <w:r w:rsidRPr="00933708">
              <w:t>45 to &lt;90 mL/min/1.73 m</w:t>
            </w:r>
            <w:r w:rsidRPr="00933708">
              <w:rPr>
                <w:vertAlign w:val="superscript"/>
              </w:rPr>
              <w:t>2</w:t>
            </w:r>
            <w:r w:rsidRPr="00933708">
              <w:t xml:space="preserve"> </w:t>
            </w:r>
          </w:p>
          <w:p w14:paraId="46A470A3" w14:textId="77777777" w:rsidR="00490165" w:rsidRPr="00933708" w:rsidRDefault="00490165" w:rsidP="00B5072D">
            <w:pPr>
              <w:pStyle w:val="TableText"/>
              <w:jc w:val="center"/>
            </w:pPr>
            <w:r w:rsidRPr="00933708">
              <w:t>with UACR ≥200 mg/g,</w:t>
            </w:r>
          </w:p>
          <w:p w14:paraId="2D820119" w14:textId="77777777" w:rsidR="00490165" w:rsidRPr="00933708" w:rsidRDefault="00490165" w:rsidP="00B5072D">
            <w:pPr>
              <w:pStyle w:val="Tableheadingrow"/>
              <w:jc w:val="center"/>
              <w:rPr>
                <w:b w:val="0"/>
                <w:bCs/>
                <w:lang w:val="en-AU"/>
              </w:rPr>
            </w:pPr>
            <w:r w:rsidRPr="00933708">
              <w:rPr>
                <w:b w:val="0"/>
                <w:bCs/>
                <w:lang w:val="en-AU"/>
              </w:rPr>
              <w:t>treated with standard care of ACEi/ARB unless intolerant</w:t>
            </w:r>
          </w:p>
        </w:tc>
        <w:tc>
          <w:tcPr>
            <w:tcW w:w="1258" w:type="pct"/>
            <w:shd w:val="clear" w:color="auto" w:fill="auto"/>
            <w:vAlign w:val="center"/>
          </w:tcPr>
          <w:p w14:paraId="6F70D46D" w14:textId="2104003C" w:rsidR="00490165" w:rsidRPr="00933708" w:rsidRDefault="00490165" w:rsidP="00B5072D">
            <w:pPr>
              <w:pStyle w:val="TableText"/>
              <w:jc w:val="center"/>
            </w:pPr>
            <w:r w:rsidRPr="00933708">
              <w:t>Primary composite outcome</w:t>
            </w:r>
            <w:r w:rsidR="0006559F" w:rsidRPr="00933708">
              <w:t>:</w:t>
            </w:r>
            <w:r w:rsidRPr="00933708">
              <w:t xml:space="preserve"> </w:t>
            </w:r>
          </w:p>
          <w:p w14:paraId="539A3A5C" w14:textId="77777777" w:rsidR="00A31DD8" w:rsidRPr="00933708" w:rsidRDefault="00A31DD8" w:rsidP="00A31DD8">
            <w:pPr>
              <w:pStyle w:val="TableText"/>
              <w:jc w:val="center"/>
              <w:rPr>
                <w:szCs w:val="20"/>
              </w:rPr>
            </w:pPr>
            <w:r w:rsidRPr="00933708">
              <w:rPr>
                <w:szCs w:val="20"/>
              </w:rPr>
              <w:t xml:space="preserve">≥40% decline in eGFR, </w:t>
            </w:r>
          </w:p>
          <w:p w14:paraId="5EBDC4B2" w14:textId="77777777" w:rsidR="00A31DD8" w:rsidRPr="00933708" w:rsidRDefault="00A31DD8" w:rsidP="00A31DD8">
            <w:pPr>
              <w:pStyle w:val="TableText"/>
              <w:jc w:val="center"/>
            </w:pPr>
            <w:r w:rsidRPr="00933708">
              <w:rPr>
                <w:szCs w:val="20"/>
              </w:rPr>
              <w:t>eGFR &lt;10 mL/min/1.73 m</w:t>
            </w:r>
            <w:r w:rsidRPr="00933708">
              <w:rPr>
                <w:szCs w:val="20"/>
                <w:vertAlign w:val="superscript"/>
              </w:rPr>
              <w:t>2</w:t>
            </w:r>
            <w:r w:rsidRPr="00933708">
              <w:rPr>
                <w:szCs w:val="20"/>
              </w:rPr>
              <w:t xml:space="preserve">, </w:t>
            </w:r>
            <w:r w:rsidRPr="00933708">
              <w:t xml:space="preserve">ESKD, or CV death. </w:t>
            </w:r>
          </w:p>
          <w:p w14:paraId="312FC25F" w14:textId="77777777" w:rsidR="00A31DD8" w:rsidRPr="00933708" w:rsidRDefault="00A31DD8" w:rsidP="00A31DD8">
            <w:pPr>
              <w:pStyle w:val="TableText"/>
              <w:jc w:val="center"/>
            </w:pPr>
            <w:r w:rsidRPr="00933708">
              <w:t>Secondary outcomes:</w:t>
            </w:r>
          </w:p>
          <w:p w14:paraId="56924A37" w14:textId="6EADBA25" w:rsidR="00490165" w:rsidRPr="00933708" w:rsidRDefault="00A31DD8" w:rsidP="00B5072D">
            <w:pPr>
              <w:pStyle w:val="TableText"/>
              <w:jc w:val="center"/>
            </w:pPr>
            <w:r w:rsidRPr="00933708">
              <w:t>a</w:t>
            </w:r>
            <w:r w:rsidR="00490165" w:rsidRPr="00933708">
              <w:t>ll-cause mortality, CV mortality, ESKD,</w:t>
            </w:r>
          </w:p>
          <w:p w14:paraId="4535FA1F" w14:textId="6F5DE78D" w:rsidR="00490165" w:rsidRPr="00933708" w:rsidRDefault="00490165" w:rsidP="00B5072D">
            <w:pPr>
              <w:pStyle w:val="Tableheadingrow"/>
              <w:jc w:val="center"/>
              <w:rPr>
                <w:b w:val="0"/>
                <w:bCs/>
                <w:lang w:val="en-AU"/>
              </w:rPr>
            </w:pPr>
            <w:r w:rsidRPr="00933708">
              <w:rPr>
                <w:b w:val="0"/>
                <w:bCs/>
                <w:lang w:val="en-AU"/>
              </w:rPr>
              <w:t>other renal/cardiovascular outcomes and safety</w:t>
            </w:r>
            <w:r w:rsidR="00050226" w:rsidRPr="00933708">
              <w:rPr>
                <w:b w:val="0"/>
                <w:bCs/>
                <w:lang w:val="en-AU"/>
              </w:rPr>
              <w:t>.</w:t>
            </w:r>
          </w:p>
        </w:tc>
        <w:tc>
          <w:tcPr>
            <w:tcW w:w="758" w:type="pct"/>
            <w:shd w:val="clear" w:color="auto" w:fill="auto"/>
            <w:vAlign w:val="center"/>
          </w:tcPr>
          <w:p w14:paraId="42C93E72" w14:textId="6210CAC5" w:rsidR="00490165" w:rsidRPr="00933708" w:rsidRDefault="00CA4E7A" w:rsidP="00B5072D">
            <w:pPr>
              <w:pStyle w:val="Tableheadingrow"/>
              <w:jc w:val="center"/>
              <w:rPr>
                <w:b w:val="0"/>
                <w:bCs/>
                <w:lang w:val="en-AU"/>
              </w:rPr>
            </w:pPr>
            <w:r w:rsidRPr="00933708">
              <w:rPr>
                <w:b w:val="0"/>
                <w:bCs/>
                <w:i/>
                <w:iCs/>
                <w:lang w:val="en-AU"/>
              </w:rPr>
              <w:t>Post hoc</w:t>
            </w:r>
            <w:r w:rsidRPr="00933708">
              <w:rPr>
                <w:b w:val="0"/>
                <w:bCs/>
                <w:lang w:val="en-AU"/>
              </w:rPr>
              <w:t xml:space="preserve"> subgroup analyses by KDIGO category</w:t>
            </w:r>
          </w:p>
        </w:tc>
      </w:tr>
      <w:tr w:rsidR="00490165" w:rsidRPr="00933708" w14:paraId="0CA17B9A" w14:textId="77777777" w:rsidTr="00794EFC">
        <w:trPr>
          <w:cantSplit/>
        </w:trPr>
        <w:tc>
          <w:tcPr>
            <w:tcW w:w="543" w:type="pct"/>
            <w:shd w:val="clear" w:color="auto" w:fill="auto"/>
            <w:vAlign w:val="center"/>
          </w:tcPr>
          <w:p w14:paraId="28AE6D84" w14:textId="77777777" w:rsidR="00490165" w:rsidRPr="00933708" w:rsidRDefault="00490165" w:rsidP="00B5072D">
            <w:pPr>
              <w:pStyle w:val="TableText"/>
            </w:pPr>
            <w:r w:rsidRPr="00933708">
              <w:t>DAPA-CKD</w:t>
            </w:r>
          </w:p>
        </w:tc>
        <w:tc>
          <w:tcPr>
            <w:tcW w:w="309" w:type="pct"/>
            <w:shd w:val="clear" w:color="auto" w:fill="auto"/>
            <w:vAlign w:val="center"/>
          </w:tcPr>
          <w:p w14:paraId="46AC1E9E" w14:textId="77777777" w:rsidR="00490165" w:rsidRPr="00933708" w:rsidRDefault="00490165" w:rsidP="00B5072D">
            <w:pPr>
              <w:pStyle w:val="TableText"/>
              <w:jc w:val="center"/>
            </w:pPr>
            <w:r w:rsidRPr="00933708">
              <w:t>4,304</w:t>
            </w:r>
          </w:p>
        </w:tc>
        <w:tc>
          <w:tcPr>
            <w:tcW w:w="546" w:type="pct"/>
            <w:shd w:val="clear" w:color="auto" w:fill="auto"/>
            <w:vAlign w:val="center"/>
          </w:tcPr>
          <w:p w14:paraId="541F800B" w14:textId="77777777" w:rsidR="00490165" w:rsidRPr="00933708" w:rsidRDefault="00490165" w:rsidP="00B5072D">
            <w:pPr>
              <w:pStyle w:val="TableText"/>
              <w:jc w:val="center"/>
            </w:pPr>
            <w:r w:rsidRPr="00933708">
              <w:t>R, DB, PC, MC</w:t>
            </w:r>
          </w:p>
          <w:p w14:paraId="57800E5F" w14:textId="77777777" w:rsidR="00490165" w:rsidRPr="00933708" w:rsidRDefault="00490165" w:rsidP="00B5072D">
            <w:pPr>
              <w:pStyle w:val="TableText"/>
              <w:jc w:val="center"/>
            </w:pPr>
            <w:r w:rsidRPr="00933708">
              <w:t>24 months</w:t>
            </w:r>
          </w:p>
        </w:tc>
        <w:tc>
          <w:tcPr>
            <w:tcW w:w="389" w:type="pct"/>
            <w:shd w:val="clear" w:color="auto" w:fill="auto"/>
            <w:vAlign w:val="center"/>
          </w:tcPr>
          <w:p w14:paraId="66B42D53" w14:textId="77777777" w:rsidR="00490165" w:rsidRPr="00933708" w:rsidRDefault="00490165" w:rsidP="00B5072D">
            <w:pPr>
              <w:pStyle w:val="TableText"/>
              <w:jc w:val="center"/>
            </w:pPr>
            <w:r w:rsidRPr="00933708">
              <w:t>Low</w:t>
            </w:r>
          </w:p>
        </w:tc>
        <w:tc>
          <w:tcPr>
            <w:tcW w:w="1196" w:type="pct"/>
            <w:shd w:val="clear" w:color="auto" w:fill="auto"/>
            <w:vAlign w:val="center"/>
          </w:tcPr>
          <w:p w14:paraId="293BA8B0" w14:textId="77777777" w:rsidR="00490165" w:rsidRPr="00933708" w:rsidRDefault="00490165" w:rsidP="00B5072D">
            <w:pPr>
              <w:pStyle w:val="TableText"/>
              <w:jc w:val="center"/>
            </w:pPr>
            <w:r w:rsidRPr="00933708">
              <w:t>Adults with CKD and eGFR 25 to ≤75 mL/min/1.73 m</w:t>
            </w:r>
            <w:r w:rsidRPr="00933708">
              <w:rPr>
                <w:vertAlign w:val="superscript"/>
              </w:rPr>
              <w:t>2</w:t>
            </w:r>
            <w:r w:rsidRPr="00933708">
              <w:t xml:space="preserve"> </w:t>
            </w:r>
          </w:p>
          <w:p w14:paraId="70C3321D" w14:textId="77777777" w:rsidR="00490165" w:rsidRPr="00933708" w:rsidRDefault="00490165" w:rsidP="00B5072D">
            <w:pPr>
              <w:pStyle w:val="TableText"/>
              <w:jc w:val="center"/>
            </w:pPr>
            <w:r w:rsidRPr="00933708">
              <w:t>with UACR 200-5,000 mg/g,</w:t>
            </w:r>
          </w:p>
          <w:p w14:paraId="0B667BFF" w14:textId="77777777" w:rsidR="00490165" w:rsidRPr="00933708" w:rsidRDefault="00490165" w:rsidP="00B5072D">
            <w:pPr>
              <w:pStyle w:val="TableText"/>
              <w:jc w:val="center"/>
            </w:pPr>
            <w:r w:rsidRPr="00933708">
              <w:t>treated with maximum tolerated dose of ACEi/ARB</w:t>
            </w:r>
          </w:p>
          <w:p w14:paraId="75AFAA0B" w14:textId="77777777" w:rsidR="00490165" w:rsidRPr="00933708" w:rsidRDefault="00490165" w:rsidP="00B5072D">
            <w:pPr>
              <w:pStyle w:val="TableText"/>
              <w:jc w:val="center"/>
            </w:pPr>
            <w:r w:rsidRPr="00933708">
              <w:t>for ≥4 weeks, unless contraindicated</w:t>
            </w:r>
          </w:p>
        </w:tc>
        <w:tc>
          <w:tcPr>
            <w:tcW w:w="1258" w:type="pct"/>
            <w:shd w:val="clear" w:color="auto" w:fill="auto"/>
            <w:vAlign w:val="center"/>
          </w:tcPr>
          <w:p w14:paraId="6F1B61FA" w14:textId="77777777" w:rsidR="00490165" w:rsidRPr="00933708" w:rsidRDefault="00490165" w:rsidP="00B5072D">
            <w:pPr>
              <w:pStyle w:val="TableText"/>
              <w:jc w:val="center"/>
            </w:pPr>
            <w:r w:rsidRPr="00933708">
              <w:t xml:space="preserve">Primary composite outcome: </w:t>
            </w:r>
          </w:p>
          <w:p w14:paraId="271F1070" w14:textId="64B5C196" w:rsidR="00AC36E8" w:rsidRPr="00933708" w:rsidRDefault="00490165" w:rsidP="00AC36E8">
            <w:pPr>
              <w:pStyle w:val="TableText"/>
              <w:jc w:val="center"/>
            </w:pPr>
            <w:r w:rsidRPr="00933708">
              <w:t xml:space="preserve">≥50% decline in eGFR, </w:t>
            </w:r>
            <w:r w:rsidR="00F30757" w:rsidRPr="00933708">
              <w:t xml:space="preserve">ESKD, </w:t>
            </w:r>
            <w:r w:rsidRPr="00933708">
              <w:t>CV or renal death</w:t>
            </w:r>
            <w:r w:rsidR="00AC36E8" w:rsidRPr="00933708">
              <w:t>.</w:t>
            </w:r>
          </w:p>
          <w:p w14:paraId="6DC6706D" w14:textId="77777777" w:rsidR="00AC36E8" w:rsidRPr="00933708" w:rsidRDefault="00AC36E8" w:rsidP="00AC36E8">
            <w:pPr>
              <w:pStyle w:val="TableText"/>
              <w:jc w:val="center"/>
            </w:pPr>
            <w:r w:rsidRPr="00933708">
              <w:t>Secondary outcomes:</w:t>
            </w:r>
          </w:p>
          <w:p w14:paraId="70D3FA55" w14:textId="006458FF" w:rsidR="00AC36E8" w:rsidRPr="00933708" w:rsidRDefault="00AC36E8" w:rsidP="00AC36E8">
            <w:pPr>
              <w:pStyle w:val="TableText"/>
              <w:jc w:val="center"/>
            </w:pPr>
            <w:r w:rsidRPr="00933708">
              <w:t>all-cause mortality, CV mortality, ESKD,</w:t>
            </w:r>
          </w:p>
          <w:p w14:paraId="4A7FAF11" w14:textId="460360A1" w:rsidR="00490165" w:rsidRPr="00933708" w:rsidRDefault="00AC36E8" w:rsidP="00AC36E8">
            <w:pPr>
              <w:pStyle w:val="TableText"/>
              <w:jc w:val="center"/>
            </w:pPr>
            <w:r w:rsidRPr="00933708">
              <w:t xml:space="preserve">hospitalisation for HF; </w:t>
            </w:r>
            <w:r w:rsidR="004259E5" w:rsidRPr="00933708">
              <w:t xml:space="preserve">other </w:t>
            </w:r>
            <w:r w:rsidR="00824FD9" w:rsidRPr="00933708">
              <w:t xml:space="preserve">renal/cardiovascular </w:t>
            </w:r>
            <w:r w:rsidR="00FE0006" w:rsidRPr="00933708">
              <w:t xml:space="preserve">composite </w:t>
            </w:r>
            <w:r w:rsidR="004259E5" w:rsidRPr="00933708">
              <w:t xml:space="preserve">outcomes </w:t>
            </w:r>
            <w:r w:rsidR="00490165" w:rsidRPr="00933708">
              <w:t>and safety</w:t>
            </w:r>
            <w:r w:rsidR="00050226" w:rsidRPr="00933708">
              <w:t>.</w:t>
            </w:r>
          </w:p>
        </w:tc>
        <w:tc>
          <w:tcPr>
            <w:tcW w:w="758" w:type="pct"/>
            <w:shd w:val="clear" w:color="auto" w:fill="auto"/>
            <w:vAlign w:val="center"/>
          </w:tcPr>
          <w:p w14:paraId="1F6BFBA4" w14:textId="3DE31028" w:rsidR="00490165" w:rsidRPr="00933708" w:rsidRDefault="00FF59D5" w:rsidP="00B5072D">
            <w:pPr>
              <w:pStyle w:val="TableText"/>
              <w:jc w:val="center"/>
            </w:pPr>
            <w:r w:rsidRPr="00933708">
              <w:t>-</w:t>
            </w:r>
          </w:p>
        </w:tc>
      </w:tr>
    </w:tbl>
    <w:p w14:paraId="2A0F7F30" w14:textId="77777777" w:rsidR="00490165" w:rsidRPr="00933708" w:rsidRDefault="00490165" w:rsidP="00490165">
      <w:pPr>
        <w:pStyle w:val="COMTablefooter"/>
      </w:pPr>
      <w:r w:rsidRPr="00933708">
        <w:t>Source: Constructed during the evaluation</w:t>
      </w:r>
    </w:p>
    <w:p w14:paraId="2F81DB83" w14:textId="70574D6F" w:rsidR="00CE0793" w:rsidRPr="00933708" w:rsidRDefault="00490165" w:rsidP="00490165">
      <w:pPr>
        <w:pStyle w:val="COMTablefooter"/>
        <w:rPr>
          <w:color w:val="0066FF"/>
        </w:rPr>
      </w:pPr>
      <w:r w:rsidRPr="00933708">
        <w:t xml:space="preserve">Abbreviations: ACEi, angiotensin-converting enzyme inhibitors; ARB, angiotensin II receptor blocker; CKD, chronic kidney disease; CV, cardiovascular; DB, double blind; eGFR, estimated glomerular filtration rate; ESKD, end-stage kidney disease; </w:t>
      </w:r>
      <w:r w:rsidR="001736D9" w:rsidRPr="00933708">
        <w:t>HF, heart failure</w:t>
      </w:r>
      <w:r w:rsidR="005247F0" w:rsidRPr="00933708">
        <w:t>;</w:t>
      </w:r>
      <w:r w:rsidR="001736D9" w:rsidRPr="00933708">
        <w:t xml:space="preserve"> </w:t>
      </w:r>
      <w:r w:rsidRPr="00933708">
        <w:t>MC, multi-centre; PC, placebo controlled; R, randomised; UACR, urin</w:t>
      </w:r>
      <w:r w:rsidR="005F4C1A" w:rsidRPr="00933708">
        <w:t>e</w:t>
      </w:r>
      <w:r w:rsidRPr="00933708">
        <w:t xml:space="preserve"> albumin</w:t>
      </w:r>
      <w:r w:rsidR="005F4C1A" w:rsidRPr="00933708">
        <w:t>-</w:t>
      </w:r>
      <w:r w:rsidRPr="00933708">
        <w:t>creatinine ratio</w:t>
      </w:r>
    </w:p>
    <w:p w14:paraId="442B4657" w14:textId="0FDD0724" w:rsidR="00861AEF" w:rsidRPr="00933708" w:rsidRDefault="00861AEF" w:rsidP="007C4C88">
      <w:pPr>
        <w:pStyle w:val="ListParagraph"/>
        <w:numPr>
          <w:ilvl w:val="1"/>
          <w:numId w:val="1"/>
        </w:numPr>
        <w:ind w:left="720" w:hanging="720"/>
      </w:pPr>
      <w:r w:rsidRPr="00933708">
        <w:t xml:space="preserve">The EMPA-KIDNEY trial was an event driven study planned to continue until a minimum of 1,070 primary outcome events had occurred. The trial was terminated early for benefit based on predefined stopping criteria. </w:t>
      </w:r>
      <w:r w:rsidR="00E75DB3" w:rsidRPr="00933708">
        <w:t>The m</w:t>
      </w:r>
      <w:r w:rsidRPr="00933708">
        <w:t xml:space="preserve">edian duration of follow-up </w:t>
      </w:r>
      <w:r w:rsidR="008E432C" w:rsidRPr="00933708">
        <w:t xml:space="preserve">was 24.33 months. </w:t>
      </w:r>
    </w:p>
    <w:p w14:paraId="7D527A6B" w14:textId="37E2EBB8" w:rsidR="00861AEF" w:rsidRPr="00933708" w:rsidRDefault="00FE73F6" w:rsidP="007C4C88">
      <w:pPr>
        <w:pStyle w:val="ListParagraph"/>
        <w:numPr>
          <w:ilvl w:val="1"/>
          <w:numId w:val="1"/>
        </w:numPr>
        <w:ind w:left="720" w:hanging="720"/>
      </w:pPr>
      <w:bookmarkStart w:id="25" w:name="_Ref150847962"/>
      <w:bookmarkStart w:id="26" w:name="_Hlk144800707"/>
      <w:r w:rsidRPr="00933708">
        <w:t xml:space="preserve">There were substantial differences between the incremental, overlap and overall populations across most demographic and disease characteristics. Patients in the incremental population were older (mean age 66.8 years) compared to the overlap population (mean age 58.7 years) and overall population (mean age 63.3 years), and included smaller proportions of males (incremental: 63.1%, overlap: 71.9%, overall: 66.8%), patients of Asian descent (26.9%, 48.4%, 36.2%), and smokers (8.5%, 12.7%, 10.3%). In addition, the incremental population included a smaller proportion of patients with glomerular based kidney disease (15.8%, 37.7%, 25.3%), and larger proportions of patients with </w:t>
      </w:r>
      <w:r w:rsidR="007C094E">
        <w:t>T2DM</w:t>
      </w:r>
      <w:r w:rsidRPr="00933708">
        <w:t xml:space="preserve"> (49.0%, 38.4%, 44.4%), and prior cardiovascular disease (32.0%, 19.7%, 26.7%). A smaller proportion of patients in the incremental population was categorised as very high risk of kidney disease progression (64.9%, 87.7%, 74.7%).</w:t>
      </w:r>
      <w:bookmarkEnd w:id="25"/>
      <w:r w:rsidRPr="00933708">
        <w:t xml:space="preserve"> </w:t>
      </w:r>
    </w:p>
    <w:bookmarkEnd w:id="26"/>
    <w:p w14:paraId="602F64BD" w14:textId="7F066BC3" w:rsidR="00861AEF" w:rsidRPr="00933708" w:rsidRDefault="0006755D" w:rsidP="007C4C88">
      <w:pPr>
        <w:pStyle w:val="ListParagraph"/>
        <w:numPr>
          <w:ilvl w:val="1"/>
          <w:numId w:val="1"/>
        </w:numPr>
        <w:ind w:left="720" w:hanging="720"/>
        <w:rPr>
          <w:color w:val="0066FF"/>
        </w:rPr>
      </w:pPr>
      <w:r w:rsidRPr="00933708">
        <w:t>T</w:t>
      </w:r>
      <w:r w:rsidR="00861AEF" w:rsidRPr="00933708">
        <w:t>he majority of patients in the overlap population report</w:t>
      </w:r>
      <w:r w:rsidRPr="00933708">
        <w:t>ed</w:t>
      </w:r>
      <w:r w:rsidR="00861AEF" w:rsidRPr="00933708">
        <w:t xml:space="preserve"> baseline UACR &gt;300 mg/g (79.2% in the </w:t>
      </w:r>
      <w:r w:rsidRPr="00933708">
        <w:t xml:space="preserve">KDIGO </w:t>
      </w:r>
      <w:r w:rsidR="00861AEF" w:rsidRPr="00933708">
        <w:t xml:space="preserve">G3aA3, G3bA3, G4A3 categories). </w:t>
      </w:r>
      <w:r w:rsidR="002F5B07" w:rsidRPr="00933708">
        <w:t>In t</w:t>
      </w:r>
      <w:r w:rsidR="00861AEF" w:rsidRPr="00933708">
        <w:t>he incremental population</w:t>
      </w:r>
      <w:r w:rsidR="002F5B07" w:rsidRPr="00933708">
        <w:t>, there were</w:t>
      </w:r>
      <w:r w:rsidR="00861AEF" w:rsidRPr="00933708">
        <w:t xml:space="preserve"> large proportions of patients in the </w:t>
      </w:r>
      <w:r w:rsidR="002F5B07" w:rsidRPr="00933708">
        <w:t xml:space="preserve">KDIGO </w:t>
      </w:r>
      <w:r w:rsidR="00861AEF" w:rsidRPr="00933708">
        <w:t>G3bA1-A2 and G4A1-A3 risk categories</w:t>
      </w:r>
      <w:r w:rsidR="002F5B07" w:rsidRPr="00933708">
        <w:t>,</w:t>
      </w:r>
      <w:r w:rsidR="00861AEF" w:rsidRPr="00933708">
        <w:t xml:space="preserve"> consistent with the complement of the overlap population</w:t>
      </w:r>
      <w:r w:rsidR="006A00B7" w:rsidRPr="00933708">
        <w:t>; with</w:t>
      </w:r>
      <w:r w:rsidR="00861AEF" w:rsidRPr="00933708">
        <w:t xml:space="preserve"> very small numbers of patients in the G2A2-A3, G3aA1-A3 and G3bA3 risk categories. The incremental population included a broad amalgam of patients with substantially </w:t>
      </w:r>
      <w:r w:rsidR="00861AEF" w:rsidRPr="00933708">
        <w:lastRenderedPageBreak/>
        <w:t>variable baseline risk of CKD progression, heavily weighted by patients with a baseline eGFR &lt;45 mL/min/1.73 m</w:t>
      </w:r>
      <w:r w:rsidR="00861AEF" w:rsidRPr="00933708">
        <w:rPr>
          <w:vertAlign w:val="superscript"/>
        </w:rPr>
        <w:t>2</w:t>
      </w:r>
      <w:r w:rsidR="00861AEF" w:rsidRPr="00933708">
        <w:t>. Notwithstanding the small numbers of patients in some KDIGO categories (G2A2-A3, G3aA2-A3 and G3bA3), the incremental population may not be sufficiently homogenous for subgroup analysis.</w:t>
      </w:r>
    </w:p>
    <w:p w14:paraId="545E4521" w14:textId="353A5940" w:rsidR="00861AEF" w:rsidRPr="00933708" w:rsidRDefault="00861AEF" w:rsidP="007C4C88">
      <w:pPr>
        <w:pStyle w:val="ListParagraph"/>
        <w:numPr>
          <w:ilvl w:val="1"/>
          <w:numId w:val="1"/>
        </w:numPr>
        <w:ind w:left="720" w:hanging="720"/>
      </w:pPr>
      <w:bookmarkStart w:id="27" w:name="_Ref150847971"/>
      <w:r w:rsidRPr="00933708">
        <w:t>Patient demographic characteristics were similar between the EMPA-KIDNEY and DAPA-CKD trial, but there were substantial differences in terms of CKD disease severity and kidney disease progression.</w:t>
      </w:r>
      <w:r w:rsidR="00843F95" w:rsidRPr="00933708">
        <w:t xml:space="preserve"> </w:t>
      </w:r>
      <w:r w:rsidRPr="00933708">
        <w:t xml:space="preserve">The </w:t>
      </w:r>
      <w:r w:rsidR="00D14967" w:rsidRPr="00933708">
        <w:t>EMPA-KIDNEY trial</w:t>
      </w:r>
      <w:r w:rsidR="00D23A5D" w:rsidRPr="00933708">
        <w:t xml:space="preserve"> included a larger proportion of patients with</w:t>
      </w:r>
      <w:r w:rsidRPr="00933708">
        <w:t xml:space="preserve"> eGFR &lt;30 mL/min/1.73 m2 (3</w:t>
      </w:r>
      <w:r w:rsidR="00FB0792" w:rsidRPr="00933708">
        <w:t>4</w:t>
      </w:r>
      <w:r w:rsidRPr="00933708">
        <w:t>.5%) compared to DAPA-CKD (14.5%)</w:t>
      </w:r>
      <w:r w:rsidR="003F0215" w:rsidRPr="00933708">
        <w:t xml:space="preserve">, </w:t>
      </w:r>
      <w:r w:rsidR="002675F1" w:rsidRPr="00933708">
        <w:t>and</w:t>
      </w:r>
      <w:r w:rsidR="003F0215" w:rsidRPr="00933708">
        <w:t xml:space="preserve"> a smaller p</w:t>
      </w:r>
      <w:r w:rsidRPr="00933708">
        <w:t xml:space="preserve">roportion of patients </w:t>
      </w:r>
      <w:r w:rsidR="003F0215" w:rsidRPr="00933708">
        <w:t>with</w:t>
      </w:r>
      <w:r w:rsidRPr="00933708">
        <w:t xml:space="preserve"> baseline UACR &gt;300 mg/g (51.7%</w:t>
      </w:r>
      <w:r w:rsidR="003F0215" w:rsidRPr="00933708">
        <w:t xml:space="preserve"> versus 89.7%</w:t>
      </w:r>
      <w:r w:rsidRPr="00933708">
        <w:t xml:space="preserve">). Smaller proportions of patients in the EMPA-KIDNEY trial had </w:t>
      </w:r>
      <w:r w:rsidR="007C094E">
        <w:t>T2DM</w:t>
      </w:r>
      <w:r w:rsidRPr="00933708">
        <w:t xml:space="preserve"> (44.</w:t>
      </w:r>
      <w:r w:rsidR="008F4D87" w:rsidRPr="00933708">
        <w:t>4</w:t>
      </w:r>
      <w:r w:rsidRPr="00933708">
        <w:t>%</w:t>
      </w:r>
      <w:r w:rsidR="003F0215" w:rsidRPr="00933708">
        <w:t xml:space="preserve"> versus 67.5%</w:t>
      </w:r>
      <w:r w:rsidRPr="00933708">
        <w:t xml:space="preserve">) </w:t>
      </w:r>
      <w:r w:rsidR="003F0215" w:rsidRPr="00933708">
        <w:t xml:space="preserve">and cardiovascular disease (27% versus 37%) </w:t>
      </w:r>
      <w:r w:rsidRPr="00933708">
        <w:t>compared to DAPA CKD</w:t>
      </w:r>
      <w:r w:rsidR="00F311F1" w:rsidRPr="00933708">
        <w:t>,</w:t>
      </w:r>
      <w:r w:rsidRPr="00933708">
        <w:t xml:space="preserve"> and fewer were treated with </w:t>
      </w:r>
      <w:r w:rsidR="00F311F1" w:rsidRPr="00933708">
        <w:t>ACE</w:t>
      </w:r>
      <w:r w:rsidRPr="00933708">
        <w:t xml:space="preserve"> inhibitors</w:t>
      </w:r>
      <w:r w:rsidR="006155B6" w:rsidRPr="00933708">
        <w:t xml:space="preserve"> or </w:t>
      </w:r>
      <w:r w:rsidR="00F311F1" w:rsidRPr="00933708">
        <w:t>ARBs</w:t>
      </w:r>
      <w:r w:rsidRPr="00933708">
        <w:t xml:space="preserve"> (85% v</w:t>
      </w:r>
      <w:r w:rsidR="00BA7689" w:rsidRPr="00933708">
        <w:t>ersu</w:t>
      </w:r>
      <w:r w:rsidRPr="00933708">
        <w:t>s 9</w:t>
      </w:r>
      <w:r w:rsidR="0053034E" w:rsidRPr="00933708">
        <w:t>8</w:t>
      </w:r>
      <w:r w:rsidRPr="00933708">
        <w:t>%)</w:t>
      </w:r>
      <w:r w:rsidR="00933708">
        <w:t xml:space="preserve">. </w:t>
      </w:r>
      <w:r w:rsidR="009568DD" w:rsidRPr="00933708">
        <w:t xml:space="preserve">The ESC </w:t>
      </w:r>
      <w:r w:rsidR="00DF51EF" w:rsidRPr="00933708">
        <w:t>considered</w:t>
      </w:r>
      <w:r w:rsidR="009568DD" w:rsidRPr="00933708">
        <w:t xml:space="preserve"> that the effect of these differences in baseline characteristics on the overall trial results was uncertain, but as the differences appeared bidirectional, then any overall effect on the ITT population was likely small, but could be more significant in the subgroup results.</w:t>
      </w:r>
      <w:bookmarkEnd w:id="27"/>
    </w:p>
    <w:p w14:paraId="737D743E" w14:textId="5828EE42" w:rsidR="00586663" w:rsidRPr="00933708" w:rsidRDefault="00861AEF" w:rsidP="007C4C88">
      <w:pPr>
        <w:pStyle w:val="ListParagraph"/>
        <w:numPr>
          <w:ilvl w:val="1"/>
          <w:numId w:val="1"/>
        </w:numPr>
        <w:ind w:left="720" w:hanging="720"/>
      </w:pPr>
      <w:r w:rsidRPr="00933708">
        <w:t>Similar to the EMPA-KIDNEY trial, the DAPA-CKD trial was event driven, and was terminated early due to findings of positive efficacy on interim results. The median duration of follow-up in the DAPA-CKD trial was 2.4 years (range 2.0 to 2.7 years), similar to EMPA-KIDNEY (median 24.33 months).</w:t>
      </w:r>
    </w:p>
    <w:p w14:paraId="1CF5AFF2" w14:textId="1C29E894" w:rsidR="00E82A37" w:rsidRPr="00933708" w:rsidRDefault="00E82A37" w:rsidP="007C4C88">
      <w:pPr>
        <w:pStyle w:val="ListParagraph"/>
        <w:numPr>
          <w:ilvl w:val="1"/>
          <w:numId w:val="1"/>
        </w:numPr>
        <w:ind w:left="720" w:hanging="720"/>
      </w:pPr>
      <w:r w:rsidRPr="00933708">
        <w:t>The</w:t>
      </w:r>
      <w:r w:rsidR="00DF51EF" w:rsidRPr="00933708">
        <w:t xml:space="preserve"> submission compared the</w:t>
      </w:r>
      <w:r w:rsidRPr="00933708">
        <w:t xml:space="preserve"> characteristics of patients in the EMPA-KIDNEY trial with an Australian retrospective cohort study of the MedicineInsight database, which included a cohort matching the biomedical inclusion criteria (eGFR, UACR) of the EMPA-KIDNEY trial (</w:t>
      </w:r>
      <w:proofErr w:type="spellStart"/>
      <w:r w:rsidRPr="00933708">
        <w:t>Neuen</w:t>
      </w:r>
      <w:proofErr w:type="spellEnd"/>
      <w:r w:rsidRPr="00933708">
        <w:t xml:space="preserve"> 2023). Based on the comparison, the EMPA-KIDNEY trial population was </w:t>
      </w:r>
      <w:r w:rsidR="002E0D18" w:rsidRPr="00933708">
        <w:t>younger</w:t>
      </w:r>
      <w:r w:rsidRPr="00933708">
        <w:t xml:space="preserve"> (63.</w:t>
      </w:r>
      <w:r w:rsidR="006E7496" w:rsidRPr="00933708">
        <w:t>3</w:t>
      </w:r>
      <w:r w:rsidRPr="00933708">
        <w:t xml:space="preserve"> years) than the Australian population (74.4 years), included a higher proportion of males (66.8% versus 50.9%), a higher proportion with eGFR &lt;30</w:t>
      </w:r>
      <w:r w:rsidR="006155B6" w:rsidRPr="00933708">
        <w:t> </w:t>
      </w:r>
      <w:r w:rsidRPr="00933708">
        <w:t>mL/min/1.73 m</w:t>
      </w:r>
      <w:r w:rsidRPr="00933708">
        <w:rPr>
          <w:vertAlign w:val="superscript"/>
        </w:rPr>
        <w:t>2</w:t>
      </w:r>
      <w:r w:rsidRPr="00933708">
        <w:t xml:space="preserve"> (34.5% versus 9.1%), and a higher proportion with UACR &gt;300</w:t>
      </w:r>
      <w:r w:rsidR="006155B6" w:rsidRPr="00933708">
        <w:t> </w:t>
      </w:r>
      <w:r w:rsidRPr="00933708">
        <w:t>mg/g (51.7% versus 35.6%). In the EMPA-KIDNEY trial, 74.7% of patients were in the very high risk KDIGO category, compared to 20.2% of patients in the Australian cohort.</w:t>
      </w:r>
    </w:p>
    <w:p w14:paraId="4A4FE085" w14:textId="1C5613CC" w:rsidR="00B60939" w:rsidRPr="00933708" w:rsidRDefault="00B60939" w:rsidP="00EC5836">
      <w:pPr>
        <w:pStyle w:val="COMH2-non-numbered"/>
        <w:rPr>
          <w:i w:val="0"/>
        </w:rPr>
      </w:pPr>
      <w:bookmarkStart w:id="28" w:name="_Toc22897641"/>
      <w:bookmarkStart w:id="29" w:name="_Toc145496437"/>
      <w:r w:rsidRPr="00933708">
        <w:rPr>
          <w:i w:val="0"/>
        </w:rPr>
        <w:t>Comparative effectiveness</w:t>
      </w:r>
      <w:bookmarkEnd w:id="28"/>
      <w:bookmarkEnd w:id="29"/>
    </w:p>
    <w:p w14:paraId="48C5DB4D" w14:textId="2F784156" w:rsidR="00096FD1" w:rsidRPr="00A51AD5" w:rsidRDefault="00096FD1" w:rsidP="00A51AD5">
      <w:pPr>
        <w:pStyle w:val="COMH3"/>
        <w:spacing w:after="120"/>
        <w:rPr>
          <w:i/>
          <w:iCs w:val="0"/>
          <w:sz w:val="24"/>
          <w:szCs w:val="22"/>
        </w:rPr>
      </w:pPr>
      <w:r w:rsidRPr="00A51AD5">
        <w:rPr>
          <w:i/>
          <w:iCs w:val="0"/>
          <w:sz w:val="24"/>
          <w:szCs w:val="22"/>
        </w:rPr>
        <w:t>Overall population</w:t>
      </w:r>
    </w:p>
    <w:p w14:paraId="52B2733D" w14:textId="3A1F02C4" w:rsidR="00867C74" w:rsidRPr="00933708" w:rsidRDefault="00867C74" w:rsidP="007C4C88">
      <w:pPr>
        <w:pStyle w:val="ListParagraph"/>
        <w:numPr>
          <w:ilvl w:val="1"/>
          <w:numId w:val="1"/>
        </w:numPr>
        <w:ind w:left="720" w:hanging="720"/>
        <w:rPr>
          <w:color w:val="0066FF"/>
        </w:rPr>
      </w:pPr>
      <w:r w:rsidRPr="00933708">
        <w:fldChar w:fldCharType="begin"/>
      </w:r>
      <w:r w:rsidRPr="00933708">
        <w:instrText xml:space="preserve"> REF _Ref144729355 \h </w:instrText>
      </w:r>
      <w:r w:rsidR="007C4C88" w:rsidRPr="00933708">
        <w:instrText xml:space="preserve"> \* MERGEFORMAT </w:instrText>
      </w:r>
      <w:r w:rsidRPr="00933708">
        <w:fldChar w:fldCharType="separate"/>
      </w:r>
      <w:r w:rsidR="00D5135E" w:rsidRPr="00933708">
        <w:t xml:space="preserve">Table </w:t>
      </w:r>
      <w:r w:rsidR="00D5135E">
        <w:t>5</w:t>
      </w:r>
      <w:r w:rsidRPr="00933708">
        <w:fldChar w:fldCharType="end"/>
      </w:r>
      <w:r w:rsidRPr="00933708">
        <w:t xml:space="preserve"> summarises the results of the primary composite outcome of CKD progression or adjudicated cardiovascular death in the EMPA-KIDNEY trial.</w:t>
      </w:r>
    </w:p>
    <w:p w14:paraId="626017FA" w14:textId="7F691B1E" w:rsidR="00E1473B" w:rsidRPr="00933708" w:rsidRDefault="00E1473B" w:rsidP="001A7BEE">
      <w:pPr>
        <w:pStyle w:val="COMTableheadingrow"/>
        <w:keepLines/>
        <w:rPr>
          <w:lang w:val="en-AU"/>
        </w:rPr>
      </w:pPr>
      <w:bookmarkStart w:id="30" w:name="_Ref144729355"/>
      <w:r w:rsidRPr="00933708">
        <w:rPr>
          <w:lang w:val="en-AU"/>
        </w:rPr>
        <w:lastRenderedPageBreak/>
        <w:t xml:space="preserve">Table </w:t>
      </w:r>
      <w:r w:rsidRPr="00251484">
        <w:rPr>
          <w:lang w:val="en-AU"/>
        </w:rPr>
        <w:fldChar w:fldCharType="begin"/>
      </w:r>
      <w:r w:rsidRPr="00933708">
        <w:rPr>
          <w:lang w:val="en-AU"/>
        </w:rPr>
        <w:instrText xml:space="preserve"> SEQ Table \* ARABIC </w:instrText>
      </w:r>
      <w:r w:rsidRPr="00251484">
        <w:rPr>
          <w:lang w:val="en-AU"/>
        </w:rPr>
        <w:fldChar w:fldCharType="separate"/>
      </w:r>
      <w:r w:rsidR="00D5135E">
        <w:rPr>
          <w:noProof/>
          <w:lang w:val="en-AU"/>
        </w:rPr>
        <w:t>5</w:t>
      </w:r>
      <w:r w:rsidRPr="00251484">
        <w:rPr>
          <w:lang w:val="en-AU"/>
        </w:rPr>
        <w:fldChar w:fldCharType="end"/>
      </w:r>
      <w:bookmarkEnd w:id="30"/>
      <w:r w:rsidRPr="00933708">
        <w:rPr>
          <w:lang w:val="en-AU"/>
        </w:rPr>
        <w:t>: Results for the primary composite outcome CKD progression or adjudicated cardiovascular death in EMPA-KIDNEY (ITT)</w:t>
      </w:r>
    </w:p>
    <w:tbl>
      <w:tblPr>
        <w:tblStyle w:val="TableGrid"/>
        <w:tblW w:w="5000" w:type="pct"/>
        <w:tblLook w:val="04A0" w:firstRow="1" w:lastRow="0" w:firstColumn="1" w:lastColumn="0" w:noHBand="0" w:noVBand="1"/>
      </w:tblPr>
      <w:tblGrid>
        <w:gridCol w:w="4248"/>
        <w:gridCol w:w="1701"/>
        <w:gridCol w:w="1701"/>
        <w:gridCol w:w="1367"/>
      </w:tblGrid>
      <w:tr w:rsidR="00E1473B" w:rsidRPr="00933708" w14:paraId="0D65D3AB" w14:textId="77777777" w:rsidTr="00252D01">
        <w:trPr>
          <w:tblHeader/>
        </w:trPr>
        <w:tc>
          <w:tcPr>
            <w:tcW w:w="4248" w:type="dxa"/>
            <w:vAlign w:val="center"/>
          </w:tcPr>
          <w:p w14:paraId="1B84C6C9" w14:textId="77777777" w:rsidR="00E1473B" w:rsidRPr="00933708" w:rsidRDefault="00E1473B" w:rsidP="001A7BEE">
            <w:pPr>
              <w:keepNext/>
              <w:keepLines/>
              <w:tabs>
                <w:tab w:val="right" w:pos="3180"/>
              </w:tabs>
              <w:rPr>
                <w:rFonts w:ascii="Arial Narrow" w:hAnsi="Arial Narrow"/>
                <w:sz w:val="20"/>
                <w:szCs w:val="20"/>
              </w:rPr>
            </w:pPr>
          </w:p>
        </w:tc>
        <w:tc>
          <w:tcPr>
            <w:tcW w:w="1701" w:type="dxa"/>
          </w:tcPr>
          <w:p w14:paraId="4FCAD540" w14:textId="77777777" w:rsidR="00E1473B" w:rsidRPr="00933708" w:rsidRDefault="00E1473B" w:rsidP="001A7BEE">
            <w:pPr>
              <w:pStyle w:val="TableText"/>
              <w:keepLines/>
              <w:ind w:left="-71" w:right="-62"/>
              <w:jc w:val="center"/>
              <w:rPr>
                <w:b/>
                <w:bCs w:val="0"/>
                <w:szCs w:val="20"/>
              </w:rPr>
            </w:pPr>
            <w:r w:rsidRPr="00933708">
              <w:rPr>
                <w:b/>
                <w:bCs w:val="0"/>
                <w:szCs w:val="20"/>
              </w:rPr>
              <w:t>Empagliflozin + SC</w:t>
            </w:r>
          </w:p>
          <w:p w14:paraId="3363D5FD" w14:textId="77777777" w:rsidR="00E1473B" w:rsidRPr="00933708" w:rsidRDefault="00E1473B" w:rsidP="001A7BEE">
            <w:pPr>
              <w:keepNext/>
              <w:keepLines/>
              <w:ind w:left="-71" w:right="-62"/>
              <w:jc w:val="center"/>
              <w:rPr>
                <w:rFonts w:ascii="Arial Narrow" w:hAnsi="Arial Narrow"/>
                <w:sz w:val="20"/>
                <w:szCs w:val="20"/>
              </w:rPr>
            </w:pPr>
            <w:r w:rsidRPr="00933708">
              <w:rPr>
                <w:rFonts w:ascii="Arial Narrow" w:hAnsi="Arial Narrow"/>
                <w:b/>
                <w:bCs/>
                <w:sz w:val="20"/>
                <w:szCs w:val="20"/>
              </w:rPr>
              <w:t>N=3,304</w:t>
            </w:r>
          </w:p>
        </w:tc>
        <w:tc>
          <w:tcPr>
            <w:tcW w:w="1701" w:type="dxa"/>
          </w:tcPr>
          <w:p w14:paraId="1815074E" w14:textId="77777777" w:rsidR="00E1473B" w:rsidRPr="00933708" w:rsidRDefault="00E1473B" w:rsidP="001A7BEE">
            <w:pPr>
              <w:keepNext/>
              <w:keepLines/>
              <w:ind w:left="-71" w:right="-62"/>
              <w:jc w:val="center"/>
              <w:rPr>
                <w:rFonts w:ascii="Arial Narrow" w:hAnsi="Arial Narrow"/>
                <w:sz w:val="20"/>
                <w:szCs w:val="20"/>
              </w:rPr>
            </w:pPr>
            <w:r w:rsidRPr="00933708">
              <w:rPr>
                <w:rFonts w:ascii="Arial Narrow" w:hAnsi="Arial Narrow"/>
                <w:b/>
                <w:bCs/>
                <w:sz w:val="20"/>
                <w:szCs w:val="20"/>
              </w:rPr>
              <w:t>Placebo + SC</w:t>
            </w:r>
            <w:r w:rsidRPr="00933708">
              <w:rPr>
                <w:rFonts w:ascii="Arial Narrow" w:hAnsi="Arial Narrow"/>
                <w:b/>
                <w:bCs/>
                <w:sz w:val="20"/>
                <w:szCs w:val="20"/>
              </w:rPr>
              <w:br/>
              <w:t>N=3,305</w:t>
            </w:r>
          </w:p>
        </w:tc>
        <w:tc>
          <w:tcPr>
            <w:tcW w:w="1367" w:type="dxa"/>
          </w:tcPr>
          <w:p w14:paraId="79C5FE3E" w14:textId="77777777" w:rsidR="00E1473B" w:rsidRPr="00933708" w:rsidRDefault="00E1473B" w:rsidP="001A7BEE">
            <w:pPr>
              <w:pStyle w:val="TableText"/>
              <w:keepLines/>
              <w:ind w:left="-71" w:right="-62"/>
              <w:jc w:val="center"/>
              <w:rPr>
                <w:b/>
                <w:bCs w:val="0"/>
                <w:szCs w:val="20"/>
              </w:rPr>
            </w:pPr>
            <w:r w:rsidRPr="00933708">
              <w:rPr>
                <w:b/>
                <w:bCs w:val="0"/>
                <w:szCs w:val="20"/>
              </w:rPr>
              <w:t>Hazard ratio</w:t>
            </w:r>
          </w:p>
          <w:p w14:paraId="3BB79898" w14:textId="77777777" w:rsidR="00E1473B" w:rsidRPr="00933708" w:rsidRDefault="00E1473B" w:rsidP="001A7BEE">
            <w:pPr>
              <w:keepNext/>
              <w:keepLines/>
              <w:ind w:left="-71" w:right="-62"/>
              <w:jc w:val="center"/>
              <w:rPr>
                <w:rFonts w:ascii="Arial Narrow" w:hAnsi="Arial Narrow"/>
                <w:sz w:val="20"/>
                <w:szCs w:val="20"/>
              </w:rPr>
            </w:pPr>
            <w:r w:rsidRPr="00933708">
              <w:rPr>
                <w:rFonts w:ascii="Arial Narrow" w:hAnsi="Arial Narrow"/>
                <w:b/>
                <w:bCs/>
                <w:sz w:val="20"/>
                <w:szCs w:val="20"/>
              </w:rPr>
              <w:t>(95% CI)</w:t>
            </w:r>
          </w:p>
        </w:tc>
      </w:tr>
      <w:tr w:rsidR="00E1473B" w:rsidRPr="00933708" w14:paraId="456F4486" w14:textId="77777777" w:rsidTr="00794EFC">
        <w:trPr>
          <w:trHeight w:val="101"/>
        </w:trPr>
        <w:tc>
          <w:tcPr>
            <w:tcW w:w="9017" w:type="dxa"/>
            <w:gridSpan w:val="4"/>
            <w:vAlign w:val="center"/>
          </w:tcPr>
          <w:p w14:paraId="1675EF6F" w14:textId="77777777" w:rsidR="00E1473B" w:rsidRPr="00933708" w:rsidRDefault="00E1473B" w:rsidP="001A7BEE">
            <w:pPr>
              <w:pStyle w:val="TableText"/>
              <w:keepLines/>
              <w:rPr>
                <w:b/>
                <w:bCs w:val="0"/>
                <w:szCs w:val="20"/>
              </w:rPr>
            </w:pPr>
            <w:r w:rsidRPr="00933708">
              <w:rPr>
                <w:b/>
                <w:bCs w:val="0"/>
                <w:szCs w:val="20"/>
              </w:rPr>
              <w:t>Primary composite outcome</w:t>
            </w:r>
          </w:p>
        </w:tc>
      </w:tr>
      <w:tr w:rsidR="00E1473B" w:rsidRPr="00933708" w14:paraId="335DFA2D" w14:textId="77777777" w:rsidTr="00252D01">
        <w:trPr>
          <w:trHeight w:val="101"/>
        </w:trPr>
        <w:tc>
          <w:tcPr>
            <w:tcW w:w="4248" w:type="dxa"/>
            <w:vAlign w:val="center"/>
          </w:tcPr>
          <w:p w14:paraId="58A4A24B" w14:textId="77777777" w:rsidR="00E1473B" w:rsidRPr="00933708" w:rsidRDefault="00E1473B" w:rsidP="001A7BEE">
            <w:pPr>
              <w:pStyle w:val="TableText"/>
              <w:keepLines/>
              <w:tabs>
                <w:tab w:val="right" w:pos="3180"/>
              </w:tabs>
              <w:rPr>
                <w:szCs w:val="20"/>
              </w:rPr>
            </w:pPr>
            <w:r w:rsidRPr="00933708">
              <w:t>CKD progression or CV death</w:t>
            </w:r>
            <w:r w:rsidRPr="00933708">
              <w:rPr>
                <w:szCs w:val="20"/>
              </w:rPr>
              <w:t>, n (%)</w:t>
            </w:r>
          </w:p>
        </w:tc>
        <w:tc>
          <w:tcPr>
            <w:tcW w:w="1701" w:type="dxa"/>
            <w:vAlign w:val="center"/>
          </w:tcPr>
          <w:p w14:paraId="3EF2FA60" w14:textId="77777777" w:rsidR="00E1473B" w:rsidRPr="00933708" w:rsidRDefault="00E1473B" w:rsidP="001A7BEE">
            <w:pPr>
              <w:pStyle w:val="TableText"/>
              <w:keepLines/>
              <w:jc w:val="center"/>
              <w:rPr>
                <w:szCs w:val="20"/>
              </w:rPr>
            </w:pPr>
            <w:r w:rsidRPr="00933708">
              <w:rPr>
                <w:szCs w:val="20"/>
              </w:rPr>
              <w:t>432 (13.1%)</w:t>
            </w:r>
          </w:p>
        </w:tc>
        <w:tc>
          <w:tcPr>
            <w:tcW w:w="1701" w:type="dxa"/>
            <w:vAlign w:val="center"/>
          </w:tcPr>
          <w:p w14:paraId="0A7C1AA2" w14:textId="77777777" w:rsidR="00E1473B" w:rsidRPr="00933708" w:rsidRDefault="00E1473B" w:rsidP="001A7BEE">
            <w:pPr>
              <w:pStyle w:val="TableText"/>
              <w:keepLines/>
              <w:jc w:val="center"/>
              <w:rPr>
                <w:szCs w:val="20"/>
              </w:rPr>
            </w:pPr>
            <w:r w:rsidRPr="00933708">
              <w:rPr>
                <w:szCs w:val="20"/>
              </w:rPr>
              <w:t>558 (16.9%)</w:t>
            </w:r>
          </w:p>
        </w:tc>
        <w:tc>
          <w:tcPr>
            <w:tcW w:w="1367" w:type="dxa"/>
            <w:vAlign w:val="center"/>
          </w:tcPr>
          <w:p w14:paraId="56165F97" w14:textId="77777777" w:rsidR="00E1473B" w:rsidRPr="00933708" w:rsidRDefault="00E1473B" w:rsidP="001A7BEE">
            <w:pPr>
              <w:pStyle w:val="TableText"/>
              <w:keepLines/>
              <w:jc w:val="center"/>
              <w:rPr>
                <w:b/>
                <w:bCs w:val="0"/>
                <w:szCs w:val="20"/>
              </w:rPr>
            </w:pPr>
            <w:bookmarkStart w:id="31" w:name="_Hlk150848328"/>
            <w:r w:rsidRPr="00933708">
              <w:rPr>
                <w:b/>
                <w:bCs w:val="0"/>
                <w:szCs w:val="20"/>
              </w:rPr>
              <w:t>0.72 (0.64, 0.82)</w:t>
            </w:r>
            <w:bookmarkEnd w:id="31"/>
          </w:p>
        </w:tc>
      </w:tr>
      <w:tr w:rsidR="00E1473B" w:rsidRPr="00933708" w14:paraId="11CDB6C6" w14:textId="77777777" w:rsidTr="00794EFC">
        <w:trPr>
          <w:trHeight w:val="101"/>
        </w:trPr>
        <w:tc>
          <w:tcPr>
            <w:tcW w:w="9017" w:type="dxa"/>
            <w:gridSpan w:val="4"/>
            <w:vAlign w:val="center"/>
          </w:tcPr>
          <w:p w14:paraId="37534D6A" w14:textId="77777777" w:rsidR="00E1473B" w:rsidRPr="00933708" w:rsidRDefault="00E1473B" w:rsidP="001A7BEE">
            <w:pPr>
              <w:pStyle w:val="TableText"/>
              <w:keepLines/>
              <w:rPr>
                <w:b/>
                <w:bCs w:val="0"/>
                <w:szCs w:val="20"/>
              </w:rPr>
            </w:pPr>
            <w:r w:rsidRPr="00933708">
              <w:rPr>
                <w:b/>
                <w:bCs w:val="0"/>
                <w:szCs w:val="20"/>
              </w:rPr>
              <w:t>Components</w:t>
            </w:r>
          </w:p>
        </w:tc>
      </w:tr>
      <w:tr w:rsidR="00E1473B" w:rsidRPr="00933708" w14:paraId="250F2BA0" w14:textId="77777777" w:rsidTr="00252D01">
        <w:trPr>
          <w:trHeight w:val="101"/>
        </w:trPr>
        <w:tc>
          <w:tcPr>
            <w:tcW w:w="4248" w:type="dxa"/>
            <w:vAlign w:val="center"/>
          </w:tcPr>
          <w:p w14:paraId="1BE9868D" w14:textId="77777777" w:rsidR="00E1473B" w:rsidRPr="00933708" w:rsidRDefault="00E1473B" w:rsidP="001A7BEE">
            <w:pPr>
              <w:pStyle w:val="TableText"/>
              <w:keepLines/>
              <w:tabs>
                <w:tab w:val="right" w:pos="3180"/>
              </w:tabs>
              <w:rPr>
                <w:szCs w:val="20"/>
              </w:rPr>
            </w:pPr>
            <w:r w:rsidRPr="00933708">
              <w:rPr>
                <w:szCs w:val="20"/>
              </w:rPr>
              <w:t>CKD progression first event, n (%)</w:t>
            </w:r>
          </w:p>
        </w:tc>
        <w:tc>
          <w:tcPr>
            <w:tcW w:w="1701" w:type="dxa"/>
            <w:vAlign w:val="center"/>
          </w:tcPr>
          <w:p w14:paraId="68DB80AC" w14:textId="77777777" w:rsidR="00E1473B" w:rsidRPr="00933708" w:rsidRDefault="00E1473B" w:rsidP="001A7BEE">
            <w:pPr>
              <w:pStyle w:val="TableText"/>
              <w:keepLines/>
              <w:jc w:val="center"/>
              <w:rPr>
                <w:szCs w:val="20"/>
              </w:rPr>
            </w:pPr>
            <w:r w:rsidRPr="00933708">
              <w:rPr>
                <w:szCs w:val="20"/>
              </w:rPr>
              <w:t>384 (11.6%)</w:t>
            </w:r>
          </w:p>
        </w:tc>
        <w:tc>
          <w:tcPr>
            <w:tcW w:w="1701" w:type="dxa"/>
            <w:vAlign w:val="center"/>
          </w:tcPr>
          <w:p w14:paraId="47E44231" w14:textId="77777777" w:rsidR="00E1473B" w:rsidRPr="00933708" w:rsidRDefault="00E1473B" w:rsidP="001A7BEE">
            <w:pPr>
              <w:pStyle w:val="TableText"/>
              <w:keepLines/>
              <w:jc w:val="center"/>
              <w:rPr>
                <w:szCs w:val="20"/>
              </w:rPr>
            </w:pPr>
            <w:r w:rsidRPr="00933708">
              <w:rPr>
                <w:szCs w:val="20"/>
              </w:rPr>
              <w:t>504 (15.2%)</w:t>
            </w:r>
          </w:p>
        </w:tc>
        <w:tc>
          <w:tcPr>
            <w:tcW w:w="1367" w:type="dxa"/>
            <w:vMerge w:val="restart"/>
            <w:vAlign w:val="center"/>
          </w:tcPr>
          <w:p w14:paraId="1ACC275F" w14:textId="77777777" w:rsidR="00E1473B" w:rsidRPr="00933708" w:rsidRDefault="00E1473B" w:rsidP="001A7BEE">
            <w:pPr>
              <w:pStyle w:val="TableText"/>
              <w:keepLines/>
              <w:jc w:val="center"/>
              <w:rPr>
                <w:szCs w:val="20"/>
              </w:rPr>
            </w:pPr>
            <w:r w:rsidRPr="00933708">
              <w:rPr>
                <w:szCs w:val="20"/>
              </w:rPr>
              <w:t>-</w:t>
            </w:r>
          </w:p>
        </w:tc>
      </w:tr>
      <w:tr w:rsidR="00E1473B" w:rsidRPr="00933708" w14:paraId="21CDC276" w14:textId="77777777" w:rsidTr="00252D01">
        <w:trPr>
          <w:trHeight w:val="101"/>
        </w:trPr>
        <w:tc>
          <w:tcPr>
            <w:tcW w:w="4248" w:type="dxa"/>
            <w:vAlign w:val="center"/>
          </w:tcPr>
          <w:p w14:paraId="520950DF" w14:textId="77777777" w:rsidR="00E1473B" w:rsidRPr="00933708" w:rsidRDefault="00E1473B" w:rsidP="00461569">
            <w:pPr>
              <w:pStyle w:val="TableText"/>
              <w:keepLines/>
              <w:numPr>
                <w:ilvl w:val="0"/>
                <w:numId w:val="10"/>
              </w:numPr>
              <w:ind w:left="172" w:hanging="113"/>
            </w:pPr>
            <w:r w:rsidRPr="00933708">
              <w:t>ESKD, n (%)</w:t>
            </w:r>
          </w:p>
        </w:tc>
        <w:tc>
          <w:tcPr>
            <w:tcW w:w="1701" w:type="dxa"/>
            <w:vAlign w:val="center"/>
          </w:tcPr>
          <w:p w14:paraId="4A705A3F" w14:textId="77777777" w:rsidR="00E1473B" w:rsidRPr="00933708" w:rsidRDefault="00E1473B" w:rsidP="001A7BEE">
            <w:pPr>
              <w:pStyle w:val="TableText"/>
              <w:keepLines/>
              <w:jc w:val="center"/>
              <w:rPr>
                <w:szCs w:val="20"/>
              </w:rPr>
            </w:pPr>
            <w:r w:rsidRPr="00933708">
              <w:rPr>
                <w:szCs w:val="20"/>
              </w:rPr>
              <w:t>47 (1.3%)</w:t>
            </w:r>
          </w:p>
        </w:tc>
        <w:tc>
          <w:tcPr>
            <w:tcW w:w="1701" w:type="dxa"/>
            <w:vAlign w:val="center"/>
          </w:tcPr>
          <w:p w14:paraId="5342F78E" w14:textId="77777777" w:rsidR="00E1473B" w:rsidRPr="00933708" w:rsidRDefault="00E1473B" w:rsidP="001A7BEE">
            <w:pPr>
              <w:pStyle w:val="TableText"/>
              <w:keepLines/>
              <w:jc w:val="center"/>
              <w:rPr>
                <w:szCs w:val="20"/>
              </w:rPr>
            </w:pPr>
            <w:r w:rsidRPr="00933708">
              <w:rPr>
                <w:szCs w:val="20"/>
              </w:rPr>
              <w:t>63 (1.9%)</w:t>
            </w:r>
          </w:p>
        </w:tc>
        <w:tc>
          <w:tcPr>
            <w:tcW w:w="1367" w:type="dxa"/>
            <w:vMerge/>
            <w:vAlign w:val="center"/>
          </w:tcPr>
          <w:p w14:paraId="4B1FE62A" w14:textId="77777777" w:rsidR="00E1473B" w:rsidRPr="00933708" w:rsidRDefault="00E1473B" w:rsidP="001A7BEE">
            <w:pPr>
              <w:pStyle w:val="TableText"/>
              <w:keepLines/>
              <w:jc w:val="center"/>
              <w:rPr>
                <w:szCs w:val="20"/>
              </w:rPr>
            </w:pPr>
          </w:p>
        </w:tc>
      </w:tr>
      <w:tr w:rsidR="00E1473B" w:rsidRPr="00933708" w14:paraId="22BF86C1" w14:textId="77777777" w:rsidTr="00252D01">
        <w:trPr>
          <w:trHeight w:val="101"/>
        </w:trPr>
        <w:tc>
          <w:tcPr>
            <w:tcW w:w="4248" w:type="dxa"/>
          </w:tcPr>
          <w:p w14:paraId="6DA9DD3D" w14:textId="25EBD7C6" w:rsidR="00E1473B" w:rsidRPr="00933708" w:rsidRDefault="00E1473B" w:rsidP="00461569">
            <w:pPr>
              <w:pStyle w:val="TableText"/>
              <w:keepLines/>
              <w:numPr>
                <w:ilvl w:val="0"/>
                <w:numId w:val="10"/>
              </w:numPr>
              <w:ind w:left="172" w:hanging="113"/>
            </w:pPr>
            <w:r w:rsidRPr="00933708">
              <w:t>eGFR reduced &lt;10 mL/min/1.73 m</w:t>
            </w:r>
            <w:r w:rsidRPr="00933708">
              <w:rPr>
                <w:vertAlign w:val="superscript"/>
              </w:rPr>
              <w:t>2</w:t>
            </w:r>
            <w:r w:rsidRPr="00933708">
              <w:t xml:space="preserve"> </w:t>
            </w:r>
            <w:r w:rsidR="00954564" w:rsidRPr="00933708">
              <w:t xml:space="preserve">and </w:t>
            </w:r>
            <w:r w:rsidRPr="00933708">
              <w:t>≥40%</w:t>
            </w:r>
          </w:p>
        </w:tc>
        <w:tc>
          <w:tcPr>
            <w:tcW w:w="1701" w:type="dxa"/>
          </w:tcPr>
          <w:p w14:paraId="28996C17" w14:textId="77777777" w:rsidR="00E1473B" w:rsidRPr="00933708" w:rsidRDefault="00E1473B" w:rsidP="001A7BEE">
            <w:pPr>
              <w:pStyle w:val="TableText"/>
              <w:keepLines/>
              <w:jc w:val="center"/>
              <w:rPr>
                <w:szCs w:val="20"/>
              </w:rPr>
            </w:pPr>
            <w:r w:rsidRPr="00933708">
              <w:t>43 (1.3%)</w:t>
            </w:r>
          </w:p>
        </w:tc>
        <w:tc>
          <w:tcPr>
            <w:tcW w:w="1701" w:type="dxa"/>
          </w:tcPr>
          <w:p w14:paraId="20D47CCF" w14:textId="77777777" w:rsidR="00E1473B" w:rsidRPr="00933708" w:rsidRDefault="00E1473B" w:rsidP="001A7BEE">
            <w:pPr>
              <w:pStyle w:val="TableText"/>
              <w:keepLines/>
              <w:jc w:val="center"/>
              <w:rPr>
                <w:szCs w:val="20"/>
              </w:rPr>
            </w:pPr>
            <w:r w:rsidRPr="00933708">
              <w:t>67 (2.0%)</w:t>
            </w:r>
          </w:p>
        </w:tc>
        <w:tc>
          <w:tcPr>
            <w:tcW w:w="1367" w:type="dxa"/>
            <w:vMerge/>
            <w:vAlign w:val="center"/>
          </w:tcPr>
          <w:p w14:paraId="12C4CB7F" w14:textId="77777777" w:rsidR="00E1473B" w:rsidRPr="00933708" w:rsidRDefault="00E1473B" w:rsidP="001A7BEE">
            <w:pPr>
              <w:pStyle w:val="TableText"/>
              <w:keepLines/>
              <w:jc w:val="center"/>
              <w:rPr>
                <w:szCs w:val="20"/>
              </w:rPr>
            </w:pPr>
          </w:p>
        </w:tc>
      </w:tr>
      <w:tr w:rsidR="00E1473B" w:rsidRPr="00933708" w14:paraId="2B181B33" w14:textId="77777777" w:rsidTr="00252D01">
        <w:trPr>
          <w:trHeight w:val="101"/>
        </w:trPr>
        <w:tc>
          <w:tcPr>
            <w:tcW w:w="4248" w:type="dxa"/>
          </w:tcPr>
          <w:p w14:paraId="28A155C2" w14:textId="77777777" w:rsidR="00E1473B" w:rsidRPr="00933708" w:rsidRDefault="00E1473B" w:rsidP="00461569">
            <w:pPr>
              <w:pStyle w:val="TableText"/>
              <w:keepLines/>
              <w:numPr>
                <w:ilvl w:val="0"/>
                <w:numId w:val="10"/>
              </w:numPr>
              <w:ind w:left="172" w:hanging="113"/>
            </w:pPr>
            <w:r w:rsidRPr="00933708">
              <w:t>eGFR reduced to 10 mL/min/1.73 m</w:t>
            </w:r>
            <w:r w:rsidRPr="00933708">
              <w:rPr>
                <w:vertAlign w:val="superscript"/>
              </w:rPr>
              <w:t>2</w:t>
            </w:r>
            <w:r w:rsidRPr="00933708">
              <w:t xml:space="preserve"> </w:t>
            </w:r>
          </w:p>
        </w:tc>
        <w:tc>
          <w:tcPr>
            <w:tcW w:w="1701" w:type="dxa"/>
          </w:tcPr>
          <w:p w14:paraId="5063BD6E" w14:textId="77777777" w:rsidR="00E1473B" w:rsidRPr="00933708" w:rsidRDefault="00E1473B" w:rsidP="001A7BEE">
            <w:pPr>
              <w:pStyle w:val="TableText"/>
              <w:keepLines/>
              <w:jc w:val="center"/>
              <w:rPr>
                <w:szCs w:val="20"/>
              </w:rPr>
            </w:pPr>
            <w:r w:rsidRPr="00933708">
              <w:t>1 (&lt;0.1%)</w:t>
            </w:r>
          </w:p>
        </w:tc>
        <w:tc>
          <w:tcPr>
            <w:tcW w:w="1701" w:type="dxa"/>
          </w:tcPr>
          <w:p w14:paraId="1D670984" w14:textId="77777777" w:rsidR="00E1473B" w:rsidRPr="00933708" w:rsidRDefault="00E1473B" w:rsidP="001A7BEE">
            <w:pPr>
              <w:pStyle w:val="TableText"/>
              <w:keepLines/>
              <w:jc w:val="center"/>
              <w:rPr>
                <w:szCs w:val="20"/>
              </w:rPr>
            </w:pPr>
            <w:r w:rsidRPr="00933708">
              <w:t>1 (&lt;0.1%)</w:t>
            </w:r>
          </w:p>
        </w:tc>
        <w:tc>
          <w:tcPr>
            <w:tcW w:w="1367" w:type="dxa"/>
            <w:vMerge/>
            <w:vAlign w:val="center"/>
          </w:tcPr>
          <w:p w14:paraId="14E4DDA7" w14:textId="77777777" w:rsidR="00E1473B" w:rsidRPr="00933708" w:rsidRDefault="00E1473B" w:rsidP="001A7BEE">
            <w:pPr>
              <w:pStyle w:val="TableText"/>
              <w:keepLines/>
              <w:jc w:val="center"/>
              <w:rPr>
                <w:szCs w:val="20"/>
              </w:rPr>
            </w:pPr>
          </w:p>
        </w:tc>
      </w:tr>
      <w:tr w:rsidR="00E1473B" w:rsidRPr="00933708" w14:paraId="3545EF3A" w14:textId="77777777" w:rsidTr="00252D01">
        <w:trPr>
          <w:trHeight w:val="101"/>
        </w:trPr>
        <w:tc>
          <w:tcPr>
            <w:tcW w:w="4248" w:type="dxa"/>
            <w:vAlign w:val="center"/>
          </w:tcPr>
          <w:p w14:paraId="56D82A99" w14:textId="77777777" w:rsidR="00E1473B" w:rsidRPr="00933708" w:rsidRDefault="00E1473B" w:rsidP="00461569">
            <w:pPr>
              <w:pStyle w:val="TableText"/>
              <w:keepLines/>
              <w:numPr>
                <w:ilvl w:val="0"/>
                <w:numId w:val="10"/>
              </w:numPr>
              <w:ind w:left="172" w:hanging="113"/>
            </w:pPr>
            <w:r w:rsidRPr="00933708">
              <w:t>eGFR reduction ≥40% only</w:t>
            </w:r>
          </w:p>
        </w:tc>
        <w:tc>
          <w:tcPr>
            <w:tcW w:w="1701" w:type="dxa"/>
            <w:vAlign w:val="center"/>
          </w:tcPr>
          <w:p w14:paraId="3DE71CD4" w14:textId="77777777" w:rsidR="00E1473B" w:rsidRPr="00933708" w:rsidRDefault="00E1473B" w:rsidP="001A7BEE">
            <w:pPr>
              <w:pStyle w:val="TableText"/>
              <w:keepLines/>
              <w:jc w:val="center"/>
              <w:rPr>
                <w:szCs w:val="20"/>
              </w:rPr>
            </w:pPr>
            <w:r w:rsidRPr="00933708">
              <w:rPr>
                <w:szCs w:val="20"/>
              </w:rPr>
              <w:t>293 (8.9%)</w:t>
            </w:r>
          </w:p>
        </w:tc>
        <w:tc>
          <w:tcPr>
            <w:tcW w:w="1701" w:type="dxa"/>
            <w:vAlign w:val="center"/>
          </w:tcPr>
          <w:p w14:paraId="6649C469" w14:textId="77777777" w:rsidR="00E1473B" w:rsidRPr="00933708" w:rsidRDefault="00E1473B" w:rsidP="001A7BEE">
            <w:pPr>
              <w:pStyle w:val="TableText"/>
              <w:keepLines/>
              <w:jc w:val="center"/>
              <w:rPr>
                <w:szCs w:val="20"/>
              </w:rPr>
            </w:pPr>
            <w:r w:rsidRPr="00933708">
              <w:rPr>
                <w:szCs w:val="20"/>
              </w:rPr>
              <w:t>373 (11.3%)</w:t>
            </w:r>
          </w:p>
        </w:tc>
        <w:tc>
          <w:tcPr>
            <w:tcW w:w="1367" w:type="dxa"/>
            <w:vMerge/>
            <w:vAlign w:val="center"/>
          </w:tcPr>
          <w:p w14:paraId="3700D05A" w14:textId="77777777" w:rsidR="00E1473B" w:rsidRPr="00933708" w:rsidRDefault="00E1473B" w:rsidP="001A7BEE">
            <w:pPr>
              <w:pStyle w:val="TableText"/>
              <w:keepLines/>
              <w:jc w:val="center"/>
              <w:rPr>
                <w:szCs w:val="20"/>
              </w:rPr>
            </w:pPr>
          </w:p>
        </w:tc>
      </w:tr>
      <w:tr w:rsidR="00E1473B" w:rsidRPr="00933708" w14:paraId="4CD34EFC" w14:textId="77777777" w:rsidTr="00252D01">
        <w:tc>
          <w:tcPr>
            <w:tcW w:w="4248" w:type="dxa"/>
            <w:vAlign w:val="center"/>
          </w:tcPr>
          <w:p w14:paraId="56F75870" w14:textId="77777777" w:rsidR="00E1473B" w:rsidRPr="00933708" w:rsidRDefault="00E1473B" w:rsidP="001A7BEE">
            <w:pPr>
              <w:keepNext/>
              <w:keepLines/>
              <w:tabs>
                <w:tab w:val="right" w:pos="3180"/>
              </w:tabs>
              <w:rPr>
                <w:rFonts w:ascii="Arial Narrow" w:hAnsi="Arial Narrow"/>
                <w:sz w:val="20"/>
                <w:szCs w:val="20"/>
              </w:rPr>
            </w:pPr>
            <w:r w:rsidRPr="00933708">
              <w:rPr>
                <w:rFonts w:ascii="Arial Narrow" w:hAnsi="Arial Narrow"/>
                <w:sz w:val="20"/>
                <w:szCs w:val="20"/>
              </w:rPr>
              <w:t>CV death first event, n (%)</w:t>
            </w:r>
          </w:p>
        </w:tc>
        <w:tc>
          <w:tcPr>
            <w:tcW w:w="1701" w:type="dxa"/>
            <w:vAlign w:val="center"/>
          </w:tcPr>
          <w:p w14:paraId="6A08AEC1" w14:textId="77777777" w:rsidR="00E1473B" w:rsidRPr="00933708" w:rsidRDefault="00E1473B" w:rsidP="001A7BEE">
            <w:pPr>
              <w:keepNext/>
              <w:keepLines/>
              <w:ind w:left="-74" w:right="-62"/>
              <w:jc w:val="center"/>
              <w:rPr>
                <w:rFonts w:ascii="Arial Narrow" w:hAnsi="Arial Narrow"/>
                <w:sz w:val="20"/>
                <w:szCs w:val="20"/>
              </w:rPr>
            </w:pPr>
            <w:r w:rsidRPr="00933708">
              <w:rPr>
                <w:rFonts w:ascii="Arial Narrow" w:hAnsi="Arial Narrow"/>
                <w:sz w:val="20"/>
                <w:szCs w:val="20"/>
              </w:rPr>
              <w:t>48 (1.5%)</w:t>
            </w:r>
          </w:p>
        </w:tc>
        <w:tc>
          <w:tcPr>
            <w:tcW w:w="1701" w:type="dxa"/>
            <w:vAlign w:val="center"/>
          </w:tcPr>
          <w:p w14:paraId="6A251BCB" w14:textId="77777777" w:rsidR="00E1473B" w:rsidRPr="00933708" w:rsidRDefault="00E1473B" w:rsidP="001A7BEE">
            <w:pPr>
              <w:keepNext/>
              <w:keepLines/>
              <w:ind w:left="-74" w:right="-62"/>
              <w:jc w:val="center"/>
              <w:rPr>
                <w:rFonts w:ascii="Arial Narrow" w:hAnsi="Arial Narrow"/>
                <w:sz w:val="20"/>
                <w:szCs w:val="20"/>
              </w:rPr>
            </w:pPr>
            <w:r w:rsidRPr="00933708">
              <w:rPr>
                <w:rFonts w:ascii="Arial Narrow" w:hAnsi="Arial Narrow"/>
                <w:sz w:val="20"/>
                <w:szCs w:val="20"/>
              </w:rPr>
              <w:t>54 (1.6%)</w:t>
            </w:r>
          </w:p>
        </w:tc>
        <w:tc>
          <w:tcPr>
            <w:tcW w:w="1367" w:type="dxa"/>
            <w:vMerge/>
            <w:vAlign w:val="center"/>
          </w:tcPr>
          <w:p w14:paraId="2CA83A5A" w14:textId="77777777" w:rsidR="00E1473B" w:rsidRPr="00933708" w:rsidRDefault="00E1473B" w:rsidP="001A7BEE">
            <w:pPr>
              <w:keepNext/>
              <w:keepLines/>
              <w:ind w:left="-74" w:right="-62"/>
              <w:jc w:val="center"/>
              <w:rPr>
                <w:rFonts w:ascii="Arial Narrow" w:hAnsi="Arial Narrow"/>
                <w:sz w:val="20"/>
                <w:szCs w:val="20"/>
              </w:rPr>
            </w:pPr>
          </w:p>
        </w:tc>
      </w:tr>
    </w:tbl>
    <w:p w14:paraId="6189ED8A" w14:textId="77777777" w:rsidR="00E1473B" w:rsidRPr="00933708" w:rsidRDefault="00E1473B" w:rsidP="001A7BEE">
      <w:pPr>
        <w:pStyle w:val="TableFigureFooter"/>
        <w:keepNext/>
        <w:keepLines/>
      </w:pPr>
      <w:r w:rsidRPr="00933708">
        <w:t xml:space="preserve">Source: Table 2.13, pp103-104 of the submission. </w:t>
      </w:r>
    </w:p>
    <w:p w14:paraId="036AB8BA" w14:textId="77777777" w:rsidR="00E1473B" w:rsidRPr="00933708" w:rsidRDefault="00E1473B" w:rsidP="001A7BEE">
      <w:pPr>
        <w:pStyle w:val="TableFigureFooter"/>
        <w:keepNext/>
        <w:keepLines/>
      </w:pPr>
      <w:r w:rsidRPr="00933708">
        <w:t xml:space="preserve">Abbreviations: CI, confidence interval; CKD, chronic kidney disease; CV, cardiovascular; eGFR, estimated glomerular filtration rate; ESKD, end-stage kidney disease; ITT, intention-to-treat; NR, not reported; SC, standard care. </w:t>
      </w:r>
    </w:p>
    <w:p w14:paraId="303D7922" w14:textId="77777777" w:rsidR="00E1473B" w:rsidRPr="00933708" w:rsidRDefault="00E1473B" w:rsidP="00E1473B">
      <w:pPr>
        <w:pStyle w:val="TableFigureFooter"/>
      </w:pPr>
      <w:r w:rsidRPr="00933708">
        <w:t>Note: Statistically significant results in bold.</w:t>
      </w:r>
    </w:p>
    <w:p w14:paraId="2F7EAC1D" w14:textId="43615ABF" w:rsidR="00583342" w:rsidRPr="00933708" w:rsidRDefault="00583342" w:rsidP="007C4C88">
      <w:pPr>
        <w:pStyle w:val="ListParagraph"/>
        <w:numPr>
          <w:ilvl w:val="1"/>
          <w:numId w:val="1"/>
        </w:numPr>
        <w:ind w:left="720" w:hanging="720"/>
      </w:pPr>
      <w:r w:rsidRPr="00933708">
        <w:t xml:space="preserve">Treatment with empagliflozin </w:t>
      </w:r>
      <w:r w:rsidR="006E5622" w:rsidRPr="00933708">
        <w:t>plus</w:t>
      </w:r>
      <w:r w:rsidRPr="00933708">
        <w:t xml:space="preserve"> standard care was associated with a statistically significant improvement in the composite outcome of time to first CKD progression or cardiovascular death compared to placebo </w:t>
      </w:r>
      <w:r w:rsidR="006E5622" w:rsidRPr="00933708">
        <w:t>plus</w:t>
      </w:r>
      <w:r w:rsidRPr="00933708">
        <w:t xml:space="preserve"> standard care, over a median duration of follow-up of 24.33 months. This difference was primarily driven by a reduction in CKD progression in patients experiencing a sustained ≥40% relative decrease in eGFR from baseline</w:t>
      </w:r>
      <w:r w:rsidR="009568DD" w:rsidRPr="00933708">
        <w:t xml:space="preserve"> (2.4% of the overall difference of 3.8% in the primary composite outcome)</w:t>
      </w:r>
      <w:r w:rsidRPr="00933708">
        <w:t>.</w:t>
      </w:r>
    </w:p>
    <w:p w14:paraId="5FD37E1F" w14:textId="12EEB886" w:rsidR="00E723B0" w:rsidRPr="00933708" w:rsidRDefault="00E723B0" w:rsidP="007C4C88">
      <w:pPr>
        <w:pStyle w:val="ListParagraph"/>
        <w:numPr>
          <w:ilvl w:val="1"/>
          <w:numId w:val="1"/>
        </w:numPr>
        <w:ind w:left="720" w:hanging="720"/>
        <w:rPr>
          <w:color w:val="0066FF"/>
        </w:rPr>
      </w:pPr>
      <w:r w:rsidRPr="00933708">
        <w:fldChar w:fldCharType="begin"/>
      </w:r>
      <w:r w:rsidRPr="00933708">
        <w:instrText xml:space="preserve"> REF _Ref144729535 \h </w:instrText>
      </w:r>
      <w:r w:rsidR="007C4C88" w:rsidRPr="00933708">
        <w:instrText xml:space="preserve"> \* MERGEFORMAT </w:instrText>
      </w:r>
      <w:r w:rsidRPr="00933708">
        <w:fldChar w:fldCharType="separate"/>
      </w:r>
      <w:r w:rsidR="00D5135E" w:rsidRPr="00933708">
        <w:t xml:space="preserve">Table </w:t>
      </w:r>
      <w:r w:rsidR="00D5135E">
        <w:t>6</w:t>
      </w:r>
      <w:r w:rsidRPr="00933708">
        <w:fldChar w:fldCharType="end"/>
      </w:r>
      <w:r w:rsidRPr="00933708">
        <w:t xml:space="preserve"> summarises the results of key secondary outcomes in the EMPA-KIDNEY trial.</w:t>
      </w:r>
    </w:p>
    <w:p w14:paraId="51A0F55B" w14:textId="2521552D" w:rsidR="00410184" w:rsidRPr="00933708" w:rsidRDefault="00410184" w:rsidP="00410184">
      <w:pPr>
        <w:pStyle w:val="COMTableheadingrow"/>
        <w:rPr>
          <w:lang w:val="en-AU"/>
        </w:rPr>
      </w:pPr>
      <w:bookmarkStart w:id="32" w:name="_Ref144729535"/>
      <w:r w:rsidRPr="00933708">
        <w:rPr>
          <w:lang w:val="en-AU"/>
        </w:rPr>
        <w:t xml:space="preserve">Table </w:t>
      </w:r>
      <w:r w:rsidRPr="00251484">
        <w:rPr>
          <w:lang w:val="en-AU"/>
        </w:rPr>
        <w:fldChar w:fldCharType="begin"/>
      </w:r>
      <w:r w:rsidRPr="00933708">
        <w:rPr>
          <w:lang w:val="en-AU"/>
        </w:rPr>
        <w:instrText xml:space="preserve"> SEQ Table \* ARABIC </w:instrText>
      </w:r>
      <w:r w:rsidRPr="00251484">
        <w:rPr>
          <w:lang w:val="en-AU"/>
        </w:rPr>
        <w:fldChar w:fldCharType="separate"/>
      </w:r>
      <w:r w:rsidR="00D5135E">
        <w:rPr>
          <w:noProof/>
          <w:lang w:val="en-AU"/>
        </w:rPr>
        <w:t>6</w:t>
      </w:r>
      <w:r w:rsidRPr="00251484">
        <w:rPr>
          <w:lang w:val="en-AU"/>
        </w:rPr>
        <w:fldChar w:fldCharType="end"/>
      </w:r>
      <w:bookmarkEnd w:id="32"/>
      <w:r w:rsidRPr="00933708">
        <w:rPr>
          <w:lang w:val="en-AU"/>
        </w:rPr>
        <w:t>: Results for key secondary outcomes in EMPA-KIDNEY (ITT)</w:t>
      </w:r>
    </w:p>
    <w:tbl>
      <w:tblPr>
        <w:tblStyle w:val="TableGrid"/>
        <w:tblW w:w="5000" w:type="pct"/>
        <w:tblLook w:val="04A0" w:firstRow="1" w:lastRow="0" w:firstColumn="1" w:lastColumn="0" w:noHBand="0" w:noVBand="1"/>
      </w:tblPr>
      <w:tblGrid>
        <w:gridCol w:w="3539"/>
        <w:gridCol w:w="1826"/>
        <w:gridCol w:w="1826"/>
        <w:gridCol w:w="1826"/>
      </w:tblGrid>
      <w:tr w:rsidR="00410184" w:rsidRPr="00933708" w14:paraId="02E071A1" w14:textId="77777777" w:rsidTr="00794EFC">
        <w:trPr>
          <w:tblHeader/>
        </w:trPr>
        <w:tc>
          <w:tcPr>
            <w:tcW w:w="3539" w:type="dxa"/>
            <w:tcBorders>
              <w:bottom w:val="single" w:sz="4" w:space="0" w:color="auto"/>
            </w:tcBorders>
            <w:vAlign w:val="center"/>
          </w:tcPr>
          <w:p w14:paraId="26F17E6D" w14:textId="77777777" w:rsidR="00410184" w:rsidRPr="00933708" w:rsidRDefault="00410184" w:rsidP="00794EFC">
            <w:pPr>
              <w:tabs>
                <w:tab w:val="right" w:pos="3180"/>
              </w:tabs>
              <w:rPr>
                <w:rFonts w:ascii="Arial Narrow" w:hAnsi="Arial Narrow"/>
                <w:sz w:val="20"/>
                <w:szCs w:val="20"/>
              </w:rPr>
            </w:pPr>
            <w:r w:rsidRPr="00933708">
              <w:rPr>
                <w:rFonts w:ascii="Arial Narrow" w:hAnsi="Arial Narrow"/>
                <w:b/>
                <w:bCs/>
                <w:sz w:val="20"/>
                <w:szCs w:val="20"/>
              </w:rPr>
              <w:t>Outcome</w:t>
            </w:r>
          </w:p>
        </w:tc>
        <w:tc>
          <w:tcPr>
            <w:tcW w:w="1826" w:type="dxa"/>
            <w:tcBorders>
              <w:bottom w:val="single" w:sz="4" w:space="0" w:color="auto"/>
            </w:tcBorders>
          </w:tcPr>
          <w:p w14:paraId="198BDCCA" w14:textId="77777777" w:rsidR="00410184" w:rsidRPr="00933708" w:rsidRDefault="00410184" w:rsidP="00794EFC">
            <w:pPr>
              <w:pStyle w:val="TableText"/>
              <w:ind w:left="-71" w:right="-62"/>
              <w:jc w:val="center"/>
              <w:rPr>
                <w:b/>
                <w:bCs w:val="0"/>
                <w:szCs w:val="20"/>
              </w:rPr>
            </w:pPr>
            <w:r w:rsidRPr="00933708">
              <w:rPr>
                <w:b/>
                <w:bCs w:val="0"/>
                <w:szCs w:val="20"/>
              </w:rPr>
              <w:t>Empagliflozin + SC</w:t>
            </w:r>
          </w:p>
          <w:p w14:paraId="25A1E5E9" w14:textId="77777777" w:rsidR="00410184" w:rsidRPr="00933708" w:rsidRDefault="00410184" w:rsidP="00794EFC">
            <w:pPr>
              <w:ind w:left="-71" w:right="-62"/>
              <w:jc w:val="center"/>
              <w:rPr>
                <w:rFonts w:ascii="Arial Narrow" w:hAnsi="Arial Narrow"/>
                <w:sz w:val="20"/>
                <w:szCs w:val="20"/>
              </w:rPr>
            </w:pPr>
            <w:r w:rsidRPr="00933708">
              <w:rPr>
                <w:rFonts w:ascii="Arial Narrow" w:hAnsi="Arial Narrow"/>
                <w:b/>
                <w:bCs/>
                <w:sz w:val="20"/>
                <w:szCs w:val="20"/>
              </w:rPr>
              <w:t>N=3,304</w:t>
            </w:r>
          </w:p>
        </w:tc>
        <w:tc>
          <w:tcPr>
            <w:tcW w:w="1826" w:type="dxa"/>
            <w:tcBorders>
              <w:bottom w:val="single" w:sz="4" w:space="0" w:color="auto"/>
            </w:tcBorders>
          </w:tcPr>
          <w:p w14:paraId="4EFDDBC8" w14:textId="77777777" w:rsidR="00410184" w:rsidRPr="00933708" w:rsidRDefault="00410184" w:rsidP="00794EFC">
            <w:pPr>
              <w:ind w:left="-71" w:right="-62"/>
              <w:jc w:val="center"/>
              <w:rPr>
                <w:rFonts w:ascii="Arial Narrow" w:hAnsi="Arial Narrow"/>
                <w:sz w:val="20"/>
                <w:szCs w:val="20"/>
              </w:rPr>
            </w:pPr>
            <w:r w:rsidRPr="00933708">
              <w:rPr>
                <w:rFonts w:ascii="Arial Narrow" w:hAnsi="Arial Narrow"/>
                <w:b/>
                <w:bCs/>
                <w:sz w:val="20"/>
                <w:szCs w:val="20"/>
              </w:rPr>
              <w:t>Placebo + SC</w:t>
            </w:r>
            <w:r w:rsidRPr="00933708">
              <w:rPr>
                <w:rFonts w:ascii="Arial Narrow" w:hAnsi="Arial Narrow"/>
                <w:b/>
                <w:bCs/>
                <w:sz w:val="20"/>
                <w:szCs w:val="20"/>
              </w:rPr>
              <w:br/>
              <w:t>N=3,305</w:t>
            </w:r>
          </w:p>
        </w:tc>
        <w:tc>
          <w:tcPr>
            <w:tcW w:w="1826" w:type="dxa"/>
            <w:tcBorders>
              <w:bottom w:val="single" w:sz="4" w:space="0" w:color="auto"/>
            </w:tcBorders>
          </w:tcPr>
          <w:p w14:paraId="7BE57413" w14:textId="77777777" w:rsidR="00410184" w:rsidRPr="00933708" w:rsidRDefault="00410184" w:rsidP="00794EFC">
            <w:pPr>
              <w:pStyle w:val="TableText"/>
              <w:ind w:left="-71" w:right="-62"/>
              <w:jc w:val="center"/>
              <w:rPr>
                <w:b/>
                <w:bCs w:val="0"/>
                <w:szCs w:val="20"/>
              </w:rPr>
            </w:pPr>
            <w:r w:rsidRPr="00933708">
              <w:rPr>
                <w:b/>
                <w:bCs w:val="0"/>
                <w:szCs w:val="20"/>
              </w:rPr>
              <w:t>Hazard ratio</w:t>
            </w:r>
          </w:p>
          <w:p w14:paraId="2CA2F6BD" w14:textId="77777777" w:rsidR="00410184" w:rsidRPr="00933708" w:rsidRDefault="00410184" w:rsidP="00794EFC">
            <w:pPr>
              <w:ind w:left="-71" w:right="-62"/>
              <w:jc w:val="center"/>
              <w:rPr>
                <w:rFonts w:ascii="Arial Narrow" w:hAnsi="Arial Narrow"/>
                <w:sz w:val="20"/>
                <w:szCs w:val="20"/>
              </w:rPr>
            </w:pPr>
            <w:r w:rsidRPr="00933708">
              <w:rPr>
                <w:rFonts w:ascii="Arial Narrow" w:hAnsi="Arial Narrow"/>
                <w:b/>
                <w:bCs/>
                <w:sz w:val="20"/>
                <w:szCs w:val="20"/>
              </w:rPr>
              <w:t>(95% CI)</w:t>
            </w:r>
          </w:p>
        </w:tc>
      </w:tr>
      <w:tr w:rsidR="00410184" w:rsidRPr="00933708" w14:paraId="69C464FF" w14:textId="77777777" w:rsidTr="00794EFC">
        <w:trPr>
          <w:trHeight w:val="101"/>
        </w:trPr>
        <w:tc>
          <w:tcPr>
            <w:tcW w:w="3539" w:type="dxa"/>
            <w:vAlign w:val="center"/>
          </w:tcPr>
          <w:p w14:paraId="7773CD1B" w14:textId="77777777" w:rsidR="00410184" w:rsidRPr="00933708" w:rsidRDefault="00410184" w:rsidP="00794EFC">
            <w:pPr>
              <w:pStyle w:val="TableText"/>
              <w:tabs>
                <w:tab w:val="right" w:pos="3180"/>
              </w:tabs>
              <w:rPr>
                <w:szCs w:val="20"/>
              </w:rPr>
            </w:pPr>
            <w:r w:rsidRPr="00933708">
              <w:rPr>
                <w:szCs w:val="20"/>
              </w:rPr>
              <w:t>Time to first CKD progression, n (%)</w:t>
            </w:r>
          </w:p>
        </w:tc>
        <w:tc>
          <w:tcPr>
            <w:tcW w:w="1826" w:type="dxa"/>
            <w:vAlign w:val="center"/>
          </w:tcPr>
          <w:p w14:paraId="309077AD" w14:textId="77777777" w:rsidR="00410184" w:rsidRPr="00933708" w:rsidRDefault="00410184" w:rsidP="00794EFC">
            <w:pPr>
              <w:pStyle w:val="TableText"/>
              <w:jc w:val="center"/>
            </w:pPr>
            <w:r w:rsidRPr="00933708">
              <w:t>384 (11.6)</w:t>
            </w:r>
          </w:p>
        </w:tc>
        <w:tc>
          <w:tcPr>
            <w:tcW w:w="1826" w:type="dxa"/>
            <w:vAlign w:val="center"/>
          </w:tcPr>
          <w:p w14:paraId="314C03C9" w14:textId="77777777" w:rsidR="00410184" w:rsidRPr="00933708" w:rsidRDefault="00410184" w:rsidP="00794EFC">
            <w:pPr>
              <w:pStyle w:val="TableText"/>
              <w:jc w:val="center"/>
            </w:pPr>
            <w:r w:rsidRPr="00933708">
              <w:t>504 (15.2)</w:t>
            </w:r>
          </w:p>
        </w:tc>
        <w:tc>
          <w:tcPr>
            <w:tcW w:w="1826" w:type="dxa"/>
            <w:vAlign w:val="center"/>
          </w:tcPr>
          <w:p w14:paraId="4C3A0AFD" w14:textId="77777777" w:rsidR="00410184" w:rsidRPr="00933708" w:rsidRDefault="00410184" w:rsidP="00794EFC">
            <w:pPr>
              <w:pStyle w:val="TableText"/>
              <w:jc w:val="center"/>
              <w:rPr>
                <w:b/>
                <w:bCs w:val="0"/>
                <w:szCs w:val="20"/>
              </w:rPr>
            </w:pPr>
            <w:r w:rsidRPr="00933708">
              <w:rPr>
                <w:b/>
                <w:bCs w:val="0"/>
                <w:szCs w:val="20"/>
              </w:rPr>
              <w:t>0.71 (0.62, 0.81)</w:t>
            </w:r>
          </w:p>
        </w:tc>
      </w:tr>
      <w:tr w:rsidR="00410184" w:rsidRPr="00933708" w14:paraId="17688AB1" w14:textId="77777777" w:rsidTr="00794EFC">
        <w:trPr>
          <w:trHeight w:val="101"/>
        </w:trPr>
        <w:tc>
          <w:tcPr>
            <w:tcW w:w="3539" w:type="dxa"/>
            <w:vAlign w:val="center"/>
          </w:tcPr>
          <w:p w14:paraId="2E6389B7" w14:textId="77777777" w:rsidR="00410184" w:rsidRPr="00933708" w:rsidRDefault="00410184" w:rsidP="00794EFC">
            <w:pPr>
              <w:pStyle w:val="TableText"/>
              <w:tabs>
                <w:tab w:val="right" w:pos="3180"/>
              </w:tabs>
              <w:rPr>
                <w:szCs w:val="20"/>
              </w:rPr>
            </w:pPr>
            <w:r w:rsidRPr="00933708">
              <w:rPr>
                <w:szCs w:val="20"/>
              </w:rPr>
              <w:t>Time to first adjudicated CV death, n (%)</w:t>
            </w:r>
          </w:p>
        </w:tc>
        <w:tc>
          <w:tcPr>
            <w:tcW w:w="1826" w:type="dxa"/>
            <w:vAlign w:val="center"/>
          </w:tcPr>
          <w:p w14:paraId="3BA70DB8" w14:textId="77777777" w:rsidR="00410184" w:rsidRPr="00933708" w:rsidRDefault="00410184" w:rsidP="00794EFC">
            <w:pPr>
              <w:pStyle w:val="TableText"/>
              <w:jc w:val="center"/>
              <w:rPr>
                <w:szCs w:val="20"/>
              </w:rPr>
            </w:pPr>
            <w:r w:rsidRPr="00933708">
              <w:t>59 (1.8)</w:t>
            </w:r>
          </w:p>
        </w:tc>
        <w:tc>
          <w:tcPr>
            <w:tcW w:w="1826" w:type="dxa"/>
            <w:vAlign w:val="center"/>
          </w:tcPr>
          <w:p w14:paraId="12C61653" w14:textId="77777777" w:rsidR="00410184" w:rsidRPr="00933708" w:rsidRDefault="00410184" w:rsidP="00794EFC">
            <w:pPr>
              <w:pStyle w:val="TableText"/>
              <w:jc w:val="center"/>
              <w:rPr>
                <w:szCs w:val="20"/>
              </w:rPr>
            </w:pPr>
            <w:r w:rsidRPr="00933708">
              <w:t>69 (2.1)</w:t>
            </w:r>
          </w:p>
        </w:tc>
        <w:tc>
          <w:tcPr>
            <w:tcW w:w="1826" w:type="dxa"/>
            <w:vAlign w:val="center"/>
          </w:tcPr>
          <w:p w14:paraId="545336C2" w14:textId="77777777" w:rsidR="00410184" w:rsidRPr="00933708" w:rsidRDefault="00410184" w:rsidP="00794EFC">
            <w:pPr>
              <w:pStyle w:val="TableText"/>
              <w:jc w:val="center"/>
              <w:rPr>
                <w:szCs w:val="20"/>
              </w:rPr>
            </w:pPr>
            <w:r w:rsidRPr="00933708">
              <w:rPr>
                <w:szCs w:val="20"/>
              </w:rPr>
              <w:t>0.84 (0.60, 1.19)</w:t>
            </w:r>
          </w:p>
        </w:tc>
      </w:tr>
      <w:tr w:rsidR="00410184" w:rsidRPr="00933708" w14:paraId="4CC4CC86" w14:textId="77777777" w:rsidTr="00794EFC">
        <w:trPr>
          <w:trHeight w:val="101"/>
        </w:trPr>
        <w:tc>
          <w:tcPr>
            <w:tcW w:w="3539" w:type="dxa"/>
            <w:vAlign w:val="center"/>
          </w:tcPr>
          <w:p w14:paraId="209D7674" w14:textId="77777777" w:rsidR="00410184" w:rsidRPr="00933708" w:rsidRDefault="00410184" w:rsidP="00794EFC">
            <w:pPr>
              <w:pStyle w:val="TableText"/>
              <w:tabs>
                <w:tab w:val="right" w:pos="3180"/>
              </w:tabs>
              <w:rPr>
                <w:szCs w:val="20"/>
              </w:rPr>
            </w:pPr>
            <w:r w:rsidRPr="00933708">
              <w:rPr>
                <w:szCs w:val="20"/>
              </w:rPr>
              <w:t>Time to adjudicated all-cause mortality, n (%)</w:t>
            </w:r>
          </w:p>
        </w:tc>
        <w:tc>
          <w:tcPr>
            <w:tcW w:w="1826" w:type="dxa"/>
            <w:vAlign w:val="center"/>
          </w:tcPr>
          <w:p w14:paraId="53D604ED" w14:textId="77777777" w:rsidR="00410184" w:rsidRPr="00933708" w:rsidRDefault="00410184" w:rsidP="00794EFC">
            <w:pPr>
              <w:pStyle w:val="TableText"/>
              <w:jc w:val="center"/>
              <w:rPr>
                <w:szCs w:val="20"/>
              </w:rPr>
            </w:pPr>
            <w:r w:rsidRPr="00933708">
              <w:t>148 (4.5)</w:t>
            </w:r>
          </w:p>
        </w:tc>
        <w:tc>
          <w:tcPr>
            <w:tcW w:w="1826" w:type="dxa"/>
            <w:vAlign w:val="center"/>
          </w:tcPr>
          <w:p w14:paraId="5487C832" w14:textId="77777777" w:rsidR="00410184" w:rsidRPr="00933708" w:rsidRDefault="00410184" w:rsidP="00794EFC">
            <w:pPr>
              <w:pStyle w:val="TableText"/>
              <w:jc w:val="center"/>
              <w:rPr>
                <w:szCs w:val="20"/>
              </w:rPr>
            </w:pPr>
            <w:r w:rsidRPr="00933708">
              <w:t>167 (5.1)</w:t>
            </w:r>
          </w:p>
        </w:tc>
        <w:tc>
          <w:tcPr>
            <w:tcW w:w="1826" w:type="dxa"/>
            <w:vAlign w:val="center"/>
          </w:tcPr>
          <w:p w14:paraId="781806AB" w14:textId="77777777" w:rsidR="00410184" w:rsidRPr="00933708" w:rsidRDefault="00410184" w:rsidP="00794EFC">
            <w:pPr>
              <w:pStyle w:val="TableText"/>
              <w:jc w:val="center"/>
              <w:rPr>
                <w:szCs w:val="20"/>
              </w:rPr>
            </w:pPr>
            <w:r w:rsidRPr="00933708">
              <w:rPr>
                <w:szCs w:val="20"/>
              </w:rPr>
              <w:t>0.87 (0.70, 1.08)</w:t>
            </w:r>
          </w:p>
        </w:tc>
      </w:tr>
      <w:tr w:rsidR="00410184" w:rsidRPr="00933708" w14:paraId="03887D77" w14:textId="77777777" w:rsidTr="00794EFC">
        <w:trPr>
          <w:trHeight w:val="101"/>
        </w:trPr>
        <w:tc>
          <w:tcPr>
            <w:tcW w:w="3539" w:type="dxa"/>
            <w:vAlign w:val="center"/>
          </w:tcPr>
          <w:p w14:paraId="34E71B01" w14:textId="77777777" w:rsidR="00410184" w:rsidRPr="00933708" w:rsidRDefault="00410184" w:rsidP="00794EFC">
            <w:pPr>
              <w:pStyle w:val="TableText"/>
              <w:tabs>
                <w:tab w:val="right" w:pos="3180"/>
              </w:tabs>
              <w:rPr>
                <w:szCs w:val="20"/>
              </w:rPr>
            </w:pPr>
            <w:r w:rsidRPr="00933708">
              <w:rPr>
                <w:szCs w:val="20"/>
              </w:rPr>
              <w:t>Time to all-cause hospitalisation, n (%)</w:t>
            </w:r>
          </w:p>
        </w:tc>
        <w:tc>
          <w:tcPr>
            <w:tcW w:w="1826" w:type="dxa"/>
            <w:vAlign w:val="center"/>
          </w:tcPr>
          <w:p w14:paraId="2103C58A" w14:textId="77777777" w:rsidR="00410184" w:rsidRPr="00933708" w:rsidRDefault="00410184" w:rsidP="00794EFC">
            <w:pPr>
              <w:pStyle w:val="TableText"/>
              <w:jc w:val="center"/>
            </w:pPr>
            <w:r w:rsidRPr="00933708">
              <w:t>840 (25.4)</w:t>
            </w:r>
          </w:p>
        </w:tc>
        <w:tc>
          <w:tcPr>
            <w:tcW w:w="1826" w:type="dxa"/>
            <w:vAlign w:val="center"/>
          </w:tcPr>
          <w:p w14:paraId="28BE003F" w14:textId="77777777" w:rsidR="00410184" w:rsidRPr="00933708" w:rsidRDefault="00410184" w:rsidP="00794EFC">
            <w:pPr>
              <w:pStyle w:val="TableText"/>
              <w:jc w:val="center"/>
            </w:pPr>
            <w:r w:rsidRPr="00933708">
              <w:t>899 (27.2)</w:t>
            </w:r>
          </w:p>
        </w:tc>
        <w:tc>
          <w:tcPr>
            <w:tcW w:w="1826" w:type="dxa"/>
            <w:vAlign w:val="center"/>
          </w:tcPr>
          <w:p w14:paraId="1C1C44CF" w14:textId="77777777" w:rsidR="00410184" w:rsidRPr="00933708" w:rsidRDefault="00410184" w:rsidP="00794EFC">
            <w:pPr>
              <w:pStyle w:val="TableText"/>
              <w:jc w:val="center"/>
              <w:rPr>
                <w:b/>
                <w:bCs w:val="0"/>
                <w:szCs w:val="20"/>
              </w:rPr>
            </w:pPr>
            <w:r w:rsidRPr="00933708">
              <w:rPr>
                <w:b/>
                <w:bCs w:val="0"/>
                <w:szCs w:val="20"/>
              </w:rPr>
              <w:t>0.86 (0.75, 0.98)</w:t>
            </w:r>
          </w:p>
        </w:tc>
      </w:tr>
      <w:tr w:rsidR="00410184" w:rsidRPr="00933708" w14:paraId="76882834" w14:textId="77777777" w:rsidTr="00794EFC">
        <w:trPr>
          <w:trHeight w:val="101"/>
        </w:trPr>
        <w:tc>
          <w:tcPr>
            <w:tcW w:w="3539" w:type="dxa"/>
            <w:vAlign w:val="center"/>
          </w:tcPr>
          <w:p w14:paraId="2641DD8D" w14:textId="77777777" w:rsidR="00410184" w:rsidRPr="00933708" w:rsidRDefault="00410184" w:rsidP="00794EFC">
            <w:pPr>
              <w:pStyle w:val="TableText"/>
              <w:tabs>
                <w:tab w:val="right" w:pos="3180"/>
              </w:tabs>
              <w:rPr>
                <w:szCs w:val="20"/>
              </w:rPr>
            </w:pPr>
            <w:r w:rsidRPr="00933708">
              <w:rPr>
                <w:szCs w:val="20"/>
              </w:rPr>
              <w:t>Total hospitalisations (first and recurrent), n</w:t>
            </w:r>
          </w:p>
        </w:tc>
        <w:tc>
          <w:tcPr>
            <w:tcW w:w="1826" w:type="dxa"/>
            <w:vAlign w:val="center"/>
          </w:tcPr>
          <w:p w14:paraId="47DD4137" w14:textId="77777777" w:rsidR="00410184" w:rsidRPr="00933708" w:rsidRDefault="00410184" w:rsidP="00794EFC">
            <w:pPr>
              <w:pStyle w:val="TableText"/>
              <w:jc w:val="center"/>
            </w:pPr>
            <w:r w:rsidRPr="00933708">
              <w:t>1,611</w:t>
            </w:r>
          </w:p>
        </w:tc>
        <w:tc>
          <w:tcPr>
            <w:tcW w:w="1826" w:type="dxa"/>
            <w:vAlign w:val="center"/>
          </w:tcPr>
          <w:p w14:paraId="0E1BB067" w14:textId="77777777" w:rsidR="00410184" w:rsidRPr="00933708" w:rsidRDefault="00410184" w:rsidP="00794EFC">
            <w:pPr>
              <w:pStyle w:val="TableText"/>
              <w:jc w:val="center"/>
            </w:pPr>
            <w:r w:rsidRPr="00933708">
              <w:t>1,895</w:t>
            </w:r>
          </w:p>
        </w:tc>
        <w:tc>
          <w:tcPr>
            <w:tcW w:w="1826" w:type="dxa"/>
            <w:vAlign w:val="center"/>
          </w:tcPr>
          <w:p w14:paraId="574B1597" w14:textId="77777777" w:rsidR="00410184" w:rsidRPr="00933708" w:rsidRDefault="00410184" w:rsidP="00794EFC">
            <w:pPr>
              <w:pStyle w:val="TableText"/>
              <w:jc w:val="center"/>
              <w:rPr>
                <w:szCs w:val="20"/>
              </w:rPr>
            </w:pPr>
            <w:r w:rsidRPr="00933708">
              <w:rPr>
                <w:szCs w:val="20"/>
              </w:rPr>
              <w:t>NA</w:t>
            </w:r>
          </w:p>
        </w:tc>
      </w:tr>
    </w:tbl>
    <w:p w14:paraId="607B57BD" w14:textId="77777777" w:rsidR="00410184" w:rsidRPr="00933708" w:rsidRDefault="00410184" w:rsidP="00410184">
      <w:pPr>
        <w:pStyle w:val="COMTablefooter"/>
      </w:pPr>
      <w:r w:rsidRPr="00933708">
        <w:t>Source: Table 2.14, p107, Table 2.16, p110, Table 2.17, p111, and Table 2.18, p113 of the submission.</w:t>
      </w:r>
    </w:p>
    <w:p w14:paraId="76E1C972" w14:textId="77777777" w:rsidR="00410184" w:rsidRPr="00933708" w:rsidRDefault="00410184" w:rsidP="00410184">
      <w:pPr>
        <w:pStyle w:val="COMTablefooter"/>
      </w:pPr>
      <w:r w:rsidRPr="00933708">
        <w:t>Abbreviations: CKD, chronic kidney disease; CV, cardiovascular; CI, confidence interval; ITT, intention-to-treat; NA, not applicable; SC, standard care.</w:t>
      </w:r>
    </w:p>
    <w:p w14:paraId="4EFA07CF" w14:textId="77777777" w:rsidR="00410184" w:rsidRPr="00933708" w:rsidRDefault="00410184" w:rsidP="00410184">
      <w:pPr>
        <w:pStyle w:val="COMTablefooter"/>
        <w:rPr>
          <w:color w:val="0066FF"/>
        </w:rPr>
      </w:pPr>
      <w:r w:rsidRPr="00933708">
        <w:t>Note: Statistically significant results in bold.</w:t>
      </w:r>
    </w:p>
    <w:p w14:paraId="14CF8DAE" w14:textId="495B1843" w:rsidR="00AB241E" w:rsidRPr="00933708" w:rsidRDefault="00B16695" w:rsidP="007C4C88">
      <w:pPr>
        <w:pStyle w:val="ListParagraph"/>
        <w:numPr>
          <w:ilvl w:val="1"/>
          <w:numId w:val="1"/>
        </w:numPr>
        <w:ind w:left="720" w:hanging="720"/>
      </w:pPr>
      <w:r w:rsidRPr="00933708">
        <w:t xml:space="preserve">Treatment with empagliflozin </w:t>
      </w:r>
      <w:r w:rsidR="006E5622" w:rsidRPr="00933708">
        <w:t>plus</w:t>
      </w:r>
      <w:r w:rsidRPr="00933708">
        <w:t xml:space="preserve"> standard care was associated with statistically significant improvements in the outcomes of time to first CKD progression, and time to all cause-hospitalisation compared to placebo. Treatment with empagliflozin was also associated with nominal improvements in all-cause mortality and cardiovascular mortality compared to placebo, but differences between treatment arms did not achieve statistical significance.</w:t>
      </w:r>
      <w:r w:rsidR="00AB241E" w:rsidRPr="00933708">
        <w:t xml:space="preserve"> Given the short duration of the EMPA-KIDNEY trial (median duration of 24.33 months) and early termination, long term mortality outcomes may not have been informed by sufficiently mature data to capture differences between treatment arms, and should be interpreted with caution.</w:t>
      </w:r>
    </w:p>
    <w:p w14:paraId="1901D43B" w14:textId="14D6F2D7" w:rsidR="00C41DEC" w:rsidRPr="00933708" w:rsidRDefault="00C41DEC" w:rsidP="007C4C88">
      <w:pPr>
        <w:pStyle w:val="ListParagraph"/>
        <w:numPr>
          <w:ilvl w:val="1"/>
          <w:numId w:val="1"/>
        </w:numPr>
        <w:ind w:left="720" w:hanging="720"/>
      </w:pPr>
      <w:r w:rsidRPr="00933708">
        <w:lastRenderedPageBreak/>
        <w:t xml:space="preserve">Treatment with empagliflozin </w:t>
      </w:r>
      <w:r w:rsidR="006E5622" w:rsidRPr="00933708">
        <w:t>plus</w:t>
      </w:r>
      <w:r w:rsidRPr="00933708">
        <w:t xml:space="preserve"> standard care was associated with a statistically significant improvement in the secondary composite outcome of time to first adjudicated cardiovascular death or ESKD compared to placebo </w:t>
      </w:r>
      <w:r w:rsidR="006E5622" w:rsidRPr="00933708">
        <w:t>plus</w:t>
      </w:r>
      <w:r w:rsidRPr="00933708">
        <w:t xml:space="preserve"> standard care (HR</w:t>
      </w:r>
      <w:r w:rsidR="00581AFF" w:rsidRPr="00933708">
        <w:t> </w:t>
      </w:r>
      <w:r w:rsidRPr="00933708">
        <w:t>0.73, 95% CI 0.59, 0.89), and was associated with a numerical improvement in the composite of hospitalisation for heart failure or adjudicated cardiovascular death compared to placebo, but the difference did not reach statistical significance.</w:t>
      </w:r>
    </w:p>
    <w:p w14:paraId="54C20D1E" w14:textId="18314AD1" w:rsidR="00B01FCD" w:rsidRPr="00933708" w:rsidRDefault="00E92CA4" w:rsidP="007C4C88">
      <w:pPr>
        <w:pStyle w:val="ListParagraph"/>
        <w:numPr>
          <w:ilvl w:val="1"/>
          <w:numId w:val="1"/>
        </w:numPr>
        <w:ind w:left="720" w:hanging="720"/>
      </w:pPr>
      <w:r w:rsidRPr="00933708">
        <w:t xml:space="preserve">The annual rate of change in eGFR was assessed for the period from baseline to the final follow-up (total slope) and the period from Month 2 to final follow-up. The submission argued that the total slope analysis is biased against empagliflozin due to non-linearity in the empagliflozin arm resulting from the initial dip in eGFR followed by a stabilisation of eGFR decline (see </w:t>
      </w:r>
      <w:r w:rsidR="00E04FC4" w:rsidRPr="00933708">
        <w:t xml:space="preserve">Figure 2.12, p116 of the submission; </w:t>
      </w:r>
      <w:r w:rsidR="00E95935" w:rsidRPr="00933708">
        <w:t>EMPA-KIDNEY CTR 11.1.3.1.2: 1 p106</w:t>
      </w:r>
      <w:r w:rsidRPr="00933708">
        <w:t xml:space="preserve">); a pattern observed in other SGLT2 inhibitor trials, including the dapagliflozin CKD trial (DAPA-CKD; Figure 3, p1,444 Heerspink 2020). Both analyses showed less eGFR decline in patients treated with empagliflozin versus placebo, however, the difference was more favourable for the difference in decline in eGFR from Month 2 to final follow-up (1.37 mL/min/1.73 m2 per year, 95% CI 1.16, 1.59) than from baseline to final follow-up (0.75 mL/min/1.73 m2 per year, 95% CI 0.54, 0.96). </w:t>
      </w:r>
      <w:r w:rsidR="00AD2CC7" w:rsidRPr="00933708">
        <w:t>T</w:t>
      </w:r>
      <w:r w:rsidRPr="00933708">
        <w:t xml:space="preserve">here </w:t>
      </w:r>
      <w:r w:rsidR="00DD34D5" w:rsidRPr="00933708">
        <w:t>wa</w:t>
      </w:r>
      <w:r w:rsidRPr="00933708">
        <w:t xml:space="preserve">s a substantial decline in eGFR </w:t>
      </w:r>
      <w:r w:rsidR="00AD2CC7" w:rsidRPr="00933708">
        <w:t xml:space="preserve">in the empagliflozin treatment arm </w:t>
      </w:r>
      <w:r w:rsidRPr="00933708">
        <w:t>between baseline and Month 2. The impact of the SGLT2 inhibitor group effect on kidney function (i.e. decline in eGFR) in patients with poor kidney function on initiation of empagliflozin (i.e. &lt;30 mL/min/1.73 m2) is unclear.</w:t>
      </w:r>
      <w:r w:rsidR="009568DD" w:rsidRPr="00933708">
        <w:t xml:space="preserve"> The ESC </w:t>
      </w:r>
      <w:r w:rsidR="007564A3" w:rsidRPr="00933708">
        <w:t>advised</w:t>
      </w:r>
      <w:r w:rsidR="009568DD" w:rsidRPr="00933708">
        <w:t xml:space="preserve"> that it would be important </w:t>
      </w:r>
      <w:r w:rsidR="007564A3" w:rsidRPr="00933708">
        <w:t xml:space="preserve">for clinicians </w:t>
      </w:r>
      <w:r w:rsidR="009568DD" w:rsidRPr="00933708">
        <w:t>to monitor renal function carefully in this high</w:t>
      </w:r>
      <w:r w:rsidR="00EB05CD" w:rsidRPr="00933708">
        <w:t>-</w:t>
      </w:r>
      <w:r w:rsidR="009568DD" w:rsidRPr="00933708">
        <w:t xml:space="preserve">risk subgroup after commencing </w:t>
      </w:r>
      <w:r w:rsidR="00EB05CD" w:rsidRPr="00933708">
        <w:t xml:space="preserve">patients on </w:t>
      </w:r>
      <w:r w:rsidR="009568DD" w:rsidRPr="00933708">
        <w:t>an SGLT2 inhibitor.</w:t>
      </w:r>
    </w:p>
    <w:p w14:paraId="3A1F8600" w14:textId="6DACF414" w:rsidR="002626BC" w:rsidRPr="00933708" w:rsidRDefault="00B01FCD" w:rsidP="007C4C88">
      <w:pPr>
        <w:pStyle w:val="ListParagraph"/>
        <w:numPr>
          <w:ilvl w:val="1"/>
          <w:numId w:val="1"/>
        </w:numPr>
        <w:ind w:left="720" w:hanging="720"/>
      </w:pPr>
      <w:r w:rsidRPr="00933708">
        <w:t>EQ-5D</w:t>
      </w:r>
      <w:r w:rsidR="002A06BA" w:rsidRPr="00933708">
        <w:t>-5L</w:t>
      </w:r>
      <w:r w:rsidRPr="00933708">
        <w:t xml:space="preserve"> </w:t>
      </w:r>
      <w:r w:rsidR="00460CFC" w:rsidRPr="00933708">
        <w:t>values</w:t>
      </w:r>
      <w:r w:rsidRPr="00933708">
        <w:t xml:space="preserve"> and VAS scores were collected during the EMPA-KIDNEY trial from baseline to follow-up. </w:t>
      </w:r>
      <w:r w:rsidR="00C81D9D" w:rsidRPr="00933708">
        <w:t>EQ-5D index scores were not reported, however</w:t>
      </w:r>
      <w:r w:rsidR="00597197" w:rsidRPr="00933708">
        <w:t xml:space="preserve"> </w:t>
      </w:r>
      <w:r w:rsidR="006D2939" w:rsidRPr="00933708">
        <w:t>there were no</w:t>
      </w:r>
      <w:r w:rsidR="002463F6" w:rsidRPr="00933708">
        <w:t xml:space="preserve"> </w:t>
      </w:r>
      <w:r w:rsidR="006D2939" w:rsidRPr="00933708">
        <w:t>relevant treatment differences in the descriptive analyses across the treatment groups in the</w:t>
      </w:r>
      <w:r w:rsidR="002463F6" w:rsidRPr="00933708">
        <w:t xml:space="preserve"> </w:t>
      </w:r>
      <w:r w:rsidR="006D2939" w:rsidRPr="00933708">
        <w:t>scores of the EQ-5D questionnaire.</w:t>
      </w:r>
    </w:p>
    <w:p w14:paraId="6B981A03" w14:textId="787540E5" w:rsidR="00DE7EE9" w:rsidRPr="00933708" w:rsidRDefault="00801C2C" w:rsidP="007C4C88">
      <w:pPr>
        <w:pStyle w:val="ListParagraph"/>
        <w:numPr>
          <w:ilvl w:val="1"/>
          <w:numId w:val="1"/>
        </w:numPr>
        <w:ind w:left="720" w:hanging="720"/>
      </w:pPr>
      <w:bookmarkStart w:id="33" w:name="_Ref150858595"/>
      <w:r w:rsidRPr="00933708">
        <w:t xml:space="preserve">As shown in </w:t>
      </w:r>
      <w:r w:rsidRPr="00933708">
        <w:fldChar w:fldCharType="begin"/>
      </w:r>
      <w:r w:rsidRPr="00933708">
        <w:instrText xml:space="preserve"> REF _Ref145317281 \h </w:instrText>
      </w:r>
      <w:r w:rsidR="007C4C88" w:rsidRPr="00933708">
        <w:instrText xml:space="preserve"> \* MERGEFORMAT </w:instrText>
      </w:r>
      <w:r w:rsidRPr="00933708">
        <w:fldChar w:fldCharType="separate"/>
      </w:r>
      <w:r w:rsidR="00D5135E" w:rsidRPr="00251484">
        <w:t xml:space="preserve">Figure </w:t>
      </w:r>
      <w:r w:rsidR="00D5135E">
        <w:t>2</w:t>
      </w:r>
      <w:r w:rsidRPr="00933708">
        <w:fldChar w:fldCharType="end"/>
      </w:r>
      <w:r w:rsidRPr="00933708">
        <w:t xml:space="preserve"> below, p</w:t>
      </w:r>
      <w:r w:rsidR="00DE7EE9" w:rsidRPr="00933708">
        <w:t>re-specified subgroup analyses for the primary composite outcome of CKD progression or cardiovascular death in the EMPA-KIDNEY trial</w:t>
      </w:r>
      <w:r w:rsidR="00097D2C" w:rsidRPr="00933708">
        <w:t xml:space="preserve"> showed </w:t>
      </w:r>
      <w:r w:rsidR="00B8380C" w:rsidRPr="00933708">
        <w:t xml:space="preserve">significant </w:t>
      </w:r>
      <w:r w:rsidR="00097D2C" w:rsidRPr="00933708">
        <w:t>treatment effect interaction by baseline diabetes status (p=0.0598) and albuminuria subgroups (UACR&lt;30, 30-300</w:t>
      </w:r>
      <w:r w:rsidR="006F591E" w:rsidRPr="00933708">
        <w:t>,</w:t>
      </w:r>
      <w:r w:rsidR="00097D2C" w:rsidRPr="00933708">
        <w:t xml:space="preserve"> </w:t>
      </w:r>
      <w:r w:rsidR="007C4CE1" w:rsidRPr="00933708">
        <w:t xml:space="preserve">and </w:t>
      </w:r>
      <w:r w:rsidR="00097D2C" w:rsidRPr="00933708">
        <w:t>&gt;300 mg/g; p=0.0174), with a trend of decreasing treatment effect in patients without diabetes or with a lower baseline UACR (UACR ≤300 mg/g).</w:t>
      </w:r>
      <w:bookmarkEnd w:id="33"/>
    </w:p>
    <w:p w14:paraId="1B4C57D4" w14:textId="2ED680EB" w:rsidR="00846173" w:rsidRPr="00251484" w:rsidRDefault="00846173" w:rsidP="00846173">
      <w:pPr>
        <w:pStyle w:val="COMTableheadingrow"/>
        <w:rPr>
          <w:lang w:val="en-AU"/>
        </w:rPr>
      </w:pPr>
      <w:bookmarkStart w:id="34" w:name="_Ref145317281"/>
      <w:r w:rsidRPr="00251484">
        <w:rPr>
          <w:lang w:val="en-AU"/>
        </w:rPr>
        <w:lastRenderedPageBreak/>
        <w:t xml:space="preserve">Figure </w:t>
      </w:r>
      <w:r w:rsidRPr="00251484">
        <w:rPr>
          <w:lang w:val="en-AU"/>
        </w:rPr>
        <w:fldChar w:fldCharType="begin"/>
      </w:r>
      <w:r w:rsidRPr="00251484">
        <w:rPr>
          <w:lang w:val="en-AU"/>
        </w:rPr>
        <w:instrText xml:space="preserve"> SEQ Figure \* ARABIC </w:instrText>
      </w:r>
      <w:r w:rsidRPr="00251484">
        <w:rPr>
          <w:lang w:val="en-AU"/>
        </w:rPr>
        <w:fldChar w:fldCharType="separate"/>
      </w:r>
      <w:r w:rsidR="00D5135E">
        <w:rPr>
          <w:noProof/>
          <w:lang w:val="en-AU"/>
        </w:rPr>
        <w:t>2</w:t>
      </w:r>
      <w:r w:rsidRPr="00251484">
        <w:rPr>
          <w:lang w:val="en-AU"/>
        </w:rPr>
        <w:fldChar w:fldCharType="end"/>
      </w:r>
      <w:bookmarkEnd w:id="34"/>
      <w:r w:rsidRPr="00251484">
        <w:rPr>
          <w:lang w:val="en-AU"/>
        </w:rPr>
        <w:t>: Results of the pre-specified subgroup analysis for primary composite outcome of CKD progression or cardiovascular death in EMPA-KIDNEY</w:t>
      </w:r>
    </w:p>
    <w:p w14:paraId="5AD214C4" w14:textId="77777777" w:rsidR="00846173" w:rsidRPr="00933708" w:rsidRDefault="00846173" w:rsidP="00846173">
      <w:pPr>
        <w:rPr>
          <w:color w:val="3366FF"/>
        </w:rPr>
      </w:pPr>
      <w:r w:rsidRPr="00251484">
        <w:rPr>
          <w:noProof/>
        </w:rPr>
        <w:drawing>
          <wp:inline distT="0" distB="0" distL="0" distR="0" wp14:anchorId="6C6D6081" wp14:editId="3B1C37D7">
            <wp:extent cx="5732145" cy="2144395"/>
            <wp:effectExtent l="0" t="0" r="1905" b="8255"/>
            <wp:docPr id="597514709" name="Picture 597514709" descr="A picture containing text, receipt, font, algeb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664957" name="Picture 1" descr="A picture containing text, receipt, font, algebra&#10;&#10;Description automatically generated"/>
                    <pic:cNvPicPr/>
                  </pic:nvPicPr>
                  <pic:blipFill>
                    <a:blip r:embed="rId10"/>
                    <a:stretch>
                      <a:fillRect/>
                    </a:stretch>
                  </pic:blipFill>
                  <pic:spPr>
                    <a:xfrm>
                      <a:off x="0" y="0"/>
                      <a:ext cx="5732145" cy="2144395"/>
                    </a:xfrm>
                    <a:prstGeom prst="rect">
                      <a:avLst/>
                    </a:prstGeom>
                  </pic:spPr>
                </pic:pic>
              </a:graphicData>
            </a:graphic>
          </wp:inline>
        </w:drawing>
      </w:r>
    </w:p>
    <w:p w14:paraId="4873783F" w14:textId="77777777" w:rsidR="00846173" w:rsidRPr="00933708" w:rsidRDefault="00846173" w:rsidP="00846173">
      <w:pPr>
        <w:pStyle w:val="COMTablefooter"/>
      </w:pPr>
      <w:r w:rsidRPr="00933708">
        <w:t>Source: Figure 2.19, p136 of the submission.</w:t>
      </w:r>
    </w:p>
    <w:p w14:paraId="10D8E8F3" w14:textId="77777777" w:rsidR="00846173" w:rsidRPr="00933708" w:rsidRDefault="00846173" w:rsidP="00846173">
      <w:pPr>
        <w:pStyle w:val="COMTablefooter"/>
      </w:pPr>
      <w:r w:rsidRPr="00933708">
        <w:t xml:space="preserve">Abbreviations: CI, confidence interval; CKD, chronic kidney disease; eGFR, estimated glomerular filtration rate; Empa, empagliflozin; EPI, </w:t>
      </w:r>
      <w:r w:rsidRPr="00251484">
        <w:t>epidemiology collaboration formula;</w:t>
      </w:r>
      <w:r w:rsidRPr="00933708">
        <w:t xml:space="preserve"> UACR, urine albumin to creatinine ratio.</w:t>
      </w:r>
    </w:p>
    <w:p w14:paraId="25B886CC" w14:textId="507BE7F3" w:rsidR="009629CD" w:rsidRPr="00933708" w:rsidRDefault="00635772" w:rsidP="00A51AD5">
      <w:pPr>
        <w:pStyle w:val="COMH3"/>
        <w:spacing w:after="120"/>
        <w:rPr>
          <w:i/>
          <w:iCs w:val="0"/>
          <w:sz w:val="24"/>
          <w:szCs w:val="22"/>
        </w:rPr>
      </w:pPr>
      <w:r w:rsidRPr="00933708">
        <w:rPr>
          <w:i/>
          <w:iCs w:val="0"/>
          <w:sz w:val="24"/>
          <w:szCs w:val="22"/>
        </w:rPr>
        <w:t>Overlap and incremental populations</w:t>
      </w:r>
    </w:p>
    <w:bookmarkStart w:id="35" w:name="_Ref145318215"/>
    <w:p w14:paraId="267ECE18" w14:textId="1C5186F7" w:rsidR="001054C4" w:rsidRPr="00933708" w:rsidRDefault="001C1A36" w:rsidP="007C4C88">
      <w:pPr>
        <w:pStyle w:val="ListParagraph"/>
        <w:numPr>
          <w:ilvl w:val="1"/>
          <w:numId w:val="1"/>
        </w:numPr>
        <w:ind w:left="720" w:hanging="720"/>
        <w:rPr>
          <w:color w:val="0066FF"/>
        </w:rPr>
      </w:pPr>
      <w:r w:rsidRPr="00933708">
        <w:fldChar w:fldCharType="begin"/>
      </w:r>
      <w:r w:rsidRPr="00933708">
        <w:instrText xml:space="preserve"> REF _Ref144730464 \h </w:instrText>
      </w:r>
      <w:r w:rsidRPr="00933708">
        <w:fldChar w:fldCharType="separate"/>
      </w:r>
      <w:r w:rsidR="00D5135E" w:rsidRPr="00933708">
        <w:t xml:space="preserve">Table </w:t>
      </w:r>
      <w:r w:rsidR="00D5135E">
        <w:rPr>
          <w:noProof/>
        </w:rPr>
        <w:t>7</w:t>
      </w:r>
      <w:r w:rsidRPr="00933708">
        <w:fldChar w:fldCharType="end"/>
      </w:r>
      <w:r w:rsidRPr="00933708">
        <w:t xml:space="preserve"> summarises</w:t>
      </w:r>
      <w:r w:rsidR="001054C4" w:rsidRPr="00933708">
        <w:t xml:space="preserve"> the results of the </w:t>
      </w:r>
      <w:r w:rsidR="001054C4" w:rsidRPr="00933708">
        <w:rPr>
          <w:i/>
          <w:iCs/>
        </w:rPr>
        <w:t>post hoc</w:t>
      </w:r>
      <w:r w:rsidR="001054C4" w:rsidRPr="00933708">
        <w:t xml:space="preserve"> subgroup analyses of the overlap and incremental populations and KDIGO baseline risk categories for the primary composite outcome of CKD progression or cardiovascular death in the EMPA-KIDNEY trial.</w:t>
      </w:r>
      <w:bookmarkEnd w:id="35"/>
    </w:p>
    <w:p w14:paraId="4B1B4961" w14:textId="0BD3951C" w:rsidR="001C1A36" w:rsidRPr="00933708" w:rsidRDefault="001C1A36" w:rsidP="00A51AD5">
      <w:pPr>
        <w:pStyle w:val="COMTableheadingrow"/>
        <w:keepLines/>
        <w:rPr>
          <w:lang w:val="en-AU"/>
        </w:rPr>
      </w:pPr>
      <w:bookmarkStart w:id="36" w:name="_Ref144730464"/>
      <w:r w:rsidRPr="00933708">
        <w:rPr>
          <w:lang w:val="en-AU"/>
        </w:rPr>
        <w:lastRenderedPageBreak/>
        <w:t xml:space="preserve">Table </w:t>
      </w:r>
      <w:r w:rsidRPr="00251484">
        <w:rPr>
          <w:lang w:val="en-AU"/>
        </w:rPr>
        <w:fldChar w:fldCharType="begin"/>
      </w:r>
      <w:r w:rsidRPr="00933708">
        <w:rPr>
          <w:lang w:val="en-AU"/>
        </w:rPr>
        <w:instrText xml:space="preserve"> SEQ Table \* ARABIC </w:instrText>
      </w:r>
      <w:r w:rsidRPr="00251484">
        <w:rPr>
          <w:lang w:val="en-AU"/>
        </w:rPr>
        <w:fldChar w:fldCharType="separate"/>
      </w:r>
      <w:r w:rsidR="00D5135E">
        <w:rPr>
          <w:noProof/>
          <w:lang w:val="en-AU"/>
        </w:rPr>
        <w:t>7</w:t>
      </w:r>
      <w:r w:rsidRPr="00251484">
        <w:rPr>
          <w:lang w:val="en-AU"/>
        </w:rPr>
        <w:fldChar w:fldCharType="end"/>
      </w:r>
      <w:bookmarkEnd w:id="36"/>
      <w:r w:rsidRPr="00933708">
        <w:rPr>
          <w:lang w:val="en-AU"/>
        </w:rPr>
        <w:t xml:space="preserve">: Results of the </w:t>
      </w:r>
      <w:r w:rsidRPr="00933708">
        <w:rPr>
          <w:i/>
          <w:iCs/>
          <w:lang w:val="en-AU"/>
        </w:rPr>
        <w:t>post hoc</w:t>
      </w:r>
      <w:r w:rsidRPr="00933708">
        <w:rPr>
          <w:lang w:val="en-AU"/>
        </w:rPr>
        <w:t xml:space="preserve"> overlap and incremental subgroup analysis and KDIGO baseline risk categories for the primary composite outcome CKD progression or CV death in EMPA-KIDNEY (ITT)</w:t>
      </w:r>
    </w:p>
    <w:tbl>
      <w:tblPr>
        <w:tblStyle w:val="TableGrid"/>
        <w:tblW w:w="5000" w:type="pct"/>
        <w:tblLook w:val="04A0" w:firstRow="1" w:lastRow="0" w:firstColumn="1" w:lastColumn="0" w:noHBand="0" w:noVBand="1"/>
      </w:tblPr>
      <w:tblGrid>
        <w:gridCol w:w="1271"/>
        <w:gridCol w:w="1418"/>
        <w:gridCol w:w="1275"/>
        <w:gridCol w:w="1684"/>
        <w:gridCol w:w="1684"/>
        <w:gridCol w:w="1685"/>
      </w:tblGrid>
      <w:tr w:rsidR="001C1A36" w:rsidRPr="00933708" w14:paraId="35D76DFD" w14:textId="77777777" w:rsidTr="00907D62">
        <w:trPr>
          <w:trHeight w:val="101"/>
        </w:trPr>
        <w:tc>
          <w:tcPr>
            <w:tcW w:w="1270" w:type="dxa"/>
            <w:vAlign w:val="center"/>
          </w:tcPr>
          <w:p w14:paraId="70DAE60D" w14:textId="77777777" w:rsidR="001C1A36" w:rsidRPr="00933708" w:rsidRDefault="001C1A36" w:rsidP="00A51AD5">
            <w:pPr>
              <w:pStyle w:val="TableText"/>
              <w:keepLines/>
              <w:ind w:right="-69"/>
              <w:rPr>
                <w:b/>
                <w:bCs w:val="0"/>
                <w:szCs w:val="20"/>
              </w:rPr>
            </w:pPr>
            <w:r w:rsidRPr="00933708">
              <w:rPr>
                <w:b/>
                <w:bCs w:val="0"/>
                <w:szCs w:val="20"/>
              </w:rPr>
              <w:t>Population or</w:t>
            </w:r>
          </w:p>
          <w:p w14:paraId="18B87C6F" w14:textId="77777777" w:rsidR="001C1A36" w:rsidRPr="00933708" w:rsidRDefault="001C1A36" w:rsidP="00A51AD5">
            <w:pPr>
              <w:pStyle w:val="TableText"/>
              <w:keepLines/>
              <w:ind w:right="-69"/>
              <w:rPr>
                <w:b/>
                <w:bCs w:val="0"/>
                <w:szCs w:val="20"/>
              </w:rPr>
            </w:pPr>
            <w:r w:rsidRPr="00933708">
              <w:rPr>
                <w:b/>
                <w:bCs w:val="0"/>
                <w:szCs w:val="20"/>
              </w:rPr>
              <w:t xml:space="preserve">subgroup </w:t>
            </w:r>
          </w:p>
        </w:tc>
        <w:tc>
          <w:tcPr>
            <w:tcW w:w="1418" w:type="dxa"/>
            <w:vAlign w:val="center"/>
          </w:tcPr>
          <w:p w14:paraId="788A5D9A" w14:textId="77777777" w:rsidR="001C1A36" w:rsidRPr="00933708" w:rsidRDefault="001C1A36" w:rsidP="00A51AD5">
            <w:pPr>
              <w:pStyle w:val="TableText"/>
              <w:keepLines/>
              <w:ind w:left="-75" w:right="-69"/>
              <w:jc w:val="center"/>
              <w:rPr>
                <w:b/>
                <w:bCs w:val="0"/>
                <w:szCs w:val="20"/>
              </w:rPr>
            </w:pPr>
            <w:r w:rsidRPr="00933708">
              <w:rPr>
                <w:b/>
                <w:bCs w:val="0"/>
                <w:szCs w:val="20"/>
              </w:rPr>
              <w:t>eGFR</w:t>
            </w:r>
          </w:p>
          <w:p w14:paraId="6F35CE62" w14:textId="77777777" w:rsidR="001C1A36" w:rsidRPr="00933708" w:rsidRDefault="001C1A36" w:rsidP="00A51AD5">
            <w:pPr>
              <w:pStyle w:val="TableText"/>
              <w:keepLines/>
              <w:ind w:left="-75" w:right="-69"/>
              <w:jc w:val="center"/>
              <w:rPr>
                <w:b/>
                <w:bCs w:val="0"/>
                <w:szCs w:val="20"/>
              </w:rPr>
            </w:pPr>
            <w:r w:rsidRPr="00933708">
              <w:rPr>
                <w:b/>
                <w:bCs w:val="0"/>
                <w:szCs w:val="20"/>
              </w:rPr>
              <w:t>(mL/min/1.73 m</w:t>
            </w:r>
            <w:r w:rsidRPr="00933708">
              <w:rPr>
                <w:b/>
                <w:bCs w:val="0"/>
                <w:szCs w:val="20"/>
                <w:vertAlign w:val="superscript"/>
              </w:rPr>
              <w:t>2</w:t>
            </w:r>
            <w:r w:rsidRPr="00933708">
              <w:rPr>
                <w:b/>
                <w:bCs w:val="0"/>
                <w:szCs w:val="20"/>
              </w:rPr>
              <w:t>)</w:t>
            </w:r>
          </w:p>
        </w:tc>
        <w:tc>
          <w:tcPr>
            <w:tcW w:w="1275" w:type="dxa"/>
            <w:vAlign w:val="center"/>
          </w:tcPr>
          <w:p w14:paraId="7E3B861A" w14:textId="77777777" w:rsidR="001C1A36" w:rsidRPr="00933708" w:rsidRDefault="001C1A36" w:rsidP="00A51AD5">
            <w:pPr>
              <w:pStyle w:val="TableText"/>
              <w:keepLines/>
              <w:ind w:left="-75" w:right="-69"/>
              <w:jc w:val="center"/>
              <w:rPr>
                <w:b/>
                <w:bCs w:val="0"/>
                <w:szCs w:val="20"/>
              </w:rPr>
            </w:pPr>
            <w:r w:rsidRPr="00933708">
              <w:rPr>
                <w:b/>
                <w:bCs w:val="0"/>
                <w:szCs w:val="20"/>
              </w:rPr>
              <w:t>UACR</w:t>
            </w:r>
          </w:p>
          <w:p w14:paraId="4C948111" w14:textId="77777777" w:rsidR="001C1A36" w:rsidRPr="00933708" w:rsidRDefault="001C1A36" w:rsidP="00A51AD5">
            <w:pPr>
              <w:pStyle w:val="TableText"/>
              <w:keepLines/>
              <w:ind w:left="-75" w:right="-69"/>
              <w:jc w:val="center"/>
              <w:rPr>
                <w:b/>
                <w:bCs w:val="0"/>
                <w:szCs w:val="20"/>
              </w:rPr>
            </w:pPr>
            <w:r w:rsidRPr="00933708">
              <w:rPr>
                <w:b/>
                <w:bCs w:val="0"/>
                <w:szCs w:val="20"/>
              </w:rPr>
              <w:t>(mg/g)</w:t>
            </w:r>
          </w:p>
        </w:tc>
        <w:tc>
          <w:tcPr>
            <w:tcW w:w="1684" w:type="dxa"/>
            <w:vAlign w:val="center"/>
          </w:tcPr>
          <w:p w14:paraId="7828391F" w14:textId="77777777" w:rsidR="001C1A36" w:rsidRPr="00933708" w:rsidRDefault="001C1A36" w:rsidP="00A51AD5">
            <w:pPr>
              <w:pStyle w:val="TableText"/>
              <w:keepLines/>
              <w:ind w:left="-75" w:right="-69"/>
              <w:jc w:val="center"/>
              <w:rPr>
                <w:b/>
                <w:bCs w:val="0"/>
                <w:szCs w:val="20"/>
              </w:rPr>
            </w:pPr>
            <w:r w:rsidRPr="00933708">
              <w:rPr>
                <w:b/>
                <w:bCs w:val="0"/>
                <w:szCs w:val="20"/>
              </w:rPr>
              <w:t>Empagliflozin + SC</w:t>
            </w:r>
          </w:p>
          <w:p w14:paraId="3A245332" w14:textId="77777777" w:rsidR="001C1A36" w:rsidRPr="00933708" w:rsidRDefault="001C1A36" w:rsidP="00A51AD5">
            <w:pPr>
              <w:pStyle w:val="TableText"/>
              <w:keepLines/>
              <w:ind w:left="-75" w:right="-69"/>
              <w:jc w:val="center"/>
              <w:rPr>
                <w:b/>
                <w:bCs w:val="0"/>
                <w:szCs w:val="20"/>
              </w:rPr>
            </w:pPr>
            <w:r w:rsidRPr="00933708">
              <w:rPr>
                <w:b/>
                <w:bCs w:val="0"/>
                <w:szCs w:val="20"/>
              </w:rPr>
              <w:t>n/N (%)</w:t>
            </w:r>
          </w:p>
        </w:tc>
        <w:tc>
          <w:tcPr>
            <w:tcW w:w="1684" w:type="dxa"/>
            <w:vAlign w:val="center"/>
          </w:tcPr>
          <w:p w14:paraId="1E988599" w14:textId="77777777" w:rsidR="001C1A36" w:rsidRPr="00933708" w:rsidRDefault="001C1A36" w:rsidP="00A51AD5">
            <w:pPr>
              <w:keepNext/>
              <w:keepLines/>
              <w:ind w:left="-75" w:right="-69"/>
              <w:jc w:val="center"/>
              <w:rPr>
                <w:rFonts w:ascii="Arial Narrow" w:hAnsi="Arial Narrow"/>
                <w:b/>
              </w:rPr>
            </w:pPr>
            <w:r w:rsidRPr="00933708">
              <w:rPr>
                <w:rFonts w:ascii="Arial Narrow" w:hAnsi="Arial Narrow"/>
                <w:b/>
              </w:rPr>
              <w:t>Placebo + SC</w:t>
            </w:r>
          </w:p>
          <w:p w14:paraId="5C4A0FA7" w14:textId="77777777" w:rsidR="001C1A36" w:rsidRPr="00933708" w:rsidRDefault="001C1A36" w:rsidP="00A51AD5">
            <w:pPr>
              <w:pStyle w:val="TableText"/>
              <w:keepLines/>
              <w:ind w:left="-75" w:right="-69"/>
              <w:jc w:val="center"/>
              <w:rPr>
                <w:b/>
                <w:bCs w:val="0"/>
                <w:szCs w:val="20"/>
              </w:rPr>
            </w:pPr>
            <w:r w:rsidRPr="00933708">
              <w:rPr>
                <w:b/>
                <w:bCs w:val="0"/>
                <w:szCs w:val="20"/>
              </w:rPr>
              <w:t>n/N (%)</w:t>
            </w:r>
          </w:p>
        </w:tc>
        <w:tc>
          <w:tcPr>
            <w:tcW w:w="1685" w:type="dxa"/>
            <w:vAlign w:val="center"/>
          </w:tcPr>
          <w:p w14:paraId="2047680A" w14:textId="77777777" w:rsidR="001C1A36" w:rsidRPr="00933708" w:rsidRDefault="001C1A36" w:rsidP="00A51AD5">
            <w:pPr>
              <w:pStyle w:val="TableText"/>
              <w:keepLines/>
              <w:ind w:left="-75" w:right="-69"/>
              <w:jc w:val="center"/>
              <w:rPr>
                <w:b/>
                <w:bCs w:val="0"/>
                <w:szCs w:val="20"/>
              </w:rPr>
            </w:pPr>
            <w:r w:rsidRPr="00933708">
              <w:rPr>
                <w:b/>
                <w:bCs w:val="0"/>
                <w:szCs w:val="20"/>
              </w:rPr>
              <w:t>Hazard ratio</w:t>
            </w:r>
          </w:p>
          <w:p w14:paraId="6E6F1076" w14:textId="77777777" w:rsidR="001C1A36" w:rsidRPr="00933708" w:rsidRDefault="001C1A36" w:rsidP="00A51AD5">
            <w:pPr>
              <w:pStyle w:val="TableText"/>
              <w:keepLines/>
              <w:ind w:left="-75" w:right="-69"/>
              <w:jc w:val="center"/>
              <w:rPr>
                <w:b/>
                <w:bCs w:val="0"/>
                <w:szCs w:val="20"/>
              </w:rPr>
            </w:pPr>
            <w:r w:rsidRPr="00933708">
              <w:rPr>
                <w:b/>
                <w:bCs w:val="0"/>
                <w:szCs w:val="20"/>
              </w:rPr>
              <w:t>(95% CI)</w:t>
            </w:r>
          </w:p>
        </w:tc>
      </w:tr>
      <w:tr w:rsidR="001C1A36" w:rsidRPr="00933708" w14:paraId="26922CCF" w14:textId="77777777" w:rsidTr="00907D62">
        <w:trPr>
          <w:trHeight w:val="101"/>
        </w:trPr>
        <w:tc>
          <w:tcPr>
            <w:tcW w:w="9016" w:type="dxa"/>
            <w:gridSpan w:val="6"/>
            <w:vAlign w:val="center"/>
          </w:tcPr>
          <w:p w14:paraId="24A344C6" w14:textId="77777777" w:rsidR="001C1A36" w:rsidRPr="00933708" w:rsidRDefault="001C1A36" w:rsidP="00A51AD5">
            <w:pPr>
              <w:pStyle w:val="TableText"/>
              <w:keepLines/>
              <w:ind w:left="-75" w:right="-69"/>
              <w:rPr>
                <w:b/>
                <w:bCs w:val="0"/>
                <w:szCs w:val="20"/>
              </w:rPr>
            </w:pPr>
            <w:r w:rsidRPr="00933708">
              <w:rPr>
                <w:b/>
                <w:bCs w:val="0"/>
                <w:szCs w:val="20"/>
              </w:rPr>
              <w:t>Pre-specified subgroup analyses</w:t>
            </w:r>
          </w:p>
        </w:tc>
      </w:tr>
      <w:tr w:rsidR="001C1A36" w:rsidRPr="00933708" w14:paraId="4340E272" w14:textId="77777777" w:rsidTr="00907D62">
        <w:trPr>
          <w:trHeight w:val="101"/>
        </w:trPr>
        <w:tc>
          <w:tcPr>
            <w:tcW w:w="1270" w:type="dxa"/>
            <w:vAlign w:val="center"/>
          </w:tcPr>
          <w:p w14:paraId="50CDC29C" w14:textId="77777777" w:rsidR="001C1A36" w:rsidRPr="00933708" w:rsidRDefault="001C1A36" w:rsidP="00A51AD5">
            <w:pPr>
              <w:pStyle w:val="TableText"/>
              <w:keepLines/>
              <w:ind w:right="-69"/>
              <w:rPr>
                <w:szCs w:val="20"/>
              </w:rPr>
            </w:pPr>
            <w:r w:rsidRPr="00933708">
              <w:rPr>
                <w:szCs w:val="20"/>
              </w:rPr>
              <w:t>ITT</w:t>
            </w:r>
            <w:r w:rsidRPr="00933708">
              <w:rPr>
                <w:szCs w:val="20"/>
              </w:rPr>
              <w:tab/>
              <w:t xml:space="preserve"> </w:t>
            </w:r>
          </w:p>
        </w:tc>
        <w:tc>
          <w:tcPr>
            <w:tcW w:w="1418" w:type="dxa"/>
            <w:vAlign w:val="center"/>
          </w:tcPr>
          <w:p w14:paraId="00AFCA78" w14:textId="77777777" w:rsidR="001C1A36" w:rsidRPr="00933708" w:rsidRDefault="001C1A36" w:rsidP="00A51AD5">
            <w:pPr>
              <w:pStyle w:val="TableText"/>
              <w:keepLines/>
              <w:ind w:left="-75" w:right="-69"/>
              <w:jc w:val="center"/>
              <w:rPr>
                <w:szCs w:val="20"/>
              </w:rPr>
            </w:pPr>
            <w:r w:rsidRPr="00933708">
              <w:rPr>
                <w:szCs w:val="20"/>
              </w:rPr>
              <w:t>20 to &lt;45</w:t>
            </w:r>
          </w:p>
          <w:p w14:paraId="72F7115E" w14:textId="77777777" w:rsidR="001C1A36" w:rsidRPr="00933708" w:rsidRDefault="001C1A36" w:rsidP="00A51AD5">
            <w:pPr>
              <w:pStyle w:val="TableText"/>
              <w:keepLines/>
              <w:ind w:left="-75" w:right="-69"/>
              <w:jc w:val="center"/>
              <w:rPr>
                <w:szCs w:val="20"/>
              </w:rPr>
            </w:pPr>
            <w:r w:rsidRPr="00933708">
              <w:rPr>
                <w:szCs w:val="20"/>
              </w:rPr>
              <w:t>45 to &lt;90</w:t>
            </w:r>
          </w:p>
        </w:tc>
        <w:tc>
          <w:tcPr>
            <w:tcW w:w="1275" w:type="dxa"/>
            <w:vAlign w:val="center"/>
          </w:tcPr>
          <w:p w14:paraId="0B6230B3" w14:textId="77777777" w:rsidR="001C1A36" w:rsidRPr="00933708" w:rsidRDefault="001C1A36" w:rsidP="00A51AD5">
            <w:pPr>
              <w:pStyle w:val="TableText"/>
              <w:keepLines/>
              <w:ind w:left="-75" w:right="-69"/>
              <w:jc w:val="center"/>
              <w:rPr>
                <w:szCs w:val="20"/>
              </w:rPr>
            </w:pPr>
            <w:r w:rsidRPr="00933708">
              <w:rPr>
                <w:szCs w:val="20"/>
              </w:rPr>
              <w:t>NA</w:t>
            </w:r>
          </w:p>
          <w:p w14:paraId="50F2F11C" w14:textId="77777777" w:rsidR="001C1A36" w:rsidRPr="00933708" w:rsidRDefault="001C1A36" w:rsidP="00A51AD5">
            <w:pPr>
              <w:pStyle w:val="TableText"/>
              <w:keepLines/>
              <w:ind w:left="-75" w:right="-69"/>
              <w:jc w:val="center"/>
              <w:rPr>
                <w:szCs w:val="20"/>
              </w:rPr>
            </w:pPr>
            <w:r w:rsidRPr="00933708">
              <w:rPr>
                <w:szCs w:val="20"/>
              </w:rPr>
              <w:t>≥200</w:t>
            </w:r>
          </w:p>
        </w:tc>
        <w:tc>
          <w:tcPr>
            <w:tcW w:w="1684" w:type="dxa"/>
            <w:vAlign w:val="center"/>
          </w:tcPr>
          <w:p w14:paraId="13188DDA" w14:textId="77777777" w:rsidR="001C1A36" w:rsidRPr="00933708" w:rsidRDefault="001C1A36" w:rsidP="00A51AD5">
            <w:pPr>
              <w:pStyle w:val="TableText"/>
              <w:keepLines/>
              <w:ind w:left="-75" w:right="-69"/>
              <w:jc w:val="center"/>
              <w:rPr>
                <w:szCs w:val="20"/>
              </w:rPr>
            </w:pPr>
            <w:r w:rsidRPr="00933708">
              <w:t>432/3305 (13.1%)</w:t>
            </w:r>
          </w:p>
        </w:tc>
        <w:tc>
          <w:tcPr>
            <w:tcW w:w="1684" w:type="dxa"/>
            <w:vAlign w:val="center"/>
          </w:tcPr>
          <w:p w14:paraId="30068D08" w14:textId="77777777" w:rsidR="001C1A36" w:rsidRPr="00933708" w:rsidRDefault="001C1A36" w:rsidP="00A51AD5">
            <w:pPr>
              <w:pStyle w:val="TableText"/>
              <w:keepLines/>
              <w:ind w:left="-75" w:right="-69"/>
              <w:jc w:val="center"/>
              <w:rPr>
                <w:szCs w:val="20"/>
              </w:rPr>
            </w:pPr>
            <w:r w:rsidRPr="00933708">
              <w:t>558/3304 (16.9%)</w:t>
            </w:r>
          </w:p>
        </w:tc>
        <w:tc>
          <w:tcPr>
            <w:tcW w:w="1685" w:type="dxa"/>
            <w:vAlign w:val="center"/>
          </w:tcPr>
          <w:p w14:paraId="065D4586" w14:textId="77777777" w:rsidR="001C1A36" w:rsidRPr="00933708" w:rsidRDefault="001C1A36" w:rsidP="00A51AD5">
            <w:pPr>
              <w:pStyle w:val="TableText"/>
              <w:keepLines/>
              <w:ind w:left="-75" w:right="-69"/>
              <w:jc w:val="center"/>
              <w:rPr>
                <w:b/>
                <w:bCs w:val="0"/>
                <w:szCs w:val="20"/>
              </w:rPr>
            </w:pPr>
            <w:r w:rsidRPr="00933708">
              <w:rPr>
                <w:b/>
                <w:bCs w:val="0"/>
              </w:rPr>
              <w:t>0.72 (0.64, 0.82)</w:t>
            </w:r>
          </w:p>
        </w:tc>
      </w:tr>
      <w:tr w:rsidR="001C1A36" w:rsidRPr="00933708" w14:paraId="38DD1827" w14:textId="77777777" w:rsidTr="00907D62">
        <w:trPr>
          <w:trHeight w:val="101"/>
        </w:trPr>
        <w:tc>
          <w:tcPr>
            <w:tcW w:w="1270" w:type="dxa"/>
            <w:vAlign w:val="center"/>
          </w:tcPr>
          <w:p w14:paraId="2B3C152B" w14:textId="77777777" w:rsidR="001C1A36" w:rsidRPr="00933708" w:rsidRDefault="001C1A36" w:rsidP="00A51AD5">
            <w:pPr>
              <w:pStyle w:val="TableText"/>
              <w:keepLines/>
              <w:ind w:right="-69"/>
              <w:rPr>
                <w:szCs w:val="20"/>
              </w:rPr>
            </w:pPr>
            <w:r w:rsidRPr="00933708">
              <w:rPr>
                <w:szCs w:val="20"/>
              </w:rPr>
              <w:t>Overlap</w:t>
            </w:r>
            <w:r w:rsidRPr="00933708">
              <w:rPr>
                <w:szCs w:val="20"/>
              </w:rPr>
              <w:tab/>
            </w:r>
          </w:p>
        </w:tc>
        <w:tc>
          <w:tcPr>
            <w:tcW w:w="1418" w:type="dxa"/>
            <w:vAlign w:val="center"/>
          </w:tcPr>
          <w:p w14:paraId="3B04DFB9" w14:textId="77777777" w:rsidR="001C1A36" w:rsidRPr="00933708" w:rsidRDefault="001C1A36" w:rsidP="00A51AD5">
            <w:pPr>
              <w:pStyle w:val="TableText"/>
              <w:keepLines/>
              <w:ind w:left="-75" w:right="-69"/>
              <w:jc w:val="center"/>
              <w:rPr>
                <w:szCs w:val="20"/>
              </w:rPr>
            </w:pPr>
            <w:r w:rsidRPr="00933708">
              <w:rPr>
                <w:szCs w:val="20"/>
              </w:rPr>
              <w:t>25 to 75</w:t>
            </w:r>
          </w:p>
        </w:tc>
        <w:tc>
          <w:tcPr>
            <w:tcW w:w="1275" w:type="dxa"/>
            <w:vAlign w:val="center"/>
          </w:tcPr>
          <w:p w14:paraId="45079286" w14:textId="77777777" w:rsidR="001C1A36" w:rsidRPr="00933708" w:rsidRDefault="001C1A36" w:rsidP="00A51AD5">
            <w:pPr>
              <w:pStyle w:val="TableText"/>
              <w:keepLines/>
              <w:ind w:left="-75" w:right="-69"/>
              <w:jc w:val="center"/>
              <w:rPr>
                <w:szCs w:val="20"/>
              </w:rPr>
            </w:pPr>
            <w:r w:rsidRPr="00933708">
              <w:rPr>
                <w:szCs w:val="20"/>
              </w:rPr>
              <w:t>200-5,000</w:t>
            </w:r>
          </w:p>
        </w:tc>
        <w:tc>
          <w:tcPr>
            <w:tcW w:w="1684" w:type="dxa"/>
            <w:vAlign w:val="center"/>
          </w:tcPr>
          <w:p w14:paraId="4E8D021C" w14:textId="77777777" w:rsidR="001C1A36" w:rsidRPr="00933708" w:rsidRDefault="001C1A36" w:rsidP="00A51AD5">
            <w:pPr>
              <w:pStyle w:val="TableText"/>
              <w:keepLines/>
              <w:ind w:left="-75" w:right="-69"/>
              <w:jc w:val="center"/>
              <w:rPr>
                <w:szCs w:val="20"/>
              </w:rPr>
            </w:pPr>
            <w:r w:rsidRPr="00933708">
              <w:t>184/1446 (12.7%)</w:t>
            </w:r>
          </w:p>
        </w:tc>
        <w:tc>
          <w:tcPr>
            <w:tcW w:w="1684" w:type="dxa"/>
            <w:vAlign w:val="center"/>
          </w:tcPr>
          <w:p w14:paraId="1296C770" w14:textId="77777777" w:rsidR="001C1A36" w:rsidRPr="00933708" w:rsidRDefault="001C1A36" w:rsidP="00A51AD5">
            <w:pPr>
              <w:pStyle w:val="TableText"/>
              <w:keepLines/>
              <w:ind w:left="-75" w:right="-69"/>
              <w:jc w:val="center"/>
              <w:rPr>
                <w:szCs w:val="20"/>
              </w:rPr>
            </w:pPr>
            <w:r w:rsidRPr="00933708">
              <w:t>227/1397 (16.2%)</w:t>
            </w:r>
          </w:p>
        </w:tc>
        <w:tc>
          <w:tcPr>
            <w:tcW w:w="1685" w:type="dxa"/>
            <w:vAlign w:val="center"/>
          </w:tcPr>
          <w:p w14:paraId="3D6DD04E" w14:textId="77777777" w:rsidR="001C1A36" w:rsidRPr="00933708" w:rsidRDefault="001C1A36" w:rsidP="00A51AD5">
            <w:pPr>
              <w:pStyle w:val="TableText"/>
              <w:keepLines/>
              <w:ind w:left="-75" w:right="-69"/>
              <w:jc w:val="center"/>
              <w:rPr>
                <w:b/>
                <w:bCs w:val="0"/>
                <w:szCs w:val="20"/>
              </w:rPr>
            </w:pPr>
            <w:r w:rsidRPr="00933708">
              <w:rPr>
                <w:b/>
                <w:bCs w:val="0"/>
              </w:rPr>
              <w:t>0.76 (0.63, 0.92)</w:t>
            </w:r>
          </w:p>
        </w:tc>
      </w:tr>
      <w:tr w:rsidR="001C1A36" w:rsidRPr="00933708" w14:paraId="3680BAF2" w14:textId="77777777" w:rsidTr="00907D62">
        <w:trPr>
          <w:trHeight w:val="101"/>
        </w:trPr>
        <w:tc>
          <w:tcPr>
            <w:tcW w:w="1270" w:type="dxa"/>
            <w:vAlign w:val="center"/>
          </w:tcPr>
          <w:p w14:paraId="14F46584" w14:textId="77777777" w:rsidR="001C1A36" w:rsidRPr="00933708" w:rsidRDefault="001C1A36" w:rsidP="00A51AD5">
            <w:pPr>
              <w:pStyle w:val="TableText"/>
              <w:keepLines/>
              <w:ind w:right="-69"/>
              <w:rPr>
                <w:szCs w:val="20"/>
              </w:rPr>
            </w:pPr>
            <w:r w:rsidRPr="00933708">
              <w:rPr>
                <w:szCs w:val="20"/>
              </w:rPr>
              <w:t>Incremental</w:t>
            </w:r>
          </w:p>
        </w:tc>
        <w:tc>
          <w:tcPr>
            <w:tcW w:w="1418" w:type="dxa"/>
            <w:vAlign w:val="center"/>
          </w:tcPr>
          <w:p w14:paraId="7EE72828" w14:textId="77777777" w:rsidR="001C1A36" w:rsidRPr="00933708" w:rsidRDefault="001C1A36" w:rsidP="00A51AD5">
            <w:pPr>
              <w:pStyle w:val="TableText"/>
              <w:keepLines/>
              <w:ind w:left="-75" w:right="-69"/>
              <w:jc w:val="center"/>
              <w:rPr>
                <w:szCs w:val="20"/>
              </w:rPr>
            </w:pPr>
            <w:r w:rsidRPr="00933708">
              <w:rPr>
                <w:szCs w:val="20"/>
              </w:rPr>
              <w:t>20 to &lt;25</w:t>
            </w:r>
          </w:p>
          <w:p w14:paraId="04FC7102" w14:textId="77777777" w:rsidR="001C1A36" w:rsidRPr="00933708" w:rsidRDefault="001C1A36" w:rsidP="00A51AD5">
            <w:pPr>
              <w:pStyle w:val="TableText"/>
              <w:keepLines/>
              <w:ind w:left="-75" w:right="-69"/>
              <w:jc w:val="center"/>
              <w:rPr>
                <w:szCs w:val="20"/>
              </w:rPr>
            </w:pPr>
            <w:r w:rsidRPr="00933708">
              <w:rPr>
                <w:szCs w:val="20"/>
              </w:rPr>
              <w:t>25 to &lt;45</w:t>
            </w:r>
          </w:p>
          <w:p w14:paraId="6388118C" w14:textId="77777777" w:rsidR="001C1A36" w:rsidRPr="00933708" w:rsidRDefault="001C1A36" w:rsidP="00A51AD5">
            <w:pPr>
              <w:pStyle w:val="TableText"/>
              <w:keepLines/>
              <w:ind w:left="-75" w:right="-69"/>
              <w:jc w:val="center"/>
              <w:rPr>
                <w:szCs w:val="20"/>
              </w:rPr>
            </w:pPr>
            <w:r w:rsidRPr="00933708">
              <w:rPr>
                <w:szCs w:val="20"/>
              </w:rPr>
              <w:t>25 to 75</w:t>
            </w:r>
          </w:p>
          <w:p w14:paraId="76160E0F" w14:textId="77777777" w:rsidR="001C1A36" w:rsidRPr="00933708" w:rsidRDefault="001C1A36" w:rsidP="00A51AD5">
            <w:pPr>
              <w:pStyle w:val="TableText"/>
              <w:keepLines/>
              <w:ind w:left="-75" w:right="-69"/>
              <w:jc w:val="center"/>
              <w:rPr>
                <w:szCs w:val="20"/>
              </w:rPr>
            </w:pPr>
            <w:r w:rsidRPr="00933708">
              <w:rPr>
                <w:szCs w:val="20"/>
              </w:rPr>
              <w:t>&gt;75 to &lt;90</w:t>
            </w:r>
          </w:p>
        </w:tc>
        <w:tc>
          <w:tcPr>
            <w:tcW w:w="1275" w:type="dxa"/>
            <w:vAlign w:val="center"/>
          </w:tcPr>
          <w:p w14:paraId="47264C5C" w14:textId="77777777" w:rsidR="001C1A36" w:rsidRPr="00933708" w:rsidRDefault="001C1A36" w:rsidP="00A51AD5">
            <w:pPr>
              <w:pStyle w:val="TableText"/>
              <w:keepLines/>
              <w:ind w:left="-75" w:right="-69"/>
              <w:jc w:val="center"/>
              <w:rPr>
                <w:szCs w:val="20"/>
              </w:rPr>
            </w:pPr>
            <w:r w:rsidRPr="00933708">
              <w:rPr>
                <w:szCs w:val="20"/>
              </w:rPr>
              <w:t>NA</w:t>
            </w:r>
          </w:p>
          <w:p w14:paraId="234C4974" w14:textId="77777777" w:rsidR="001C1A36" w:rsidRPr="00933708" w:rsidRDefault="001C1A36" w:rsidP="00A51AD5">
            <w:pPr>
              <w:pStyle w:val="TableText"/>
              <w:keepLines/>
              <w:ind w:left="-75" w:right="-69"/>
              <w:jc w:val="center"/>
              <w:rPr>
                <w:szCs w:val="20"/>
              </w:rPr>
            </w:pPr>
            <w:r w:rsidRPr="00933708">
              <w:rPr>
                <w:szCs w:val="20"/>
              </w:rPr>
              <w:t>&lt;200</w:t>
            </w:r>
          </w:p>
          <w:p w14:paraId="40AAAD6C" w14:textId="77777777" w:rsidR="001C1A36" w:rsidRPr="00933708" w:rsidRDefault="001C1A36" w:rsidP="00A51AD5">
            <w:pPr>
              <w:pStyle w:val="TableText"/>
              <w:keepLines/>
              <w:ind w:left="-75" w:right="-69"/>
              <w:jc w:val="center"/>
              <w:rPr>
                <w:szCs w:val="20"/>
              </w:rPr>
            </w:pPr>
            <w:r w:rsidRPr="00933708">
              <w:rPr>
                <w:szCs w:val="20"/>
              </w:rPr>
              <w:t>&gt;5,000</w:t>
            </w:r>
          </w:p>
          <w:p w14:paraId="6ECBF09B" w14:textId="77777777" w:rsidR="001C1A36" w:rsidRPr="00933708" w:rsidRDefault="001C1A36" w:rsidP="00A51AD5">
            <w:pPr>
              <w:pStyle w:val="TableText"/>
              <w:keepLines/>
              <w:ind w:left="-75" w:right="-69"/>
              <w:jc w:val="center"/>
              <w:rPr>
                <w:szCs w:val="20"/>
              </w:rPr>
            </w:pPr>
            <w:r w:rsidRPr="00933708">
              <w:rPr>
                <w:szCs w:val="20"/>
              </w:rPr>
              <w:t>≥200</w:t>
            </w:r>
          </w:p>
        </w:tc>
        <w:tc>
          <w:tcPr>
            <w:tcW w:w="1684" w:type="dxa"/>
            <w:vAlign w:val="center"/>
          </w:tcPr>
          <w:p w14:paraId="20DA6B7D" w14:textId="77777777" w:rsidR="001C1A36" w:rsidRPr="00933708" w:rsidRDefault="001C1A36" w:rsidP="00A51AD5">
            <w:pPr>
              <w:pStyle w:val="TableText"/>
              <w:keepLines/>
              <w:ind w:left="-75" w:right="-69"/>
              <w:jc w:val="center"/>
            </w:pPr>
            <w:r w:rsidRPr="00933708">
              <w:t>248/1858 (13.3%)</w:t>
            </w:r>
          </w:p>
        </w:tc>
        <w:tc>
          <w:tcPr>
            <w:tcW w:w="1684" w:type="dxa"/>
            <w:vAlign w:val="center"/>
          </w:tcPr>
          <w:p w14:paraId="765A5394" w14:textId="77777777" w:rsidR="001C1A36" w:rsidRPr="00933708" w:rsidRDefault="001C1A36" w:rsidP="00A51AD5">
            <w:pPr>
              <w:pStyle w:val="TableText"/>
              <w:keepLines/>
              <w:ind w:left="-75" w:right="-69"/>
              <w:jc w:val="center"/>
            </w:pPr>
            <w:r w:rsidRPr="00933708">
              <w:t>331/1908 (17.3%)</w:t>
            </w:r>
          </w:p>
        </w:tc>
        <w:tc>
          <w:tcPr>
            <w:tcW w:w="1685" w:type="dxa"/>
            <w:vAlign w:val="center"/>
          </w:tcPr>
          <w:p w14:paraId="02454550" w14:textId="77777777" w:rsidR="001C1A36" w:rsidRPr="00933708" w:rsidRDefault="001C1A36" w:rsidP="00A51AD5">
            <w:pPr>
              <w:pStyle w:val="TableText"/>
              <w:keepLines/>
              <w:ind w:left="-75" w:right="-69"/>
              <w:jc w:val="center"/>
              <w:rPr>
                <w:b/>
                <w:bCs w:val="0"/>
              </w:rPr>
            </w:pPr>
            <w:r w:rsidRPr="00933708">
              <w:rPr>
                <w:b/>
                <w:bCs w:val="0"/>
              </w:rPr>
              <w:t>0.76 (0.65, 0.90)</w:t>
            </w:r>
          </w:p>
        </w:tc>
      </w:tr>
      <w:tr w:rsidR="001C1A36" w:rsidRPr="00933708" w14:paraId="5F9114D9" w14:textId="77777777" w:rsidTr="00907D62">
        <w:trPr>
          <w:trHeight w:val="101"/>
        </w:trPr>
        <w:tc>
          <w:tcPr>
            <w:tcW w:w="9016" w:type="dxa"/>
            <w:gridSpan w:val="6"/>
            <w:vAlign w:val="center"/>
          </w:tcPr>
          <w:p w14:paraId="0390A831" w14:textId="77777777" w:rsidR="001C1A36" w:rsidRPr="00933708" w:rsidRDefault="001C1A36" w:rsidP="00A51AD5">
            <w:pPr>
              <w:pStyle w:val="TableText"/>
              <w:keepLines/>
              <w:ind w:left="-75" w:right="-69"/>
              <w:rPr>
                <w:b/>
                <w:bCs w:val="0"/>
                <w:szCs w:val="20"/>
                <w:vertAlign w:val="superscript"/>
              </w:rPr>
            </w:pPr>
            <w:r w:rsidRPr="00933708">
              <w:rPr>
                <w:b/>
                <w:bCs w:val="0"/>
                <w:i/>
                <w:iCs/>
                <w:szCs w:val="20"/>
              </w:rPr>
              <w:t>Post hoc</w:t>
            </w:r>
            <w:r w:rsidRPr="00933708">
              <w:rPr>
                <w:b/>
                <w:bCs w:val="0"/>
                <w:szCs w:val="20"/>
              </w:rPr>
              <w:t xml:space="preserve"> subgroup </w:t>
            </w:r>
            <w:proofErr w:type="spellStart"/>
            <w:r w:rsidRPr="00933708">
              <w:rPr>
                <w:b/>
                <w:bCs w:val="0"/>
                <w:szCs w:val="20"/>
              </w:rPr>
              <w:t>analyses</w:t>
            </w:r>
            <w:r w:rsidRPr="00933708">
              <w:rPr>
                <w:b/>
                <w:bCs w:val="0"/>
                <w:szCs w:val="20"/>
                <w:vertAlign w:val="superscript"/>
              </w:rPr>
              <w:t>a</w:t>
            </w:r>
            <w:proofErr w:type="spellEnd"/>
          </w:p>
        </w:tc>
      </w:tr>
      <w:tr w:rsidR="001C1A36" w:rsidRPr="00933708" w14:paraId="2092DAC4" w14:textId="77777777" w:rsidTr="00907D62">
        <w:trPr>
          <w:trHeight w:val="101"/>
        </w:trPr>
        <w:tc>
          <w:tcPr>
            <w:tcW w:w="1270" w:type="dxa"/>
            <w:vAlign w:val="center"/>
          </w:tcPr>
          <w:p w14:paraId="5BD9B9BF" w14:textId="77777777" w:rsidR="001C1A36" w:rsidRPr="00933708" w:rsidRDefault="001C1A36" w:rsidP="00A51AD5">
            <w:pPr>
              <w:pStyle w:val="TableText"/>
              <w:keepLines/>
              <w:ind w:right="-69"/>
              <w:rPr>
                <w:szCs w:val="20"/>
              </w:rPr>
            </w:pPr>
            <w:r w:rsidRPr="00933708">
              <w:rPr>
                <w:szCs w:val="20"/>
              </w:rPr>
              <w:t>G2A1</w:t>
            </w:r>
          </w:p>
        </w:tc>
        <w:tc>
          <w:tcPr>
            <w:tcW w:w="1418" w:type="dxa"/>
            <w:vMerge w:val="restart"/>
            <w:vAlign w:val="center"/>
          </w:tcPr>
          <w:p w14:paraId="4AB7CA53" w14:textId="77777777" w:rsidR="001C1A36" w:rsidRPr="00933708" w:rsidRDefault="001C1A36" w:rsidP="00A51AD5">
            <w:pPr>
              <w:pStyle w:val="TableText"/>
              <w:keepLines/>
              <w:ind w:left="-75" w:right="-69"/>
              <w:jc w:val="center"/>
              <w:rPr>
                <w:szCs w:val="20"/>
              </w:rPr>
            </w:pPr>
            <w:r w:rsidRPr="00933708">
              <w:rPr>
                <w:szCs w:val="20"/>
              </w:rPr>
              <w:t>60 to 89</w:t>
            </w:r>
          </w:p>
        </w:tc>
        <w:tc>
          <w:tcPr>
            <w:tcW w:w="1275" w:type="dxa"/>
            <w:shd w:val="clear" w:color="auto" w:fill="auto"/>
            <w:vAlign w:val="center"/>
          </w:tcPr>
          <w:p w14:paraId="07D9A840" w14:textId="77777777" w:rsidR="001C1A36" w:rsidRPr="00933708" w:rsidRDefault="001C1A36" w:rsidP="00A51AD5">
            <w:pPr>
              <w:pStyle w:val="TableText"/>
              <w:keepLines/>
              <w:ind w:left="-75" w:right="-69"/>
              <w:jc w:val="center"/>
              <w:rPr>
                <w:szCs w:val="20"/>
              </w:rPr>
            </w:pPr>
            <w:r w:rsidRPr="00933708">
              <w:rPr>
                <w:szCs w:val="20"/>
              </w:rPr>
              <w:t>&lt;30</w:t>
            </w:r>
          </w:p>
        </w:tc>
        <w:tc>
          <w:tcPr>
            <w:tcW w:w="1684" w:type="dxa"/>
            <w:shd w:val="clear" w:color="auto" w:fill="auto"/>
            <w:vAlign w:val="center"/>
          </w:tcPr>
          <w:p w14:paraId="44184769" w14:textId="77777777" w:rsidR="001C1A36" w:rsidRPr="00933708" w:rsidRDefault="001C1A36" w:rsidP="00A51AD5">
            <w:pPr>
              <w:pStyle w:val="TableText"/>
              <w:keepLines/>
              <w:ind w:left="-75" w:right="-69"/>
              <w:jc w:val="center"/>
              <w:rPr>
                <w:szCs w:val="20"/>
              </w:rPr>
            </w:pPr>
            <w:r w:rsidRPr="00933708">
              <w:rPr>
                <w:szCs w:val="20"/>
              </w:rPr>
              <w:t>-</w:t>
            </w:r>
          </w:p>
        </w:tc>
        <w:tc>
          <w:tcPr>
            <w:tcW w:w="1684" w:type="dxa"/>
            <w:shd w:val="clear" w:color="auto" w:fill="auto"/>
            <w:vAlign w:val="center"/>
          </w:tcPr>
          <w:p w14:paraId="72786EC5" w14:textId="77777777" w:rsidR="001C1A36" w:rsidRPr="00933708" w:rsidRDefault="001C1A36" w:rsidP="00A51AD5">
            <w:pPr>
              <w:pStyle w:val="TableText"/>
              <w:keepLines/>
              <w:ind w:left="-75" w:right="-69"/>
              <w:jc w:val="center"/>
              <w:rPr>
                <w:szCs w:val="20"/>
              </w:rPr>
            </w:pPr>
            <w:r w:rsidRPr="00933708">
              <w:rPr>
                <w:szCs w:val="20"/>
              </w:rPr>
              <w:t>-</w:t>
            </w:r>
          </w:p>
        </w:tc>
        <w:tc>
          <w:tcPr>
            <w:tcW w:w="1685" w:type="dxa"/>
            <w:shd w:val="clear" w:color="auto" w:fill="auto"/>
            <w:vAlign w:val="center"/>
          </w:tcPr>
          <w:p w14:paraId="113E5D6D" w14:textId="77777777" w:rsidR="001C1A36" w:rsidRPr="00933708" w:rsidRDefault="001C1A36" w:rsidP="00A51AD5">
            <w:pPr>
              <w:pStyle w:val="TableText"/>
              <w:keepLines/>
              <w:ind w:left="-75" w:right="-69"/>
              <w:jc w:val="center"/>
              <w:rPr>
                <w:szCs w:val="20"/>
              </w:rPr>
            </w:pPr>
            <w:r w:rsidRPr="00933708">
              <w:rPr>
                <w:szCs w:val="20"/>
              </w:rPr>
              <w:t>-</w:t>
            </w:r>
          </w:p>
        </w:tc>
      </w:tr>
      <w:tr w:rsidR="001C1A36" w:rsidRPr="00933708" w14:paraId="6C69A10B" w14:textId="77777777" w:rsidTr="00907D62">
        <w:trPr>
          <w:trHeight w:val="101"/>
        </w:trPr>
        <w:tc>
          <w:tcPr>
            <w:tcW w:w="1270" w:type="dxa"/>
          </w:tcPr>
          <w:p w14:paraId="3CDF6593" w14:textId="77777777" w:rsidR="001C1A36" w:rsidRPr="00933708" w:rsidRDefault="001C1A36" w:rsidP="00A51AD5">
            <w:pPr>
              <w:pStyle w:val="TableText"/>
              <w:keepLines/>
              <w:ind w:right="-69"/>
              <w:rPr>
                <w:szCs w:val="20"/>
              </w:rPr>
            </w:pPr>
            <w:r w:rsidRPr="00933708">
              <w:rPr>
                <w:szCs w:val="20"/>
              </w:rPr>
              <w:t>G2A2</w:t>
            </w:r>
          </w:p>
        </w:tc>
        <w:tc>
          <w:tcPr>
            <w:tcW w:w="1418" w:type="dxa"/>
            <w:vMerge/>
            <w:vAlign w:val="center"/>
          </w:tcPr>
          <w:p w14:paraId="6148801B" w14:textId="77777777" w:rsidR="001C1A36" w:rsidRPr="00933708" w:rsidRDefault="001C1A36" w:rsidP="00A51AD5">
            <w:pPr>
              <w:pStyle w:val="TableText"/>
              <w:keepLines/>
              <w:ind w:left="-75" w:right="-69"/>
              <w:jc w:val="center"/>
              <w:rPr>
                <w:szCs w:val="20"/>
              </w:rPr>
            </w:pPr>
          </w:p>
        </w:tc>
        <w:tc>
          <w:tcPr>
            <w:tcW w:w="1275" w:type="dxa"/>
            <w:shd w:val="clear" w:color="auto" w:fill="auto"/>
            <w:vAlign w:val="center"/>
          </w:tcPr>
          <w:p w14:paraId="3567857E" w14:textId="77777777" w:rsidR="001C1A36" w:rsidRPr="00933708" w:rsidRDefault="001C1A36" w:rsidP="00A51AD5">
            <w:pPr>
              <w:pStyle w:val="TableText"/>
              <w:keepLines/>
              <w:ind w:left="-75" w:right="-69"/>
              <w:jc w:val="center"/>
              <w:rPr>
                <w:szCs w:val="20"/>
              </w:rPr>
            </w:pPr>
            <w:r w:rsidRPr="00933708">
              <w:rPr>
                <w:szCs w:val="20"/>
              </w:rPr>
              <w:t>30-300</w:t>
            </w:r>
          </w:p>
        </w:tc>
        <w:tc>
          <w:tcPr>
            <w:tcW w:w="1684" w:type="dxa"/>
            <w:shd w:val="clear" w:color="auto" w:fill="auto"/>
          </w:tcPr>
          <w:p w14:paraId="5F790C03" w14:textId="48A3F828" w:rsidR="001C1A36" w:rsidRPr="00A51AD5" w:rsidRDefault="001C1A36" w:rsidP="00A51AD5">
            <w:pPr>
              <w:pStyle w:val="TableText"/>
              <w:keepLines/>
              <w:ind w:left="-75" w:right="-69"/>
              <w:jc w:val="center"/>
              <w:rPr>
                <w:szCs w:val="20"/>
              </w:rPr>
            </w:pPr>
            <w:r w:rsidRPr="00A51AD5">
              <w:rPr>
                <w:szCs w:val="20"/>
              </w:rPr>
              <w:t>1/55 (1.8%)</w:t>
            </w:r>
            <w:r w:rsidR="00B13E76">
              <w:rPr>
                <w:szCs w:val="20"/>
              </w:rPr>
              <w:t>*</w:t>
            </w:r>
          </w:p>
        </w:tc>
        <w:tc>
          <w:tcPr>
            <w:tcW w:w="1684" w:type="dxa"/>
            <w:shd w:val="clear" w:color="auto" w:fill="auto"/>
          </w:tcPr>
          <w:p w14:paraId="41CEB5BE" w14:textId="232FC16B" w:rsidR="001C1A36" w:rsidRPr="00A51AD5" w:rsidRDefault="001C1A36" w:rsidP="00A51AD5">
            <w:pPr>
              <w:pStyle w:val="TableText"/>
              <w:keepLines/>
              <w:ind w:left="-75" w:right="-69"/>
              <w:jc w:val="center"/>
              <w:rPr>
                <w:szCs w:val="20"/>
              </w:rPr>
            </w:pPr>
            <w:r w:rsidRPr="00A51AD5">
              <w:rPr>
                <w:szCs w:val="20"/>
              </w:rPr>
              <w:t>1/43 (2.3%)</w:t>
            </w:r>
            <w:r w:rsidR="00B13E76">
              <w:rPr>
                <w:szCs w:val="20"/>
              </w:rPr>
              <w:t>*</w:t>
            </w:r>
          </w:p>
        </w:tc>
        <w:tc>
          <w:tcPr>
            <w:tcW w:w="1685" w:type="dxa"/>
            <w:shd w:val="clear" w:color="auto" w:fill="auto"/>
          </w:tcPr>
          <w:p w14:paraId="321F0E05" w14:textId="0A35A434" w:rsidR="001C1A36" w:rsidRPr="00A51AD5" w:rsidRDefault="001C1A36" w:rsidP="00A51AD5">
            <w:pPr>
              <w:pStyle w:val="TableText"/>
              <w:keepLines/>
              <w:ind w:left="-75" w:right="-69"/>
              <w:jc w:val="center"/>
              <w:rPr>
                <w:b/>
                <w:bCs w:val="0"/>
                <w:szCs w:val="20"/>
              </w:rPr>
            </w:pPr>
            <w:r w:rsidRPr="00A51AD5">
              <w:rPr>
                <w:szCs w:val="20"/>
              </w:rPr>
              <w:t>NR</w:t>
            </w:r>
            <w:r w:rsidR="00B13E76">
              <w:rPr>
                <w:szCs w:val="20"/>
              </w:rPr>
              <w:t>*</w:t>
            </w:r>
          </w:p>
        </w:tc>
      </w:tr>
      <w:tr w:rsidR="001C1A36" w:rsidRPr="00933708" w14:paraId="3345F917" w14:textId="77777777" w:rsidTr="00907D62">
        <w:trPr>
          <w:trHeight w:val="70"/>
        </w:trPr>
        <w:tc>
          <w:tcPr>
            <w:tcW w:w="1270" w:type="dxa"/>
          </w:tcPr>
          <w:p w14:paraId="2B540AEC" w14:textId="77777777" w:rsidR="001C1A36" w:rsidRPr="00933708" w:rsidRDefault="001C1A36" w:rsidP="00A51AD5">
            <w:pPr>
              <w:pStyle w:val="TableText"/>
              <w:keepLines/>
              <w:ind w:right="-69"/>
              <w:rPr>
                <w:szCs w:val="20"/>
              </w:rPr>
            </w:pPr>
            <w:r w:rsidRPr="00933708">
              <w:rPr>
                <w:szCs w:val="20"/>
              </w:rPr>
              <w:t>G2A3</w:t>
            </w:r>
          </w:p>
        </w:tc>
        <w:tc>
          <w:tcPr>
            <w:tcW w:w="1418" w:type="dxa"/>
            <w:vMerge/>
            <w:vAlign w:val="center"/>
          </w:tcPr>
          <w:p w14:paraId="5233D72D" w14:textId="77777777" w:rsidR="001C1A36" w:rsidRPr="00933708" w:rsidRDefault="001C1A36" w:rsidP="00A51AD5">
            <w:pPr>
              <w:pStyle w:val="TableText"/>
              <w:keepLines/>
              <w:ind w:left="-75" w:right="-69"/>
              <w:jc w:val="center"/>
              <w:rPr>
                <w:szCs w:val="20"/>
              </w:rPr>
            </w:pPr>
          </w:p>
        </w:tc>
        <w:tc>
          <w:tcPr>
            <w:tcW w:w="1275" w:type="dxa"/>
            <w:shd w:val="clear" w:color="auto" w:fill="auto"/>
            <w:vAlign w:val="center"/>
          </w:tcPr>
          <w:p w14:paraId="29D2B237" w14:textId="77777777" w:rsidR="001C1A36" w:rsidRPr="00933708" w:rsidRDefault="001C1A36" w:rsidP="00A51AD5">
            <w:pPr>
              <w:pStyle w:val="TableText"/>
              <w:keepLines/>
              <w:ind w:left="-75" w:right="-69"/>
              <w:jc w:val="center"/>
              <w:rPr>
                <w:szCs w:val="20"/>
              </w:rPr>
            </w:pPr>
            <w:r w:rsidRPr="00933708">
              <w:rPr>
                <w:szCs w:val="20"/>
              </w:rPr>
              <w:t>&gt;300</w:t>
            </w:r>
          </w:p>
        </w:tc>
        <w:tc>
          <w:tcPr>
            <w:tcW w:w="1684" w:type="dxa"/>
          </w:tcPr>
          <w:p w14:paraId="130BABCB" w14:textId="086F90BC" w:rsidR="001C1A36" w:rsidRPr="00A51AD5" w:rsidRDefault="001C1A36" w:rsidP="00A51AD5">
            <w:pPr>
              <w:pStyle w:val="TableText"/>
              <w:keepLines/>
              <w:ind w:left="-75" w:right="-69"/>
              <w:jc w:val="center"/>
              <w:rPr>
                <w:szCs w:val="20"/>
              </w:rPr>
            </w:pPr>
            <w:r w:rsidRPr="00A51AD5">
              <w:rPr>
                <w:szCs w:val="20"/>
              </w:rPr>
              <w:t>14/175 (8.0%)</w:t>
            </w:r>
            <w:r w:rsidR="00B13E76">
              <w:rPr>
                <w:szCs w:val="20"/>
              </w:rPr>
              <w:t>*</w:t>
            </w:r>
          </w:p>
        </w:tc>
        <w:tc>
          <w:tcPr>
            <w:tcW w:w="1684" w:type="dxa"/>
          </w:tcPr>
          <w:p w14:paraId="41CA4CFC" w14:textId="7B702AFC" w:rsidR="001C1A36" w:rsidRPr="00A51AD5" w:rsidRDefault="001C1A36" w:rsidP="00A51AD5">
            <w:pPr>
              <w:pStyle w:val="TableText"/>
              <w:keepLines/>
              <w:ind w:left="-75" w:right="-69"/>
              <w:jc w:val="center"/>
              <w:rPr>
                <w:szCs w:val="20"/>
              </w:rPr>
            </w:pPr>
            <w:r w:rsidRPr="00A51AD5">
              <w:rPr>
                <w:szCs w:val="20"/>
              </w:rPr>
              <w:t>16/188 (8.5%)</w:t>
            </w:r>
            <w:r w:rsidR="00B13E76">
              <w:rPr>
                <w:szCs w:val="20"/>
              </w:rPr>
              <w:t>*</w:t>
            </w:r>
          </w:p>
        </w:tc>
        <w:tc>
          <w:tcPr>
            <w:tcW w:w="1685" w:type="dxa"/>
          </w:tcPr>
          <w:p w14:paraId="08F828E8" w14:textId="2C0D5A41" w:rsidR="001C1A36" w:rsidRPr="00A51AD5" w:rsidRDefault="001C1A36" w:rsidP="00A51AD5">
            <w:pPr>
              <w:pStyle w:val="TableText"/>
              <w:keepLines/>
              <w:ind w:left="-75" w:right="-69"/>
              <w:jc w:val="center"/>
              <w:rPr>
                <w:b/>
                <w:bCs w:val="0"/>
                <w:szCs w:val="20"/>
              </w:rPr>
            </w:pPr>
            <w:r w:rsidRPr="00A51AD5">
              <w:rPr>
                <w:szCs w:val="20"/>
              </w:rPr>
              <w:t>0.83 (0.40, 1.69)</w:t>
            </w:r>
            <w:r w:rsidR="00B13E76">
              <w:rPr>
                <w:szCs w:val="20"/>
              </w:rPr>
              <w:t>*</w:t>
            </w:r>
          </w:p>
        </w:tc>
      </w:tr>
      <w:tr w:rsidR="001C1A36" w:rsidRPr="00933708" w14:paraId="0327E82B" w14:textId="77777777" w:rsidTr="00907D62">
        <w:trPr>
          <w:trHeight w:val="101"/>
        </w:trPr>
        <w:tc>
          <w:tcPr>
            <w:tcW w:w="1270" w:type="dxa"/>
          </w:tcPr>
          <w:p w14:paraId="1E71B2A9" w14:textId="77777777" w:rsidR="001C1A36" w:rsidRPr="00933708" w:rsidRDefault="001C1A36" w:rsidP="00A51AD5">
            <w:pPr>
              <w:pStyle w:val="TableText"/>
              <w:keepLines/>
              <w:ind w:right="-69"/>
              <w:rPr>
                <w:szCs w:val="20"/>
              </w:rPr>
            </w:pPr>
            <w:r w:rsidRPr="00933708">
              <w:rPr>
                <w:szCs w:val="20"/>
              </w:rPr>
              <w:t>G3aA1</w:t>
            </w:r>
          </w:p>
        </w:tc>
        <w:tc>
          <w:tcPr>
            <w:tcW w:w="1418" w:type="dxa"/>
            <w:vMerge w:val="restart"/>
            <w:vAlign w:val="center"/>
          </w:tcPr>
          <w:p w14:paraId="0ADFC5EE" w14:textId="77777777" w:rsidR="001C1A36" w:rsidRPr="00933708" w:rsidRDefault="001C1A36" w:rsidP="00A51AD5">
            <w:pPr>
              <w:pStyle w:val="TableText"/>
              <w:keepLines/>
              <w:ind w:left="-75" w:right="-69"/>
              <w:jc w:val="center"/>
              <w:rPr>
                <w:szCs w:val="20"/>
              </w:rPr>
            </w:pPr>
            <w:r w:rsidRPr="00933708">
              <w:rPr>
                <w:szCs w:val="20"/>
              </w:rPr>
              <w:t>45 to 59</w:t>
            </w:r>
          </w:p>
        </w:tc>
        <w:tc>
          <w:tcPr>
            <w:tcW w:w="1275" w:type="dxa"/>
            <w:shd w:val="clear" w:color="auto" w:fill="auto"/>
            <w:vAlign w:val="center"/>
          </w:tcPr>
          <w:p w14:paraId="45B8E858" w14:textId="77777777" w:rsidR="001C1A36" w:rsidRPr="00933708" w:rsidRDefault="001C1A36" w:rsidP="00A51AD5">
            <w:pPr>
              <w:pStyle w:val="TableText"/>
              <w:keepLines/>
              <w:ind w:left="-75" w:right="-69"/>
              <w:jc w:val="center"/>
              <w:rPr>
                <w:szCs w:val="20"/>
              </w:rPr>
            </w:pPr>
            <w:r w:rsidRPr="00933708">
              <w:rPr>
                <w:szCs w:val="20"/>
              </w:rPr>
              <w:t>&lt;30</w:t>
            </w:r>
          </w:p>
        </w:tc>
        <w:tc>
          <w:tcPr>
            <w:tcW w:w="1684" w:type="dxa"/>
            <w:shd w:val="clear" w:color="auto" w:fill="auto"/>
            <w:vAlign w:val="center"/>
          </w:tcPr>
          <w:p w14:paraId="61B64A3D" w14:textId="77777777" w:rsidR="001C1A36" w:rsidRPr="00A51AD5" w:rsidRDefault="001C1A36" w:rsidP="00A51AD5">
            <w:pPr>
              <w:pStyle w:val="TableText"/>
              <w:keepLines/>
              <w:ind w:left="-75" w:right="-69"/>
              <w:jc w:val="center"/>
              <w:rPr>
                <w:szCs w:val="20"/>
              </w:rPr>
            </w:pPr>
            <w:r w:rsidRPr="00A51AD5">
              <w:rPr>
                <w:szCs w:val="20"/>
              </w:rPr>
              <w:t>-</w:t>
            </w:r>
          </w:p>
        </w:tc>
        <w:tc>
          <w:tcPr>
            <w:tcW w:w="1684" w:type="dxa"/>
            <w:shd w:val="clear" w:color="auto" w:fill="auto"/>
            <w:vAlign w:val="center"/>
          </w:tcPr>
          <w:p w14:paraId="294AF0EF" w14:textId="77777777" w:rsidR="001C1A36" w:rsidRPr="00A51AD5" w:rsidRDefault="001C1A36" w:rsidP="00A51AD5">
            <w:pPr>
              <w:pStyle w:val="TableText"/>
              <w:keepLines/>
              <w:ind w:left="-75" w:right="-69"/>
              <w:jc w:val="center"/>
              <w:rPr>
                <w:szCs w:val="20"/>
              </w:rPr>
            </w:pPr>
            <w:r w:rsidRPr="00A51AD5">
              <w:rPr>
                <w:szCs w:val="20"/>
              </w:rPr>
              <w:t>-</w:t>
            </w:r>
          </w:p>
        </w:tc>
        <w:tc>
          <w:tcPr>
            <w:tcW w:w="1685" w:type="dxa"/>
            <w:shd w:val="clear" w:color="auto" w:fill="auto"/>
            <w:vAlign w:val="center"/>
          </w:tcPr>
          <w:p w14:paraId="3B09D472" w14:textId="77777777" w:rsidR="001C1A36" w:rsidRPr="00A51AD5" w:rsidRDefault="001C1A36" w:rsidP="00A51AD5">
            <w:pPr>
              <w:pStyle w:val="TableText"/>
              <w:keepLines/>
              <w:ind w:left="-75" w:right="-69"/>
              <w:jc w:val="center"/>
              <w:rPr>
                <w:szCs w:val="20"/>
              </w:rPr>
            </w:pPr>
            <w:r w:rsidRPr="00A51AD5">
              <w:rPr>
                <w:szCs w:val="20"/>
              </w:rPr>
              <w:t>-</w:t>
            </w:r>
          </w:p>
        </w:tc>
      </w:tr>
      <w:tr w:rsidR="001C1A36" w:rsidRPr="00933708" w14:paraId="079A7E67" w14:textId="77777777" w:rsidTr="00907D62">
        <w:trPr>
          <w:trHeight w:val="101"/>
        </w:trPr>
        <w:tc>
          <w:tcPr>
            <w:tcW w:w="1270" w:type="dxa"/>
          </w:tcPr>
          <w:p w14:paraId="2D02696D" w14:textId="77777777" w:rsidR="001C1A36" w:rsidRPr="00933708" w:rsidRDefault="001C1A36" w:rsidP="00A51AD5">
            <w:pPr>
              <w:pStyle w:val="TableText"/>
              <w:keepLines/>
              <w:ind w:right="-69"/>
              <w:rPr>
                <w:szCs w:val="20"/>
              </w:rPr>
            </w:pPr>
            <w:r w:rsidRPr="00933708">
              <w:rPr>
                <w:szCs w:val="20"/>
              </w:rPr>
              <w:t>G3aA2</w:t>
            </w:r>
          </w:p>
        </w:tc>
        <w:tc>
          <w:tcPr>
            <w:tcW w:w="1418" w:type="dxa"/>
            <w:vMerge/>
            <w:vAlign w:val="center"/>
          </w:tcPr>
          <w:p w14:paraId="50935018" w14:textId="77777777" w:rsidR="001C1A36" w:rsidRPr="00933708" w:rsidRDefault="001C1A36" w:rsidP="00A51AD5">
            <w:pPr>
              <w:pStyle w:val="TableText"/>
              <w:keepLines/>
              <w:ind w:left="-75" w:right="-69"/>
              <w:jc w:val="center"/>
              <w:rPr>
                <w:szCs w:val="20"/>
              </w:rPr>
            </w:pPr>
          </w:p>
        </w:tc>
        <w:tc>
          <w:tcPr>
            <w:tcW w:w="1275" w:type="dxa"/>
            <w:shd w:val="clear" w:color="auto" w:fill="auto"/>
            <w:vAlign w:val="center"/>
          </w:tcPr>
          <w:p w14:paraId="3E747CDD" w14:textId="77777777" w:rsidR="001C1A36" w:rsidRPr="00933708" w:rsidRDefault="001C1A36" w:rsidP="00A51AD5">
            <w:pPr>
              <w:pStyle w:val="TableText"/>
              <w:keepLines/>
              <w:ind w:left="-75" w:right="-69"/>
              <w:jc w:val="center"/>
              <w:rPr>
                <w:szCs w:val="20"/>
              </w:rPr>
            </w:pPr>
            <w:r w:rsidRPr="00933708">
              <w:rPr>
                <w:szCs w:val="20"/>
              </w:rPr>
              <w:t>30-300</w:t>
            </w:r>
          </w:p>
        </w:tc>
        <w:tc>
          <w:tcPr>
            <w:tcW w:w="1684" w:type="dxa"/>
            <w:shd w:val="clear" w:color="auto" w:fill="auto"/>
          </w:tcPr>
          <w:p w14:paraId="15E70374" w14:textId="21123B9C" w:rsidR="001C1A36" w:rsidRPr="00A51AD5" w:rsidRDefault="001C1A36" w:rsidP="00A51AD5">
            <w:pPr>
              <w:pStyle w:val="TableText"/>
              <w:keepLines/>
              <w:ind w:left="-75" w:right="-69"/>
              <w:jc w:val="center"/>
              <w:rPr>
                <w:szCs w:val="20"/>
              </w:rPr>
            </w:pPr>
            <w:r w:rsidRPr="00A51AD5">
              <w:rPr>
                <w:szCs w:val="20"/>
              </w:rPr>
              <w:t>5/112 (4.5%)</w:t>
            </w:r>
            <w:r w:rsidR="00B13E76">
              <w:rPr>
                <w:szCs w:val="20"/>
              </w:rPr>
              <w:t>*</w:t>
            </w:r>
          </w:p>
        </w:tc>
        <w:tc>
          <w:tcPr>
            <w:tcW w:w="1684" w:type="dxa"/>
            <w:shd w:val="clear" w:color="auto" w:fill="auto"/>
          </w:tcPr>
          <w:p w14:paraId="5A7C3276" w14:textId="5C441B0D" w:rsidR="001C1A36" w:rsidRPr="00A51AD5" w:rsidRDefault="001C1A36" w:rsidP="00A51AD5">
            <w:pPr>
              <w:pStyle w:val="TableText"/>
              <w:keepLines/>
              <w:ind w:left="-75" w:right="-69"/>
              <w:jc w:val="center"/>
              <w:rPr>
                <w:szCs w:val="20"/>
              </w:rPr>
            </w:pPr>
            <w:r w:rsidRPr="00A51AD5">
              <w:rPr>
                <w:szCs w:val="20"/>
              </w:rPr>
              <w:t>5/111 (4.5%)</w:t>
            </w:r>
            <w:r w:rsidR="00B13E76">
              <w:rPr>
                <w:szCs w:val="20"/>
              </w:rPr>
              <w:t>*</w:t>
            </w:r>
          </w:p>
        </w:tc>
        <w:tc>
          <w:tcPr>
            <w:tcW w:w="1685" w:type="dxa"/>
            <w:shd w:val="clear" w:color="auto" w:fill="auto"/>
          </w:tcPr>
          <w:p w14:paraId="69A8B0FB" w14:textId="25BFE826" w:rsidR="001C1A36" w:rsidRPr="00A51AD5" w:rsidRDefault="001C1A36" w:rsidP="00A51AD5">
            <w:pPr>
              <w:pStyle w:val="TableText"/>
              <w:keepLines/>
              <w:ind w:left="-75" w:right="-69"/>
              <w:jc w:val="center"/>
              <w:rPr>
                <w:b/>
                <w:bCs w:val="0"/>
                <w:szCs w:val="20"/>
              </w:rPr>
            </w:pPr>
            <w:r w:rsidRPr="00A51AD5">
              <w:rPr>
                <w:szCs w:val="20"/>
              </w:rPr>
              <w:t>NR</w:t>
            </w:r>
            <w:r w:rsidR="00B13E76">
              <w:rPr>
                <w:szCs w:val="20"/>
              </w:rPr>
              <w:t>*</w:t>
            </w:r>
          </w:p>
        </w:tc>
      </w:tr>
      <w:tr w:rsidR="001C1A36" w:rsidRPr="00933708" w14:paraId="1385FAA7" w14:textId="77777777" w:rsidTr="00907D62">
        <w:trPr>
          <w:trHeight w:val="101"/>
        </w:trPr>
        <w:tc>
          <w:tcPr>
            <w:tcW w:w="1270" w:type="dxa"/>
          </w:tcPr>
          <w:p w14:paraId="4CEFFA80" w14:textId="77777777" w:rsidR="001C1A36" w:rsidRPr="00933708" w:rsidRDefault="001C1A36" w:rsidP="00A51AD5">
            <w:pPr>
              <w:pStyle w:val="TableText"/>
              <w:keepLines/>
              <w:ind w:right="-69"/>
              <w:rPr>
                <w:szCs w:val="20"/>
              </w:rPr>
            </w:pPr>
            <w:r w:rsidRPr="00933708">
              <w:rPr>
                <w:szCs w:val="20"/>
              </w:rPr>
              <w:t>G3aA3</w:t>
            </w:r>
          </w:p>
        </w:tc>
        <w:tc>
          <w:tcPr>
            <w:tcW w:w="1418" w:type="dxa"/>
            <w:vMerge/>
            <w:vAlign w:val="center"/>
          </w:tcPr>
          <w:p w14:paraId="2D69EC79" w14:textId="77777777" w:rsidR="001C1A36" w:rsidRPr="00933708" w:rsidRDefault="001C1A36" w:rsidP="00A51AD5">
            <w:pPr>
              <w:pStyle w:val="TableText"/>
              <w:keepLines/>
              <w:ind w:left="-75" w:right="-69"/>
              <w:jc w:val="center"/>
              <w:rPr>
                <w:szCs w:val="20"/>
              </w:rPr>
            </w:pPr>
          </w:p>
        </w:tc>
        <w:tc>
          <w:tcPr>
            <w:tcW w:w="1275" w:type="dxa"/>
            <w:shd w:val="clear" w:color="auto" w:fill="auto"/>
            <w:vAlign w:val="center"/>
          </w:tcPr>
          <w:p w14:paraId="53A1ADFB" w14:textId="77777777" w:rsidR="001C1A36" w:rsidRPr="00933708" w:rsidRDefault="001C1A36" w:rsidP="00A51AD5">
            <w:pPr>
              <w:pStyle w:val="TableText"/>
              <w:keepLines/>
              <w:ind w:left="-75" w:right="-69"/>
              <w:jc w:val="center"/>
              <w:rPr>
                <w:szCs w:val="20"/>
              </w:rPr>
            </w:pPr>
            <w:r w:rsidRPr="00933708">
              <w:rPr>
                <w:szCs w:val="20"/>
              </w:rPr>
              <w:t>&gt;300</w:t>
            </w:r>
          </w:p>
        </w:tc>
        <w:tc>
          <w:tcPr>
            <w:tcW w:w="1684" w:type="dxa"/>
            <w:shd w:val="clear" w:color="auto" w:fill="auto"/>
          </w:tcPr>
          <w:p w14:paraId="7C9C4FB8" w14:textId="1A4321E9" w:rsidR="001C1A36" w:rsidRPr="00A51AD5" w:rsidRDefault="001C1A36" w:rsidP="00A51AD5">
            <w:pPr>
              <w:pStyle w:val="TableText"/>
              <w:keepLines/>
              <w:ind w:left="-75" w:right="-69"/>
              <w:jc w:val="center"/>
              <w:rPr>
                <w:szCs w:val="20"/>
              </w:rPr>
            </w:pPr>
            <w:r w:rsidRPr="00A51AD5">
              <w:rPr>
                <w:szCs w:val="20"/>
              </w:rPr>
              <w:t>20/256 (7.8%)</w:t>
            </w:r>
            <w:r w:rsidR="00B13E76">
              <w:rPr>
                <w:szCs w:val="20"/>
              </w:rPr>
              <w:t>*</w:t>
            </w:r>
          </w:p>
        </w:tc>
        <w:tc>
          <w:tcPr>
            <w:tcW w:w="1684" w:type="dxa"/>
            <w:shd w:val="clear" w:color="auto" w:fill="auto"/>
          </w:tcPr>
          <w:p w14:paraId="13AB485F" w14:textId="030330E3" w:rsidR="001C1A36" w:rsidRPr="00A51AD5" w:rsidRDefault="001C1A36" w:rsidP="00A51AD5">
            <w:pPr>
              <w:pStyle w:val="TableText"/>
              <w:keepLines/>
              <w:ind w:left="-75" w:right="-69"/>
              <w:jc w:val="center"/>
              <w:rPr>
                <w:szCs w:val="20"/>
              </w:rPr>
            </w:pPr>
            <w:r w:rsidRPr="00A51AD5">
              <w:rPr>
                <w:szCs w:val="20"/>
              </w:rPr>
              <w:t>40/260 (15.4%)</w:t>
            </w:r>
            <w:r w:rsidR="00B13E76">
              <w:rPr>
                <w:szCs w:val="20"/>
              </w:rPr>
              <w:t>*</w:t>
            </w:r>
          </w:p>
        </w:tc>
        <w:tc>
          <w:tcPr>
            <w:tcW w:w="1685" w:type="dxa"/>
            <w:shd w:val="clear" w:color="auto" w:fill="auto"/>
          </w:tcPr>
          <w:p w14:paraId="2D04282C" w14:textId="7E47BC08" w:rsidR="001C1A36" w:rsidRPr="00A51AD5" w:rsidRDefault="001C1A36" w:rsidP="00A51AD5">
            <w:pPr>
              <w:pStyle w:val="TableText"/>
              <w:keepLines/>
              <w:ind w:left="-75" w:right="-69"/>
              <w:jc w:val="center"/>
              <w:rPr>
                <w:b/>
                <w:bCs w:val="0"/>
                <w:szCs w:val="20"/>
              </w:rPr>
            </w:pPr>
            <w:r w:rsidRPr="00A51AD5">
              <w:rPr>
                <w:b/>
                <w:bCs w:val="0"/>
                <w:szCs w:val="20"/>
              </w:rPr>
              <w:t>0.47 (0.27, 0.80)</w:t>
            </w:r>
            <w:r w:rsidR="00B13E76">
              <w:rPr>
                <w:b/>
                <w:bCs w:val="0"/>
                <w:szCs w:val="20"/>
              </w:rPr>
              <w:t>*</w:t>
            </w:r>
          </w:p>
        </w:tc>
      </w:tr>
      <w:tr w:rsidR="001C1A36" w:rsidRPr="00933708" w14:paraId="3A3236DF" w14:textId="77777777" w:rsidTr="00907D62">
        <w:trPr>
          <w:trHeight w:val="101"/>
        </w:trPr>
        <w:tc>
          <w:tcPr>
            <w:tcW w:w="1270" w:type="dxa"/>
          </w:tcPr>
          <w:p w14:paraId="15ED83E8" w14:textId="77777777" w:rsidR="001C1A36" w:rsidRPr="00933708" w:rsidRDefault="001C1A36" w:rsidP="00A51AD5">
            <w:pPr>
              <w:pStyle w:val="TableText"/>
              <w:keepLines/>
              <w:ind w:right="-69"/>
              <w:rPr>
                <w:szCs w:val="20"/>
              </w:rPr>
            </w:pPr>
            <w:r w:rsidRPr="00933708">
              <w:rPr>
                <w:szCs w:val="20"/>
              </w:rPr>
              <w:t>G3bA1</w:t>
            </w:r>
            <w:r w:rsidRPr="00933708">
              <w:rPr>
                <w:szCs w:val="20"/>
              </w:rPr>
              <w:tab/>
            </w:r>
          </w:p>
        </w:tc>
        <w:tc>
          <w:tcPr>
            <w:tcW w:w="1418" w:type="dxa"/>
            <w:vMerge w:val="restart"/>
            <w:vAlign w:val="center"/>
          </w:tcPr>
          <w:p w14:paraId="53EA0757" w14:textId="77777777" w:rsidR="001C1A36" w:rsidRPr="00933708" w:rsidRDefault="001C1A36" w:rsidP="00A51AD5">
            <w:pPr>
              <w:pStyle w:val="TableText"/>
              <w:keepLines/>
              <w:ind w:left="-75" w:right="-69"/>
              <w:jc w:val="center"/>
              <w:rPr>
                <w:szCs w:val="20"/>
              </w:rPr>
            </w:pPr>
            <w:r w:rsidRPr="00933708">
              <w:rPr>
                <w:szCs w:val="20"/>
              </w:rPr>
              <w:t>30 to 44</w:t>
            </w:r>
          </w:p>
        </w:tc>
        <w:tc>
          <w:tcPr>
            <w:tcW w:w="1275" w:type="dxa"/>
            <w:shd w:val="clear" w:color="auto" w:fill="auto"/>
            <w:vAlign w:val="center"/>
          </w:tcPr>
          <w:p w14:paraId="542866F3" w14:textId="77777777" w:rsidR="001C1A36" w:rsidRPr="00933708" w:rsidRDefault="001C1A36" w:rsidP="00A51AD5">
            <w:pPr>
              <w:pStyle w:val="TableText"/>
              <w:keepLines/>
              <w:ind w:left="-75" w:right="-69"/>
              <w:jc w:val="center"/>
              <w:rPr>
                <w:szCs w:val="20"/>
              </w:rPr>
            </w:pPr>
            <w:r w:rsidRPr="00933708">
              <w:rPr>
                <w:szCs w:val="20"/>
              </w:rPr>
              <w:t>&lt;30</w:t>
            </w:r>
          </w:p>
        </w:tc>
        <w:tc>
          <w:tcPr>
            <w:tcW w:w="1684" w:type="dxa"/>
            <w:shd w:val="clear" w:color="auto" w:fill="auto"/>
          </w:tcPr>
          <w:p w14:paraId="2D026A05" w14:textId="7EA60C91" w:rsidR="001C1A36" w:rsidRPr="00A51AD5" w:rsidRDefault="001C1A36" w:rsidP="00A51AD5">
            <w:pPr>
              <w:pStyle w:val="TableText"/>
              <w:keepLines/>
              <w:ind w:left="-75" w:right="-69"/>
              <w:jc w:val="center"/>
              <w:rPr>
                <w:szCs w:val="20"/>
              </w:rPr>
            </w:pPr>
            <w:r w:rsidRPr="00A51AD5">
              <w:rPr>
                <w:szCs w:val="20"/>
              </w:rPr>
              <w:t>19/389 (4.9%)</w:t>
            </w:r>
            <w:r w:rsidR="00B13E76">
              <w:rPr>
                <w:szCs w:val="20"/>
              </w:rPr>
              <w:t>*</w:t>
            </w:r>
          </w:p>
        </w:tc>
        <w:tc>
          <w:tcPr>
            <w:tcW w:w="1684" w:type="dxa"/>
            <w:shd w:val="clear" w:color="auto" w:fill="auto"/>
          </w:tcPr>
          <w:p w14:paraId="50AA1151" w14:textId="5DAF2661" w:rsidR="001C1A36" w:rsidRPr="00A51AD5" w:rsidRDefault="001C1A36" w:rsidP="00A51AD5">
            <w:pPr>
              <w:pStyle w:val="TableText"/>
              <w:keepLines/>
              <w:ind w:left="-75" w:right="-69"/>
              <w:jc w:val="center"/>
              <w:rPr>
                <w:szCs w:val="20"/>
              </w:rPr>
            </w:pPr>
            <w:r w:rsidRPr="00A51AD5">
              <w:rPr>
                <w:szCs w:val="20"/>
              </w:rPr>
              <w:t>15/400 (3.8%)</w:t>
            </w:r>
            <w:r w:rsidR="00B13E76">
              <w:rPr>
                <w:szCs w:val="20"/>
              </w:rPr>
              <w:t>*</w:t>
            </w:r>
          </w:p>
        </w:tc>
        <w:tc>
          <w:tcPr>
            <w:tcW w:w="1685" w:type="dxa"/>
            <w:shd w:val="clear" w:color="auto" w:fill="auto"/>
          </w:tcPr>
          <w:p w14:paraId="27671F8D" w14:textId="0F50D94C" w:rsidR="001C1A36" w:rsidRPr="00A51AD5" w:rsidRDefault="001C1A36" w:rsidP="00A51AD5">
            <w:pPr>
              <w:pStyle w:val="TableText"/>
              <w:keepLines/>
              <w:ind w:left="-75" w:right="-69"/>
              <w:jc w:val="center"/>
              <w:rPr>
                <w:b/>
                <w:bCs w:val="0"/>
                <w:szCs w:val="20"/>
              </w:rPr>
            </w:pPr>
            <w:r w:rsidRPr="00A51AD5">
              <w:rPr>
                <w:szCs w:val="20"/>
              </w:rPr>
              <w:t>1.40 (0.71, 2.77)</w:t>
            </w:r>
            <w:r w:rsidR="00B13E76">
              <w:rPr>
                <w:szCs w:val="20"/>
              </w:rPr>
              <w:t>*</w:t>
            </w:r>
          </w:p>
        </w:tc>
      </w:tr>
      <w:tr w:rsidR="001C1A36" w:rsidRPr="00933708" w14:paraId="13555C1A" w14:textId="77777777" w:rsidTr="00907D62">
        <w:trPr>
          <w:trHeight w:val="101"/>
        </w:trPr>
        <w:tc>
          <w:tcPr>
            <w:tcW w:w="1270" w:type="dxa"/>
          </w:tcPr>
          <w:p w14:paraId="336FC9E7" w14:textId="77777777" w:rsidR="001C1A36" w:rsidRPr="00933708" w:rsidRDefault="001C1A36" w:rsidP="00A51AD5">
            <w:pPr>
              <w:pStyle w:val="TableText"/>
              <w:keepLines/>
              <w:ind w:right="-69"/>
              <w:rPr>
                <w:szCs w:val="20"/>
              </w:rPr>
            </w:pPr>
            <w:r w:rsidRPr="00933708">
              <w:rPr>
                <w:szCs w:val="20"/>
              </w:rPr>
              <w:t>G3bA2</w:t>
            </w:r>
            <w:r w:rsidRPr="00933708">
              <w:rPr>
                <w:szCs w:val="20"/>
              </w:rPr>
              <w:tab/>
            </w:r>
          </w:p>
        </w:tc>
        <w:tc>
          <w:tcPr>
            <w:tcW w:w="1418" w:type="dxa"/>
            <w:vMerge/>
            <w:vAlign w:val="center"/>
          </w:tcPr>
          <w:p w14:paraId="62A161EE" w14:textId="77777777" w:rsidR="001C1A36" w:rsidRPr="00933708" w:rsidRDefault="001C1A36" w:rsidP="00A51AD5">
            <w:pPr>
              <w:pStyle w:val="TableText"/>
              <w:keepLines/>
              <w:ind w:left="-75" w:right="-69"/>
              <w:jc w:val="center"/>
              <w:rPr>
                <w:szCs w:val="20"/>
              </w:rPr>
            </w:pPr>
          </w:p>
        </w:tc>
        <w:tc>
          <w:tcPr>
            <w:tcW w:w="1275" w:type="dxa"/>
            <w:shd w:val="clear" w:color="auto" w:fill="auto"/>
            <w:vAlign w:val="center"/>
          </w:tcPr>
          <w:p w14:paraId="6436DE72" w14:textId="77777777" w:rsidR="001C1A36" w:rsidRPr="00933708" w:rsidRDefault="001C1A36" w:rsidP="00A51AD5">
            <w:pPr>
              <w:pStyle w:val="TableText"/>
              <w:keepLines/>
              <w:ind w:left="-75" w:right="-69"/>
              <w:jc w:val="center"/>
              <w:rPr>
                <w:szCs w:val="20"/>
              </w:rPr>
            </w:pPr>
            <w:r w:rsidRPr="00933708">
              <w:rPr>
                <w:szCs w:val="20"/>
              </w:rPr>
              <w:t>30-300</w:t>
            </w:r>
          </w:p>
        </w:tc>
        <w:tc>
          <w:tcPr>
            <w:tcW w:w="1684" w:type="dxa"/>
            <w:shd w:val="clear" w:color="auto" w:fill="auto"/>
          </w:tcPr>
          <w:p w14:paraId="2800A657" w14:textId="7CE5BA2C" w:rsidR="001C1A36" w:rsidRPr="00A51AD5" w:rsidRDefault="001C1A36" w:rsidP="00A51AD5">
            <w:pPr>
              <w:pStyle w:val="TableText"/>
              <w:keepLines/>
              <w:ind w:left="-75" w:right="-69"/>
              <w:jc w:val="center"/>
              <w:rPr>
                <w:szCs w:val="20"/>
              </w:rPr>
            </w:pPr>
            <w:r w:rsidRPr="00A51AD5">
              <w:rPr>
                <w:szCs w:val="20"/>
              </w:rPr>
              <w:t>33/442 (7.5%)</w:t>
            </w:r>
            <w:r w:rsidR="00B13E76">
              <w:rPr>
                <w:szCs w:val="20"/>
              </w:rPr>
              <w:t>*</w:t>
            </w:r>
          </w:p>
        </w:tc>
        <w:tc>
          <w:tcPr>
            <w:tcW w:w="1684" w:type="dxa"/>
            <w:shd w:val="clear" w:color="auto" w:fill="auto"/>
          </w:tcPr>
          <w:p w14:paraId="3BFA12CD" w14:textId="5CA699F6" w:rsidR="001C1A36" w:rsidRPr="00A51AD5" w:rsidRDefault="001C1A36" w:rsidP="00A51AD5">
            <w:pPr>
              <w:pStyle w:val="TableText"/>
              <w:keepLines/>
              <w:ind w:left="-75" w:right="-69"/>
              <w:jc w:val="center"/>
              <w:rPr>
                <w:szCs w:val="20"/>
              </w:rPr>
            </w:pPr>
            <w:r w:rsidRPr="00A51AD5">
              <w:rPr>
                <w:szCs w:val="20"/>
              </w:rPr>
              <w:t>36/454 (7.9%)</w:t>
            </w:r>
            <w:r w:rsidR="00B13E76">
              <w:rPr>
                <w:szCs w:val="20"/>
              </w:rPr>
              <w:t>*</w:t>
            </w:r>
          </w:p>
        </w:tc>
        <w:tc>
          <w:tcPr>
            <w:tcW w:w="1685" w:type="dxa"/>
            <w:shd w:val="clear" w:color="auto" w:fill="auto"/>
          </w:tcPr>
          <w:p w14:paraId="03B008FC" w14:textId="190CE5E8" w:rsidR="001C1A36" w:rsidRPr="00A51AD5" w:rsidRDefault="001C1A36" w:rsidP="00A51AD5">
            <w:pPr>
              <w:pStyle w:val="TableText"/>
              <w:keepLines/>
              <w:ind w:left="-75" w:right="-69"/>
              <w:jc w:val="center"/>
              <w:rPr>
                <w:b/>
                <w:bCs w:val="0"/>
                <w:szCs w:val="20"/>
              </w:rPr>
            </w:pPr>
            <w:r w:rsidRPr="00A51AD5">
              <w:rPr>
                <w:szCs w:val="20"/>
              </w:rPr>
              <w:t>0.93 (0.58, 1.49)</w:t>
            </w:r>
            <w:r w:rsidR="00B13E76">
              <w:rPr>
                <w:szCs w:val="20"/>
              </w:rPr>
              <w:t>*</w:t>
            </w:r>
          </w:p>
        </w:tc>
      </w:tr>
      <w:tr w:rsidR="001C1A36" w:rsidRPr="00933708" w14:paraId="5552F331" w14:textId="77777777" w:rsidTr="00907D62">
        <w:trPr>
          <w:trHeight w:val="101"/>
        </w:trPr>
        <w:tc>
          <w:tcPr>
            <w:tcW w:w="1270" w:type="dxa"/>
          </w:tcPr>
          <w:p w14:paraId="4CBB1FE5" w14:textId="77777777" w:rsidR="001C1A36" w:rsidRPr="00933708" w:rsidRDefault="001C1A36" w:rsidP="00A51AD5">
            <w:pPr>
              <w:pStyle w:val="TableText"/>
              <w:keepLines/>
              <w:ind w:right="-69"/>
              <w:rPr>
                <w:szCs w:val="20"/>
              </w:rPr>
            </w:pPr>
            <w:r w:rsidRPr="00933708">
              <w:rPr>
                <w:szCs w:val="20"/>
              </w:rPr>
              <w:t>G3bA3</w:t>
            </w:r>
            <w:r w:rsidRPr="00933708">
              <w:rPr>
                <w:szCs w:val="20"/>
              </w:rPr>
              <w:tab/>
            </w:r>
          </w:p>
        </w:tc>
        <w:tc>
          <w:tcPr>
            <w:tcW w:w="1418" w:type="dxa"/>
            <w:vMerge/>
            <w:vAlign w:val="center"/>
          </w:tcPr>
          <w:p w14:paraId="41C374D9" w14:textId="77777777" w:rsidR="001C1A36" w:rsidRPr="00933708" w:rsidRDefault="001C1A36" w:rsidP="00A51AD5">
            <w:pPr>
              <w:pStyle w:val="TableText"/>
              <w:keepLines/>
              <w:ind w:left="-75" w:right="-69"/>
              <w:jc w:val="center"/>
              <w:rPr>
                <w:szCs w:val="20"/>
              </w:rPr>
            </w:pPr>
          </w:p>
        </w:tc>
        <w:tc>
          <w:tcPr>
            <w:tcW w:w="1275" w:type="dxa"/>
            <w:shd w:val="clear" w:color="auto" w:fill="auto"/>
            <w:vAlign w:val="center"/>
          </w:tcPr>
          <w:p w14:paraId="02668ED0" w14:textId="77777777" w:rsidR="001C1A36" w:rsidRPr="00933708" w:rsidRDefault="001C1A36" w:rsidP="00A51AD5">
            <w:pPr>
              <w:pStyle w:val="TableText"/>
              <w:keepLines/>
              <w:ind w:left="-75" w:right="-69"/>
              <w:jc w:val="center"/>
              <w:rPr>
                <w:szCs w:val="20"/>
              </w:rPr>
            </w:pPr>
            <w:r w:rsidRPr="00933708">
              <w:rPr>
                <w:szCs w:val="20"/>
              </w:rPr>
              <w:t>&gt;300</w:t>
            </w:r>
          </w:p>
        </w:tc>
        <w:tc>
          <w:tcPr>
            <w:tcW w:w="1684" w:type="dxa"/>
            <w:shd w:val="clear" w:color="auto" w:fill="auto"/>
          </w:tcPr>
          <w:p w14:paraId="33817D35" w14:textId="67F4AA00" w:rsidR="001C1A36" w:rsidRPr="00A51AD5" w:rsidRDefault="001C1A36" w:rsidP="00A51AD5">
            <w:pPr>
              <w:pStyle w:val="TableText"/>
              <w:keepLines/>
              <w:ind w:left="-75" w:right="-69"/>
              <w:jc w:val="center"/>
              <w:rPr>
                <w:szCs w:val="20"/>
              </w:rPr>
            </w:pPr>
            <w:r w:rsidRPr="00A51AD5">
              <w:rPr>
                <w:szCs w:val="20"/>
              </w:rPr>
              <w:t>88/636 (13.8%)</w:t>
            </w:r>
            <w:r w:rsidR="00B13E76">
              <w:rPr>
                <w:szCs w:val="20"/>
              </w:rPr>
              <w:t>*</w:t>
            </w:r>
          </w:p>
        </w:tc>
        <w:tc>
          <w:tcPr>
            <w:tcW w:w="1684" w:type="dxa"/>
            <w:shd w:val="clear" w:color="auto" w:fill="auto"/>
          </w:tcPr>
          <w:p w14:paraId="09AD2437" w14:textId="4346BAE0" w:rsidR="001C1A36" w:rsidRPr="00A51AD5" w:rsidRDefault="001C1A36" w:rsidP="00A51AD5">
            <w:pPr>
              <w:pStyle w:val="TableText"/>
              <w:keepLines/>
              <w:ind w:left="-75" w:right="-69"/>
              <w:jc w:val="center"/>
              <w:rPr>
                <w:szCs w:val="20"/>
              </w:rPr>
            </w:pPr>
            <w:r w:rsidRPr="00A51AD5">
              <w:rPr>
                <w:szCs w:val="20"/>
              </w:rPr>
              <w:t>124/607 (20.4%)</w:t>
            </w:r>
            <w:r w:rsidR="00B13E76">
              <w:rPr>
                <w:szCs w:val="20"/>
              </w:rPr>
              <w:t>*</w:t>
            </w:r>
          </w:p>
        </w:tc>
        <w:tc>
          <w:tcPr>
            <w:tcW w:w="1685" w:type="dxa"/>
            <w:shd w:val="clear" w:color="auto" w:fill="auto"/>
          </w:tcPr>
          <w:p w14:paraId="525300CF" w14:textId="38ADB7B6" w:rsidR="001C1A36" w:rsidRPr="00A51AD5" w:rsidRDefault="001C1A36" w:rsidP="00A51AD5">
            <w:pPr>
              <w:pStyle w:val="TableText"/>
              <w:keepLines/>
              <w:ind w:left="-75" w:right="-69"/>
              <w:jc w:val="center"/>
              <w:rPr>
                <w:b/>
                <w:bCs w:val="0"/>
                <w:szCs w:val="20"/>
              </w:rPr>
            </w:pPr>
            <w:r w:rsidRPr="00A51AD5">
              <w:rPr>
                <w:b/>
                <w:bCs w:val="0"/>
                <w:szCs w:val="20"/>
              </w:rPr>
              <w:t>0.67 (0.51, 0.88)</w:t>
            </w:r>
            <w:r w:rsidR="00B13E76">
              <w:rPr>
                <w:b/>
                <w:bCs w:val="0"/>
                <w:szCs w:val="20"/>
              </w:rPr>
              <w:t>*</w:t>
            </w:r>
          </w:p>
        </w:tc>
      </w:tr>
      <w:tr w:rsidR="001C1A36" w:rsidRPr="00933708" w14:paraId="6E5593D1" w14:textId="77777777" w:rsidTr="00907D62">
        <w:trPr>
          <w:trHeight w:val="101"/>
        </w:trPr>
        <w:tc>
          <w:tcPr>
            <w:tcW w:w="1270" w:type="dxa"/>
          </w:tcPr>
          <w:p w14:paraId="6A489184" w14:textId="77777777" w:rsidR="001C1A36" w:rsidRPr="00933708" w:rsidRDefault="001C1A36" w:rsidP="00A51AD5">
            <w:pPr>
              <w:pStyle w:val="TableText"/>
              <w:keepLines/>
              <w:ind w:right="-69"/>
              <w:rPr>
                <w:szCs w:val="20"/>
              </w:rPr>
            </w:pPr>
            <w:r w:rsidRPr="00933708">
              <w:rPr>
                <w:szCs w:val="20"/>
              </w:rPr>
              <w:t>G4A1</w:t>
            </w:r>
            <w:r w:rsidRPr="00933708">
              <w:rPr>
                <w:szCs w:val="20"/>
              </w:rPr>
              <w:tab/>
            </w:r>
          </w:p>
        </w:tc>
        <w:tc>
          <w:tcPr>
            <w:tcW w:w="1418" w:type="dxa"/>
            <w:vMerge w:val="restart"/>
            <w:vAlign w:val="center"/>
          </w:tcPr>
          <w:p w14:paraId="7D03524F" w14:textId="77777777" w:rsidR="001C1A36" w:rsidRPr="00933708" w:rsidRDefault="001C1A36" w:rsidP="00A51AD5">
            <w:pPr>
              <w:pStyle w:val="TableText"/>
              <w:keepLines/>
              <w:ind w:left="-75" w:right="-69"/>
              <w:jc w:val="center"/>
              <w:rPr>
                <w:szCs w:val="20"/>
              </w:rPr>
            </w:pPr>
            <w:r w:rsidRPr="00933708">
              <w:rPr>
                <w:szCs w:val="20"/>
              </w:rPr>
              <w:t>15 to 29</w:t>
            </w:r>
          </w:p>
        </w:tc>
        <w:tc>
          <w:tcPr>
            <w:tcW w:w="1275" w:type="dxa"/>
            <w:shd w:val="clear" w:color="auto" w:fill="auto"/>
            <w:vAlign w:val="center"/>
          </w:tcPr>
          <w:p w14:paraId="0379AD58" w14:textId="77777777" w:rsidR="001C1A36" w:rsidRPr="00933708" w:rsidRDefault="001C1A36" w:rsidP="00A51AD5">
            <w:pPr>
              <w:pStyle w:val="TableText"/>
              <w:keepLines/>
              <w:ind w:left="-75" w:right="-69"/>
              <w:jc w:val="center"/>
              <w:rPr>
                <w:szCs w:val="20"/>
              </w:rPr>
            </w:pPr>
            <w:r w:rsidRPr="00933708">
              <w:rPr>
                <w:szCs w:val="20"/>
              </w:rPr>
              <w:t>&lt;30</w:t>
            </w:r>
          </w:p>
        </w:tc>
        <w:tc>
          <w:tcPr>
            <w:tcW w:w="1684" w:type="dxa"/>
            <w:shd w:val="clear" w:color="auto" w:fill="auto"/>
          </w:tcPr>
          <w:p w14:paraId="6DFBBA32" w14:textId="1D35F41B" w:rsidR="001C1A36" w:rsidRPr="00A51AD5" w:rsidRDefault="001C1A36" w:rsidP="00A51AD5">
            <w:pPr>
              <w:pStyle w:val="TableText"/>
              <w:keepLines/>
              <w:ind w:left="-75" w:right="-69"/>
              <w:jc w:val="center"/>
              <w:rPr>
                <w:szCs w:val="20"/>
              </w:rPr>
            </w:pPr>
            <w:r w:rsidRPr="00A51AD5">
              <w:rPr>
                <w:szCs w:val="20"/>
              </w:rPr>
              <w:t>21/196 (10.7%)</w:t>
            </w:r>
            <w:r w:rsidR="00B13E76">
              <w:rPr>
                <w:szCs w:val="20"/>
              </w:rPr>
              <w:t>*</w:t>
            </w:r>
          </w:p>
        </w:tc>
        <w:tc>
          <w:tcPr>
            <w:tcW w:w="1684" w:type="dxa"/>
            <w:shd w:val="clear" w:color="auto" w:fill="auto"/>
          </w:tcPr>
          <w:p w14:paraId="6D22F6F7" w14:textId="3F8F7093" w:rsidR="001C1A36" w:rsidRPr="00A51AD5" w:rsidRDefault="001C1A36" w:rsidP="00A51AD5">
            <w:pPr>
              <w:pStyle w:val="TableText"/>
              <w:keepLines/>
              <w:ind w:left="-75" w:right="-69"/>
              <w:jc w:val="center"/>
              <w:rPr>
                <w:szCs w:val="20"/>
              </w:rPr>
            </w:pPr>
            <w:r w:rsidRPr="00A51AD5">
              <w:rPr>
                <w:szCs w:val="20"/>
              </w:rPr>
              <w:t>23/189 (12.2%)</w:t>
            </w:r>
            <w:r w:rsidR="00B13E76">
              <w:rPr>
                <w:szCs w:val="20"/>
              </w:rPr>
              <w:t>*</w:t>
            </w:r>
          </w:p>
        </w:tc>
        <w:tc>
          <w:tcPr>
            <w:tcW w:w="1685" w:type="dxa"/>
            <w:shd w:val="clear" w:color="auto" w:fill="auto"/>
          </w:tcPr>
          <w:p w14:paraId="716943A9" w14:textId="785B5727" w:rsidR="001C1A36" w:rsidRPr="00A51AD5" w:rsidRDefault="001C1A36" w:rsidP="00A51AD5">
            <w:pPr>
              <w:pStyle w:val="TableText"/>
              <w:keepLines/>
              <w:ind w:left="-75" w:right="-69"/>
              <w:jc w:val="center"/>
              <w:rPr>
                <w:b/>
                <w:bCs w:val="0"/>
                <w:szCs w:val="20"/>
              </w:rPr>
            </w:pPr>
            <w:r w:rsidRPr="00A51AD5">
              <w:rPr>
                <w:szCs w:val="20"/>
              </w:rPr>
              <w:t>0.88 (0.49, 1.59)</w:t>
            </w:r>
            <w:r w:rsidR="00B13E76">
              <w:rPr>
                <w:szCs w:val="20"/>
              </w:rPr>
              <w:t>*</w:t>
            </w:r>
          </w:p>
        </w:tc>
      </w:tr>
      <w:tr w:rsidR="001C1A36" w:rsidRPr="00933708" w14:paraId="44FA0D65" w14:textId="77777777" w:rsidTr="00907D62">
        <w:trPr>
          <w:trHeight w:val="101"/>
        </w:trPr>
        <w:tc>
          <w:tcPr>
            <w:tcW w:w="1270" w:type="dxa"/>
          </w:tcPr>
          <w:p w14:paraId="6414A8A4" w14:textId="77777777" w:rsidR="001C1A36" w:rsidRPr="00933708" w:rsidRDefault="001C1A36" w:rsidP="00A51AD5">
            <w:pPr>
              <w:pStyle w:val="TableText"/>
              <w:keepLines/>
              <w:ind w:right="-69"/>
              <w:rPr>
                <w:szCs w:val="20"/>
              </w:rPr>
            </w:pPr>
            <w:r w:rsidRPr="00933708">
              <w:rPr>
                <w:szCs w:val="20"/>
              </w:rPr>
              <w:t>G4A2</w:t>
            </w:r>
            <w:r w:rsidRPr="00933708">
              <w:rPr>
                <w:szCs w:val="20"/>
              </w:rPr>
              <w:tab/>
            </w:r>
          </w:p>
        </w:tc>
        <w:tc>
          <w:tcPr>
            <w:tcW w:w="1418" w:type="dxa"/>
            <w:vMerge/>
            <w:vAlign w:val="center"/>
          </w:tcPr>
          <w:p w14:paraId="07969531" w14:textId="77777777" w:rsidR="001C1A36" w:rsidRPr="00933708" w:rsidRDefault="001C1A36" w:rsidP="00A51AD5">
            <w:pPr>
              <w:pStyle w:val="TableText"/>
              <w:keepLines/>
              <w:ind w:left="-75" w:right="-69"/>
              <w:jc w:val="center"/>
              <w:rPr>
                <w:szCs w:val="20"/>
              </w:rPr>
            </w:pPr>
          </w:p>
        </w:tc>
        <w:tc>
          <w:tcPr>
            <w:tcW w:w="1275" w:type="dxa"/>
            <w:shd w:val="clear" w:color="auto" w:fill="auto"/>
            <w:vAlign w:val="center"/>
          </w:tcPr>
          <w:p w14:paraId="36E624B6" w14:textId="77777777" w:rsidR="001C1A36" w:rsidRPr="00933708" w:rsidRDefault="001C1A36" w:rsidP="00A51AD5">
            <w:pPr>
              <w:pStyle w:val="TableText"/>
              <w:keepLines/>
              <w:ind w:left="-75" w:right="-69"/>
              <w:jc w:val="center"/>
              <w:rPr>
                <w:szCs w:val="20"/>
              </w:rPr>
            </w:pPr>
            <w:r w:rsidRPr="00933708">
              <w:rPr>
                <w:szCs w:val="20"/>
              </w:rPr>
              <w:t>30-300</w:t>
            </w:r>
          </w:p>
        </w:tc>
        <w:tc>
          <w:tcPr>
            <w:tcW w:w="1684" w:type="dxa"/>
            <w:shd w:val="clear" w:color="auto" w:fill="auto"/>
          </w:tcPr>
          <w:p w14:paraId="361B1E87" w14:textId="4416CBF4" w:rsidR="001C1A36" w:rsidRPr="00A51AD5" w:rsidRDefault="001C1A36" w:rsidP="00A51AD5">
            <w:pPr>
              <w:pStyle w:val="TableText"/>
              <w:keepLines/>
              <w:ind w:left="-75" w:right="-69"/>
              <w:jc w:val="center"/>
              <w:rPr>
                <w:szCs w:val="20"/>
              </w:rPr>
            </w:pPr>
            <w:r w:rsidRPr="00A51AD5">
              <w:rPr>
                <w:szCs w:val="20"/>
              </w:rPr>
              <w:t>28/308 (9.1%)</w:t>
            </w:r>
            <w:r w:rsidR="00B13E76">
              <w:rPr>
                <w:szCs w:val="20"/>
              </w:rPr>
              <w:t>*</w:t>
            </w:r>
          </w:p>
        </w:tc>
        <w:tc>
          <w:tcPr>
            <w:tcW w:w="1684" w:type="dxa"/>
            <w:shd w:val="clear" w:color="auto" w:fill="auto"/>
          </w:tcPr>
          <w:p w14:paraId="496EF4AA" w14:textId="7C884620" w:rsidR="001C1A36" w:rsidRPr="00A51AD5" w:rsidRDefault="001C1A36" w:rsidP="00A51AD5">
            <w:pPr>
              <w:pStyle w:val="TableText"/>
              <w:keepLines/>
              <w:ind w:left="-75" w:right="-69"/>
              <w:jc w:val="center"/>
              <w:rPr>
                <w:szCs w:val="20"/>
              </w:rPr>
            </w:pPr>
            <w:r w:rsidRPr="00A51AD5">
              <w:rPr>
                <w:szCs w:val="20"/>
              </w:rPr>
              <w:t>36/327 (11.0%)</w:t>
            </w:r>
            <w:r w:rsidR="00B13E76">
              <w:rPr>
                <w:szCs w:val="20"/>
              </w:rPr>
              <w:t>*</w:t>
            </w:r>
          </w:p>
        </w:tc>
        <w:tc>
          <w:tcPr>
            <w:tcW w:w="1685" w:type="dxa"/>
            <w:shd w:val="clear" w:color="auto" w:fill="auto"/>
          </w:tcPr>
          <w:p w14:paraId="40ACEC82" w14:textId="0E30A58F" w:rsidR="001C1A36" w:rsidRPr="00A51AD5" w:rsidRDefault="001C1A36" w:rsidP="00A51AD5">
            <w:pPr>
              <w:pStyle w:val="TableText"/>
              <w:keepLines/>
              <w:ind w:left="-75" w:right="-69"/>
              <w:jc w:val="center"/>
              <w:rPr>
                <w:b/>
                <w:bCs w:val="0"/>
                <w:szCs w:val="20"/>
              </w:rPr>
            </w:pPr>
            <w:r w:rsidRPr="00A51AD5">
              <w:rPr>
                <w:szCs w:val="20"/>
              </w:rPr>
              <w:t>0.85 (0.52, 1.40)</w:t>
            </w:r>
            <w:r w:rsidR="00B13E76">
              <w:rPr>
                <w:szCs w:val="20"/>
              </w:rPr>
              <w:t>*</w:t>
            </w:r>
          </w:p>
        </w:tc>
      </w:tr>
      <w:tr w:rsidR="001C1A36" w:rsidRPr="00933708" w14:paraId="1137B992" w14:textId="77777777" w:rsidTr="00907D62">
        <w:trPr>
          <w:trHeight w:val="101"/>
        </w:trPr>
        <w:tc>
          <w:tcPr>
            <w:tcW w:w="1270" w:type="dxa"/>
          </w:tcPr>
          <w:p w14:paraId="47E0B12F" w14:textId="77777777" w:rsidR="001C1A36" w:rsidRPr="00933708" w:rsidRDefault="001C1A36" w:rsidP="00A51AD5">
            <w:pPr>
              <w:pStyle w:val="TableText"/>
              <w:keepLines/>
              <w:ind w:right="-69"/>
              <w:rPr>
                <w:szCs w:val="20"/>
              </w:rPr>
            </w:pPr>
            <w:r w:rsidRPr="00933708">
              <w:rPr>
                <w:szCs w:val="20"/>
              </w:rPr>
              <w:t>G4A3</w:t>
            </w:r>
            <w:r w:rsidRPr="00933708">
              <w:rPr>
                <w:szCs w:val="20"/>
              </w:rPr>
              <w:tab/>
            </w:r>
          </w:p>
        </w:tc>
        <w:tc>
          <w:tcPr>
            <w:tcW w:w="1418" w:type="dxa"/>
            <w:vMerge/>
            <w:vAlign w:val="center"/>
          </w:tcPr>
          <w:p w14:paraId="11FA3B95" w14:textId="77777777" w:rsidR="001C1A36" w:rsidRPr="00933708" w:rsidRDefault="001C1A36" w:rsidP="00A51AD5">
            <w:pPr>
              <w:pStyle w:val="TableText"/>
              <w:keepLines/>
              <w:ind w:left="-75" w:right="-69"/>
              <w:jc w:val="center"/>
              <w:rPr>
                <w:szCs w:val="20"/>
              </w:rPr>
            </w:pPr>
          </w:p>
        </w:tc>
        <w:tc>
          <w:tcPr>
            <w:tcW w:w="1275" w:type="dxa"/>
            <w:shd w:val="clear" w:color="auto" w:fill="auto"/>
            <w:vAlign w:val="center"/>
          </w:tcPr>
          <w:p w14:paraId="47CC7EFF" w14:textId="77777777" w:rsidR="001C1A36" w:rsidRPr="00933708" w:rsidRDefault="001C1A36" w:rsidP="00A51AD5">
            <w:pPr>
              <w:pStyle w:val="TableText"/>
              <w:keepLines/>
              <w:ind w:left="-75" w:right="-69"/>
              <w:jc w:val="center"/>
              <w:rPr>
                <w:szCs w:val="20"/>
              </w:rPr>
            </w:pPr>
            <w:r w:rsidRPr="00933708">
              <w:rPr>
                <w:szCs w:val="20"/>
              </w:rPr>
              <w:t>&gt;300</w:t>
            </w:r>
          </w:p>
        </w:tc>
        <w:tc>
          <w:tcPr>
            <w:tcW w:w="1684" w:type="dxa"/>
            <w:shd w:val="clear" w:color="auto" w:fill="auto"/>
          </w:tcPr>
          <w:p w14:paraId="0B30DB80" w14:textId="6BA14982" w:rsidR="001C1A36" w:rsidRPr="00A51AD5" w:rsidRDefault="001C1A36" w:rsidP="00A51AD5">
            <w:pPr>
              <w:pStyle w:val="TableText"/>
              <w:keepLines/>
              <w:ind w:left="-75" w:right="-69"/>
              <w:jc w:val="center"/>
              <w:rPr>
                <w:szCs w:val="20"/>
              </w:rPr>
            </w:pPr>
            <w:r w:rsidRPr="00A51AD5">
              <w:rPr>
                <w:szCs w:val="20"/>
              </w:rPr>
              <w:t>193/618 (31.2%)</w:t>
            </w:r>
            <w:r w:rsidR="00B13E76">
              <w:rPr>
                <w:szCs w:val="20"/>
              </w:rPr>
              <w:t>*</w:t>
            </w:r>
          </w:p>
        </w:tc>
        <w:tc>
          <w:tcPr>
            <w:tcW w:w="1684" w:type="dxa"/>
            <w:shd w:val="clear" w:color="auto" w:fill="auto"/>
          </w:tcPr>
          <w:p w14:paraId="6C616F53" w14:textId="10944D18" w:rsidR="001C1A36" w:rsidRPr="00A51AD5" w:rsidRDefault="001C1A36" w:rsidP="00A51AD5">
            <w:pPr>
              <w:pStyle w:val="TableText"/>
              <w:keepLines/>
              <w:ind w:left="-75" w:right="-69"/>
              <w:jc w:val="center"/>
              <w:rPr>
                <w:szCs w:val="20"/>
              </w:rPr>
            </w:pPr>
            <w:r w:rsidRPr="00A51AD5">
              <w:rPr>
                <w:szCs w:val="20"/>
              </w:rPr>
              <w:t>253/627 (40.4%)</w:t>
            </w:r>
            <w:r w:rsidR="00B13E76">
              <w:rPr>
                <w:szCs w:val="20"/>
              </w:rPr>
              <w:t>*</w:t>
            </w:r>
          </w:p>
        </w:tc>
        <w:tc>
          <w:tcPr>
            <w:tcW w:w="1685" w:type="dxa"/>
            <w:shd w:val="clear" w:color="auto" w:fill="auto"/>
          </w:tcPr>
          <w:p w14:paraId="70F8BB56" w14:textId="610FAC16" w:rsidR="001C1A36" w:rsidRPr="00A51AD5" w:rsidRDefault="001C1A36" w:rsidP="00A51AD5">
            <w:pPr>
              <w:pStyle w:val="TableText"/>
              <w:keepLines/>
              <w:ind w:left="-75" w:right="-69"/>
              <w:jc w:val="center"/>
              <w:rPr>
                <w:b/>
                <w:bCs w:val="0"/>
                <w:szCs w:val="20"/>
              </w:rPr>
            </w:pPr>
            <w:r w:rsidRPr="00A51AD5">
              <w:rPr>
                <w:b/>
                <w:bCs w:val="0"/>
                <w:szCs w:val="20"/>
              </w:rPr>
              <w:t>0.69 (0.57, 0.84)</w:t>
            </w:r>
            <w:r w:rsidR="00B13E76">
              <w:rPr>
                <w:b/>
                <w:bCs w:val="0"/>
                <w:szCs w:val="20"/>
              </w:rPr>
              <w:t>*</w:t>
            </w:r>
          </w:p>
        </w:tc>
      </w:tr>
    </w:tbl>
    <w:p w14:paraId="21D6DC19" w14:textId="77777777" w:rsidR="001C1A36" w:rsidRPr="00933708" w:rsidRDefault="001C1A36" w:rsidP="00A51AD5">
      <w:pPr>
        <w:pStyle w:val="COMTablefooter"/>
        <w:keepNext/>
        <w:keepLines/>
      </w:pPr>
      <w:r w:rsidRPr="00933708">
        <w:t>Source: Table 2.26, p133 of the submission; Table 1.1.2.2, pp19-22 of Att_4_EMPA-KIDNEY post hoc analysis B.pdf, Attachment 4 to the submission.</w:t>
      </w:r>
    </w:p>
    <w:p w14:paraId="4AC67E8D" w14:textId="77777777" w:rsidR="001C1A36" w:rsidRPr="00933708" w:rsidRDefault="001C1A36" w:rsidP="00A51AD5">
      <w:pPr>
        <w:pStyle w:val="COMTablefooter"/>
        <w:keepNext/>
        <w:keepLines/>
      </w:pPr>
      <w:r w:rsidRPr="00933708">
        <w:t>Abbreviations: CI, confidence interval; eGFR, estimated glomerular filtration rate; ITT, intention-to-treat; NA, not applicable; NR, not reported; SC, standard care; UACR, urine albumin to creatinine ratio.</w:t>
      </w:r>
    </w:p>
    <w:p w14:paraId="3BF1CE66" w14:textId="77777777" w:rsidR="001C1A36" w:rsidRPr="00933708" w:rsidRDefault="001C1A36" w:rsidP="00A51AD5">
      <w:pPr>
        <w:pStyle w:val="COMTablefooter"/>
        <w:keepNext/>
        <w:keepLines/>
      </w:pPr>
      <w:r w:rsidRPr="00933708">
        <w:rPr>
          <w:vertAlign w:val="superscript"/>
        </w:rPr>
        <w:t>a</w:t>
      </w:r>
      <w:r w:rsidRPr="00933708">
        <w:t xml:space="preserve"> Based on a Cox regression model with terms for age (p&lt;0.0001), sex (p=0.1812), baseline diabetes status (p&lt;0.0001), region (p=0.0431), treatment (p=0.3867), baseline KDIGO risk (p=0.0039) and treatment by baseline KDIGO risk, interaction (p=0.5521).</w:t>
      </w:r>
    </w:p>
    <w:p w14:paraId="4687FD77" w14:textId="77777777" w:rsidR="001C1A36" w:rsidRDefault="001C1A36" w:rsidP="00AD44F3">
      <w:pPr>
        <w:pStyle w:val="COMTablefooter"/>
        <w:spacing w:after="0"/>
      </w:pPr>
      <w:r w:rsidRPr="00933708">
        <w:t>Note: Statistically significant results in bold.</w:t>
      </w:r>
    </w:p>
    <w:p w14:paraId="60988587" w14:textId="486B2FA1" w:rsidR="00B13E76" w:rsidRPr="00AD44F3" w:rsidRDefault="00B13E76" w:rsidP="00AD44F3">
      <w:pPr>
        <w:spacing w:after="120"/>
      </w:pPr>
      <w:r w:rsidRPr="0029767E">
        <w:rPr>
          <w:rFonts w:ascii="Arial Narrow" w:hAnsi="Arial Narrow"/>
          <w:snapToGrid w:val="0"/>
          <w:sz w:val="18"/>
          <w:szCs w:val="22"/>
        </w:rPr>
        <w:t>*</w:t>
      </w:r>
      <w:r>
        <w:rPr>
          <w:rFonts w:ascii="Arial Narrow" w:hAnsi="Arial Narrow"/>
          <w:snapToGrid w:val="0"/>
          <w:sz w:val="18"/>
          <w:szCs w:val="22"/>
        </w:rPr>
        <w:t xml:space="preserve"> </w:t>
      </w:r>
      <w:r w:rsidRPr="00AD44F3">
        <w:rPr>
          <w:rFonts w:ascii="Arial Narrow" w:hAnsi="Arial Narrow"/>
          <w:i/>
          <w:iCs/>
          <w:snapToGrid w:val="0"/>
          <w:sz w:val="18"/>
          <w:szCs w:val="22"/>
        </w:rPr>
        <w:t>Note that the results presented in Table 7 are derived from post-hoc analyses conducted by the applicant. These analyses were not part of the pre-specified statistical plan for EMPA-KIDNEY.  Interpretation of the results and their application should therefore be limited to seeking to understand the basis for the PBAC outcome and should not be used for any other purpose.</w:t>
      </w:r>
    </w:p>
    <w:p w14:paraId="29727841" w14:textId="0F00AE52" w:rsidR="00503BE3" w:rsidRPr="00933708" w:rsidRDefault="00503BE3" w:rsidP="007C4C88">
      <w:pPr>
        <w:pStyle w:val="ListParagraph"/>
        <w:numPr>
          <w:ilvl w:val="1"/>
          <w:numId w:val="1"/>
        </w:numPr>
        <w:ind w:left="720" w:hanging="720"/>
      </w:pPr>
      <w:r w:rsidRPr="00933708">
        <w:t xml:space="preserve">Treatment with empagliflozin plus standard care was associated with statistically significant improvements in the composite outcome of time to first CKD progression or cardiovascular death compared to placebo plus standard care, in both the overlap and incremental populations, and showed a similar magnitude of effect to the ITT population (interaction p-value=0.990). Given the subgroup analyses were conducted post hoc, the results should be interpreted with caution. Subgroup analyses by </w:t>
      </w:r>
      <w:r w:rsidR="00CF041A" w:rsidRPr="00933708">
        <w:t xml:space="preserve">the </w:t>
      </w:r>
      <w:r w:rsidRPr="00933708">
        <w:t>incremental population subgroups</w:t>
      </w:r>
      <w:r w:rsidR="00AE2920" w:rsidRPr="00933708">
        <w:t xml:space="preserve"> (eGFR 75 to &lt;90 mL/min/1.73m2 with UACR ≥200 mg/g; eGFR 25 to 75 mL/min/1.73m2 with UACR &gt;5,000 mg/g; eGFR 25 to &lt;45 mL/min/1.73m2 with UACR &lt;200 mg/g; eGFR 20 to &lt;25 mL/min/1.73m2 regardless of UACR) </w:t>
      </w:r>
      <w:r w:rsidRPr="00933708">
        <w:t>were not presented</w:t>
      </w:r>
      <w:r w:rsidR="00295CF9" w:rsidRPr="00933708">
        <w:t>.</w:t>
      </w:r>
    </w:p>
    <w:p w14:paraId="3ED16DDA" w14:textId="00F9EDF2" w:rsidR="0030721E" w:rsidRPr="00933708" w:rsidRDefault="00503BE3" w:rsidP="007C4C88">
      <w:pPr>
        <w:pStyle w:val="ListParagraph"/>
        <w:numPr>
          <w:ilvl w:val="1"/>
          <w:numId w:val="1"/>
        </w:numPr>
        <w:ind w:left="720" w:hanging="720"/>
        <w:rPr>
          <w:color w:val="0066FF"/>
        </w:rPr>
      </w:pPr>
      <w:bookmarkStart w:id="37" w:name="_Ref150859085"/>
      <w:r w:rsidRPr="00933708">
        <w:t>However, in the post hoc subgroup analyses by KDIGO risk categories, empagliflozin showed mixed results in the primary composite outcome, and only achieved statistically significant improvements compared to placebo in patients with baseline macroalbuminuria (KDIGO risk categories G3aA3, G3bA3, G4A3)</w:t>
      </w:r>
      <w:r w:rsidR="009568DD" w:rsidRPr="00933708">
        <w:t>,</w:t>
      </w:r>
      <w:r w:rsidR="009568DD" w:rsidRPr="00933708">
        <w:rPr>
          <w:iCs/>
        </w:rPr>
        <w:t xml:space="preserve"> recognising that subgroup sizes were small and not powered for the composite endpoint</w:t>
      </w:r>
      <w:r w:rsidRPr="00933708">
        <w:t>.</w:t>
      </w:r>
      <w:bookmarkEnd w:id="37"/>
    </w:p>
    <w:p w14:paraId="1A69ED6D" w14:textId="73C50741" w:rsidR="009B3860" w:rsidRPr="00933708" w:rsidRDefault="00393393" w:rsidP="007C4C88">
      <w:pPr>
        <w:pStyle w:val="ListParagraph"/>
        <w:numPr>
          <w:ilvl w:val="1"/>
          <w:numId w:val="1"/>
        </w:numPr>
        <w:ind w:left="720" w:hanging="720"/>
      </w:pPr>
      <w:r w:rsidRPr="00933708">
        <w:lastRenderedPageBreak/>
        <w:t>P</w:t>
      </w:r>
      <w:r w:rsidR="009B3860" w:rsidRPr="00933708">
        <w:t xml:space="preserve">ost hoc subgroup analyses </w:t>
      </w:r>
      <w:r w:rsidR="0066750B" w:rsidRPr="00933708">
        <w:t>were presented in Section 3 of the submission for</w:t>
      </w:r>
      <w:r w:rsidR="00F04940" w:rsidRPr="00933708">
        <w:t xml:space="preserve"> annual change in eGFR and </w:t>
      </w:r>
      <w:r w:rsidR="003213DC" w:rsidRPr="00933708">
        <w:t xml:space="preserve">relative change in UACR from baseline to </w:t>
      </w:r>
      <w:r w:rsidRPr="00933708">
        <w:t>18 months</w:t>
      </w:r>
      <w:r w:rsidR="00B168E8" w:rsidRPr="00933708">
        <w:t xml:space="preserve"> by </w:t>
      </w:r>
      <w:r w:rsidR="00F04940" w:rsidRPr="00933708">
        <w:t xml:space="preserve">KDIGO </w:t>
      </w:r>
      <w:r w:rsidR="00C736B3" w:rsidRPr="00933708">
        <w:t>baseline risk categories.</w:t>
      </w:r>
    </w:p>
    <w:p w14:paraId="4CFE699E" w14:textId="3BA0459C" w:rsidR="00F04940" w:rsidRPr="00933708" w:rsidRDefault="007B5362" w:rsidP="007C4C88">
      <w:pPr>
        <w:pStyle w:val="ListParagraph"/>
        <w:numPr>
          <w:ilvl w:val="1"/>
          <w:numId w:val="1"/>
        </w:numPr>
        <w:ind w:left="720" w:hanging="720"/>
      </w:pPr>
      <w:r w:rsidRPr="00933708">
        <w:t xml:space="preserve">Treatment with empagliflozin was associated with a statistically significant reduction in the annual rate of eGFR decline compared to placebo in the EMPA-KIDNEY trial. </w:t>
      </w:r>
      <w:r w:rsidR="00F04940" w:rsidRPr="00933708">
        <w:t xml:space="preserve">However, there were statistically significant treatment effect interactions by baseline KDIGO category (p=0.0023), with the largest treatment effects observed in patients with baseline UACR &gt;300 mg/g. </w:t>
      </w:r>
    </w:p>
    <w:p w14:paraId="418A1C7D" w14:textId="0E9B364F" w:rsidR="00E9493A" w:rsidRPr="00933708" w:rsidRDefault="00E9493A" w:rsidP="007C4C88">
      <w:pPr>
        <w:pStyle w:val="ListParagraph"/>
        <w:numPr>
          <w:ilvl w:val="1"/>
          <w:numId w:val="1"/>
        </w:numPr>
        <w:ind w:left="720" w:hanging="720"/>
      </w:pPr>
      <w:bookmarkStart w:id="38" w:name="_Ref145318228"/>
      <w:r w:rsidRPr="00933708">
        <w:t xml:space="preserve">Treatment with empagliflozin was associated with statistically significantly better </w:t>
      </w:r>
      <w:r w:rsidR="00877017" w:rsidRPr="00933708">
        <w:t xml:space="preserve">UACR ratios </w:t>
      </w:r>
      <w:r w:rsidRPr="00933708">
        <w:t>(more improvement/less worsening) compared to placebo in the EMPA-KIDNEY trial. However, there were statistically significant treatment effect interactions by baseline KDIGO category (p=0.0054), with the largest treatment effects observed in patients with baseline UACR &gt;300 mg/g and patients with UACR &gt;30 mg/g who have significant renal impairment (</w:t>
      </w:r>
      <w:r w:rsidR="00615408" w:rsidRPr="00933708">
        <w:t>eGFR 15 to &lt;30</w:t>
      </w:r>
      <w:r w:rsidR="00802218" w:rsidRPr="00933708">
        <w:t>;</w:t>
      </w:r>
      <w:r w:rsidR="00615408" w:rsidRPr="00933708">
        <w:t xml:space="preserve"> 30</w:t>
      </w:r>
      <w:r w:rsidR="008E59F6" w:rsidRPr="00933708">
        <w:t xml:space="preserve"> to &lt;45 mL/min/1.73 m</w:t>
      </w:r>
      <w:r w:rsidR="008E59F6" w:rsidRPr="00933708">
        <w:rPr>
          <w:vertAlign w:val="superscript"/>
        </w:rPr>
        <w:t>2</w:t>
      </w:r>
      <w:r w:rsidRPr="00933708">
        <w:t>).</w:t>
      </w:r>
      <w:bookmarkEnd w:id="38"/>
      <w:r w:rsidRPr="00933708">
        <w:t xml:space="preserve"> </w:t>
      </w:r>
    </w:p>
    <w:p w14:paraId="76A24C34" w14:textId="36E25D2B" w:rsidR="005F5DD0" w:rsidRPr="00933708" w:rsidRDefault="005F5DD0" w:rsidP="00A51AD5">
      <w:pPr>
        <w:pStyle w:val="COMH3"/>
        <w:spacing w:after="120"/>
        <w:rPr>
          <w:i/>
          <w:iCs w:val="0"/>
          <w:sz w:val="24"/>
          <w:szCs w:val="22"/>
        </w:rPr>
      </w:pPr>
      <w:r w:rsidRPr="00933708">
        <w:rPr>
          <w:i/>
          <w:iCs w:val="0"/>
          <w:sz w:val="24"/>
          <w:szCs w:val="22"/>
        </w:rPr>
        <w:t xml:space="preserve">Indirect comparison of </w:t>
      </w:r>
      <w:r w:rsidR="00C14842" w:rsidRPr="00933708">
        <w:rPr>
          <w:i/>
          <w:iCs w:val="0"/>
          <w:sz w:val="24"/>
          <w:szCs w:val="22"/>
        </w:rPr>
        <w:t>empagliflozin versus dapagliflozin</w:t>
      </w:r>
    </w:p>
    <w:p w14:paraId="1ED0AA5F" w14:textId="19C2D48C" w:rsidR="00094E95" w:rsidRPr="00933708" w:rsidRDefault="00C628AD" w:rsidP="007C4C88">
      <w:pPr>
        <w:pStyle w:val="ListParagraph"/>
        <w:numPr>
          <w:ilvl w:val="1"/>
          <w:numId w:val="1"/>
        </w:numPr>
        <w:ind w:left="720" w:hanging="720"/>
      </w:pPr>
      <w:r w:rsidRPr="00933708">
        <w:fldChar w:fldCharType="begin"/>
      </w:r>
      <w:r w:rsidRPr="00933708">
        <w:instrText xml:space="preserve"> REF _Ref144732278 \h </w:instrText>
      </w:r>
      <w:r w:rsidR="007C4C88" w:rsidRPr="00933708">
        <w:instrText xml:space="preserve"> \* MERGEFORMAT </w:instrText>
      </w:r>
      <w:r w:rsidRPr="00933708">
        <w:fldChar w:fldCharType="separate"/>
      </w:r>
      <w:r w:rsidR="00D5135E" w:rsidRPr="00933708">
        <w:t xml:space="preserve">Table </w:t>
      </w:r>
      <w:r w:rsidR="00D5135E">
        <w:t>8</w:t>
      </w:r>
      <w:r w:rsidRPr="00933708">
        <w:fldChar w:fldCharType="end"/>
      </w:r>
      <w:r w:rsidRPr="00933708">
        <w:t xml:space="preserve"> summarises the results of the indirect comparison of empagliflozin with dapagliflozin </w:t>
      </w:r>
      <w:r w:rsidR="00AD37CA" w:rsidRPr="00933708">
        <w:t>(</w:t>
      </w:r>
      <w:r w:rsidRPr="00933708">
        <w:t>with placebo as</w:t>
      </w:r>
      <w:r w:rsidR="007C0F8B" w:rsidRPr="00933708">
        <w:t xml:space="preserve"> the</w:t>
      </w:r>
      <w:r w:rsidRPr="00933708">
        <w:t xml:space="preserve"> common reference</w:t>
      </w:r>
      <w:r w:rsidR="00AD37CA" w:rsidRPr="00933708">
        <w:t xml:space="preserve">) for the </w:t>
      </w:r>
      <w:r w:rsidRPr="00933708">
        <w:t>primary composite outcome of CKD progression or adjudicated cardiovascular death</w:t>
      </w:r>
      <w:r w:rsidR="00AD37CA" w:rsidRPr="00933708">
        <w:t>.</w:t>
      </w:r>
      <w:r w:rsidRPr="00933708">
        <w:t xml:space="preserve"> </w:t>
      </w:r>
      <w:r w:rsidR="00BB0DD9" w:rsidRPr="00933708">
        <w:t>Results of the</w:t>
      </w:r>
      <w:r w:rsidR="00C72E01" w:rsidRPr="00933708">
        <w:t xml:space="preserve"> indirect comparison w</w:t>
      </w:r>
      <w:r w:rsidR="00BB0DD9" w:rsidRPr="00933708">
        <w:t>ere</w:t>
      </w:r>
      <w:r w:rsidR="00C72E01" w:rsidRPr="00933708">
        <w:t xml:space="preserve"> presented using the results of the EMPA-KIDNEY overlap population, as well as the EMPA-KIDNEY ITT population.</w:t>
      </w:r>
    </w:p>
    <w:p w14:paraId="6894F1EE" w14:textId="5B58371E" w:rsidR="004441B4" w:rsidRPr="00933708" w:rsidRDefault="0057404E" w:rsidP="007C4C88">
      <w:pPr>
        <w:pStyle w:val="ListParagraph"/>
        <w:numPr>
          <w:ilvl w:val="1"/>
          <w:numId w:val="1"/>
        </w:numPr>
        <w:ind w:left="720" w:hanging="720"/>
        <w:rPr>
          <w:color w:val="0066FF"/>
        </w:rPr>
      </w:pPr>
      <w:r w:rsidRPr="00933708">
        <w:t>T</w:t>
      </w:r>
      <w:r w:rsidR="00346673" w:rsidRPr="00933708">
        <w:t xml:space="preserve">here were small differences in the definitions of kidney disease progression between the EMPA-KIDNEY and DAPA-CKD trials in terms of ESKD (EMPA-KIDNEY: initiation of maintenance dialysis or kidney transplant; DAPA-CKD: chronic dialysis or kidney transplant) and sustained decline in eGFR (EMPA-KIDNEY: </w:t>
      </w:r>
      <w:r w:rsidR="00346673" w:rsidRPr="00933708">
        <w:rPr>
          <w:szCs w:val="20"/>
        </w:rPr>
        <w:t>sustained decline in eGFR to &lt;10 mL/min/1.73 m</w:t>
      </w:r>
      <w:r w:rsidR="00346673" w:rsidRPr="00933708">
        <w:rPr>
          <w:szCs w:val="20"/>
          <w:vertAlign w:val="superscript"/>
        </w:rPr>
        <w:t>2</w:t>
      </w:r>
      <w:r w:rsidR="00346673" w:rsidRPr="00933708">
        <w:t xml:space="preserve"> or </w:t>
      </w:r>
      <w:r w:rsidR="00346673" w:rsidRPr="00933708">
        <w:rPr>
          <w:rFonts w:cs="Calibri"/>
        </w:rPr>
        <w:t>≥</w:t>
      </w:r>
      <w:r w:rsidR="00346673" w:rsidRPr="00933708">
        <w:t>40%; DAPA-CKD: &lt;15 </w:t>
      </w:r>
      <w:r w:rsidR="00346673" w:rsidRPr="00933708">
        <w:rPr>
          <w:szCs w:val="20"/>
        </w:rPr>
        <w:t>mL/min/1.73 m</w:t>
      </w:r>
      <w:r w:rsidR="00346673" w:rsidRPr="00933708">
        <w:rPr>
          <w:szCs w:val="20"/>
          <w:vertAlign w:val="superscript"/>
        </w:rPr>
        <w:t>2</w:t>
      </w:r>
      <w:r w:rsidR="00346673" w:rsidRPr="00933708">
        <w:t xml:space="preserve"> or </w:t>
      </w:r>
      <w:r w:rsidR="00346673" w:rsidRPr="00933708">
        <w:rPr>
          <w:rFonts w:cs="Calibri"/>
        </w:rPr>
        <w:t>≥</w:t>
      </w:r>
      <w:r w:rsidR="00346673" w:rsidRPr="00933708">
        <w:t xml:space="preserve">50%). </w:t>
      </w:r>
      <w:r w:rsidR="00BB0DD9" w:rsidRPr="00933708">
        <w:t>Results of the indirect comparison were reported using</w:t>
      </w:r>
      <w:r w:rsidRPr="00933708">
        <w:t xml:space="preserve"> native trial outcome definitions, a</w:t>
      </w:r>
      <w:r w:rsidR="00BB0DD9" w:rsidRPr="00933708">
        <w:t xml:space="preserve">s well as the </w:t>
      </w:r>
      <w:r w:rsidRPr="00933708">
        <w:t xml:space="preserve">DAPA-CKD outcome definitions applied to EMPA-KIDNEY patient data </w:t>
      </w:r>
      <w:r w:rsidRPr="00933708">
        <w:rPr>
          <w:i/>
          <w:iCs/>
        </w:rPr>
        <w:t>post hoc.</w:t>
      </w:r>
    </w:p>
    <w:p w14:paraId="5E5575E0" w14:textId="139C5844" w:rsidR="00EE290A" w:rsidRPr="00933708" w:rsidRDefault="00EE290A" w:rsidP="00EE290A">
      <w:pPr>
        <w:pStyle w:val="COMTableheadingrow"/>
        <w:rPr>
          <w:lang w:val="en-AU"/>
        </w:rPr>
      </w:pPr>
      <w:bookmarkStart w:id="39" w:name="_Ref144732278"/>
      <w:r w:rsidRPr="00933708">
        <w:rPr>
          <w:lang w:val="en-AU"/>
        </w:rPr>
        <w:lastRenderedPageBreak/>
        <w:t xml:space="preserve">Table </w:t>
      </w:r>
      <w:r w:rsidRPr="00251484">
        <w:rPr>
          <w:lang w:val="en-AU"/>
        </w:rPr>
        <w:fldChar w:fldCharType="begin"/>
      </w:r>
      <w:r w:rsidRPr="00933708">
        <w:rPr>
          <w:lang w:val="en-AU"/>
        </w:rPr>
        <w:instrText xml:space="preserve"> SEQ Table \* ARABIC </w:instrText>
      </w:r>
      <w:r w:rsidRPr="00251484">
        <w:rPr>
          <w:lang w:val="en-AU"/>
        </w:rPr>
        <w:fldChar w:fldCharType="separate"/>
      </w:r>
      <w:r w:rsidR="00D5135E">
        <w:rPr>
          <w:noProof/>
          <w:lang w:val="en-AU"/>
        </w:rPr>
        <w:t>8</w:t>
      </w:r>
      <w:r w:rsidRPr="00251484">
        <w:rPr>
          <w:lang w:val="en-AU"/>
        </w:rPr>
        <w:fldChar w:fldCharType="end"/>
      </w:r>
      <w:bookmarkEnd w:id="39"/>
      <w:r w:rsidRPr="00933708">
        <w:rPr>
          <w:lang w:val="en-AU"/>
        </w:rPr>
        <w:t>: Results of the indirect comparison of empagliflozin versus dapagliflozin for the primary composite outcome of time to CKD progression or CV death (placebo + SC as common reference)</w:t>
      </w:r>
    </w:p>
    <w:tbl>
      <w:tblPr>
        <w:tblStyle w:val="TableTheme"/>
        <w:tblW w:w="5000" w:type="pct"/>
        <w:tblLayout w:type="fixed"/>
        <w:tblCellMar>
          <w:left w:w="28" w:type="dxa"/>
          <w:right w:w="28" w:type="dxa"/>
        </w:tblCellMar>
        <w:tblLook w:val="04A0" w:firstRow="1" w:lastRow="0" w:firstColumn="1" w:lastColumn="0" w:noHBand="0" w:noVBand="1"/>
        <w:tblCaption w:val="Results of the ITC for the composite outcome of kidney disease progressiona, renal death or CV death, DAPA-CKD definition - EMPA-KIDNEY overlapping subgroup vs. DAPA-CKD ITT, RS population"/>
      </w:tblPr>
      <w:tblGrid>
        <w:gridCol w:w="2830"/>
        <w:gridCol w:w="1605"/>
        <w:gridCol w:w="1548"/>
        <w:gridCol w:w="1646"/>
        <w:gridCol w:w="1388"/>
      </w:tblGrid>
      <w:tr w:rsidR="00EE290A" w:rsidRPr="00933708" w14:paraId="2893DAD8" w14:textId="77777777" w:rsidTr="0047652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0F980565" w14:textId="77777777" w:rsidR="00EE290A" w:rsidRPr="00933708" w:rsidRDefault="00EE290A" w:rsidP="00CD418C">
            <w:pPr>
              <w:pStyle w:val="COMTabletext"/>
              <w:rPr>
                <w:b w:val="0"/>
                <w:bCs w:val="0"/>
              </w:rPr>
            </w:pPr>
          </w:p>
        </w:tc>
        <w:tc>
          <w:tcPr>
            <w:tcW w:w="1605" w:type="dxa"/>
            <w:shd w:val="clear" w:color="auto" w:fill="auto"/>
          </w:tcPr>
          <w:p w14:paraId="5613A033" w14:textId="77777777" w:rsidR="00EE290A" w:rsidRPr="00933708" w:rsidRDefault="00EE290A" w:rsidP="00CD418C">
            <w:pPr>
              <w:pStyle w:val="COMTabletext"/>
              <w:cnfStyle w:val="100000000000" w:firstRow="1" w:lastRow="0" w:firstColumn="0" w:lastColumn="0" w:oddVBand="0" w:evenVBand="0" w:oddHBand="0" w:evenHBand="0" w:firstRowFirstColumn="0" w:firstRowLastColumn="0" w:lastRowFirstColumn="0" w:lastRowLastColumn="0"/>
            </w:pPr>
            <w:r w:rsidRPr="00933708">
              <w:t>Empagliflozin + SC</w:t>
            </w:r>
          </w:p>
          <w:p w14:paraId="49F59A52" w14:textId="77777777" w:rsidR="00EE290A" w:rsidRPr="00933708" w:rsidRDefault="00EE290A" w:rsidP="00CD418C">
            <w:pPr>
              <w:pStyle w:val="COMTabletext"/>
              <w:cnfStyle w:val="100000000000" w:firstRow="1" w:lastRow="0" w:firstColumn="0" w:lastColumn="0" w:oddVBand="0" w:evenVBand="0" w:oddHBand="0" w:evenHBand="0" w:firstRowFirstColumn="0" w:firstRowLastColumn="0" w:lastRowFirstColumn="0" w:lastRowLastColumn="0"/>
            </w:pPr>
            <w:r w:rsidRPr="00933708">
              <w:t>events n/N (%)</w:t>
            </w:r>
          </w:p>
        </w:tc>
        <w:tc>
          <w:tcPr>
            <w:tcW w:w="1548" w:type="dxa"/>
            <w:shd w:val="clear" w:color="auto" w:fill="auto"/>
          </w:tcPr>
          <w:p w14:paraId="6E2E14CD" w14:textId="77777777" w:rsidR="00EE290A" w:rsidRPr="00933708" w:rsidRDefault="00EE290A" w:rsidP="00CD418C">
            <w:pPr>
              <w:pStyle w:val="COMTabletext"/>
              <w:cnfStyle w:val="100000000000" w:firstRow="1" w:lastRow="0" w:firstColumn="0" w:lastColumn="0" w:oddVBand="0" w:evenVBand="0" w:oddHBand="0" w:evenHBand="0" w:firstRowFirstColumn="0" w:firstRowLastColumn="0" w:lastRowFirstColumn="0" w:lastRowLastColumn="0"/>
            </w:pPr>
            <w:r w:rsidRPr="00933708">
              <w:t xml:space="preserve">Placebo + SC </w:t>
            </w:r>
          </w:p>
          <w:p w14:paraId="78E0F494" w14:textId="77777777" w:rsidR="00EE290A" w:rsidRPr="00933708" w:rsidRDefault="00EE290A" w:rsidP="00CD418C">
            <w:pPr>
              <w:pStyle w:val="COMTabletext"/>
              <w:cnfStyle w:val="100000000000" w:firstRow="1" w:lastRow="0" w:firstColumn="0" w:lastColumn="0" w:oddVBand="0" w:evenVBand="0" w:oddHBand="0" w:evenHBand="0" w:firstRowFirstColumn="0" w:firstRowLastColumn="0" w:lastRowFirstColumn="0" w:lastRowLastColumn="0"/>
            </w:pPr>
            <w:r w:rsidRPr="00933708">
              <w:t>Events n/N (%)</w:t>
            </w:r>
          </w:p>
        </w:tc>
        <w:tc>
          <w:tcPr>
            <w:tcW w:w="1646" w:type="dxa"/>
            <w:shd w:val="clear" w:color="auto" w:fill="auto"/>
          </w:tcPr>
          <w:p w14:paraId="6913D88F" w14:textId="77777777" w:rsidR="00EE290A" w:rsidRPr="00933708" w:rsidRDefault="00EE290A" w:rsidP="00CD418C">
            <w:pPr>
              <w:pStyle w:val="COMTabletext"/>
              <w:cnfStyle w:val="100000000000" w:firstRow="1" w:lastRow="0" w:firstColumn="0" w:lastColumn="0" w:oddVBand="0" w:evenVBand="0" w:oddHBand="0" w:evenHBand="0" w:firstRowFirstColumn="0" w:firstRowLastColumn="0" w:lastRowFirstColumn="0" w:lastRowLastColumn="0"/>
            </w:pPr>
            <w:r w:rsidRPr="00933708">
              <w:t>Dapagliflozin + SC</w:t>
            </w:r>
          </w:p>
          <w:p w14:paraId="3967DD76" w14:textId="77777777" w:rsidR="00EE290A" w:rsidRPr="00933708" w:rsidRDefault="00EE290A" w:rsidP="00CD418C">
            <w:pPr>
              <w:pStyle w:val="COMTabletext"/>
              <w:cnfStyle w:val="100000000000" w:firstRow="1" w:lastRow="0" w:firstColumn="0" w:lastColumn="0" w:oddVBand="0" w:evenVBand="0" w:oddHBand="0" w:evenHBand="0" w:firstRowFirstColumn="0" w:firstRowLastColumn="0" w:lastRowFirstColumn="0" w:lastRowLastColumn="0"/>
            </w:pPr>
            <w:r w:rsidRPr="00933708">
              <w:t>events n/N (%)</w:t>
            </w:r>
          </w:p>
        </w:tc>
        <w:tc>
          <w:tcPr>
            <w:tcW w:w="1388" w:type="dxa"/>
            <w:shd w:val="clear" w:color="auto" w:fill="auto"/>
          </w:tcPr>
          <w:p w14:paraId="60A7C6D7" w14:textId="77777777" w:rsidR="00EE290A" w:rsidRPr="00933708" w:rsidRDefault="00EE290A" w:rsidP="00CD418C">
            <w:pPr>
              <w:pStyle w:val="COMTabletext"/>
              <w:cnfStyle w:val="100000000000" w:firstRow="1" w:lastRow="0" w:firstColumn="0" w:lastColumn="0" w:oddVBand="0" w:evenVBand="0" w:oddHBand="0" w:evenHBand="0" w:firstRowFirstColumn="0" w:firstRowLastColumn="0" w:lastRowFirstColumn="0" w:lastRowLastColumn="0"/>
            </w:pPr>
            <w:r w:rsidRPr="00933708">
              <w:t>Hazard ratio</w:t>
            </w:r>
          </w:p>
          <w:p w14:paraId="1F84112E" w14:textId="77777777" w:rsidR="00EE290A" w:rsidRPr="00933708" w:rsidRDefault="00EE290A" w:rsidP="00CD418C">
            <w:pPr>
              <w:pStyle w:val="COMTabletext"/>
              <w:cnfStyle w:val="100000000000" w:firstRow="1" w:lastRow="0" w:firstColumn="0" w:lastColumn="0" w:oddVBand="0" w:evenVBand="0" w:oddHBand="0" w:evenHBand="0" w:firstRowFirstColumn="0" w:firstRowLastColumn="0" w:lastRowFirstColumn="0" w:lastRowLastColumn="0"/>
            </w:pPr>
            <w:r w:rsidRPr="00933708">
              <w:t>(95% CI)</w:t>
            </w:r>
          </w:p>
        </w:tc>
      </w:tr>
      <w:tr w:rsidR="00EE290A" w:rsidRPr="00933708" w14:paraId="56BC59F6" w14:textId="77777777" w:rsidTr="0047652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017" w:type="dxa"/>
            <w:gridSpan w:val="5"/>
            <w:shd w:val="clear" w:color="auto" w:fill="auto"/>
          </w:tcPr>
          <w:p w14:paraId="4B3F4EBC" w14:textId="77777777" w:rsidR="00EE290A" w:rsidRPr="00933708" w:rsidRDefault="00EE290A" w:rsidP="00CD418C">
            <w:pPr>
              <w:pStyle w:val="COMTabletext"/>
              <w:tabs>
                <w:tab w:val="right" w:pos="7460"/>
              </w:tabs>
              <w:rPr>
                <w:vertAlign w:val="superscript"/>
              </w:rPr>
            </w:pPr>
            <w:r w:rsidRPr="00933708">
              <w:t xml:space="preserve">Indirect comparison based on EMPA-KIDNEY definition of primary outcome applied to EMPA-KIDNEY </w:t>
            </w:r>
            <w:proofErr w:type="spellStart"/>
            <w:r w:rsidRPr="00933708">
              <w:t>data</w:t>
            </w:r>
            <w:r w:rsidRPr="00933708">
              <w:rPr>
                <w:vertAlign w:val="superscript"/>
              </w:rPr>
              <w:t>a</w:t>
            </w:r>
            <w:proofErr w:type="spellEnd"/>
          </w:p>
        </w:tc>
      </w:tr>
      <w:tr w:rsidR="00EE290A" w:rsidRPr="00933708" w14:paraId="6E301D13" w14:textId="77777777" w:rsidTr="0047652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12D42024" w14:textId="77777777" w:rsidR="00EE290A" w:rsidRPr="00933708" w:rsidRDefault="00EE290A" w:rsidP="00CD418C">
            <w:pPr>
              <w:pStyle w:val="COMTabletext"/>
              <w:tabs>
                <w:tab w:val="right" w:pos="7460"/>
              </w:tabs>
              <w:rPr>
                <w:b w:val="0"/>
                <w:bCs w:val="0"/>
              </w:rPr>
            </w:pPr>
            <w:r w:rsidRPr="00933708">
              <w:rPr>
                <w:b w:val="0"/>
                <w:bCs w:val="0"/>
              </w:rPr>
              <w:t>EMPA-KIDNEY (ITT)</w:t>
            </w:r>
          </w:p>
        </w:tc>
        <w:tc>
          <w:tcPr>
            <w:tcW w:w="1605" w:type="dxa"/>
            <w:shd w:val="clear" w:color="auto" w:fill="auto"/>
          </w:tcPr>
          <w:p w14:paraId="6EE1BC86" w14:textId="77777777" w:rsidR="00EE290A" w:rsidRPr="00933708" w:rsidRDefault="00EE290A" w:rsidP="00CD418C">
            <w:pPr>
              <w:pStyle w:val="COMTabletext"/>
              <w:tabs>
                <w:tab w:val="right" w:pos="7460"/>
              </w:tabs>
              <w:cnfStyle w:val="100000000000" w:firstRow="1" w:lastRow="0" w:firstColumn="0" w:lastColumn="0" w:oddVBand="0" w:evenVBand="0" w:oddHBand="0" w:evenHBand="0" w:firstRowFirstColumn="0" w:firstRowLastColumn="0" w:lastRowFirstColumn="0" w:lastRowLastColumn="0"/>
              <w:rPr>
                <w:b w:val="0"/>
                <w:bCs w:val="0"/>
              </w:rPr>
            </w:pPr>
            <w:r w:rsidRPr="00933708">
              <w:rPr>
                <w:b w:val="0"/>
                <w:bCs w:val="0"/>
              </w:rPr>
              <w:t>432/3,304 (13.1%)</w:t>
            </w:r>
          </w:p>
        </w:tc>
        <w:tc>
          <w:tcPr>
            <w:tcW w:w="1548" w:type="dxa"/>
            <w:shd w:val="clear" w:color="auto" w:fill="auto"/>
          </w:tcPr>
          <w:p w14:paraId="650A4A67" w14:textId="77777777" w:rsidR="00EE290A" w:rsidRPr="00933708" w:rsidRDefault="00EE290A" w:rsidP="00CD418C">
            <w:pPr>
              <w:pStyle w:val="COMTabletext"/>
              <w:tabs>
                <w:tab w:val="right" w:pos="7460"/>
              </w:tabs>
              <w:cnfStyle w:val="100000000000" w:firstRow="1" w:lastRow="0" w:firstColumn="0" w:lastColumn="0" w:oddVBand="0" w:evenVBand="0" w:oddHBand="0" w:evenHBand="0" w:firstRowFirstColumn="0" w:firstRowLastColumn="0" w:lastRowFirstColumn="0" w:lastRowLastColumn="0"/>
              <w:rPr>
                <w:b w:val="0"/>
                <w:bCs w:val="0"/>
              </w:rPr>
            </w:pPr>
            <w:r w:rsidRPr="00933708">
              <w:rPr>
                <w:b w:val="0"/>
                <w:bCs w:val="0"/>
              </w:rPr>
              <w:t>558/3,305 (16.9%)</w:t>
            </w:r>
          </w:p>
        </w:tc>
        <w:tc>
          <w:tcPr>
            <w:tcW w:w="1646" w:type="dxa"/>
            <w:shd w:val="clear" w:color="auto" w:fill="auto"/>
          </w:tcPr>
          <w:p w14:paraId="56D536A5" w14:textId="77777777" w:rsidR="00EE290A" w:rsidRPr="00933708" w:rsidRDefault="00EE290A" w:rsidP="00CD418C">
            <w:pPr>
              <w:pStyle w:val="COMTabletext"/>
              <w:tabs>
                <w:tab w:val="right" w:pos="7460"/>
              </w:tabs>
              <w:cnfStyle w:val="100000000000" w:firstRow="1" w:lastRow="0" w:firstColumn="0" w:lastColumn="0" w:oddVBand="0" w:evenVBand="0" w:oddHBand="0" w:evenHBand="0" w:firstRowFirstColumn="0" w:firstRowLastColumn="0" w:lastRowFirstColumn="0" w:lastRowLastColumn="0"/>
              <w:rPr>
                <w:b w:val="0"/>
                <w:bCs w:val="0"/>
              </w:rPr>
            </w:pPr>
            <w:r w:rsidRPr="00933708">
              <w:rPr>
                <w:b w:val="0"/>
                <w:bCs w:val="0"/>
              </w:rPr>
              <w:t>-</w:t>
            </w:r>
          </w:p>
        </w:tc>
        <w:tc>
          <w:tcPr>
            <w:tcW w:w="1388" w:type="dxa"/>
            <w:shd w:val="clear" w:color="auto" w:fill="auto"/>
          </w:tcPr>
          <w:p w14:paraId="4C9E40FE" w14:textId="77777777" w:rsidR="00EE290A" w:rsidRPr="00933708" w:rsidRDefault="00EE290A" w:rsidP="00CD418C">
            <w:pPr>
              <w:pStyle w:val="COMTabletext"/>
              <w:tabs>
                <w:tab w:val="right" w:pos="7460"/>
              </w:tabs>
              <w:cnfStyle w:val="100000000000" w:firstRow="1" w:lastRow="0" w:firstColumn="0" w:lastColumn="0" w:oddVBand="0" w:evenVBand="0" w:oddHBand="0" w:evenHBand="0" w:firstRowFirstColumn="0" w:firstRowLastColumn="0" w:lastRowFirstColumn="0" w:lastRowLastColumn="0"/>
            </w:pPr>
            <w:r w:rsidRPr="00933708">
              <w:t>0.72 (0.64, 0.82)</w:t>
            </w:r>
          </w:p>
        </w:tc>
      </w:tr>
      <w:tr w:rsidR="00EE290A" w:rsidRPr="00933708" w14:paraId="4244CDEE" w14:textId="77777777" w:rsidTr="0047652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830" w:type="dxa"/>
          </w:tcPr>
          <w:p w14:paraId="46D842B6" w14:textId="77777777" w:rsidR="00EE290A" w:rsidRPr="00933708" w:rsidRDefault="00EE290A" w:rsidP="00CD418C">
            <w:pPr>
              <w:pStyle w:val="COMTabletext"/>
              <w:tabs>
                <w:tab w:val="right" w:pos="7460"/>
              </w:tabs>
              <w:rPr>
                <w:b w:val="0"/>
                <w:bCs w:val="0"/>
              </w:rPr>
            </w:pPr>
            <w:r w:rsidRPr="00933708">
              <w:rPr>
                <w:b w:val="0"/>
                <w:bCs w:val="0"/>
              </w:rPr>
              <w:t>EMPA-KIDNEY (overlap)</w:t>
            </w:r>
          </w:p>
        </w:tc>
        <w:tc>
          <w:tcPr>
            <w:tcW w:w="1605" w:type="dxa"/>
          </w:tcPr>
          <w:p w14:paraId="71840DAA" w14:textId="77777777" w:rsidR="00EE290A" w:rsidRPr="00933708" w:rsidRDefault="00EE290A" w:rsidP="00CD418C">
            <w:pPr>
              <w:pStyle w:val="COMTabletext"/>
              <w:tabs>
                <w:tab w:val="right" w:pos="7460"/>
              </w:tabs>
              <w:cnfStyle w:val="100000000000" w:firstRow="1" w:lastRow="0" w:firstColumn="0" w:lastColumn="0" w:oddVBand="0" w:evenVBand="0" w:oddHBand="0" w:evenHBand="0" w:firstRowFirstColumn="0" w:firstRowLastColumn="0" w:lastRowFirstColumn="0" w:lastRowLastColumn="0"/>
              <w:rPr>
                <w:b w:val="0"/>
                <w:bCs w:val="0"/>
              </w:rPr>
            </w:pPr>
            <w:r w:rsidRPr="00933708">
              <w:rPr>
                <w:b w:val="0"/>
                <w:bCs w:val="0"/>
              </w:rPr>
              <w:t>119/1,446 (8.2%)</w:t>
            </w:r>
          </w:p>
        </w:tc>
        <w:tc>
          <w:tcPr>
            <w:tcW w:w="1548" w:type="dxa"/>
          </w:tcPr>
          <w:p w14:paraId="720D32E2" w14:textId="77777777" w:rsidR="00EE290A" w:rsidRPr="00933708" w:rsidRDefault="00EE290A" w:rsidP="00CD418C">
            <w:pPr>
              <w:pStyle w:val="COMTabletext"/>
              <w:tabs>
                <w:tab w:val="right" w:pos="7460"/>
              </w:tabs>
              <w:cnfStyle w:val="100000000000" w:firstRow="1" w:lastRow="0" w:firstColumn="0" w:lastColumn="0" w:oddVBand="0" w:evenVBand="0" w:oddHBand="0" w:evenHBand="0" w:firstRowFirstColumn="0" w:firstRowLastColumn="0" w:lastRowFirstColumn="0" w:lastRowLastColumn="0"/>
              <w:rPr>
                <w:b w:val="0"/>
                <w:bCs w:val="0"/>
              </w:rPr>
            </w:pPr>
            <w:r w:rsidRPr="00933708">
              <w:rPr>
                <w:b w:val="0"/>
                <w:bCs w:val="0"/>
              </w:rPr>
              <w:t>227/1,397 (16.2%)</w:t>
            </w:r>
          </w:p>
        </w:tc>
        <w:tc>
          <w:tcPr>
            <w:tcW w:w="1646" w:type="dxa"/>
          </w:tcPr>
          <w:p w14:paraId="7F65F951" w14:textId="77777777" w:rsidR="00EE290A" w:rsidRPr="00933708" w:rsidRDefault="00EE290A" w:rsidP="00CD418C">
            <w:pPr>
              <w:pStyle w:val="COMTabletext"/>
              <w:tabs>
                <w:tab w:val="right" w:pos="7460"/>
              </w:tabs>
              <w:cnfStyle w:val="100000000000" w:firstRow="1" w:lastRow="0" w:firstColumn="0" w:lastColumn="0" w:oddVBand="0" w:evenVBand="0" w:oddHBand="0" w:evenHBand="0" w:firstRowFirstColumn="0" w:firstRowLastColumn="0" w:lastRowFirstColumn="0" w:lastRowLastColumn="0"/>
              <w:rPr>
                <w:b w:val="0"/>
                <w:bCs w:val="0"/>
              </w:rPr>
            </w:pPr>
            <w:r w:rsidRPr="00933708">
              <w:rPr>
                <w:b w:val="0"/>
                <w:bCs w:val="0"/>
              </w:rPr>
              <w:t>-</w:t>
            </w:r>
          </w:p>
        </w:tc>
        <w:tc>
          <w:tcPr>
            <w:tcW w:w="1388" w:type="dxa"/>
          </w:tcPr>
          <w:p w14:paraId="061A83F4" w14:textId="77777777" w:rsidR="00EE290A" w:rsidRPr="00933708" w:rsidRDefault="00EE290A" w:rsidP="00CD418C">
            <w:pPr>
              <w:pStyle w:val="COMTabletext"/>
              <w:tabs>
                <w:tab w:val="right" w:pos="7460"/>
              </w:tabs>
              <w:cnfStyle w:val="100000000000" w:firstRow="1" w:lastRow="0" w:firstColumn="0" w:lastColumn="0" w:oddVBand="0" w:evenVBand="0" w:oddHBand="0" w:evenHBand="0" w:firstRowFirstColumn="0" w:firstRowLastColumn="0" w:lastRowFirstColumn="0" w:lastRowLastColumn="0"/>
            </w:pPr>
            <w:r w:rsidRPr="00933708">
              <w:t>0.76 (0.63, 0.92)</w:t>
            </w:r>
          </w:p>
        </w:tc>
      </w:tr>
      <w:tr w:rsidR="00EE290A" w:rsidRPr="00933708" w14:paraId="36E6B2FE" w14:textId="77777777" w:rsidTr="0047652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830" w:type="dxa"/>
            <w:tcBorders>
              <w:bottom w:val="single" w:sz="4" w:space="0" w:color="auto"/>
            </w:tcBorders>
          </w:tcPr>
          <w:p w14:paraId="649CF654" w14:textId="77777777" w:rsidR="00EE290A" w:rsidRPr="00933708" w:rsidRDefault="00EE290A" w:rsidP="00CD418C">
            <w:pPr>
              <w:pStyle w:val="COMTabletext"/>
              <w:rPr>
                <w:b w:val="0"/>
                <w:bCs w:val="0"/>
              </w:rPr>
            </w:pPr>
            <w:r w:rsidRPr="00933708">
              <w:rPr>
                <w:b w:val="0"/>
                <w:bCs w:val="0"/>
              </w:rPr>
              <w:t>DAPA-CKD (ITT)</w:t>
            </w:r>
          </w:p>
        </w:tc>
        <w:tc>
          <w:tcPr>
            <w:tcW w:w="1605" w:type="dxa"/>
            <w:tcBorders>
              <w:bottom w:val="single" w:sz="4" w:space="0" w:color="auto"/>
            </w:tcBorders>
          </w:tcPr>
          <w:p w14:paraId="74A2F0AB" w14:textId="77777777" w:rsidR="00EE290A" w:rsidRPr="00933708" w:rsidRDefault="00EE290A" w:rsidP="00CD418C">
            <w:pPr>
              <w:pStyle w:val="COMTabletext"/>
              <w:cnfStyle w:val="100000000000" w:firstRow="1" w:lastRow="0" w:firstColumn="0" w:lastColumn="0" w:oddVBand="0" w:evenVBand="0" w:oddHBand="0" w:evenHBand="0" w:firstRowFirstColumn="0" w:firstRowLastColumn="0" w:lastRowFirstColumn="0" w:lastRowLastColumn="0"/>
              <w:rPr>
                <w:b w:val="0"/>
                <w:bCs w:val="0"/>
              </w:rPr>
            </w:pPr>
            <w:r w:rsidRPr="00933708">
              <w:rPr>
                <w:b w:val="0"/>
                <w:bCs w:val="0"/>
              </w:rPr>
              <w:t>-</w:t>
            </w:r>
          </w:p>
        </w:tc>
        <w:tc>
          <w:tcPr>
            <w:tcW w:w="1548" w:type="dxa"/>
            <w:tcBorders>
              <w:bottom w:val="single" w:sz="4" w:space="0" w:color="auto"/>
            </w:tcBorders>
          </w:tcPr>
          <w:p w14:paraId="29F7CF80" w14:textId="77777777" w:rsidR="00EE290A" w:rsidRPr="00933708" w:rsidRDefault="00EE290A" w:rsidP="00CD418C">
            <w:pPr>
              <w:pStyle w:val="COMTabletext"/>
              <w:cnfStyle w:val="100000000000" w:firstRow="1" w:lastRow="0" w:firstColumn="0" w:lastColumn="0" w:oddVBand="0" w:evenVBand="0" w:oddHBand="0" w:evenHBand="0" w:firstRowFirstColumn="0" w:firstRowLastColumn="0" w:lastRowFirstColumn="0" w:lastRowLastColumn="0"/>
              <w:rPr>
                <w:b w:val="0"/>
                <w:bCs w:val="0"/>
              </w:rPr>
            </w:pPr>
            <w:r w:rsidRPr="00933708">
              <w:rPr>
                <w:b w:val="0"/>
                <w:bCs w:val="0"/>
              </w:rPr>
              <w:t>312/2,152 (14.5%)</w:t>
            </w:r>
          </w:p>
        </w:tc>
        <w:tc>
          <w:tcPr>
            <w:tcW w:w="1646" w:type="dxa"/>
            <w:tcBorders>
              <w:bottom w:val="single" w:sz="4" w:space="0" w:color="auto"/>
            </w:tcBorders>
          </w:tcPr>
          <w:p w14:paraId="22E03340" w14:textId="77777777" w:rsidR="00EE290A" w:rsidRPr="00933708" w:rsidRDefault="00EE290A" w:rsidP="00CD418C">
            <w:pPr>
              <w:pStyle w:val="COMTabletext"/>
              <w:cnfStyle w:val="100000000000" w:firstRow="1" w:lastRow="0" w:firstColumn="0" w:lastColumn="0" w:oddVBand="0" w:evenVBand="0" w:oddHBand="0" w:evenHBand="0" w:firstRowFirstColumn="0" w:firstRowLastColumn="0" w:lastRowFirstColumn="0" w:lastRowLastColumn="0"/>
              <w:rPr>
                <w:b w:val="0"/>
                <w:bCs w:val="0"/>
              </w:rPr>
            </w:pPr>
            <w:r w:rsidRPr="00933708">
              <w:rPr>
                <w:b w:val="0"/>
                <w:bCs w:val="0"/>
              </w:rPr>
              <w:t>197/2,152 (9.2%)</w:t>
            </w:r>
          </w:p>
        </w:tc>
        <w:tc>
          <w:tcPr>
            <w:tcW w:w="1388" w:type="dxa"/>
          </w:tcPr>
          <w:p w14:paraId="0E1AD83F" w14:textId="77777777" w:rsidR="00EE290A" w:rsidRPr="00933708" w:rsidRDefault="00EE290A" w:rsidP="00CD418C">
            <w:pPr>
              <w:pStyle w:val="COMTabletext"/>
              <w:cnfStyle w:val="100000000000" w:firstRow="1" w:lastRow="0" w:firstColumn="0" w:lastColumn="0" w:oddVBand="0" w:evenVBand="0" w:oddHBand="0" w:evenHBand="0" w:firstRowFirstColumn="0" w:firstRowLastColumn="0" w:lastRowFirstColumn="0" w:lastRowLastColumn="0"/>
            </w:pPr>
            <w:r w:rsidRPr="00933708">
              <w:t>0.61 (0.51, 0.72)</w:t>
            </w:r>
          </w:p>
        </w:tc>
      </w:tr>
      <w:tr w:rsidR="00EE290A" w:rsidRPr="00933708" w14:paraId="33848EA7" w14:textId="77777777" w:rsidTr="0047652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629" w:type="dxa"/>
            <w:gridSpan w:val="4"/>
            <w:tcBorders>
              <w:top w:val="single" w:sz="4" w:space="0" w:color="auto"/>
              <w:left w:val="single" w:sz="4" w:space="0" w:color="auto"/>
              <w:bottom w:val="single" w:sz="4" w:space="0" w:color="auto"/>
              <w:right w:val="single" w:sz="4" w:space="0" w:color="auto"/>
            </w:tcBorders>
          </w:tcPr>
          <w:p w14:paraId="4B6D8666" w14:textId="77777777" w:rsidR="00EE290A" w:rsidRPr="00933708" w:rsidRDefault="00EE290A" w:rsidP="00CD418C">
            <w:pPr>
              <w:pStyle w:val="COMTabletext"/>
              <w:tabs>
                <w:tab w:val="right" w:pos="7460"/>
              </w:tabs>
              <w:rPr>
                <w:b w:val="0"/>
                <w:bCs w:val="0"/>
              </w:rPr>
            </w:pPr>
            <w:r w:rsidRPr="00933708">
              <w:t>Indirect comparisons:</w:t>
            </w:r>
            <w:r w:rsidRPr="00933708">
              <w:rPr>
                <w:b w:val="0"/>
                <w:bCs w:val="0"/>
              </w:rPr>
              <w:t xml:space="preserve"> </w:t>
            </w:r>
            <w:r w:rsidRPr="00933708">
              <w:rPr>
                <w:b w:val="0"/>
                <w:bCs w:val="0"/>
              </w:rPr>
              <w:tab/>
              <w:t xml:space="preserve">Empagliflozin + SC (ITT) vs dapagliflozin + SC </w:t>
            </w:r>
          </w:p>
        </w:tc>
        <w:tc>
          <w:tcPr>
            <w:tcW w:w="1388" w:type="dxa"/>
            <w:tcBorders>
              <w:left w:val="single" w:sz="4" w:space="0" w:color="auto"/>
            </w:tcBorders>
          </w:tcPr>
          <w:p w14:paraId="43C9E5E0" w14:textId="77777777" w:rsidR="00EE290A" w:rsidRPr="00933708" w:rsidRDefault="00EE290A" w:rsidP="00CD418C">
            <w:pPr>
              <w:pStyle w:val="COMTabletext"/>
              <w:cnfStyle w:val="100000000000" w:firstRow="1" w:lastRow="0" w:firstColumn="0" w:lastColumn="0" w:oddVBand="0" w:evenVBand="0" w:oddHBand="0" w:evenHBand="0" w:firstRowFirstColumn="0" w:firstRowLastColumn="0" w:lastRowFirstColumn="0" w:lastRowLastColumn="0"/>
              <w:rPr>
                <w:b w:val="0"/>
                <w:bCs w:val="0"/>
              </w:rPr>
            </w:pPr>
            <w:r w:rsidRPr="00933708">
              <w:rPr>
                <w:b w:val="0"/>
                <w:bCs w:val="0"/>
              </w:rPr>
              <w:t>1.18 (0.96, 1.46)</w:t>
            </w:r>
          </w:p>
        </w:tc>
      </w:tr>
      <w:tr w:rsidR="00EE290A" w:rsidRPr="00933708" w14:paraId="722F8BF9" w14:textId="77777777" w:rsidTr="0047652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629" w:type="dxa"/>
            <w:gridSpan w:val="4"/>
            <w:tcBorders>
              <w:top w:val="single" w:sz="4" w:space="0" w:color="auto"/>
              <w:left w:val="single" w:sz="4" w:space="0" w:color="auto"/>
              <w:bottom w:val="single" w:sz="4" w:space="0" w:color="auto"/>
              <w:right w:val="single" w:sz="4" w:space="0" w:color="auto"/>
            </w:tcBorders>
          </w:tcPr>
          <w:p w14:paraId="7F61730F" w14:textId="77777777" w:rsidR="00EE290A" w:rsidRPr="00933708" w:rsidRDefault="00EE290A" w:rsidP="00CD418C">
            <w:pPr>
              <w:pStyle w:val="COMTabletext"/>
              <w:tabs>
                <w:tab w:val="right" w:pos="7460"/>
              </w:tabs>
              <w:rPr>
                <w:b w:val="0"/>
                <w:bCs w:val="0"/>
              </w:rPr>
            </w:pPr>
            <w:r w:rsidRPr="00933708">
              <w:rPr>
                <w:b w:val="0"/>
                <w:bCs w:val="0"/>
              </w:rPr>
              <w:tab/>
              <w:t xml:space="preserve">Empagliflozin + SC (overlap) vs dapagliflozin + SC </w:t>
            </w:r>
          </w:p>
        </w:tc>
        <w:tc>
          <w:tcPr>
            <w:tcW w:w="1388" w:type="dxa"/>
            <w:tcBorders>
              <w:left w:val="single" w:sz="4" w:space="0" w:color="auto"/>
            </w:tcBorders>
          </w:tcPr>
          <w:p w14:paraId="5887F0D9" w14:textId="77777777" w:rsidR="00EE290A" w:rsidRPr="00933708" w:rsidRDefault="00EE290A" w:rsidP="00CD418C">
            <w:pPr>
              <w:pStyle w:val="COMTabletext"/>
              <w:cnfStyle w:val="100000000000" w:firstRow="1" w:lastRow="0" w:firstColumn="0" w:lastColumn="0" w:oddVBand="0" w:evenVBand="0" w:oddHBand="0" w:evenHBand="0" w:firstRowFirstColumn="0" w:firstRowLastColumn="0" w:lastRowFirstColumn="0" w:lastRowLastColumn="0"/>
              <w:rPr>
                <w:b w:val="0"/>
                <w:bCs w:val="0"/>
              </w:rPr>
            </w:pPr>
            <w:r w:rsidRPr="00933708">
              <w:rPr>
                <w:b w:val="0"/>
                <w:bCs w:val="0"/>
              </w:rPr>
              <w:t>1.25 (0.96, 1.61)</w:t>
            </w:r>
          </w:p>
        </w:tc>
      </w:tr>
      <w:tr w:rsidR="00EE290A" w:rsidRPr="00933708" w14:paraId="65EDAA01" w14:textId="77777777" w:rsidTr="0047652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017" w:type="dxa"/>
            <w:gridSpan w:val="5"/>
          </w:tcPr>
          <w:p w14:paraId="2519B2D0" w14:textId="77777777" w:rsidR="00EE290A" w:rsidRPr="00933708" w:rsidRDefault="00EE290A" w:rsidP="00CD418C">
            <w:pPr>
              <w:pStyle w:val="COMTabletext"/>
              <w:tabs>
                <w:tab w:val="right" w:pos="7460"/>
              </w:tabs>
              <w:rPr>
                <w:b w:val="0"/>
                <w:bCs w:val="0"/>
                <w:vertAlign w:val="superscript"/>
              </w:rPr>
            </w:pPr>
            <w:r w:rsidRPr="00933708">
              <w:t xml:space="preserve">Indirect comparison based on DAPA-CKD definition of primary outcome applied to EMPA-KIDNEY </w:t>
            </w:r>
            <w:proofErr w:type="spellStart"/>
            <w:r w:rsidRPr="00933708">
              <w:t>data</w:t>
            </w:r>
            <w:r w:rsidRPr="00933708">
              <w:rPr>
                <w:vertAlign w:val="superscript"/>
              </w:rPr>
              <w:t>b</w:t>
            </w:r>
            <w:proofErr w:type="spellEnd"/>
          </w:p>
        </w:tc>
      </w:tr>
      <w:tr w:rsidR="00EE290A" w:rsidRPr="00933708" w14:paraId="553CAE0E" w14:textId="77777777" w:rsidTr="0047652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830" w:type="dxa"/>
          </w:tcPr>
          <w:p w14:paraId="699FDD66" w14:textId="77777777" w:rsidR="00EE290A" w:rsidRPr="00933708" w:rsidRDefault="00EE290A" w:rsidP="00CD418C">
            <w:pPr>
              <w:pStyle w:val="COMTabletext"/>
              <w:rPr>
                <w:bCs w:val="0"/>
                <w:vertAlign w:val="superscript"/>
              </w:rPr>
            </w:pPr>
            <w:r w:rsidRPr="00933708">
              <w:rPr>
                <w:b w:val="0"/>
                <w:bCs w:val="0"/>
              </w:rPr>
              <w:t>EMPA-KIDNEY (ITT DAPA-CKD)</w:t>
            </w:r>
          </w:p>
        </w:tc>
        <w:tc>
          <w:tcPr>
            <w:tcW w:w="1605" w:type="dxa"/>
          </w:tcPr>
          <w:p w14:paraId="34FD879E" w14:textId="77777777" w:rsidR="00EE290A" w:rsidRPr="00933708" w:rsidRDefault="00EE290A" w:rsidP="00CD418C">
            <w:pPr>
              <w:pStyle w:val="COMTabletext"/>
              <w:cnfStyle w:val="100000000000" w:firstRow="1" w:lastRow="0" w:firstColumn="0" w:lastColumn="0" w:oddVBand="0" w:evenVBand="0" w:oddHBand="0" w:evenHBand="0" w:firstRowFirstColumn="0" w:firstRowLastColumn="0" w:lastRowFirstColumn="0" w:lastRowLastColumn="0"/>
              <w:rPr>
                <w:bCs w:val="0"/>
              </w:rPr>
            </w:pPr>
            <w:r w:rsidRPr="00933708">
              <w:rPr>
                <w:b w:val="0"/>
                <w:bCs w:val="0"/>
              </w:rPr>
              <w:t>381/3,304 (11.5%)</w:t>
            </w:r>
          </w:p>
        </w:tc>
        <w:tc>
          <w:tcPr>
            <w:tcW w:w="1548" w:type="dxa"/>
          </w:tcPr>
          <w:p w14:paraId="7D489202" w14:textId="77777777" w:rsidR="00EE290A" w:rsidRPr="00933708" w:rsidRDefault="00EE290A" w:rsidP="00CD418C">
            <w:pPr>
              <w:pStyle w:val="COMTabletext"/>
              <w:cnfStyle w:val="100000000000" w:firstRow="1" w:lastRow="0" w:firstColumn="0" w:lastColumn="0" w:oddVBand="0" w:evenVBand="0" w:oddHBand="0" w:evenHBand="0" w:firstRowFirstColumn="0" w:firstRowLastColumn="0" w:lastRowFirstColumn="0" w:lastRowLastColumn="0"/>
              <w:rPr>
                <w:bCs w:val="0"/>
              </w:rPr>
            </w:pPr>
            <w:r w:rsidRPr="00933708">
              <w:rPr>
                <w:b w:val="0"/>
                <w:bCs w:val="0"/>
              </w:rPr>
              <w:t>494/3,305 (14.9%)</w:t>
            </w:r>
          </w:p>
        </w:tc>
        <w:tc>
          <w:tcPr>
            <w:tcW w:w="1646" w:type="dxa"/>
          </w:tcPr>
          <w:p w14:paraId="64166038" w14:textId="77777777" w:rsidR="00EE290A" w:rsidRPr="00933708" w:rsidRDefault="00EE290A" w:rsidP="00CD418C">
            <w:pPr>
              <w:pStyle w:val="COMTabletext"/>
              <w:cnfStyle w:val="100000000000" w:firstRow="1" w:lastRow="0" w:firstColumn="0" w:lastColumn="0" w:oddVBand="0" w:evenVBand="0" w:oddHBand="0" w:evenHBand="0" w:firstRowFirstColumn="0" w:firstRowLastColumn="0" w:lastRowFirstColumn="0" w:lastRowLastColumn="0"/>
              <w:rPr>
                <w:bCs w:val="0"/>
              </w:rPr>
            </w:pPr>
            <w:r w:rsidRPr="00933708">
              <w:rPr>
                <w:bCs w:val="0"/>
              </w:rPr>
              <w:t>-</w:t>
            </w:r>
          </w:p>
        </w:tc>
        <w:tc>
          <w:tcPr>
            <w:tcW w:w="1388" w:type="dxa"/>
          </w:tcPr>
          <w:p w14:paraId="49762A2C" w14:textId="77777777" w:rsidR="00EE290A" w:rsidRPr="00933708" w:rsidRDefault="00EE290A" w:rsidP="00CD418C">
            <w:pPr>
              <w:pStyle w:val="COMTabletext"/>
              <w:cnfStyle w:val="100000000000" w:firstRow="1" w:lastRow="0" w:firstColumn="0" w:lastColumn="0" w:oddVBand="0" w:evenVBand="0" w:oddHBand="0" w:evenHBand="0" w:firstRowFirstColumn="0" w:firstRowLastColumn="0" w:lastRowFirstColumn="0" w:lastRowLastColumn="0"/>
            </w:pPr>
            <w:r w:rsidRPr="00933708">
              <w:t>0.71 (0.62, 0.82)</w:t>
            </w:r>
          </w:p>
        </w:tc>
      </w:tr>
      <w:tr w:rsidR="00EE290A" w:rsidRPr="00933708" w14:paraId="5C3D3BF5" w14:textId="77777777" w:rsidTr="0047652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830" w:type="dxa"/>
          </w:tcPr>
          <w:p w14:paraId="13EE2149" w14:textId="77777777" w:rsidR="00EE290A" w:rsidRPr="00933708" w:rsidRDefault="00EE290A" w:rsidP="00CD418C">
            <w:pPr>
              <w:pStyle w:val="COMTabletext"/>
              <w:rPr>
                <w:bCs w:val="0"/>
              </w:rPr>
            </w:pPr>
            <w:r w:rsidRPr="00933708">
              <w:rPr>
                <w:b w:val="0"/>
                <w:bCs w:val="0"/>
              </w:rPr>
              <w:t>EMPA-KIDNEY (overlap DAPA-CKD)</w:t>
            </w:r>
          </w:p>
        </w:tc>
        <w:tc>
          <w:tcPr>
            <w:tcW w:w="1605" w:type="dxa"/>
          </w:tcPr>
          <w:p w14:paraId="317FAAF6" w14:textId="77777777" w:rsidR="00EE290A" w:rsidRPr="00933708" w:rsidRDefault="00EE290A" w:rsidP="00CD418C">
            <w:pPr>
              <w:pStyle w:val="COMTabletext"/>
              <w:cnfStyle w:val="100000000000" w:firstRow="1" w:lastRow="0" w:firstColumn="0" w:lastColumn="0" w:oddVBand="0" w:evenVBand="0" w:oddHBand="0" w:evenHBand="0" w:firstRowFirstColumn="0" w:firstRowLastColumn="0" w:lastRowFirstColumn="0" w:lastRowLastColumn="0"/>
              <w:rPr>
                <w:bCs w:val="0"/>
              </w:rPr>
            </w:pPr>
            <w:r w:rsidRPr="00933708">
              <w:rPr>
                <w:b w:val="0"/>
                <w:bCs w:val="0"/>
              </w:rPr>
              <w:t>119/1,446 (8.2%)</w:t>
            </w:r>
          </w:p>
        </w:tc>
        <w:tc>
          <w:tcPr>
            <w:tcW w:w="1548" w:type="dxa"/>
          </w:tcPr>
          <w:p w14:paraId="09CE771D" w14:textId="77777777" w:rsidR="00EE290A" w:rsidRPr="00933708" w:rsidRDefault="00EE290A" w:rsidP="00CD418C">
            <w:pPr>
              <w:pStyle w:val="COMTabletext"/>
              <w:cnfStyle w:val="100000000000" w:firstRow="1" w:lastRow="0" w:firstColumn="0" w:lastColumn="0" w:oddVBand="0" w:evenVBand="0" w:oddHBand="0" w:evenHBand="0" w:firstRowFirstColumn="0" w:firstRowLastColumn="0" w:lastRowFirstColumn="0" w:lastRowLastColumn="0"/>
              <w:rPr>
                <w:bCs w:val="0"/>
              </w:rPr>
            </w:pPr>
            <w:r w:rsidRPr="00933708">
              <w:rPr>
                <w:b w:val="0"/>
                <w:bCs w:val="0"/>
              </w:rPr>
              <w:t>152/1,397 (10.9%)</w:t>
            </w:r>
          </w:p>
        </w:tc>
        <w:tc>
          <w:tcPr>
            <w:tcW w:w="1646" w:type="dxa"/>
          </w:tcPr>
          <w:p w14:paraId="50BC3B8C" w14:textId="77777777" w:rsidR="00EE290A" w:rsidRPr="00933708" w:rsidRDefault="00EE290A" w:rsidP="00CD418C">
            <w:pPr>
              <w:pStyle w:val="COMTabletext"/>
              <w:cnfStyle w:val="100000000000" w:firstRow="1" w:lastRow="0" w:firstColumn="0" w:lastColumn="0" w:oddVBand="0" w:evenVBand="0" w:oddHBand="0" w:evenHBand="0" w:firstRowFirstColumn="0" w:firstRowLastColumn="0" w:lastRowFirstColumn="0" w:lastRowLastColumn="0"/>
              <w:rPr>
                <w:bCs w:val="0"/>
              </w:rPr>
            </w:pPr>
            <w:r w:rsidRPr="00933708">
              <w:rPr>
                <w:b w:val="0"/>
                <w:bCs w:val="0"/>
              </w:rPr>
              <w:t>-</w:t>
            </w:r>
          </w:p>
        </w:tc>
        <w:tc>
          <w:tcPr>
            <w:tcW w:w="1388" w:type="dxa"/>
          </w:tcPr>
          <w:p w14:paraId="6045438C" w14:textId="77777777" w:rsidR="00EE290A" w:rsidRPr="00933708" w:rsidRDefault="00EE290A" w:rsidP="00CD418C">
            <w:pPr>
              <w:pStyle w:val="COMTabletext"/>
              <w:cnfStyle w:val="100000000000" w:firstRow="1" w:lastRow="0" w:firstColumn="0" w:lastColumn="0" w:oddVBand="0" w:evenVBand="0" w:oddHBand="0" w:evenHBand="0" w:firstRowFirstColumn="0" w:firstRowLastColumn="0" w:lastRowFirstColumn="0" w:lastRowLastColumn="0"/>
            </w:pPr>
            <w:r w:rsidRPr="00933708">
              <w:t>0.74 (0.58, 0.94)</w:t>
            </w:r>
          </w:p>
        </w:tc>
      </w:tr>
      <w:tr w:rsidR="00EE290A" w:rsidRPr="00933708" w14:paraId="7C2A0821" w14:textId="77777777" w:rsidTr="0047652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830" w:type="dxa"/>
            <w:tcBorders>
              <w:bottom w:val="single" w:sz="4" w:space="0" w:color="auto"/>
            </w:tcBorders>
          </w:tcPr>
          <w:p w14:paraId="343207A3" w14:textId="77777777" w:rsidR="00EE290A" w:rsidRPr="00933708" w:rsidRDefault="00EE290A" w:rsidP="00CD418C">
            <w:pPr>
              <w:pStyle w:val="COMTabletext"/>
              <w:rPr>
                <w:b w:val="0"/>
                <w:bCs w:val="0"/>
              </w:rPr>
            </w:pPr>
            <w:r w:rsidRPr="00933708">
              <w:rPr>
                <w:b w:val="0"/>
                <w:bCs w:val="0"/>
              </w:rPr>
              <w:t>DAPA-CKD (ITT)</w:t>
            </w:r>
          </w:p>
        </w:tc>
        <w:tc>
          <w:tcPr>
            <w:tcW w:w="1605" w:type="dxa"/>
            <w:tcBorders>
              <w:bottom w:val="single" w:sz="4" w:space="0" w:color="auto"/>
            </w:tcBorders>
          </w:tcPr>
          <w:p w14:paraId="7E5BC5B0" w14:textId="77777777" w:rsidR="00EE290A" w:rsidRPr="00933708" w:rsidRDefault="00EE290A" w:rsidP="00CD418C">
            <w:pPr>
              <w:pStyle w:val="COMTabletext"/>
              <w:cnfStyle w:val="100000000000" w:firstRow="1" w:lastRow="0" w:firstColumn="0" w:lastColumn="0" w:oddVBand="0" w:evenVBand="0" w:oddHBand="0" w:evenHBand="0" w:firstRowFirstColumn="0" w:firstRowLastColumn="0" w:lastRowFirstColumn="0" w:lastRowLastColumn="0"/>
              <w:rPr>
                <w:b w:val="0"/>
                <w:bCs w:val="0"/>
              </w:rPr>
            </w:pPr>
            <w:r w:rsidRPr="00933708">
              <w:rPr>
                <w:b w:val="0"/>
                <w:bCs w:val="0"/>
              </w:rPr>
              <w:t>-</w:t>
            </w:r>
          </w:p>
        </w:tc>
        <w:tc>
          <w:tcPr>
            <w:tcW w:w="1548" w:type="dxa"/>
            <w:tcBorders>
              <w:bottom w:val="single" w:sz="4" w:space="0" w:color="auto"/>
            </w:tcBorders>
          </w:tcPr>
          <w:p w14:paraId="21BBEA19" w14:textId="77777777" w:rsidR="00EE290A" w:rsidRPr="00933708" w:rsidRDefault="00EE290A" w:rsidP="00CD418C">
            <w:pPr>
              <w:pStyle w:val="COMTabletext"/>
              <w:cnfStyle w:val="100000000000" w:firstRow="1" w:lastRow="0" w:firstColumn="0" w:lastColumn="0" w:oddVBand="0" w:evenVBand="0" w:oddHBand="0" w:evenHBand="0" w:firstRowFirstColumn="0" w:firstRowLastColumn="0" w:lastRowFirstColumn="0" w:lastRowLastColumn="0"/>
              <w:rPr>
                <w:b w:val="0"/>
                <w:bCs w:val="0"/>
              </w:rPr>
            </w:pPr>
            <w:r w:rsidRPr="00933708">
              <w:rPr>
                <w:b w:val="0"/>
                <w:bCs w:val="0"/>
              </w:rPr>
              <w:t>312/2,152 (14.5%)</w:t>
            </w:r>
          </w:p>
        </w:tc>
        <w:tc>
          <w:tcPr>
            <w:tcW w:w="1646" w:type="dxa"/>
            <w:tcBorders>
              <w:bottom w:val="single" w:sz="4" w:space="0" w:color="auto"/>
            </w:tcBorders>
          </w:tcPr>
          <w:p w14:paraId="41108FFB" w14:textId="77777777" w:rsidR="00EE290A" w:rsidRPr="00933708" w:rsidRDefault="00EE290A" w:rsidP="00CD418C">
            <w:pPr>
              <w:pStyle w:val="COMTabletext"/>
              <w:cnfStyle w:val="100000000000" w:firstRow="1" w:lastRow="0" w:firstColumn="0" w:lastColumn="0" w:oddVBand="0" w:evenVBand="0" w:oddHBand="0" w:evenHBand="0" w:firstRowFirstColumn="0" w:firstRowLastColumn="0" w:lastRowFirstColumn="0" w:lastRowLastColumn="0"/>
              <w:rPr>
                <w:b w:val="0"/>
                <w:bCs w:val="0"/>
              </w:rPr>
            </w:pPr>
            <w:r w:rsidRPr="00933708">
              <w:rPr>
                <w:b w:val="0"/>
                <w:bCs w:val="0"/>
              </w:rPr>
              <w:t>197/2,152 (9.2%)</w:t>
            </w:r>
          </w:p>
        </w:tc>
        <w:tc>
          <w:tcPr>
            <w:tcW w:w="1388" w:type="dxa"/>
          </w:tcPr>
          <w:p w14:paraId="3370744A" w14:textId="77777777" w:rsidR="00EE290A" w:rsidRPr="00933708" w:rsidRDefault="00EE290A" w:rsidP="00CD418C">
            <w:pPr>
              <w:pStyle w:val="COMTabletext"/>
              <w:cnfStyle w:val="100000000000" w:firstRow="1" w:lastRow="0" w:firstColumn="0" w:lastColumn="0" w:oddVBand="0" w:evenVBand="0" w:oddHBand="0" w:evenHBand="0" w:firstRowFirstColumn="0" w:firstRowLastColumn="0" w:lastRowFirstColumn="0" w:lastRowLastColumn="0"/>
            </w:pPr>
            <w:r w:rsidRPr="00933708">
              <w:t>0.61 (0.51, 0.72)</w:t>
            </w:r>
          </w:p>
        </w:tc>
      </w:tr>
      <w:tr w:rsidR="00EE290A" w:rsidRPr="00933708" w14:paraId="399C48F7" w14:textId="77777777" w:rsidTr="0047652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629" w:type="dxa"/>
            <w:gridSpan w:val="4"/>
            <w:tcBorders>
              <w:top w:val="single" w:sz="4" w:space="0" w:color="auto"/>
              <w:left w:val="single" w:sz="4" w:space="0" w:color="auto"/>
              <w:bottom w:val="single" w:sz="4" w:space="0" w:color="auto"/>
              <w:right w:val="single" w:sz="4" w:space="0" w:color="auto"/>
            </w:tcBorders>
          </w:tcPr>
          <w:p w14:paraId="7386E49A" w14:textId="5B54FF30" w:rsidR="00EE290A" w:rsidRPr="00933708" w:rsidRDefault="00EE290A" w:rsidP="00CD418C">
            <w:pPr>
              <w:pStyle w:val="COMTabletext"/>
              <w:tabs>
                <w:tab w:val="right" w:pos="7460"/>
              </w:tabs>
              <w:rPr>
                <w:b w:val="0"/>
                <w:bCs w:val="0"/>
              </w:rPr>
            </w:pPr>
            <w:r w:rsidRPr="00933708">
              <w:t>Indirect comparisons:</w:t>
            </w:r>
            <w:r w:rsidRPr="00933708">
              <w:rPr>
                <w:b w:val="0"/>
                <w:bCs w:val="0"/>
              </w:rPr>
              <w:tab/>
              <w:t>Empagliflozin + SC (ITT DAPA-CKD</w:t>
            </w:r>
            <w:r w:rsidR="00AE23A4" w:rsidRPr="00933708">
              <w:rPr>
                <w:b w:val="0"/>
                <w:bCs w:val="0"/>
              </w:rPr>
              <w:t xml:space="preserve"> definition</w:t>
            </w:r>
            <w:r w:rsidRPr="00933708">
              <w:rPr>
                <w:b w:val="0"/>
                <w:bCs w:val="0"/>
              </w:rPr>
              <w:t>) vs dapagliflozin + SC</w:t>
            </w:r>
          </w:p>
        </w:tc>
        <w:tc>
          <w:tcPr>
            <w:tcW w:w="1388" w:type="dxa"/>
            <w:tcBorders>
              <w:left w:val="single" w:sz="4" w:space="0" w:color="auto"/>
            </w:tcBorders>
          </w:tcPr>
          <w:p w14:paraId="18FCE9A6" w14:textId="77777777" w:rsidR="00EE290A" w:rsidRPr="00933708" w:rsidRDefault="00EE290A" w:rsidP="00CD418C">
            <w:pPr>
              <w:pStyle w:val="COMTabletext"/>
              <w:cnfStyle w:val="100000000000" w:firstRow="1" w:lastRow="0" w:firstColumn="0" w:lastColumn="0" w:oddVBand="0" w:evenVBand="0" w:oddHBand="0" w:evenHBand="0" w:firstRowFirstColumn="0" w:firstRowLastColumn="0" w:lastRowFirstColumn="0" w:lastRowLastColumn="0"/>
              <w:rPr>
                <w:bCs w:val="0"/>
              </w:rPr>
            </w:pPr>
            <w:r w:rsidRPr="00933708">
              <w:rPr>
                <w:b w:val="0"/>
                <w:bCs w:val="0"/>
              </w:rPr>
              <w:t>1.16 (0.93, 1.45)</w:t>
            </w:r>
          </w:p>
        </w:tc>
      </w:tr>
      <w:tr w:rsidR="00EE290A" w:rsidRPr="00933708" w14:paraId="77D2434D" w14:textId="77777777" w:rsidTr="0047652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629" w:type="dxa"/>
            <w:gridSpan w:val="4"/>
            <w:tcBorders>
              <w:top w:val="single" w:sz="4" w:space="0" w:color="auto"/>
              <w:left w:val="single" w:sz="4" w:space="0" w:color="auto"/>
              <w:bottom w:val="single" w:sz="4" w:space="0" w:color="auto"/>
              <w:right w:val="single" w:sz="4" w:space="0" w:color="auto"/>
            </w:tcBorders>
          </w:tcPr>
          <w:p w14:paraId="3BA80665" w14:textId="778C549A" w:rsidR="00EE290A" w:rsidRPr="00933708" w:rsidRDefault="00EE290A" w:rsidP="00CD418C">
            <w:pPr>
              <w:pStyle w:val="COMTabletext"/>
              <w:tabs>
                <w:tab w:val="right" w:pos="7460"/>
              </w:tabs>
              <w:rPr>
                <w:b w:val="0"/>
                <w:bCs w:val="0"/>
              </w:rPr>
            </w:pPr>
            <w:r w:rsidRPr="00933708">
              <w:rPr>
                <w:b w:val="0"/>
                <w:bCs w:val="0"/>
              </w:rPr>
              <w:tab/>
              <w:t>Empagliflozin + SC (overlap DAPA-CKD</w:t>
            </w:r>
            <w:r w:rsidR="00AE23A4" w:rsidRPr="00933708">
              <w:rPr>
                <w:b w:val="0"/>
                <w:bCs w:val="0"/>
              </w:rPr>
              <w:t xml:space="preserve"> definition</w:t>
            </w:r>
            <w:r w:rsidRPr="00933708">
              <w:rPr>
                <w:b w:val="0"/>
                <w:bCs w:val="0"/>
              </w:rPr>
              <w:t>) vs dapagliflozin + SC</w:t>
            </w:r>
          </w:p>
        </w:tc>
        <w:tc>
          <w:tcPr>
            <w:tcW w:w="1388" w:type="dxa"/>
            <w:tcBorders>
              <w:left w:val="single" w:sz="4" w:space="0" w:color="auto"/>
            </w:tcBorders>
          </w:tcPr>
          <w:p w14:paraId="380A224A" w14:textId="77777777" w:rsidR="00EE290A" w:rsidRPr="00933708" w:rsidRDefault="00EE290A" w:rsidP="00CD418C">
            <w:pPr>
              <w:pStyle w:val="COMTabletext"/>
              <w:cnfStyle w:val="100000000000" w:firstRow="1" w:lastRow="0" w:firstColumn="0" w:lastColumn="0" w:oddVBand="0" w:evenVBand="0" w:oddHBand="0" w:evenHBand="0" w:firstRowFirstColumn="0" w:firstRowLastColumn="0" w:lastRowFirstColumn="0" w:lastRowLastColumn="0"/>
              <w:rPr>
                <w:bCs w:val="0"/>
              </w:rPr>
            </w:pPr>
            <w:r w:rsidRPr="00933708">
              <w:rPr>
                <w:b w:val="0"/>
                <w:bCs w:val="0"/>
              </w:rPr>
              <w:t>1.21 (0.90, 1.63)</w:t>
            </w:r>
          </w:p>
        </w:tc>
      </w:tr>
    </w:tbl>
    <w:p w14:paraId="586CD9AE" w14:textId="77777777" w:rsidR="00EE290A" w:rsidRPr="00933708" w:rsidRDefault="00EE290A" w:rsidP="00EE290A">
      <w:pPr>
        <w:pStyle w:val="COMTablefooter"/>
      </w:pPr>
      <w:r w:rsidRPr="00933708">
        <w:t>Source: Table 2A.17, p226 and Table 2A.18, p227 of the submission.</w:t>
      </w:r>
    </w:p>
    <w:p w14:paraId="62E7DA06" w14:textId="11A0E062" w:rsidR="00EE290A" w:rsidRPr="00933708" w:rsidRDefault="00EE290A" w:rsidP="00EE290A">
      <w:pPr>
        <w:pStyle w:val="COMTablefooter"/>
      </w:pPr>
      <w:r w:rsidRPr="00933708">
        <w:t>Abbreviations: CI, confidence interval; CV, cardiovascular; ESKD, end-stage kidney disease; ITT, intention-to-treat; SC, standard care; UACR, urin</w:t>
      </w:r>
      <w:r w:rsidR="005F4C1A" w:rsidRPr="00933708">
        <w:t>e</w:t>
      </w:r>
      <w:r w:rsidRPr="00933708">
        <w:t xml:space="preserve"> albumin-creatinine ratio.</w:t>
      </w:r>
    </w:p>
    <w:p w14:paraId="73A41502" w14:textId="77777777" w:rsidR="00EE290A" w:rsidRPr="00933708" w:rsidRDefault="00EE290A" w:rsidP="00EE290A">
      <w:pPr>
        <w:pStyle w:val="COMTablefooter"/>
      </w:pPr>
      <w:r w:rsidRPr="00933708">
        <w:rPr>
          <w:vertAlign w:val="superscript"/>
        </w:rPr>
        <w:t>a</w:t>
      </w:r>
      <w:r w:rsidRPr="00933708">
        <w:t xml:space="preserve"> Primary composite outcome of DAPA-CKD (CKD progression as a sustained decline in eGFR of ≥50% from baseline, or ESKD including a sustained eGFR to &lt;15 mL/min/1.73 m</w:t>
      </w:r>
      <w:r w:rsidRPr="00933708">
        <w:rPr>
          <w:vertAlign w:val="superscript"/>
        </w:rPr>
        <w:t>2</w:t>
      </w:r>
      <w:r w:rsidRPr="00933708">
        <w:t xml:space="preserve"> chronic dialysis treatment or renal transplant, renal death, or CV death) differed from EMPA-KIDNEY (CKD progression as a sustained decline in eGFR of ≥40% from baseline or &lt;10 mL/min/1.73 m</w:t>
      </w:r>
      <w:r w:rsidRPr="00933708">
        <w:rPr>
          <w:vertAlign w:val="superscript"/>
        </w:rPr>
        <w:t>2</w:t>
      </w:r>
      <w:r w:rsidRPr="00933708">
        <w:t>, or ESKD, or CV death.</w:t>
      </w:r>
    </w:p>
    <w:p w14:paraId="78C6DF17" w14:textId="77777777" w:rsidR="00EE290A" w:rsidRPr="00933708" w:rsidRDefault="00EE290A" w:rsidP="00EE290A">
      <w:pPr>
        <w:pStyle w:val="COMTablefooter"/>
      </w:pPr>
      <w:r w:rsidRPr="00933708">
        <w:rPr>
          <w:vertAlign w:val="superscript"/>
        </w:rPr>
        <w:t>b</w:t>
      </w:r>
      <w:r w:rsidRPr="00933708">
        <w:t xml:space="preserve"> Post hoc EMPA-KIDNEY results based on the DAPA-CKD definition of primary composite outcome.</w:t>
      </w:r>
    </w:p>
    <w:p w14:paraId="0B0175CA" w14:textId="670FE90B" w:rsidR="008C463B" w:rsidRPr="00933708" w:rsidRDefault="00EE290A" w:rsidP="0047652C">
      <w:pPr>
        <w:pStyle w:val="COMTablefooter"/>
        <w:rPr>
          <w:color w:val="0066FF"/>
        </w:rPr>
      </w:pPr>
      <w:r w:rsidRPr="00933708">
        <w:t>Note: Statistically significant results in bold.</w:t>
      </w:r>
    </w:p>
    <w:p w14:paraId="1AD61480" w14:textId="5932A2D7" w:rsidR="0047652C" w:rsidRPr="00933708" w:rsidRDefault="00531632" w:rsidP="007C4C88">
      <w:pPr>
        <w:pStyle w:val="ListParagraph"/>
        <w:numPr>
          <w:ilvl w:val="1"/>
          <w:numId w:val="1"/>
        </w:numPr>
        <w:ind w:left="720" w:hanging="720"/>
      </w:pPr>
      <w:r w:rsidRPr="00933708">
        <w:t xml:space="preserve">Treatment with empagliflozin </w:t>
      </w:r>
      <w:r w:rsidR="00426B59" w:rsidRPr="00933708">
        <w:t>plus</w:t>
      </w:r>
      <w:r w:rsidRPr="00933708">
        <w:t xml:space="preserve"> standard care showed no statistically significant difference compared to dapagliflozin </w:t>
      </w:r>
      <w:r w:rsidR="00426B59" w:rsidRPr="00933708">
        <w:t>plus</w:t>
      </w:r>
      <w:r w:rsidRPr="00933708">
        <w:t xml:space="preserve"> standard care for the composite outcome of time to first CKD progression or cardiovascular death for all indirect comparisons. However, results of all indirect comparisons nominally favoured dapagliflozin. </w:t>
      </w:r>
    </w:p>
    <w:p w14:paraId="724E450F" w14:textId="1ACB30A2" w:rsidR="004441B4" w:rsidRPr="00933708" w:rsidRDefault="004441B4" w:rsidP="007C4C88">
      <w:pPr>
        <w:pStyle w:val="ListParagraph"/>
        <w:numPr>
          <w:ilvl w:val="1"/>
          <w:numId w:val="1"/>
        </w:numPr>
        <w:ind w:left="720" w:hanging="720"/>
      </w:pPr>
      <w:r w:rsidRPr="00933708">
        <w:t>The submission argued that the clinical claim of noninferiority could be based on a lack of statistically significant difference between treatments, as no noninferiority margin has been identified for the primary efficacy outcomes of the dapagliflozin and empagliflozin CKD trials, and the PBAC and ESC previous</w:t>
      </w:r>
      <w:r w:rsidR="00701931" w:rsidRPr="00933708">
        <w:t>ly</w:t>
      </w:r>
      <w:r w:rsidRPr="00933708">
        <w:t xml:space="preserve"> considered that less importance should be placed on noninferiority margins when there is a known class effect (para 6.15, Empagliflozin </w:t>
      </w:r>
      <w:r w:rsidR="00D816FE" w:rsidRPr="00933708">
        <w:t>(</w:t>
      </w:r>
      <w:proofErr w:type="spellStart"/>
      <w:r w:rsidR="00807CAF" w:rsidRPr="00933708">
        <w:t>h</w:t>
      </w:r>
      <w:r w:rsidR="00D816FE" w:rsidRPr="00933708">
        <w:t>FrEF</w:t>
      </w:r>
      <w:proofErr w:type="spellEnd"/>
      <w:r w:rsidR="00D816FE" w:rsidRPr="00933708">
        <w:t xml:space="preserve">) </w:t>
      </w:r>
      <w:r w:rsidRPr="00933708">
        <w:t>PSD, November 2021 PBAC meeting)</w:t>
      </w:r>
      <w:r w:rsidR="00933708">
        <w:t xml:space="preserve">. </w:t>
      </w:r>
      <w:r w:rsidR="00AE23A4" w:rsidRPr="00933708">
        <w:t xml:space="preserve">The ESC </w:t>
      </w:r>
      <w:r w:rsidR="001A62FA" w:rsidRPr="00933708">
        <w:t>considered</w:t>
      </w:r>
      <w:r w:rsidR="00AE23A4" w:rsidRPr="00933708">
        <w:t xml:space="preserve"> that the trial results </w:t>
      </w:r>
      <w:r w:rsidR="001A62FA" w:rsidRPr="00933708">
        <w:t>showed</w:t>
      </w:r>
      <w:r w:rsidR="00AE23A4" w:rsidRPr="00933708">
        <w:t xml:space="preserve"> comparable outcomes between dapagliflozin and empagliflozin, but that noninferiority was not</w:t>
      </w:r>
      <w:r w:rsidR="001A62FA" w:rsidRPr="00933708">
        <w:t xml:space="preserve"> convincingly</w:t>
      </w:r>
      <w:r w:rsidR="00AE23A4" w:rsidRPr="00933708">
        <w:t xml:space="preserve"> established based on the differences in point estimates and the lack of a nominated </w:t>
      </w:r>
      <w:r w:rsidR="004F7525" w:rsidRPr="00933708">
        <w:t>noninferiority margin</w:t>
      </w:r>
      <w:r w:rsidR="00AE23A4" w:rsidRPr="00933708">
        <w:t>.</w:t>
      </w:r>
      <w:r w:rsidR="001A62FA" w:rsidRPr="00933708">
        <w:t xml:space="preserve"> The ESC considered the small differences in efficacy are potentially explained by differences in the trial populations which had different risk profiles.</w:t>
      </w:r>
    </w:p>
    <w:p w14:paraId="63622E54" w14:textId="1B72066C" w:rsidR="004F7525" w:rsidRPr="00933708" w:rsidRDefault="004F7525" w:rsidP="007C4C88">
      <w:pPr>
        <w:pStyle w:val="ListParagraph"/>
        <w:numPr>
          <w:ilvl w:val="1"/>
          <w:numId w:val="1"/>
        </w:numPr>
        <w:ind w:left="720" w:hanging="720"/>
        <w:rPr>
          <w:iCs/>
        </w:rPr>
      </w:pPr>
      <w:r w:rsidRPr="00933708">
        <w:t>The ESC was concerned that the lower risk incremental subgroup (by KDIGO classification) of eGFR</w:t>
      </w:r>
      <w:r w:rsidRPr="00933708">
        <w:rPr>
          <w:iCs/>
        </w:rPr>
        <w:t xml:space="preserve"> 75 to &lt;90mL/min/1.73m</w:t>
      </w:r>
      <w:r w:rsidRPr="00933708">
        <w:rPr>
          <w:iCs/>
          <w:vertAlign w:val="superscript"/>
        </w:rPr>
        <w:t>2</w:t>
      </w:r>
      <w:r w:rsidRPr="00933708">
        <w:rPr>
          <w:iCs/>
        </w:rPr>
        <w:t xml:space="preserve"> and UACR </w:t>
      </w:r>
      <w:r w:rsidR="004D2FD4" w:rsidRPr="00933708">
        <w:rPr>
          <w:rFonts w:cstheme="minorHAnsi"/>
          <w:iCs/>
          <w:u w:val="single"/>
        </w:rPr>
        <w:t>≥</w:t>
      </w:r>
      <w:r w:rsidRPr="00933708">
        <w:rPr>
          <w:iCs/>
        </w:rPr>
        <w:t>200mg/g (G2A2-3) had very small numbers of patients and a significantly lower treatment benefit in this group could not be excluded. This could have implications for interpretation of cost-effectiveness of the incremental subgroup.</w:t>
      </w:r>
    </w:p>
    <w:p w14:paraId="1452C351" w14:textId="0D19F1B0" w:rsidR="00B60939" w:rsidRPr="00933708" w:rsidRDefault="00B60939" w:rsidP="00D86231">
      <w:pPr>
        <w:pStyle w:val="COMH2-non-numbered"/>
        <w:rPr>
          <w:iCs/>
        </w:rPr>
      </w:pPr>
      <w:bookmarkStart w:id="40" w:name="_Toc22897642"/>
      <w:bookmarkStart w:id="41" w:name="_Toc145496438"/>
      <w:r w:rsidRPr="00933708">
        <w:rPr>
          <w:iCs/>
        </w:rPr>
        <w:lastRenderedPageBreak/>
        <w:t>Comparative harms</w:t>
      </w:r>
      <w:bookmarkEnd w:id="40"/>
      <w:bookmarkEnd w:id="41"/>
    </w:p>
    <w:p w14:paraId="3C3F17BC" w14:textId="1915D8D1" w:rsidR="00B166BC" w:rsidRPr="00933708" w:rsidRDefault="00B166BC" w:rsidP="007C4C88">
      <w:pPr>
        <w:pStyle w:val="ListParagraph"/>
        <w:numPr>
          <w:ilvl w:val="1"/>
          <w:numId w:val="1"/>
        </w:numPr>
        <w:ind w:left="720" w:hanging="720"/>
        <w:rPr>
          <w:color w:val="0066FF"/>
        </w:rPr>
      </w:pPr>
      <w:r w:rsidRPr="00933708">
        <w:fldChar w:fldCharType="begin"/>
      </w:r>
      <w:r w:rsidRPr="00933708">
        <w:instrText xml:space="preserve"> REF _Ref144733542 \h </w:instrText>
      </w:r>
      <w:r w:rsidRPr="00933708">
        <w:fldChar w:fldCharType="separate"/>
      </w:r>
      <w:r w:rsidR="00D5135E" w:rsidRPr="00933708">
        <w:t xml:space="preserve">Table </w:t>
      </w:r>
      <w:r w:rsidR="00D5135E">
        <w:rPr>
          <w:noProof/>
        </w:rPr>
        <w:t>9</w:t>
      </w:r>
      <w:r w:rsidRPr="00933708">
        <w:fldChar w:fldCharType="end"/>
      </w:r>
      <w:r w:rsidRPr="00933708">
        <w:t xml:space="preserve"> summarises the proportions of patients reporting key adverse events in the EMPA-KIDNEY trial. Adverse events reported were limited to serious adverse events (SAEs) and pre-specified non-serious adverse events of special interest. The proportions of patients experiencing any adverse event were not reported.</w:t>
      </w:r>
    </w:p>
    <w:p w14:paraId="5B7E52C0" w14:textId="344C3D6E" w:rsidR="00B166BC" w:rsidRPr="00933708" w:rsidRDefault="00B166BC" w:rsidP="00B166BC">
      <w:pPr>
        <w:pStyle w:val="COMtablefigcaption"/>
      </w:pPr>
      <w:bookmarkStart w:id="42" w:name="_Ref144733542"/>
      <w:r w:rsidRPr="00933708">
        <w:t xml:space="preserve">Table </w:t>
      </w:r>
      <w:r w:rsidR="00D5135E">
        <w:fldChar w:fldCharType="begin"/>
      </w:r>
      <w:r w:rsidR="00D5135E">
        <w:instrText xml:space="preserve"> SEQ Table \* ARABIC </w:instrText>
      </w:r>
      <w:r w:rsidR="00D5135E">
        <w:fldChar w:fldCharType="separate"/>
      </w:r>
      <w:r w:rsidR="00D5135E">
        <w:rPr>
          <w:noProof/>
        </w:rPr>
        <w:t>9</w:t>
      </w:r>
      <w:r w:rsidR="00D5135E">
        <w:rPr>
          <w:noProof/>
        </w:rPr>
        <w:fldChar w:fldCharType="end"/>
      </w:r>
      <w:bookmarkEnd w:id="42"/>
      <w:r w:rsidRPr="00933708">
        <w:t>: Summary of key adverse events in EMPA-KIDNEY (treated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243"/>
        <w:gridCol w:w="2243"/>
      </w:tblGrid>
      <w:tr w:rsidR="00B166BC" w:rsidRPr="00933708" w14:paraId="7CC9685E" w14:textId="77777777" w:rsidTr="00794EFC">
        <w:trPr>
          <w:tblHeader/>
        </w:trPr>
        <w:tc>
          <w:tcPr>
            <w:tcW w:w="4531" w:type="dxa"/>
            <w:vAlign w:val="center"/>
          </w:tcPr>
          <w:p w14:paraId="18396638" w14:textId="77777777" w:rsidR="00B166BC" w:rsidRPr="00933708" w:rsidRDefault="00B166BC" w:rsidP="00794EFC">
            <w:pPr>
              <w:pStyle w:val="COMTableheadingrow"/>
              <w:ind w:right="-53"/>
              <w:rPr>
                <w:lang w:val="en-AU"/>
              </w:rPr>
            </w:pPr>
          </w:p>
        </w:tc>
        <w:tc>
          <w:tcPr>
            <w:tcW w:w="2243" w:type="dxa"/>
          </w:tcPr>
          <w:p w14:paraId="6D133D58" w14:textId="77777777" w:rsidR="00B166BC" w:rsidRPr="00933708" w:rsidRDefault="00B166BC" w:rsidP="00794EFC">
            <w:pPr>
              <w:pStyle w:val="TableText"/>
              <w:ind w:left="-71" w:right="-62"/>
              <w:jc w:val="center"/>
              <w:rPr>
                <w:b/>
                <w:bCs w:val="0"/>
                <w:szCs w:val="20"/>
              </w:rPr>
            </w:pPr>
            <w:r w:rsidRPr="00933708">
              <w:rPr>
                <w:b/>
                <w:bCs w:val="0"/>
                <w:szCs w:val="20"/>
              </w:rPr>
              <w:t>Empagliflozin + SC</w:t>
            </w:r>
          </w:p>
          <w:p w14:paraId="1625525B" w14:textId="77777777" w:rsidR="00B166BC" w:rsidRPr="00933708" w:rsidRDefault="00B166BC" w:rsidP="00794EFC">
            <w:pPr>
              <w:pStyle w:val="COMTableheadingrow"/>
              <w:jc w:val="center"/>
              <w:rPr>
                <w:lang w:val="en-AU"/>
              </w:rPr>
            </w:pPr>
            <w:r w:rsidRPr="00933708">
              <w:rPr>
                <w:bCs/>
                <w:szCs w:val="20"/>
                <w:lang w:val="en-AU"/>
              </w:rPr>
              <w:t>N=3,304</w:t>
            </w:r>
          </w:p>
        </w:tc>
        <w:tc>
          <w:tcPr>
            <w:tcW w:w="2243" w:type="dxa"/>
          </w:tcPr>
          <w:p w14:paraId="30D52A6D" w14:textId="77777777" w:rsidR="00B166BC" w:rsidRPr="00933708" w:rsidRDefault="00B166BC" w:rsidP="00794EFC">
            <w:pPr>
              <w:pStyle w:val="COMTableheadingrow"/>
              <w:jc w:val="center"/>
              <w:rPr>
                <w:lang w:val="en-AU"/>
              </w:rPr>
            </w:pPr>
            <w:r w:rsidRPr="00933708">
              <w:rPr>
                <w:bCs/>
                <w:szCs w:val="20"/>
                <w:lang w:val="en-AU"/>
              </w:rPr>
              <w:t>Placebo + SC</w:t>
            </w:r>
            <w:r w:rsidRPr="00933708">
              <w:rPr>
                <w:bCs/>
                <w:szCs w:val="20"/>
                <w:lang w:val="en-AU"/>
              </w:rPr>
              <w:br/>
              <w:t>N=3,305</w:t>
            </w:r>
          </w:p>
        </w:tc>
      </w:tr>
      <w:tr w:rsidR="00B166BC" w:rsidRPr="00933708" w14:paraId="3FAE9961" w14:textId="77777777" w:rsidTr="00794EFC">
        <w:tc>
          <w:tcPr>
            <w:tcW w:w="4531" w:type="dxa"/>
            <w:vAlign w:val="center"/>
          </w:tcPr>
          <w:p w14:paraId="55B5D702" w14:textId="77777777" w:rsidR="00B166BC" w:rsidRPr="00933708" w:rsidRDefault="00B166BC" w:rsidP="00794EFC">
            <w:pPr>
              <w:pStyle w:val="COMTabletext"/>
              <w:ind w:right="-53"/>
            </w:pPr>
            <w:r w:rsidRPr="00933708">
              <w:rPr>
                <w:szCs w:val="20"/>
              </w:rPr>
              <w:t xml:space="preserve">Any pre-specified non-serious adverse </w:t>
            </w:r>
            <w:proofErr w:type="spellStart"/>
            <w:r w:rsidRPr="00933708">
              <w:rPr>
                <w:szCs w:val="20"/>
              </w:rPr>
              <w:t>event</w:t>
            </w:r>
            <w:r w:rsidRPr="00933708">
              <w:rPr>
                <w:szCs w:val="20"/>
                <w:vertAlign w:val="superscript"/>
              </w:rPr>
              <w:t>a</w:t>
            </w:r>
            <w:proofErr w:type="spellEnd"/>
            <w:r w:rsidRPr="00933708">
              <w:rPr>
                <w:szCs w:val="20"/>
              </w:rPr>
              <w:t>, n (%)</w:t>
            </w:r>
          </w:p>
        </w:tc>
        <w:tc>
          <w:tcPr>
            <w:tcW w:w="2243" w:type="dxa"/>
            <w:vAlign w:val="center"/>
          </w:tcPr>
          <w:p w14:paraId="3C06411E" w14:textId="77777777" w:rsidR="00B166BC" w:rsidRPr="00933708" w:rsidRDefault="00B166BC" w:rsidP="00794EFC">
            <w:pPr>
              <w:pStyle w:val="COMTabletext"/>
              <w:jc w:val="center"/>
            </w:pPr>
            <w:r w:rsidRPr="00933708">
              <w:rPr>
                <w:szCs w:val="20"/>
              </w:rPr>
              <w:t>1,447 (43.8%)</w:t>
            </w:r>
          </w:p>
        </w:tc>
        <w:tc>
          <w:tcPr>
            <w:tcW w:w="2243" w:type="dxa"/>
            <w:vAlign w:val="center"/>
          </w:tcPr>
          <w:p w14:paraId="56FCEA1F" w14:textId="77777777" w:rsidR="00B166BC" w:rsidRPr="00933708" w:rsidRDefault="00B166BC" w:rsidP="00794EFC">
            <w:pPr>
              <w:pStyle w:val="COMTabletext"/>
              <w:jc w:val="center"/>
            </w:pPr>
            <w:r w:rsidRPr="00933708">
              <w:rPr>
                <w:szCs w:val="20"/>
              </w:rPr>
              <w:t>1,520 (46.0%)</w:t>
            </w:r>
          </w:p>
        </w:tc>
      </w:tr>
      <w:tr w:rsidR="00B166BC" w:rsidRPr="00933708" w14:paraId="578DBE7A" w14:textId="77777777" w:rsidTr="00794EFC">
        <w:tc>
          <w:tcPr>
            <w:tcW w:w="4531" w:type="dxa"/>
            <w:vAlign w:val="center"/>
          </w:tcPr>
          <w:p w14:paraId="283EEA38" w14:textId="77777777" w:rsidR="00B166BC" w:rsidRPr="00933708" w:rsidRDefault="00B166BC" w:rsidP="00461569">
            <w:pPr>
              <w:pStyle w:val="COMTabletext"/>
              <w:numPr>
                <w:ilvl w:val="0"/>
                <w:numId w:val="9"/>
              </w:numPr>
              <w:tabs>
                <w:tab w:val="right" w:pos="3610"/>
              </w:tabs>
              <w:ind w:left="171" w:right="-53" w:hanging="142"/>
              <w:rPr>
                <w:szCs w:val="20"/>
              </w:rPr>
            </w:pPr>
            <w:r w:rsidRPr="00933708">
              <w:rPr>
                <w:szCs w:val="20"/>
              </w:rPr>
              <w:t>Drug related adverse event, n (%)</w:t>
            </w:r>
          </w:p>
        </w:tc>
        <w:tc>
          <w:tcPr>
            <w:tcW w:w="2243" w:type="dxa"/>
            <w:vAlign w:val="center"/>
          </w:tcPr>
          <w:p w14:paraId="10AC20DE" w14:textId="77777777" w:rsidR="00B166BC" w:rsidRPr="00933708" w:rsidRDefault="00B166BC" w:rsidP="00794EFC">
            <w:pPr>
              <w:pStyle w:val="COMTabletext"/>
              <w:jc w:val="center"/>
            </w:pPr>
            <w:r w:rsidRPr="00933708">
              <w:rPr>
                <w:szCs w:val="20"/>
              </w:rPr>
              <w:t>79 (2.4%)</w:t>
            </w:r>
          </w:p>
        </w:tc>
        <w:tc>
          <w:tcPr>
            <w:tcW w:w="2243" w:type="dxa"/>
            <w:vAlign w:val="center"/>
          </w:tcPr>
          <w:p w14:paraId="367592CE" w14:textId="77777777" w:rsidR="00B166BC" w:rsidRPr="00933708" w:rsidRDefault="00B166BC" w:rsidP="00794EFC">
            <w:pPr>
              <w:pStyle w:val="COMTabletext"/>
              <w:jc w:val="center"/>
            </w:pPr>
            <w:r w:rsidRPr="00933708">
              <w:rPr>
                <w:szCs w:val="20"/>
              </w:rPr>
              <w:t>60 (1.8%)</w:t>
            </w:r>
          </w:p>
        </w:tc>
      </w:tr>
      <w:tr w:rsidR="00B166BC" w:rsidRPr="00933708" w14:paraId="15579C25" w14:textId="77777777" w:rsidTr="00794EFC">
        <w:tc>
          <w:tcPr>
            <w:tcW w:w="4531" w:type="dxa"/>
            <w:vAlign w:val="center"/>
          </w:tcPr>
          <w:p w14:paraId="73D13FC2" w14:textId="77777777" w:rsidR="00B166BC" w:rsidRPr="00933708" w:rsidRDefault="00B166BC" w:rsidP="00461569">
            <w:pPr>
              <w:pStyle w:val="COMTabletext"/>
              <w:numPr>
                <w:ilvl w:val="0"/>
                <w:numId w:val="9"/>
              </w:numPr>
              <w:tabs>
                <w:tab w:val="right" w:pos="3610"/>
              </w:tabs>
              <w:ind w:left="171" w:right="-53" w:hanging="142"/>
              <w:rPr>
                <w:szCs w:val="20"/>
              </w:rPr>
            </w:pPr>
            <w:r w:rsidRPr="00933708">
              <w:rPr>
                <w:szCs w:val="20"/>
              </w:rPr>
              <w:t>Discontinuation of treatment due to adverse event, n (%)</w:t>
            </w:r>
          </w:p>
        </w:tc>
        <w:tc>
          <w:tcPr>
            <w:tcW w:w="2243" w:type="dxa"/>
            <w:vAlign w:val="center"/>
          </w:tcPr>
          <w:p w14:paraId="3D87F5D4" w14:textId="77777777" w:rsidR="00B166BC" w:rsidRPr="00933708" w:rsidRDefault="00B166BC" w:rsidP="00794EFC">
            <w:pPr>
              <w:pStyle w:val="COMTabletext"/>
              <w:jc w:val="center"/>
            </w:pPr>
            <w:r w:rsidRPr="00933708">
              <w:rPr>
                <w:szCs w:val="20"/>
              </w:rPr>
              <w:t>232 (7.0%)</w:t>
            </w:r>
          </w:p>
        </w:tc>
        <w:tc>
          <w:tcPr>
            <w:tcW w:w="2243" w:type="dxa"/>
            <w:vAlign w:val="center"/>
          </w:tcPr>
          <w:p w14:paraId="23EEA5B3" w14:textId="77777777" w:rsidR="00B166BC" w:rsidRPr="00933708" w:rsidRDefault="00B166BC" w:rsidP="00794EFC">
            <w:pPr>
              <w:pStyle w:val="COMTabletext"/>
              <w:jc w:val="center"/>
            </w:pPr>
            <w:r w:rsidRPr="00933708">
              <w:rPr>
                <w:szCs w:val="20"/>
              </w:rPr>
              <w:t>241 (7.3%)</w:t>
            </w:r>
          </w:p>
        </w:tc>
      </w:tr>
      <w:tr w:rsidR="00B166BC" w:rsidRPr="00933708" w14:paraId="2FAD2988" w14:textId="77777777" w:rsidTr="00794EFC">
        <w:tc>
          <w:tcPr>
            <w:tcW w:w="4531" w:type="dxa"/>
            <w:vAlign w:val="center"/>
          </w:tcPr>
          <w:p w14:paraId="5D0E024B" w14:textId="77777777" w:rsidR="00B166BC" w:rsidRPr="00933708" w:rsidRDefault="00B166BC" w:rsidP="00794EFC">
            <w:pPr>
              <w:pStyle w:val="COMTabletext"/>
              <w:ind w:right="-53"/>
            </w:pPr>
            <w:r w:rsidRPr="00933708">
              <w:rPr>
                <w:szCs w:val="20"/>
              </w:rPr>
              <w:t xml:space="preserve">Serious adverse </w:t>
            </w:r>
            <w:proofErr w:type="spellStart"/>
            <w:r w:rsidRPr="00933708">
              <w:rPr>
                <w:szCs w:val="20"/>
              </w:rPr>
              <w:t>event</w:t>
            </w:r>
            <w:r w:rsidRPr="00933708">
              <w:rPr>
                <w:szCs w:val="20"/>
                <w:vertAlign w:val="superscript"/>
              </w:rPr>
              <w:t>b</w:t>
            </w:r>
            <w:proofErr w:type="spellEnd"/>
            <w:r w:rsidRPr="00933708">
              <w:rPr>
                <w:szCs w:val="20"/>
              </w:rPr>
              <w:t>, n (%)</w:t>
            </w:r>
          </w:p>
        </w:tc>
        <w:tc>
          <w:tcPr>
            <w:tcW w:w="2243" w:type="dxa"/>
            <w:vAlign w:val="center"/>
          </w:tcPr>
          <w:p w14:paraId="7D7AE2B1" w14:textId="77777777" w:rsidR="00B166BC" w:rsidRPr="00933708" w:rsidRDefault="00B166BC" w:rsidP="00794EFC">
            <w:pPr>
              <w:pStyle w:val="COMTabletext"/>
              <w:jc w:val="center"/>
            </w:pPr>
            <w:r w:rsidRPr="00933708">
              <w:rPr>
                <w:szCs w:val="20"/>
              </w:rPr>
              <w:t>1,088 (32.9%)</w:t>
            </w:r>
          </w:p>
        </w:tc>
        <w:tc>
          <w:tcPr>
            <w:tcW w:w="2243" w:type="dxa"/>
            <w:vAlign w:val="center"/>
          </w:tcPr>
          <w:p w14:paraId="6E578C45" w14:textId="77777777" w:rsidR="00B166BC" w:rsidRPr="00933708" w:rsidRDefault="00B166BC" w:rsidP="00794EFC">
            <w:pPr>
              <w:pStyle w:val="COMTabletext"/>
              <w:jc w:val="center"/>
            </w:pPr>
            <w:r w:rsidRPr="00933708">
              <w:rPr>
                <w:szCs w:val="20"/>
              </w:rPr>
              <w:t>1,167 (35.3%)</w:t>
            </w:r>
          </w:p>
        </w:tc>
      </w:tr>
      <w:tr w:rsidR="00B166BC" w:rsidRPr="00933708" w14:paraId="651ADF43" w14:textId="77777777" w:rsidTr="00794EFC">
        <w:tc>
          <w:tcPr>
            <w:tcW w:w="4531" w:type="dxa"/>
            <w:vAlign w:val="center"/>
          </w:tcPr>
          <w:p w14:paraId="211F00A1" w14:textId="77777777" w:rsidR="00B166BC" w:rsidRPr="00933708" w:rsidRDefault="00B166BC" w:rsidP="00461569">
            <w:pPr>
              <w:pStyle w:val="COMTabletext"/>
              <w:numPr>
                <w:ilvl w:val="0"/>
                <w:numId w:val="9"/>
              </w:numPr>
              <w:tabs>
                <w:tab w:val="right" w:pos="3610"/>
              </w:tabs>
              <w:ind w:left="171" w:right="-53" w:hanging="142"/>
              <w:rPr>
                <w:szCs w:val="20"/>
              </w:rPr>
            </w:pPr>
            <w:r w:rsidRPr="00933708">
              <w:rPr>
                <w:szCs w:val="20"/>
              </w:rPr>
              <w:t>Serious adverse event resulting in hospitalisation, n (%)</w:t>
            </w:r>
          </w:p>
        </w:tc>
        <w:tc>
          <w:tcPr>
            <w:tcW w:w="2243" w:type="dxa"/>
            <w:vAlign w:val="center"/>
          </w:tcPr>
          <w:p w14:paraId="3D67D922" w14:textId="77777777" w:rsidR="00B166BC" w:rsidRPr="00933708" w:rsidRDefault="00B166BC" w:rsidP="00794EFC">
            <w:pPr>
              <w:pStyle w:val="COMTabletext"/>
              <w:jc w:val="center"/>
            </w:pPr>
            <w:r w:rsidRPr="00933708">
              <w:rPr>
                <w:szCs w:val="20"/>
              </w:rPr>
              <w:t>852 (25.8%)</w:t>
            </w:r>
          </w:p>
        </w:tc>
        <w:tc>
          <w:tcPr>
            <w:tcW w:w="2243" w:type="dxa"/>
            <w:vAlign w:val="center"/>
          </w:tcPr>
          <w:p w14:paraId="5401D37A" w14:textId="77777777" w:rsidR="00B166BC" w:rsidRPr="00933708" w:rsidRDefault="00B166BC" w:rsidP="00794EFC">
            <w:pPr>
              <w:pStyle w:val="COMTabletext"/>
              <w:jc w:val="center"/>
            </w:pPr>
            <w:r w:rsidRPr="00933708">
              <w:rPr>
                <w:szCs w:val="20"/>
              </w:rPr>
              <w:t>937 (28.4%)</w:t>
            </w:r>
          </w:p>
        </w:tc>
      </w:tr>
      <w:tr w:rsidR="00B166BC" w:rsidRPr="00933708" w14:paraId="271A361A" w14:textId="77777777" w:rsidTr="00794EFC">
        <w:tc>
          <w:tcPr>
            <w:tcW w:w="4531" w:type="dxa"/>
            <w:vAlign w:val="center"/>
          </w:tcPr>
          <w:p w14:paraId="52F3F56A" w14:textId="77777777" w:rsidR="00B166BC" w:rsidRPr="00933708" w:rsidRDefault="00B166BC" w:rsidP="00461569">
            <w:pPr>
              <w:pStyle w:val="COMTabletext"/>
              <w:numPr>
                <w:ilvl w:val="0"/>
                <w:numId w:val="9"/>
              </w:numPr>
              <w:tabs>
                <w:tab w:val="right" w:pos="3610"/>
              </w:tabs>
              <w:ind w:left="171" w:right="-53" w:hanging="142"/>
              <w:rPr>
                <w:szCs w:val="20"/>
              </w:rPr>
            </w:pPr>
            <w:r w:rsidRPr="00933708">
              <w:rPr>
                <w:szCs w:val="20"/>
              </w:rPr>
              <w:t>Serious adverse event resulting in death, n (%)</w:t>
            </w:r>
          </w:p>
        </w:tc>
        <w:tc>
          <w:tcPr>
            <w:tcW w:w="2243" w:type="dxa"/>
            <w:vAlign w:val="center"/>
          </w:tcPr>
          <w:p w14:paraId="741AC8CF" w14:textId="77777777" w:rsidR="00B166BC" w:rsidRPr="00933708" w:rsidRDefault="00B166BC" w:rsidP="00794EFC">
            <w:pPr>
              <w:pStyle w:val="COMTabletext"/>
              <w:jc w:val="center"/>
            </w:pPr>
            <w:r w:rsidRPr="00933708">
              <w:rPr>
                <w:szCs w:val="20"/>
              </w:rPr>
              <w:t>88 (2.7%)</w:t>
            </w:r>
          </w:p>
        </w:tc>
        <w:tc>
          <w:tcPr>
            <w:tcW w:w="2243" w:type="dxa"/>
            <w:vAlign w:val="center"/>
          </w:tcPr>
          <w:p w14:paraId="42969D38" w14:textId="77777777" w:rsidR="00B166BC" w:rsidRPr="00933708" w:rsidRDefault="00B166BC" w:rsidP="00794EFC">
            <w:pPr>
              <w:pStyle w:val="COMTabletext"/>
              <w:jc w:val="center"/>
            </w:pPr>
            <w:r w:rsidRPr="00933708">
              <w:rPr>
                <w:szCs w:val="20"/>
              </w:rPr>
              <w:t>93 (2.8%)</w:t>
            </w:r>
          </w:p>
        </w:tc>
      </w:tr>
      <w:tr w:rsidR="00B166BC" w:rsidRPr="00933708" w14:paraId="1D8C84F1" w14:textId="77777777" w:rsidTr="00794EFC">
        <w:tc>
          <w:tcPr>
            <w:tcW w:w="4531" w:type="dxa"/>
            <w:vAlign w:val="center"/>
          </w:tcPr>
          <w:p w14:paraId="339A453C" w14:textId="77777777" w:rsidR="00B166BC" w:rsidRPr="00933708" w:rsidRDefault="00B166BC" w:rsidP="00794EFC">
            <w:pPr>
              <w:pStyle w:val="COMTabletext"/>
              <w:tabs>
                <w:tab w:val="right" w:pos="3610"/>
              </w:tabs>
              <w:ind w:right="-53"/>
              <w:rPr>
                <w:szCs w:val="20"/>
              </w:rPr>
            </w:pPr>
            <w:r w:rsidRPr="00933708">
              <w:rPr>
                <w:szCs w:val="20"/>
              </w:rPr>
              <w:t>Deaths, n (%)</w:t>
            </w:r>
          </w:p>
        </w:tc>
        <w:tc>
          <w:tcPr>
            <w:tcW w:w="2243" w:type="dxa"/>
            <w:vAlign w:val="center"/>
          </w:tcPr>
          <w:p w14:paraId="405ED4B5" w14:textId="77777777" w:rsidR="00B166BC" w:rsidRPr="00933708" w:rsidRDefault="00B166BC" w:rsidP="00794EFC">
            <w:pPr>
              <w:pStyle w:val="COMTabletext"/>
              <w:jc w:val="center"/>
              <w:rPr>
                <w:szCs w:val="20"/>
              </w:rPr>
            </w:pPr>
            <w:r w:rsidRPr="00933708">
              <w:rPr>
                <w:szCs w:val="20"/>
              </w:rPr>
              <w:t>126 (3.8%)</w:t>
            </w:r>
          </w:p>
        </w:tc>
        <w:tc>
          <w:tcPr>
            <w:tcW w:w="2243" w:type="dxa"/>
            <w:vAlign w:val="center"/>
          </w:tcPr>
          <w:p w14:paraId="1112E94A" w14:textId="77777777" w:rsidR="00B166BC" w:rsidRPr="00933708" w:rsidRDefault="00B166BC" w:rsidP="00794EFC">
            <w:pPr>
              <w:pStyle w:val="COMTabletext"/>
              <w:jc w:val="center"/>
              <w:rPr>
                <w:szCs w:val="20"/>
              </w:rPr>
            </w:pPr>
            <w:r w:rsidRPr="00933708">
              <w:rPr>
                <w:szCs w:val="20"/>
              </w:rPr>
              <w:t>135 (3.8%)</w:t>
            </w:r>
          </w:p>
        </w:tc>
      </w:tr>
    </w:tbl>
    <w:p w14:paraId="32D4C8D9" w14:textId="77777777" w:rsidR="00B166BC" w:rsidRPr="00933708" w:rsidRDefault="00B166BC" w:rsidP="00B166BC">
      <w:pPr>
        <w:pStyle w:val="TableFooter"/>
        <w:rPr>
          <w:rFonts w:eastAsia="Calibri"/>
        </w:rPr>
      </w:pPr>
      <w:r w:rsidRPr="00933708">
        <w:rPr>
          <w:rFonts w:eastAsia="Calibri"/>
        </w:rPr>
        <w:t>Source: Table 2.22, p120 of the submission.</w:t>
      </w:r>
    </w:p>
    <w:p w14:paraId="282A089F" w14:textId="77777777" w:rsidR="00B166BC" w:rsidRPr="00933708" w:rsidRDefault="00B166BC" w:rsidP="00B166BC">
      <w:pPr>
        <w:pStyle w:val="TableFooter"/>
        <w:rPr>
          <w:rFonts w:eastAsia="Calibri"/>
        </w:rPr>
      </w:pPr>
      <w:r w:rsidRPr="00933708">
        <w:rPr>
          <w:rFonts w:eastAsia="Calibri"/>
        </w:rPr>
        <w:t>Abbreviations: SC, standard care.</w:t>
      </w:r>
    </w:p>
    <w:p w14:paraId="6F9982CB" w14:textId="77777777" w:rsidR="00B166BC" w:rsidRPr="00933708" w:rsidRDefault="00B166BC" w:rsidP="00B166BC">
      <w:pPr>
        <w:pStyle w:val="TableFooter"/>
      </w:pPr>
      <w:r w:rsidRPr="00933708">
        <w:rPr>
          <w:vertAlign w:val="superscript"/>
        </w:rPr>
        <w:t>a</w:t>
      </w:r>
      <w:r w:rsidRPr="00933708">
        <w:t xml:space="preserve"> Pre-specified non-serious adverse events included adverse events resulting in discontinuation of study treatment, bone fractures, severe hypoglycaemia, gout, symptomatic dehydration, events leading to amputation, and any adverse event of special interest (serious liver disease, ketoacidosis, lower limb amputations).</w:t>
      </w:r>
    </w:p>
    <w:p w14:paraId="6F3B8713" w14:textId="4B4BBA18" w:rsidR="00B166BC" w:rsidRPr="00933708" w:rsidRDefault="00B166BC" w:rsidP="00B166BC">
      <w:pPr>
        <w:pStyle w:val="TableFooter"/>
        <w:rPr>
          <w:color w:val="0066FF"/>
        </w:rPr>
      </w:pPr>
      <w:r w:rsidRPr="00933708">
        <w:rPr>
          <w:vertAlign w:val="superscript"/>
        </w:rPr>
        <w:t>b</w:t>
      </w:r>
      <w:r w:rsidRPr="00933708">
        <w:t xml:space="preserve"> Serious adverse events defined as events that resulted in death, were life-threatening, required hospitalisation resulted in persistent or significant disability or incapacity, resulted in congenital anomaly or birth defect, or were considered important by local Investigators. Serious adverse events according with the European Medicines Agency initiative on Important Medical Events were included</w:t>
      </w:r>
      <w:r w:rsidR="00807A6B" w:rsidRPr="00933708">
        <w:rPr>
          <w:color w:val="0066FF"/>
        </w:rPr>
        <w:t>.</w:t>
      </w:r>
    </w:p>
    <w:p w14:paraId="59B9E24E" w14:textId="77777777" w:rsidR="00B166BC" w:rsidRPr="00933708" w:rsidRDefault="00B166BC" w:rsidP="007C4C88">
      <w:pPr>
        <w:pStyle w:val="ListParagraph"/>
        <w:numPr>
          <w:ilvl w:val="1"/>
          <w:numId w:val="1"/>
        </w:numPr>
        <w:ind w:left="720" w:hanging="720"/>
      </w:pPr>
      <w:r w:rsidRPr="00933708">
        <w:t>The proportions of patients reporting pre-specified non-serious adverse events and serious adverse events were similar between treatment arms.</w:t>
      </w:r>
    </w:p>
    <w:p w14:paraId="4B2BB4A9" w14:textId="77777777" w:rsidR="00B166BC" w:rsidRPr="00933708" w:rsidRDefault="00B166BC" w:rsidP="007C4C88">
      <w:pPr>
        <w:pStyle w:val="ListParagraph"/>
        <w:numPr>
          <w:ilvl w:val="1"/>
          <w:numId w:val="1"/>
        </w:numPr>
        <w:ind w:left="720" w:hanging="720"/>
      </w:pPr>
      <w:r w:rsidRPr="00933708">
        <w:t xml:space="preserve">The most commonly reported pre-specified adverse events included gout (empagliflozin 8.2%, placebo 9.2%), bone fracture (3.7%, 3.2%), volume depletion (3.0%, 2.7%), symptomatic dehydration (2.4%, 2.1%), and hypoglycaemia (2.1%, 2.0%). The most commonly reported serious adverse events were acute kidney injury (empagliflozin 2.8%, placebo 3.5%), serious hyperkalaemia (2.6%, 2.9%), and serious hypoglycaemia (2.2%, 2.2%). </w:t>
      </w:r>
    </w:p>
    <w:p w14:paraId="66BE8791" w14:textId="77777777" w:rsidR="00B166BC" w:rsidRPr="00933708" w:rsidRDefault="00B166BC" w:rsidP="007C4C88">
      <w:pPr>
        <w:pStyle w:val="ListParagraph"/>
        <w:numPr>
          <w:ilvl w:val="1"/>
          <w:numId w:val="1"/>
        </w:numPr>
        <w:ind w:left="720" w:hanging="720"/>
      </w:pPr>
      <w:r w:rsidRPr="00933708">
        <w:t>Adverse events in the post hoc overlap and incremental populations were similar to the EMPA-KIDNEY overall population.</w:t>
      </w:r>
    </w:p>
    <w:p w14:paraId="46AF2078" w14:textId="3C9F77CF" w:rsidR="00C97149" w:rsidRPr="00933708" w:rsidRDefault="00C97149" w:rsidP="007C4C88">
      <w:pPr>
        <w:pStyle w:val="ListParagraph"/>
        <w:numPr>
          <w:ilvl w:val="1"/>
          <w:numId w:val="1"/>
        </w:numPr>
        <w:ind w:left="720" w:hanging="720"/>
      </w:pPr>
      <w:bookmarkStart w:id="43" w:name="_Ref150850612"/>
      <w:r w:rsidRPr="00933708">
        <w:t>The indirect comparisons of safety outcomes presented in the submission for empagliflozin versus dapagliflozin were difficult to interpret</w:t>
      </w:r>
      <w:r w:rsidR="004D2FD4" w:rsidRPr="00933708">
        <w:t xml:space="preserve"> and not reliable</w:t>
      </w:r>
      <w:r w:rsidR="00344623" w:rsidRPr="00933708">
        <w:t>,</w:t>
      </w:r>
      <w:r w:rsidRPr="00933708">
        <w:t xml:space="preserve"> given differences in the coding of adverse events between the EMPA-KIDNEY and DAPA-CKD trials.</w:t>
      </w:r>
      <w:bookmarkEnd w:id="43"/>
    </w:p>
    <w:p w14:paraId="3663AD27" w14:textId="4B27433C" w:rsidR="00B166BC" w:rsidRPr="00933708" w:rsidRDefault="00B166BC" w:rsidP="007C4C88">
      <w:pPr>
        <w:pStyle w:val="ListParagraph"/>
        <w:numPr>
          <w:ilvl w:val="1"/>
          <w:numId w:val="1"/>
        </w:numPr>
        <w:ind w:left="720" w:hanging="720"/>
        <w:rPr>
          <w:color w:val="0066FF"/>
        </w:rPr>
      </w:pPr>
      <w:r w:rsidRPr="00933708">
        <w:t xml:space="preserve">The safety outcomes reported in the EMPA-KIDNEY trial were consistent with the outcomes reported in the EMPA-REG OUTCOME (cardiovascular), EMPEROR-Reduced (heart failure) and EMPEROR-Preserved (heart failure) trials and recent </w:t>
      </w:r>
      <w:r w:rsidR="00261899" w:rsidRPr="00933708">
        <w:t>Periodic Benefit-Risk Evaluation Report</w:t>
      </w:r>
      <w:r w:rsidR="00F17C84" w:rsidRPr="00933708">
        <w:t xml:space="preserve"> (PBRER)</w:t>
      </w:r>
      <w:r w:rsidRPr="00933708">
        <w:t>.</w:t>
      </w:r>
      <w:r w:rsidR="00F17C84" w:rsidRPr="00933708">
        <w:t xml:space="preserve"> The PBRER listed important identified risks of complicated urinary tract infection, genital infection and diabetic ketoacidosis with atypical presentation, and important potential risks of urinary tract carcinogenicity, liver injury, amputation and pancreatitis.</w:t>
      </w:r>
    </w:p>
    <w:p w14:paraId="28F68517" w14:textId="394E065A" w:rsidR="00B166BC" w:rsidRPr="00933708" w:rsidRDefault="00B166BC" w:rsidP="00B166BC">
      <w:pPr>
        <w:pStyle w:val="ExecSumBodyText"/>
        <w:numPr>
          <w:ilvl w:val="1"/>
          <w:numId w:val="1"/>
        </w:numPr>
        <w:rPr>
          <w:snapToGrid/>
        </w:rPr>
      </w:pPr>
      <w:bookmarkStart w:id="44" w:name="_Ref150850688"/>
      <w:r w:rsidRPr="00933708">
        <w:lastRenderedPageBreak/>
        <w:t xml:space="preserve">At the November 2021 meeting, the PBAC considered that a claim that empagliflozin was noninferior to dapagliflozin in terms of safety in the treatment of chronic heart failure with reduced ejection fraction was reasonable, and this was consistent with the long experience in clinical practice for this class of medicines (para 7.8, Empagliflozin </w:t>
      </w:r>
      <w:r w:rsidR="00867722" w:rsidRPr="00933708">
        <w:t>(</w:t>
      </w:r>
      <w:proofErr w:type="spellStart"/>
      <w:r w:rsidR="00807CAF" w:rsidRPr="00933708">
        <w:t>h</w:t>
      </w:r>
      <w:r w:rsidR="00867722" w:rsidRPr="00933708">
        <w:t>FrEF</w:t>
      </w:r>
      <w:proofErr w:type="spellEnd"/>
      <w:r w:rsidR="00867722" w:rsidRPr="00933708">
        <w:t xml:space="preserve">) </w:t>
      </w:r>
      <w:r w:rsidRPr="00933708">
        <w:t xml:space="preserve">PSD, November 2021 PBAC meeting). At the November 2022 meeting, the PBAC considered that the safety profile of empagliflozin was well understood due to its use in other indications, and accepted the claim that empagliflozin was noninferior to placebo in terms of safety in the treatment of chronic heart failure with preserved ejection fraction (para 7.7, Empagliflozin </w:t>
      </w:r>
      <w:r w:rsidR="00867722" w:rsidRPr="00933708">
        <w:t>(</w:t>
      </w:r>
      <w:proofErr w:type="spellStart"/>
      <w:r w:rsidR="00807CAF" w:rsidRPr="00933708">
        <w:t>h</w:t>
      </w:r>
      <w:r w:rsidR="00867722" w:rsidRPr="00933708">
        <w:t>FpEF</w:t>
      </w:r>
      <w:proofErr w:type="spellEnd"/>
      <w:r w:rsidR="00867722" w:rsidRPr="00933708">
        <w:t xml:space="preserve">) </w:t>
      </w:r>
      <w:r w:rsidRPr="00933708">
        <w:t>PSD, November 2022 PBAC meeting).</w:t>
      </w:r>
      <w:bookmarkEnd w:id="44"/>
    </w:p>
    <w:p w14:paraId="04908C7F" w14:textId="415B9B7D" w:rsidR="007F1017" w:rsidRPr="00933708" w:rsidRDefault="007F1017" w:rsidP="00D86231">
      <w:pPr>
        <w:pStyle w:val="COMH2-non-numbered"/>
        <w:rPr>
          <w:iCs/>
        </w:rPr>
      </w:pPr>
      <w:bookmarkStart w:id="45" w:name="_Toc22897643"/>
      <w:bookmarkStart w:id="46" w:name="_Toc145496439"/>
      <w:r w:rsidRPr="00933708">
        <w:rPr>
          <w:iCs/>
        </w:rPr>
        <w:t>Benefits/harms</w:t>
      </w:r>
      <w:bookmarkEnd w:id="45"/>
      <w:bookmarkEnd w:id="46"/>
    </w:p>
    <w:p w14:paraId="745F91DD" w14:textId="1D120973" w:rsidR="009C75BB" w:rsidRPr="00933708" w:rsidRDefault="009C75BB" w:rsidP="00A51AD5">
      <w:pPr>
        <w:pStyle w:val="ExecSumBodyText"/>
        <w:numPr>
          <w:ilvl w:val="1"/>
          <w:numId w:val="1"/>
        </w:numPr>
        <w:rPr>
          <w:snapToGrid/>
        </w:rPr>
      </w:pPr>
      <w:r w:rsidRPr="00933708">
        <w:rPr>
          <w:snapToGrid/>
        </w:rPr>
        <w:t>On the basis of the direct evidence presented in the EMPA-KIDNEY trial, for every 100 patients with CKD treated with empagliflozin in addition to standard care in comparison with standard care alone, over a median of 24</w:t>
      </w:r>
      <w:r w:rsidR="00933708">
        <w:rPr>
          <w:snapToGrid/>
        </w:rPr>
        <w:t xml:space="preserve"> </w:t>
      </w:r>
      <w:r w:rsidRPr="00933708">
        <w:rPr>
          <w:snapToGrid/>
        </w:rPr>
        <w:t>months:</w:t>
      </w:r>
    </w:p>
    <w:p w14:paraId="116BC26D" w14:textId="165FD974" w:rsidR="009C75BB" w:rsidRPr="00933708" w:rsidRDefault="009C75BB" w:rsidP="00A51AD5">
      <w:pPr>
        <w:pStyle w:val="ListBullet"/>
        <w:tabs>
          <w:tab w:val="clear" w:pos="360"/>
        </w:tabs>
        <w:spacing w:after="120"/>
        <w:ind w:left="998" w:hanging="221"/>
        <w:contextualSpacing w:val="0"/>
      </w:pPr>
      <w:r w:rsidRPr="00933708">
        <w:t xml:space="preserve">Approximately 4 fewer patients would experience </w:t>
      </w:r>
      <w:r w:rsidR="002345AF" w:rsidRPr="00933708">
        <w:t xml:space="preserve">CKD progression </w:t>
      </w:r>
      <w:r w:rsidR="00403FE6" w:rsidRPr="00933708">
        <w:t>(≥</w:t>
      </w:r>
      <w:r w:rsidRPr="00933708">
        <w:t>40% decline in kidney function</w:t>
      </w:r>
      <w:r w:rsidR="008A1FA7" w:rsidRPr="00933708">
        <w:t>,</w:t>
      </w:r>
      <w:r w:rsidR="002345AF" w:rsidRPr="00933708">
        <w:t xml:space="preserve"> or</w:t>
      </w:r>
      <w:r w:rsidRPr="00933708">
        <w:t xml:space="preserve"> progression to ESKD</w:t>
      </w:r>
      <w:r w:rsidR="002345AF" w:rsidRPr="00933708">
        <w:t>)</w:t>
      </w:r>
      <w:r w:rsidRPr="00933708">
        <w:t xml:space="preserve"> or death related to cardiovascular causes.</w:t>
      </w:r>
    </w:p>
    <w:p w14:paraId="3B653B96" w14:textId="42E5CACC" w:rsidR="00FC1884" w:rsidRPr="00933708" w:rsidRDefault="009C75BB" w:rsidP="00BD3D86">
      <w:pPr>
        <w:pStyle w:val="ListBullet"/>
        <w:tabs>
          <w:tab w:val="clear" w:pos="360"/>
        </w:tabs>
        <w:spacing w:after="120"/>
        <w:ind w:left="998" w:hanging="221"/>
      </w:pPr>
      <w:r w:rsidRPr="00933708">
        <w:t xml:space="preserve">Approximately </w:t>
      </w:r>
      <w:r w:rsidR="00696224" w:rsidRPr="00933708">
        <w:t>2</w:t>
      </w:r>
      <w:r w:rsidRPr="00933708">
        <w:t xml:space="preserve"> fewer patients would experience a serious adverse event.</w:t>
      </w:r>
      <w:r w:rsidR="003270E4" w:rsidRPr="00933708">
        <w:t> </w:t>
      </w:r>
    </w:p>
    <w:p w14:paraId="7A1772B6" w14:textId="23BB3145" w:rsidR="00B60939" w:rsidRPr="00933708" w:rsidRDefault="00B60939" w:rsidP="00E9094A">
      <w:pPr>
        <w:pStyle w:val="COMH2-non-numbered"/>
        <w:rPr>
          <w:iCs/>
        </w:rPr>
      </w:pPr>
      <w:bookmarkStart w:id="47" w:name="_Toc22897644"/>
      <w:bookmarkStart w:id="48" w:name="_Toc145496440"/>
      <w:r w:rsidRPr="00933708">
        <w:rPr>
          <w:iCs/>
        </w:rPr>
        <w:t>Clinical claim</w:t>
      </w:r>
      <w:bookmarkEnd w:id="47"/>
      <w:bookmarkEnd w:id="48"/>
    </w:p>
    <w:p w14:paraId="57558CE9" w14:textId="74F83F54" w:rsidR="006429F4" w:rsidRPr="00933708" w:rsidRDefault="006429F4" w:rsidP="007C4C88">
      <w:pPr>
        <w:pStyle w:val="ListParagraph"/>
        <w:numPr>
          <w:ilvl w:val="1"/>
          <w:numId w:val="1"/>
        </w:numPr>
        <w:ind w:left="720" w:hanging="720"/>
      </w:pPr>
      <w:r w:rsidRPr="00933708">
        <w:t>For the overlap population, the submission described empagliflozin plus standard care as noninferior in efficacy and noninferior in safety compared to dapagliflozin plus standard care for the treatment of CKD in adult patients. Th</w:t>
      </w:r>
      <w:r w:rsidR="006718DA" w:rsidRPr="00933708">
        <w:t xml:space="preserve">e ESC </w:t>
      </w:r>
      <w:r w:rsidR="009601E2" w:rsidRPr="00933708">
        <w:t>considered</w:t>
      </w:r>
      <w:r w:rsidR="006718DA" w:rsidRPr="00933708">
        <w:t xml:space="preserve"> that it was more appropriate to </w:t>
      </w:r>
      <w:r w:rsidR="009601E2" w:rsidRPr="00933708">
        <w:t>conclude</w:t>
      </w:r>
      <w:r w:rsidR="006718DA" w:rsidRPr="00933708">
        <w:t xml:space="preserve"> that empagliflozin was comparable to dapagliflozin in efficacy and safety. This was</w:t>
      </w:r>
      <w:r w:rsidR="00DC0890" w:rsidRPr="00933708">
        <w:t xml:space="preserve"> </w:t>
      </w:r>
      <w:r w:rsidR="006718DA" w:rsidRPr="00933708">
        <w:t xml:space="preserve">based on trial </w:t>
      </w:r>
      <w:r w:rsidR="00DC0890" w:rsidRPr="00933708">
        <w:t xml:space="preserve">population </w:t>
      </w:r>
      <w:r w:rsidR="006718DA" w:rsidRPr="00933708">
        <w:t>differences between DAPA-CKD and EMPA-KIDNEY,</w:t>
      </w:r>
      <w:r w:rsidR="009601E2" w:rsidRPr="00933708">
        <w:t xml:space="preserve"> </w:t>
      </w:r>
      <w:r w:rsidR="003709A3" w:rsidRPr="00933708">
        <w:t xml:space="preserve">noting that all indirect comparisons </w:t>
      </w:r>
      <w:r w:rsidR="002D24DC" w:rsidRPr="00933708">
        <w:t>numericall</w:t>
      </w:r>
      <w:r w:rsidR="003709A3" w:rsidRPr="00933708">
        <w:t>y favoured dapagliflozin</w:t>
      </w:r>
      <w:r w:rsidRPr="00933708">
        <w:t>.</w:t>
      </w:r>
    </w:p>
    <w:p w14:paraId="080BBA30" w14:textId="4A86D817" w:rsidR="006429F4" w:rsidRPr="00933708" w:rsidRDefault="006429F4" w:rsidP="007C4C88">
      <w:pPr>
        <w:pStyle w:val="ListParagraph"/>
        <w:numPr>
          <w:ilvl w:val="1"/>
          <w:numId w:val="1"/>
        </w:numPr>
        <w:ind w:left="720" w:hanging="720"/>
        <w:rPr>
          <w:color w:val="0066FF"/>
        </w:rPr>
      </w:pPr>
      <w:r w:rsidRPr="00933708">
        <w:t>For the incremental population, the submission described empagliflozin plus standard care as superior in efficacy and noninferior in safety compared to placebo plus standard care for the treatment of adult patients with CKD. Th</w:t>
      </w:r>
      <w:r w:rsidR="00EE1DA0" w:rsidRPr="00933708">
        <w:t>e ESC considered</w:t>
      </w:r>
      <w:r w:rsidRPr="00933708">
        <w:t xml:space="preserve"> the following issues should be considered:</w:t>
      </w:r>
    </w:p>
    <w:p w14:paraId="44F27A5C" w14:textId="4F415ECE" w:rsidR="006429F4" w:rsidRPr="00933708" w:rsidRDefault="00344623" w:rsidP="00A51AD5">
      <w:pPr>
        <w:pStyle w:val="COMbodybulletlist"/>
      </w:pPr>
      <w:r w:rsidRPr="00933708">
        <w:t>U</w:t>
      </w:r>
      <w:r w:rsidR="006429F4" w:rsidRPr="00933708">
        <w:t>ncertainty regarding the absolute magnitude of effect in clinical practice given substantial differences between the EMPA-KIDNEY trial population (including the overall, overlap and incremental populations) and the eligible population in the Australian setting. The trial included a relatively young population, with a high proportion of males and large proportions with severely increased albuminuria (UACR &gt;300 mg/g) and/or substantial renal impairment (eGFR &lt;30</w:t>
      </w:r>
      <w:r w:rsidR="009601E2" w:rsidRPr="00933708">
        <w:t> </w:t>
      </w:r>
      <w:r w:rsidR="006429F4" w:rsidRPr="00933708">
        <w:t>mL/min/1.73</w:t>
      </w:r>
      <w:r w:rsidR="009601E2" w:rsidRPr="00933708">
        <w:t> </w:t>
      </w:r>
      <w:r w:rsidR="006429F4" w:rsidRPr="00933708">
        <w:t>m</w:t>
      </w:r>
      <w:r w:rsidR="006429F4" w:rsidRPr="00933708">
        <w:rPr>
          <w:vertAlign w:val="superscript"/>
        </w:rPr>
        <w:t>2</w:t>
      </w:r>
      <w:r w:rsidR="006429F4" w:rsidRPr="00933708">
        <w:t>). In contrast, many of the patients eligible for treatment under the proposed PBS listing will be older, with a more balanced gender mix, and less advanced kidney disease.</w:t>
      </w:r>
    </w:p>
    <w:p w14:paraId="254CFABC" w14:textId="2EF4D9CA" w:rsidR="006429F4" w:rsidRPr="00933708" w:rsidRDefault="006429F4" w:rsidP="00A51AD5">
      <w:pPr>
        <w:pStyle w:val="COMbodybulletlist"/>
      </w:pPr>
      <w:r w:rsidRPr="00933708">
        <w:lastRenderedPageBreak/>
        <w:t xml:space="preserve">The incremental population was comprised of a broad range of subpopulations with different baseline UACR and eGFR levels, and included patients with both higher and lower risk than the overlap population. Given the heterogeneous nature of the incremental population, it is likely the absolute magnitude of benefit associated with empagliflozin </w:t>
      </w:r>
      <w:r w:rsidR="00344623" w:rsidRPr="00933708">
        <w:t>will</w:t>
      </w:r>
      <w:r w:rsidRPr="00933708">
        <w:t xml:space="preserve"> vary substantially across these subpopulations</w:t>
      </w:r>
      <w:r w:rsidR="00933708">
        <w:t xml:space="preserve">. </w:t>
      </w:r>
      <w:r w:rsidR="006718DA" w:rsidRPr="00933708">
        <w:rPr>
          <w:iCs/>
        </w:rPr>
        <w:t>The ESC was particularly concerned about the lower risk subgroup</w:t>
      </w:r>
      <w:r w:rsidR="00671BB2" w:rsidRPr="00933708">
        <w:rPr>
          <w:iCs/>
        </w:rPr>
        <w:t xml:space="preserve"> (based on KDIGO classification) </w:t>
      </w:r>
      <w:r w:rsidR="006718DA" w:rsidRPr="00933708">
        <w:rPr>
          <w:iCs/>
        </w:rPr>
        <w:t xml:space="preserve">of eGFR 75 </w:t>
      </w:r>
      <w:r w:rsidR="009601E2" w:rsidRPr="00933708">
        <w:rPr>
          <w:iCs/>
        </w:rPr>
        <w:t>to</w:t>
      </w:r>
      <w:r w:rsidR="006718DA" w:rsidRPr="00933708">
        <w:rPr>
          <w:iCs/>
        </w:rPr>
        <w:t xml:space="preserve"> &lt;90mL/min/1.73m</w:t>
      </w:r>
      <w:r w:rsidR="006718DA" w:rsidRPr="00933708">
        <w:rPr>
          <w:iCs/>
          <w:vertAlign w:val="superscript"/>
        </w:rPr>
        <w:t>2</w:t>
      </w:r>
      <w:r w:rsidR="006718DA" w:rsidRPr="00933708">
        <w:rPr>
          <w:iCs/>
        </w:rPr>
        <w:t xml:space="preserve"> and UACR </w:t>
      </w:r>
      <w:r w:rsidR="009601E2" w:rsidRPr="00933708">
        <w:rPr>
          <w:rFonts w:cs="Calibri"/>
          <w:iCs/>
          <w:u w:val="single"/>
        </w:rPr>
        <w:t>≥</w:t>
      </w:r>
      <w:r w:rsidR="006718DA" w:rsidRPr="00933708">
        <w:rPr>
          <w:iCs/>
        </w:rPr>
        <w:t>200g/mg, where the magnitude of benefit may be substantially smaller</w:t>
      </w:r>
      <w:r w:rsidR="00671BB2" w:rsidRPr="00933708">
        <w:rPr>
          <w:iCs/>
        </w:rPr>
        <w:t>,</w:t>
      </w:r>
      <w:r w:rsidR="006718DA" w:rsidRPr="00933708">
        <w:rPr>
          <w:iCs/>
        </w:rPr>
        <w:t xml:space="preserve"> but there were insufficient patients in this subgroup to allow </w:t>
      </w:r>
      <w:r w:rsidR="009601E2" w:rsidRPr="00933708">
        <w:rPr>
          <w:iCs/>
        </w:rPr>
        <w:t>for</w:t>
      </w:r>
      <w:r w:rsidR="006718DA" w:rsidRPr="00933708">
        <w:rPr>
          <w:iCs/>
        </w:rPr>
        <w:t xml:space="preserve"> meaningful comparison.</w:t>
      </w:r>
    </w:p>
    <w:p w14:paraId="153BB393" w14:textId="7B62F5C8" w:rsidR="006429F4" w:rsidRPr="00933708" w:rsidRDefault="006429F4" w:rsidP="007C4C88">
      <w:pPr>
        <w:pStyle w:val="ListParagraph"/>
        <w:numPr>
          <w:ilvl w:val="1"/>
          <w:numId w:val="1"/>
        </w:numPr>
        <w:ind w:left="720" w:hanging="720"/>
      </w:pPr>
      <w:r w:rsidRPr="00933708">
        <w:t xml:space="preserve">In addition, the EMPA-KIDNEY trial identified a statistically significant treatment effect interaction based on UACR levels which suggested that the population most likely to benefit from empagliflozin treatment </w:t>
      </w:r>
      <w:r w:rsidR="00C62275" w:rsidRPr="00933708">
        <w:t>was</w:t>
      </w:r>
      <w:r w:rsidRPr="00933708">
        <w:t xml:space="preserve"> patients with high albuminuria at baseline (UACR &gt;300 mg/g). </w:t>
      </w:r>
    </w:p>
    <w:p w14:paraId="18221901" w14:textId="0BBB933F" w:rsidR="007D7B54" w:rsidRPr="00933708" w:rsidRDefault="007D7B54" w:rsidP="007C4C88">
      <w:pPr>
        <w:pStyle w:val="ListParagraph"/>
        <w:numPr>
          <w:ilvl w:val="1"/>
          <w:numId w:val="1"/>
        </w:numPr>
        <w:ind w:left="720" w:hanging="720"/>
      </w:pPr>
      <w:bookmarkStart w:id="49" w:name="_Hlk76376200"/>
      <w:r w:rsidRPr="00933708">
        <w:t>The PBAC considered that</w:t>
      </w:r>
      <w:r w:rsidR="00EE1DA0" w:rsidRPr="00933708">
        <w:t xml:space="preserve"> for the comparison with dapagliflozin, in the </w:t>
      </w:r>
      <w:r w:rsidR="005F0BCF" w:rsidRPr="00933708">
        <w:t>overlap</w:t>
      </w:r>
      <w:r w:rsidR="00EE1DA0" w:rsidRPr="00933708">
        <w:t xml:space="preserve"> population, </w:t>
      </w:r>
      <w:r w:rsidRPr="00933708">
        <w:t>the claim of non-inferior comparative effectiveness was reasonable.</w:t>
      </w:r>
    </w:p>
    <w:p w14:paraId="6F25EA6A" w14:textId="1B22D6C3" w:rsidR="007D7B54" w:rsidRPr="00933708" w:rsidRDefault="00EE1DA0" w:rsidP="007D7B54">
      <w:pPr>
        <w:widowControl w:val="0"/>
        <w:numPr>
          <w:ilvl w:val="1"/>
          <w:numId w:val="1"/>
        </w:numPr>
        <w:spacing w:after="120"/>
        <w:ind w:left="720" w:hanging="720"/>
        <w:rPr>
          <w:rFonts w:asciiTheme="minorHAnsi" w:hAnsiTheme="minorHAnsi"/>
          <w:snapToGrid w:val="0"/>
          <w:szCs w:val="20"/>
        </w:rPr>
      </w:pPr>
      <w:r w:rsidRPr="00933708">
        <w:t xml:space="preserve">The PBAC considered that for the comparison with dapagliflozin, in the </w:t>
      </w:r>
      <w:r w:rsidR="005F0BCF" w:rsidRPr="00933708">
        <w:t>overlap</w:t>
      </w:r>
      <w:r w:rsidRPr="00933708">
        <w:t xml:space="preserve"> population, </w:t>
      </w:r>
      <w:r w:rsidR="007D7B54" w:rsidRPr="00933708">
        <w:rPr>
          <w:rFonts w:asciiTheme="minorHAnsi" w:hAnsiTheme="minorHAnsi"/>
          <w:snapToGrid w:val="0"/>
          <w:szCs w:val="20"/>
        </w:rPr>
        <w:t>the claim of non-inferior comparative safety was reasonable.</w:t>
      </w:r>
    </w:p>
    <w:p w14:paraId="2592BE1C" w14:textId="321A3C99" w:rsidR="00EE1DA0" w:rsidRPr="00933708" w:rsidRDefault="00EE1DA0" w:rsidP="00EE1DA0">
      <w:pPr>
        <w:pStyle w:val="ListParagraph"/>
        <w:numPr>
          <w:ilvl w:val="1"/>
          <w:numId w:val="1"/>
        </w:numPr>
        <w:ind w:left="720" w:hanging="720"/>
      </w:pPr>
      <w:r w:rsidRPr="00933708">
        <w:t>The PBAC considered that for the comparison with placebo, in the incremental population, the claim of superior comparative effectiveness was not adequately supported by the data.</w:t>
      </w:r>
    </w:p>
    <w:p w14:paraId="09940D85" w14:textId="0E56C373" w:rsidR="00EE1DA0" w:rsidRPr="00933708" w:rsidRDefault="00EE1DA0" w:rsidP="00EE1DA0">
      <w:pPr>
        <w:widowControl w:val="0"/>
        <w:numPr>
          <w:ilvl w:val="1"/>
          <w:numId w:val="1"/>
        </w:numPr>
        <w:spacing w:after="120"/>
        <w:ind w:left="720" w:hanging="720"/>
        <w:rPr>
          <w:rFonts w:asciiTheme="minorHAnsi" w:hAnsiTheme="minorHAnsi"/>
          <w:snapToGrid w:val="0"/>
          <w:szCs w:val="20"/>
        </w:rPr>
      </w:pPr>
      <w:r w:rsidRPr="00933708">
        <w:t xml:space="preserve">The PBAC considered that for the comparison with placebo, in the incremental population, </w:t>
      </w:r>
      <w:r w:rsidRPr="00933708">
        <w:rPr>
          <w:rFonts w:asciiTheme="minorHAnsi" w:hAnsiTheme="minorHAnsi"/>
          <w:snapToGrid w:val="0"/>
          <w:szCs w:val="20"/>
        </w:rPr>
        <w:t>the claim of non-inferior comparative safety was reasonable.</w:t>
      </w:r>
    </w:p>
    <w:p w14:paraId="205C7388" w14:textId="7A98CD5F" w:rsidR="00356D8C" w:rsidRPr="00933708" w:rsidRDefault="00356D8C" w:rsidP="00356D8C">
      <w:pPr>
        <w:widowControl w:val="0"/>
        <w:spacing w:after="120"/>
        <w:ind w:left="720"/>
        <w:rPr>
          <w:rFonts w:asciiTheme="minorHAnsi" w:hAnsiTheme="minorHAnsi"/>
          <w:snapToGrid w:val="0"/>
          <w:szCs w:val="20"/>
        </w:rPr>
      </w:pPr>
      <w:r w:rsidRPr="00933708">
        <w:rPr>
          <w:rFonts w:asciiTheme="minorHAnsi" w:hAnsiTheme="minorHAnsi" w:cstheme="minorHAnsi"/>
          <w:i/>
        </w:rPr>
        <w:t>For more detail on PBAC’s view, see section 7 PBAC outcome</w:t>
      </w:r>
    </w:p>
    <w:p w14:paraId="74A1172E" w14:textId="128C170E" w:rsidR="00B60939" w:rsidRPr="00933708" w:rsidRDefault="00B60939" w:rsidP="00E9094A">
      <w:pPr>
        <w:pStyle w:val="COMH2-non-numbered"/>
        <w:rPr>
          <w:iCs/>
        </w:rPr>
      </w:pPr>
      <w:bookmarkStart w:id="50" w:name="_Toc22897645"/>
      <w:bookmarkStart w:id="51" w:name="_Toc145496441"/>
      <w:bookmarkEnd w:id="49"/>
      <w:r w:rsidRPr="00933708">
        <w:rPr>
          <w:iCs/>
        </w:rPr>
        <w:t>Economic analysis</w:t>
      </w:r>
      <w:bookmarkEnd w:id="50"/>
      <w:bookmarkEnd w:id="51"/>
      <w:r w:rsidR="00491B3A" w:rsidRPr="00933708">
        <w:rPr>
          <w:iCs/>
        </w:rPr>
        <w:t xml:space="preserve"> </w:t>
      </w:r>
    </w:p>
    <w:p w14:paraId="5BD26F75" w14:textId="44E4E16E" w:rsidR="000A22F3" w:rsidRPr="00933708" w:rsidRDefault="000A22F3" w:rsidP="00A51AD5">
      <w:pPr>
        <w:pStyle w:val="ListParagraph"/>
        <w:numPr>
          <w:ilvl w:val="1"/>
          <w:numId w:val="1"/>
        </w:numPr>
        <w:ind w:left="720" w:hanging="720"/>
        <w:contextualSpacing/>
      </w:pPr>
      <w:r w:rsidRPr="00933708">
        <w:t>Separate economic analyses were presented in the submission for the two nominated comparators for empagliflozin for the treatment of chronic kidney disease</w:t>
      </w:r>
      <w:r w:rsidR="007B0E06" w:rsidRPr="00933708">
        <w:t>:</w:t>
      </w:r>
    </w:p>
    <w:p w14:paraId="13D2D948" w14:textId="20A7C234" w:rsidR="003D05D1" w:rsidRPr="00933708" w:rsidRDefault="003D05D1" w:rsidP="00A51AD5">
      <w:pPr>
        <w:pStyle w:val="COMbodybulletlist"/>
      </w:pPr>
      <w:r w:rsidRPr="00933708">
        <w:t xml:space="preserve">a cost-minimisation approach comparing empagliflozin with dapagliflozin in </w:t>
      </w:r>
      <w:r w:rsidR="00671BB2" w:rsidRPr="00933708">
        <w:t>the overlap population (</w:t>
      </w:r>
      <w:r w:rsidRPr="00933708">
        <w:t xml:space="preserve">patients with chronic kidney disease with eGFR 25 to </w:t>
      </w:r>
      <w:r w:rsidR="002B66F8" w:rsidRPr="00933708">
        <w:t>75</w:t>
      </w:r>
      <w:r w:rsidR="002B66F8">
        <w:t> </w:t>
      </w:r>
      <w:r w:rsidRPr="00933708">
        <w:t>mL/min/1.73 m</w:t>
      </w:r>
      <w:r w:rsidRPr="00933708">
        <w:rPr>
          <w:vertAlign w:val="superscript"/>
        </w:rPr>
        <w:t>2</w:t>
      </w:r>
      <w:r w:rsidR="00EC485E" w:rsidRPr="00933708">
        <w:rPr>
          <w:vertAlign w:val="superscript"/>
        </w:rPr>
        <w:t xml:space="preserve"> </w:t>
      </w:r>
      <w:r w:rsidR="00EC485E" w:rsidRPr="00933708">
        <w:t>and UACR 200 to 5,000 mg/g</w:t>
      </w:r>
      <w:r w:rsidR="00671BB2" w:rsidRPr="00933708">
        <w:t>)</w:t>
      </w:r>
      <w:r w:rsidRPr="00933708">
        <w:t>.</w:t>
      </w:r>
    </w:p>
    <w:p w14:paraId="68EE26F7" w14:textId="4D405408" w:rsidR="003D05D1" w:rsidRPr="00933708" w:rsidRDefault="003D05D1" w:rsidP="00A51AD5">
      <w:pPr>
        <w:pStyle w:val="COMbodybulletlist"/>
      </w:pPr>
      <w:r w:rsidRPr="00933708">
        <w:t xml:space="preserve">a cost-utility </w:t>
      </w:r>
      <w:r w:rsidR="00B10E2C" w:rsidRPr="00933708">
        <w:t xml:space="preserve">analysis </w:t>
      </w:r>
      <w:r w:rsidRPr="00933708">
        <w:t>comparing empagliflozin plus standard care with standard care alone in patients with chronic kidney disease with eGFR 45 to &lt;</w:t>
      </w:r>
      <w:r w:rsidR="002B66F8" w:rsidRPr="00933708">
        <w:t>90</w:t>
      </w:r>
      <w:r w:rsidR="002B66F8">
        <w:t> </w:t>
      </w:r>
      <w:r w:rsidRPr="00933708">
        <w:t>mL/min/1.73 m</w:t>
      </w:r>
      <w:r w:rsidRPr="00933708">
        <w:rPr>
          <w:vertAlign w:val="superscript"/>
        </w:rPr>
        <w:t>2</w:t>
      </w:r>
      <w:r w:rsidRPr="00933708">
        <w:t xml:space="preserve"> with UACR ≥200 mg/g, or eGFR 20 to &lt;45 mL/min/1.73</w:t>
      </w:r>
      <w:r w:rsidR="002B66F8">
        <w:t> </w:t>
      </w:r>
      <w:r w:rsidRPr="00933708">
        <w:t>m</w:t>
      </w:r>
      <w:r w:rsidRPr="00933708">
        <w:rPr>
          <w:vertAlign w:val="superscript"/>
        </w:rPr>
        <w:t>2</w:t>
      </w:r>
      <w:r w:rsidRPr="00933708">
        <w:t xml:space="preserve"> regardless of UACR (the combined overlap and incremental population).</w:t>
      </w:r>
      <w:r w:rsidR="006A46FB" w:rsidRPr="00933708">
        <w:t xml:space="preserve"> A scenario analysis based on the baseline characteristics of the incremental population included patients who meet the eligibility criteria for dapagliflozin for CKD, patients with diabetes and heart failure who may meet the PBS criteria for SGLT2 inhibitors for these conditions, and patients outside of the requested empagliflozin population</w:t>
      </w:r>
      <w:r w:rsidR="00F342D9" w:rsidRPr="00933708">
        <w:t xml:space="preserve">. </w:t>
      </w:r>
      <w:r w:rsidR="009601E2" w:rsidRPr="00933708">
        <w:rPr>
          <w:iCs/>
        </w:rPr>
        <w:t>The ESC noted that t</w:t>
      </w:r>
      <w:r w:rsidR="00F342D9" w:rsidRPr="00933708">
        <w:rPr>
          <w:iCs/>
        </w:rPr>
        <w:t>his</w:t>
      </w:r>
      <w:r w:rsidR="00F342D9" w:rsidRPr="00933708">
        <w:t xml:space="preserve"> analysis </w:t>
      </w:r>
      <w:r w:rsidR="006A46FB" w:rsidRPr="00933708">
        <w:t xml:space="preserve">did not include any patients from 2 of the 4 component subgroups of the incremental population </w:t>
      </w:r>
      <w:r w:rsidR="006A46FB" w:rsidRPr="00933708">
        <w:lastRenderedPageBreak/>
        <w:t>(eGFR &gt;75 to &lt;90 mL/min/1.73 m</w:t>
      </w:r>
      <w:r w:rsidR="006A46FB" w:rsidRPr="00933708">
        <w:rPr>
          <w:vertAlign w:val="superscript"/>
        </w:rPr>
        <w:t>2</w:t>
      </w:r>
      <w:r w:rsidR="006A46FB" w:rsidRPr="00933708">
        <w:t xml:space="preserve"> and UACR ≥200 mg/g; eGFR 25 to 75</w:t>
      </w:r>
      <w:r w:rsidR="002B66F8">
        <w:t> </w:t>
      </w:r>
      <w:r w:rsidR="006A46FB" w:rsidRPr="00933708">
        <w:t>mL/min/1.73 m</w:t>
      </w:r>
      <w:r w:rsidR="006A46FB" w:rsidRPr="00933708">
        <w:rPr>
          <w:vertAlign w:val="superscript"/>
        </w:rPr>
        <w:t>2</w:t>
      </w:r>
      <w:r w:rsidR="006A46FB" w:rsidRPr="00933708">
        <w:t xml:space="preserve"> and UACR &gt;5000 mg/g).</w:t>
      </w:r>
    </w:p>
    <w:p w14:paraId="0A75BB9B" w14:textId="66EAE2B0" w:rsidR="00B90F6D" w:rsidRPr="00933708" w:rsidRDefault="00B90F6D" w:rsidP="00A51AD5">
      <w:pPr>
        <w:pStyle w:val="COMH3"/>
        <w:spacing w:after="120"/>
        <w:rPr>
          <w:i/>
          <w:iCs w:val="0"/>
          <w:sz w:val="24"/>
          <w:szCs w:val="22"/>
        </w:rPr>
      </w:pPr>
      <w:r w:rsidRPr="00933708">
        <w:rPr>
          <w:i/>
          <w:iCs w:val="0"/>
          <w:sz w:val="24"/>
          <w:szCs w:val="22"/>
        </w:rPr>
        <w:t>Cost</w:t>
      </w:r>
      <w:r w:rsidR="00B10E2C" w:rsidRPr="00933708">
        <w:rPr>
          <w:i/>
          <w:iCs w:val="0"/>
          <w:sz w:val="24"/>
          <w:szCs w:val="22"/>
        </w:rPr>
        <w:t>-</w:t>
      </w:r>
      <w:r w:rsidRPr="00933708">
        <w:rPr>
          <w:i/>
          <w:iCs w:val="0"/>
          <w:sz w:val="24"/>
          <w:szCs w:val="22"/>
        </w:rPr>
        <w:t>minimisation</w:t>
      </w:r>
      <w:r w:rsidR="00FC6853" w:rsidRPr="00933708">
        <w:rPr>
          <w:i/>
          <w:iCs w:val="0"/>
          <w:sz w:val="24"/>
          <w:szCs w:val="22"/>
        </w:rPr>
        <w:t xml:space="preserve"> approach</w:t>
      </w:r>
    </w:p>
    <w:p w14:paraId="64D31603" w14:textId="5C0771E5" w:rsidR="00314034" w:rsidRPr="00933708" w:rsidRDefault="00314034" w:rsidP="007C4C88">
      <w:pPr>
        <w:pStyle w:val="ListParagraph"/>
        <w:numPr>
          <w:ilvl w:val="1"/>
          <w:numId w:val="1"/>
        </w:numPr>
        <w:ind w:left="720" w:hanging="720"/>
      </w:pPr>
      <w:r w:rsidRPr="00933708">
        <w:t>The submission presented a cost</w:t>
      </w:r>
      <w:r w:rsidR="00B10E2C" w:rsidRPr="00933708">
        <w:t>-</w:t>
      </w:r>
      <w:r w:rsidRPr="00933708">
        <w:t>minimisation approach for empagliflozin versus dapagliflozin in adult CKD patients with eGFR 25</w:t>
      </w:r>
      <w:r w:rsidR="00205C12" w:rsidRPr="00933708">
        <w:t xml:space="preserve"> to</w:t>
      </w:r>
      <w:r w:rsidR="00674E67" w:rsidRPr="00933708">
        <w:t xml:space="preserve"> </w:t>
      </w:r>
      <w:r w:rsidRPr="00933708">
        <w:t xml:space="preserve">75 mL/min/1.73 m2 and UACR 200 to 5,000 mg/g. </w:t>
      </w:r>
    </w:p>
    <w:p w14:paraId="11004E14" w14:textId="77777777" w:rsidR="00314034" w:rsidRPr="00933708" w:rsidRDefault="00314034" w:rsidP="007C4C88">
      <w:pPr>
        <w:pStyle w:val="ListParagraph"/>
        <w:numPr>
          <w:ilvl w:val="1"/>
          <w:numId w:val="1"/>
        </w:numPr>
        <w:ind w:left="720" w:hanging="720"/>
      </w:pPr>
      <w:r w:rsidRPr="00933708">
        <w:t xml:space="preserve">The equi-effective doses were estimated as empagliflozin 10 mg once daily and dapagliflozin 10 mg once daily, consistent with recommended doses in the Product Information and doses used in the EMPA-KIDNEY and DAPA-CKD trials, respectively. </w:t>
      </w:r>
    </w:p>
    <w:p w14:paraId="53C018B3" w14:textId="37E49A90" w:rsidR="00314034" w:rsidRPr="00933708" w:rsidRDefault="00314034" w:rsidP="007C4C88">
      <w:pPr>
        <w:pStyle w:val="ListParagraph"/>
        <w:numPr>
          <w:ilvl w:val="1"/>
          <w:numId w:val="1"/>
        </w:numPr>
        <w:ind w:left="720" w:hanging="720"/>
      </w:pPr>
      <w:r w:rsidRPr="00933708">
        <w:t>The submission noted that the difference in pack sizes between empagliflozin (30 days of treatment) and dapagliflozin (28 days) means that dapagliflozin treated patients would require additional visits to the GP to obtain a new original prescription. To incorporate this difference, the cost</w:t>
      </w:r>
      <w:r w:rsidR="00B10E2C" w:rsidRPr="00933708">
        <w:t>-</w:t>
      </w:r>
      <w:r w:rsidRPr="00933708">
        <w:t>minimisation approach was conducted over 12</w:t>
      </w:r>
      <w:r w:rsidR="002B66F8">
        <w:t> </w:t>
      </w:r>
      <w:r w:rsidRPr="00933708">
        <w:t xml:space="preserve">months and included the additional resource use and cost (offsets) associated with GP visits. </w:t>
      </w:r>
      <w:r w:rsidR="00B10E2C" w:rsidRPr="00933708">
        <w:t>The ESC noted that f</w:t>
      </w:r>
      <w:r w:rsidR="00EC485E" w:rsidRPr="00933708">
        <w:t>actoring in GP costs for 30 days versus 28 days is an unnecessary complication that has not been considered in previous CMAs for SGLT2 inhibitors.</w:t>
      </w:r>
    </w:p>
    <w:p w14:paraId="0B807727" w14:textId="77777777" w:rsidR="00314034" w:rsidRPr="00933708" w:rsidRDefault="00314034" w:rsidP="007C4C88">
      <w:pPr>
        <w:pStyle w:val="ListParagraph"/>
        <w:numPr>
          <w:ilvl w:val="1"/>
          <w:numId w:val="1"/>
        </w:numPr>
        <w:ind w:left="720" w:hanging="720"/>
      </w:pPr>
      <w:r w:rsidRPr="00933708">
        <w:t>The cost minimisation approach was based on the assumption that 60 day dispensing would apply to both empagliflozin and dapagliflozin. This was not reasonable, as treatments for chronic kidney disease are not currently recommended for 60 day dispensing. During the evaluation the submission’s cost-minimisation approach was re-calculated using the same methodology but with current dispensing durations, updated to reflect July 2023 fees and mark-ups.</w:t>
      </w:r>
    </w:p>
    <w:p w14:paraId="5A67CAC3" w14:textId="7A60CD12" w:rsidR="00314034" w:rsidRPr="00933708" w:rsidRDefault="00314034" w:rsidP="007C4C88">
      <w:pPr>
        <w:pStyle w:val="ListParagraph"/>
        <w:numPr>
          <w:ilvl w:val="1"/>
          <w:numId w:val="1"/>
        </w:numPr>
        <w:ind w:left="720" w:hanging="720"/>
      </w:pPr>
      <w:r w:rsidRPr="00933708">
        <w:t>Results of the cost-minimisation (as calculated during the evaluation based on 28/30</w:t>
      </w:r>
      <w:r w:rsidR="002B66F8">
        <w:t> </w:t>
      </w:r>
      <w:r w:rsidRPr="00933708">
        <w:t xml:space="preserve">day dispensing) are presented in </w:t>
      </w:r>
      <w:r w:rsidRPr="00933708">
        <w:fldChar w:fldCharType="begin"/>
      </w:r>
      <w:r w:rsidRPr="00933708">
        <w:instrText xml:space="preserve"> REF _Ref142646793 \h </w:instrText>
      </w:r>
      <w:r w:rsidRPr="00933708">
        <w:fldChar w:fldCharType="separate"/>
      </w:r>
      <w:r w:rsidR="00D5135E" w:rsidRPr="00933708">
        <w:t xml:space="preserve">Table </w:t>
      </w:r>
      <w:r w:rsidR="00D5135E">
        <w:rPr>
          <w:noProof/>
        </w:rPr>
        <w:t>10</w:t>
      </w:r>
      <w:r w:rsidRPr="00933708">
        <w:fldChar w:fldCharType="end"/>
      </w:r>
      <w:r w:rsidRPr="00933708">
        <w:t>.</w:t>
      </w:r>
    </w:p>
    <w:p w14:paraId="24EC931A" w14:textId="24AA7459" w:rsidR="00B45CB0" w:rsidRPr="00933708" w:rsidRDefault="00B45CB0" w:rsidP="00B45CB0">
      <w:pPr>
        <w:pStyle w:val="COMTableheadingrow"/>
        <w:rPr>
          <w:lang w:val="en-AU"/>
        </w:rPr>
      </w:pPr>
      <w:bookmarkStart w:id="52" w:name="_Ref142646793"/>
      <w:r w:rsidRPr="00933708">
        <w:rPr>
          <w:lang w:val="en-AU"/>
        </w:rPr>
        <w:lastRenderedPageBreak/>
        <w:t xml:space="preserve">Table </w:t>
      </w:r>
      <w:r w:rsidRPr="00251484">
        <w:rPr>
          <w:lang w:val="en-AU"/>
        </w:rPr>
        <w:fldChar w:fldCharType="begin"/>
      </w:r>
      <w:r w:rsidRPr="00933708">
        <w:rPr>
          <w:lang w:val="en-AU"/>
        </w:rPr>
        <w:instrText xml:space="preserve"> SEQ Table \* ARABIC </w:instrText>
      </w:r>
      <w:r w:rsidRPr="00251484">
        <w:rPr>
          <w:lang w:val="en-AU"/>
        </w:rPr>
        <w:fldChar w:fldCharType="separate"/>
      </w:r>
      <w:r w:rsidR="00D5135E">
        <w:rPr>
          <w:noProof/>
          <w:lang w:val="en-AU"/>
        </w:rPr>
        <w:t>10</w:t>
      </w:r>
      <w:r w:rsidRPr="00251484">
        <w:rPr>
          <w:lang w:val="en-AU"/>
        </w:rPr>
        <w:fldChar w:fldCharType="end"/>
      </w:r>
      <w:bookmarkEnd w:id="52"/>
      <w:r w:rsidRPr="00933708">
        <w:rPr>
          <w:lang w:val="en-AU"/>
        </w:rPr>
        <w:t>: Results of the cost-minimisation approach</w:t>
      </w:r>
      <w:r w:rsidR="00C4635E" w:rsidRPr="00933708">
        <w:rPr>
          <w:lang w:val="en-AU"/>
        </w:rPr>
        <w:t xml:space="preserve"> proposed </w:t>
      </w:r>
      <w:r w:rsidR="00C51781" w:rsidRPr="00933708">
        <w:rPr>
          <w:lang w:val="en-AU"/>
        </w:rPr>
        <w:t xml:space="preserve">in </w:t>
      </w:r>
      <w:r w:rsidR="00C4635E" w:rsidRPr="00933708">
        <w:rPr>
          <w:lang w:val="en-AU"/>
        </w:rPr>
        <w:t>the submission</w:t>
      </w:r>
      <w:r w:rsidR="004E2CC2" w:rsidRPr="00933708">
        <w:rPr>
          <w:lang w:val="en-AU"/>
        </w:rPr>
        <w:t xml:space="preserve"> and calculated during</w:t>
      </w:r>
      <w:r w:rsidR="00C51781" w:rsidRPr="00933708">
        <w:rPr>
          <w:lang w:val="en-AU"/>
        </w:rPr>
        <w:t xml:space="preserve"> the</w:t>
      </w:r>
      <w:r w:rsidR="004E2CC2" w:rsidRPr="00933708">
        <w:rPr>
          <w:lang w:val="en-AU"/>
        </w:rPr>
        <w:t xml:space="preserve"> evaluation</w:t>
      </w:r>
    </w:p>
    <w:tbl>
      <w:tblPr>
        <w:tblStyle w:val="TableGrid"/>
        <w:tblW w:w="0" w:type="auto"/>
        <w:tblLook w:val="04A0" w:firstRow="1" w:lastRow="0" w:firstColumn="1" w:lastColumn="0" w:noHBand="0" w:noVBand="1"/>
      </w:tblPr>
      <w:tblGrid>
        <w:gridCol w:w="3823"/>
        <w:gridCol w:w="5194"/>
      </w:tblGrid>
      <w:tr w:rsidR="00B45CB0" w:rsidRPr="00933708" w14:paraId="4891F347" w14:textId="77777777" w:rsidTr="004A1A23">
        <w:tc>
          <w:tcPr>
            <w:tcW w:w="3823" w:type="dxa"/>
            <w:tcBorders>
              <w:bottom w:val="double" w:sz="4" w:space="0" w:color="auto"/>
            </w:tcBorders>
          </w:tcPr>
          <w:p w14:paraId="22D41727" w14:textId="77777777" w:rsidR="00B45CB0" w:rsidRPr="00933708" w:rsidRDefault="00B45CB0" w:rsidP="00073276">
            <w:pPr>
              <w:pStyle w:val="COMTableheadingrow"/>
              <w:rPr>
                <w:lang w:val="en-AU"/>
              </w:rPr>
            </w:pPr>
            <w:r w:rsidRPr="00933708">
              <w:rPr>
                <w:lang w:val="en-AU"/>
              </w:rPr>
              <w:t>Component</w:t>
            </w:r>
          </w:p>
        </w:tc>
        <w:tc>
          <w:tcPr>
            <w:tcW w:w="5194" w:type="dxa"/>
            <w:tcBorders>
              <w:bottom w:val="double" w:sz="4" w:space="0" w:color="auto"/>
            </w:tcBorders>
          </w:tcPr>
          <w:p w14:paraId="3D88EA51" w14:textId="77777777" w:rsidR="00B45CB0" w:rsidRPr="00933708" w:rsidRDefault="00B45CB0" w:rsidP="00073276">
            <w:pPr>
              <w:pStyle w:val="COMTableheadingrow"/>
              <w:jc w:val="center"/>
              <w:rPr>
                <w:lang w:val="en-AU"/>
              </w:rPr>
            </w:pPr>
            <w:r w:rsidRPr="00933708">
              <w:rPr>
                <w:lang w:val="en-AU"/>
              </w:rPr>
              <w:t>Value (calculation)</w:t>
            </w:r>
          </w:p>
        </w:tc>
      </w:tr>
      <w:tr w:rsidR="00B45CB0" w:rsidRPr="00933708" w14:paraId="75A4FEC1" w14:textId="77777777" w:rsidTr="00073276">
        <w:tc>
          <w:tcPr>
            <w:tcW w:w="9017" w:type="dxa"/>
            <w:gridSpan w:val="2"/>
          </w:tcPr>
          <w:p w14:paraId="222EBA12" w14:textId="77777777" w:rsidR="00B45CB0" w:rsidRPr="00933708" w:rsidRDefault="00B45CB0" w:rsidP="00073276">
            <w:pPr>
              <w:pStyle w:val="COMTableheadingrow"/>
              <w:rPr>
                <w:lang w:val="en-AU"/>
              </w:rPr>
            </w:pPr>
            <w:r w:rsidRPr="00933708">
              <w:rPr>
                <w:lang w:val="en-AU"/>
              </w:rPr>
              <w:t>Dapagliflozin</w:t>
            </w:r>
          </w:p>
        </w:tc>
      </w:tr>
      <w:tr w:rsidR="00B45CB0" w:rsidRPr="00933708" w14:paraId="484965ED" w14:textId="77777777" w:rsidTr="00073276">
        <w:tc>
          <w:tcPr>
            <w:tcW w:w="3823" w:type="dxa"/>
          </w:tcPr>
          <w:p w14:paraId="55CE377C" w14:textId="77777777" w:rsidR="00B45CB0" w:rsidRPr="00933708" w:rsidRDefault="00B45CB0" w:rsidP="00073276">
            <w:pPr>
              <w:keepNext/>
              <w:rPr>
                <w:rFonts w:ascii="Arial Narrow" w:hAnsi="Arial Narrow"/>
                <w:sz w:val="20"/>
                <w:szCs w:val="20"/>
              </w:rPr>
            </w:pPr>
            <w:r w:rsidRPr="00933708">
              <w:rPr>
                <w:rFonts w:ascii="Arial Narrow" w:hAnsi="Arial Narrow"/>
                <w:sz w:val="20"/>
                <w:szCs w:val="20"/>
              </w:rPr>
              <w:t>Published AEMP</w:t>
            </w:r>
          </w:p>
        </w:tc>
        <w:tc>
          <w:tcPr>
            <w:tcW w:w="5194" w:type="dxa"/>
          </w:tcPr>
          <w:p w14:paraId="6333762C" w14:textId="77777777" w:rsidR="00B45CB0" w:rsidRPr="00933708" w:rsidRDefault="00B45CB0" w:rsidP="00073276">
            <w:pPr>
              <w:keepNext/>
              <w:jc w:val="center"/>
              <w:rPr>
                <w:rFonts w:ascii="Arial Narrow" w:hAnsi="Arial Narrow"/>
                <w:sz w:val="20"/>
                <w:szCs w:val="20"/>
              </w:rPr>
            </w:pPr>
            <w:r w:rsidRPr="00933708">
              <w:rPr>
                <w:rFonts w:ascii="Arial Narrow" w:hAnsi="Arial Narrow"/>
                <w:sz w:val="20"/>
                <w:szCs w:val="20"/>
              </w:rPr>
              <w:t>$41.69</w:t>
            </w:r>
          </w:p>
        </w:tc>
      </w:tr>
      <w:tr w:rsidR="00B45CB0" w:rsidRPr="00933708" w14:paraId="01D20E8B" w14:textId="77777777" w:rsidTr="00073276">
        <w:tc>
          <w:tcPr>
            <w:tcW w:w="3823" w:type="dxa"/>
          </w:tcPr>
          <w:p w14:paraId="42D81D2C" w14:textId="77777777" w:rsidR="00B45CB0" w:rsidRPr="00933708" w:rsidRDefault="00B45CB0" w:rsidP="00073276">
            <w:pPr>
              <w:keepNext/>
              <w:rPr>
                <w:rFonts w:ascii="Arial Narrow" w:hAnsi="Arial Narrow"/>
                <w:sz w:val="20"/>
                <w:szCs w:val="20"/>
              </w:rPr>
            </w:pPr>
            <w:r w:rsidRPr="00933708">
              <w:rPr>
                <w:rFonts w:ascii="Arial Narrow" w:hAnsi="Arial Narrow"/>
                <w:sz w:val="20"/>
                <w:szCs w:val="20"/>
              </w:rPr>
              <w:t>Prescriptions per year</w:t>
            </w:r>
          </w:p>
        </w:tc>
        <w:tc>
          <w:tcPr>
            <w:tcW w:w="5194" w:type="dxa"/>
          </w:tcPr>
          <w:p w14:paraId="77E40649" w14:textId="77777777" w:rsidR="00B45CB0" w:rsidRPr="00933708" w:rsidRDefault="00B45CB0" w:rsidP="00073276">
            <w:pPr>
              <w:keepNext/>
              <w:jc w:val="center"/>
              <w:rPr>
                <w:rFonts w:ascii="Arial Narrow" w:hAnsi="Arial Narrow"/>
                <w:sz w:val="20"/>
                <w:szCs w:val="20"/>
              </w:rPr>
            </w:pPr>
            <w:r w:rsidRPr="00933708">
              <w:rPr>
                <w:rFonts w:ascii="Arial Narrow" w:hAnsi="Arial Narrow"/>
                <w:sz w:val="20"/>
                <w:szCs w:val="20"/>
              </w:rPr>
              <w:t>13.045 (=365.25/28 days per script)</w:t>
            </w:r>
          </w:p>
        </w:tc>
      </w:tr>
      <w:tr w:rsidR="00B45CB0" w:rsidRPr="00933708" w14:paraId="2BA63263" w14:textId="77777777" w:rsidTr="00073276">
        <w:tc>
          <w:tcPr>
            <w:tcW w:w="3823" w:type="dxa"/>
          </w:tcPr>
          <w:p w14:paraId="72848CE3" w14:textId="77777777" w:rsidR="00B45CB0" w:rsidRPr="00933708" w:rsidRDefault="00B45CB0" w:rsidP="00073276">
            <w:pPr>
              <w:keepNext/>
              <w:rPr>
                <w:rFonts w:ascii="Arial Narrow" w:hAnsi="Arial Narrow"/>
                <w:sz w:val="20"/>
                <w:szCs w:val="20"/>
              </w:rPr>
            </w:pPr>
            <w:r w:rsidRPr="00933708">
              <w:rPr>
                <w:rFonts w:ascii="Arial Narrow" w:hAnsi="Arial Narrow"/>
                <w:sz w:val="20"/>
                <w:szCs w:val="20"/>
              </w:rPr>
              <w:t>Total cost of medicine</w:t>
            </w:r>
          </w:p>
        </w:tc>
        <w:tc>
          <w:tcPr>
            <w:tcW w:w="5194" w:type="dxa"/>
          </w:tcPr>
          <w:p w14:paraId="621DC89E" w14:textId="77777777" w:rsidR="00B45CB0" w:rsidRPr="00933708" w:rsidRDefault="00B45CB0" w:rsidP="00073276">
            <w:pPr>
              <w:keepNext/>
              <w:jc w:val="center"/>
              <w:rPr>
                <w:rFonts w:ascii="Arial Narrow" w:hAnsi="Arial Narrow"/>
                <w:sz w:val="20"/>
                <w:szCs w:val="20"/>
              </w:rPr>
            </w:pPr>
            <w:r w:rsidRPr="00933708">
              <w:rPr>
                <w:rFonts w:ascii="Arial Narrow" w:hAnsi="Arial Narrow"/>
                <w:sz w:val="20"/>
                <w:szCs w:val="20"/>
              </w:rPr>
              <w:t>$543.83 (=$41.69×13.045)</w:t>
            </w:r>
          </w:p>
        </w:tc>
      </w:tr>
      <w:tr w:rsidR="00B45CB0" w:rsidRPr="00933708" w14:paraId="5B1FF84E" w14:textId="77777777" w:rsidTr="00073276">
        <w:tc>
          <w:tcPr>
            <w:tcW w:w="3823" w:type="dxa"/>
          </w:tcPr>
          <w:p w14:paraId="21E7C367" w14:textId="77777777" w:rsidR="00B45CB0" w:rsidRPr="00933708" w:rsidRDefault="00B45CB0" w:rsidP="00073276">
            <w:pPr>
              <w:keepNext/>
              <w:rPr>
                <w:rFonts w:ascii="Arial Narrow" w:hAnsi="Arial Narrow"/>
                <w:sz w:val="20"/>
                <w:szCs w:val="20"/>
              </w:rPr>
            </w:pPr>
            <w:r w:rsidRPr="00933708">
              <w:rPr>
                <w:rFonts w:ascii="Arial Narrow" w:hAnsi="Arial Narrow"/>
                <w:sz w:val="20"/>
                <w:szCs w:val="20"/>
              </w:rPr>
              <w:t>Cost of GP visits for prescribing</w:t>
            </w:r>
          </w:p>
        </w:tc>
        <w:tc>
          <w:tcPr>
            <w:tcW w:w="5194" w:type="dxa"/>
          </w:tcPr>
          <w:p w14:paraId="53400C2D" w14:textId="77777777" w:rsidR="00B45CB0" w:rsidRPr="00933708" w:rsidRDefault="00B45CB0" w:rsidP="00073276">
            <w:pPr>
              <w:keepNext/>
              <w:jc w:val="center"/>
              <w:rPr>
                <w:rFonts w:ascii="Arial Narrow" w:hAnsi="Arial Narrow"/>
                <w:sz w:val="20"/>
                <w:szCs w:val="20"/>
              </w:rPr>
            </w:pPr>
            <w:r w:rsidRPr="00933708">
              <w:rPr>
                <w:rFonts w:ascii="Arial Narrow" w:hAnsi="Arial Narrow"/>
                <w:sz w:val="20"/>
                <w:szCs w:val="20"/>
              </w:rPr>
              <w:t>$41.20 (MBS item #23)</w:t>
            </w:r>
          </w:p>
        </w:tc>
      </w:tr>
      <w:tr w:rsidR="00B45CB0" w:rsidRPr="00933708" w14:paraId="4D87BBB0" w14:textId="77777777" w:rsidTr="00073276">
        <w:tc>
          <w:tcPr>
            <w:tcW w:w="3823" w:type="dxa"/>
            <w:vAlign w:val="center"/>
          </w:tcPr>
          <w:p w14:paraId="7485BFFE" w14:textId="77777777" w:rsidR="00B45CB0" w:rsidRPr="00933708" w:rsidRDefault="00B45CB0" w:rsidP="00073276">
            <w:pPr>
              <w:keepNext/>
              <w:jc w:val="left"/>
              <w:rPr>
                <w:rFonts w:ascii="Arial Narrow" w:hAnsi="Arial Narrow"/>
                <w:sz w:val="20"/>
                <w:szCs w:val="20"/>
              </w:rPr>
            </w:pPr>
            <w:r w:rsidRPr="00933708">
              <w:rPr>
                <w:rFonts w:ascii="Arial Narrow" w:hAnsi="Arial Narrow"/>
                <w:sz w:val="20"/>
                <w:szCs w:val="20"/>
              </w:rPr>
              <w:t>GP visits per year</w:t>
            </w:r>
          </w:p>
        </w:tc>
        <w:tc>
          <w:tcPr>
            <w:tcW w:w="5194" w:type="dxa"/>
          </w:tcPr>
          <w:p w14:paraId="4A23768C" w14:textId="77777777" w:rsidR="00B45CB0" w:rsidRPr="00933708" w:rsidRDefault="00B45CB0" w:rsidP="00073276">
            <w:pPr>
              <w:keepNext/>
              <w:jc w:val="center"/>
              <w:rPr>
                <w:rFonts w:ascii="Arial Narrow" w:hAnsi="Arial Narrow"/>
                <w:sz w:val="20"/>
                <w:szCs w:val="20"/>
              </w:rPr>
            </w:pPr>
            <w:r w:rsidRPr="00933708">
              <w:rPr>
                <w:rFonts w:ascii="Arial Narrow" w:hAnsi="Arial Narrow"/>
                <w:sz w:val="20"/>
                <w:szCs w:val="20"/>
              </w:rPr>
              <w:t>2.174 (=365.25/[28 days × 6 scripts (1 initial &amp; 5 repeats)])</w:t>
            </w:r>
          </w:p>
        </w:tc>
      </w:tr>
      <w:tr w:rsidR="00B45CB0" w:rsidRPr="00933708" w14:paraId="16BE2982" w14:textId="77777777" w:rsidTr="00073276">
        <w:tc>
          <w:tcPr>
            <w:tcW w:w="3823" w:type="dxa"/>
          </w:tcPr>
          <w:p w14:paraId="6B383F2E" w14:textId="77777777" w:rsidR="00B45CB0" w:rsidRPr="00933708" w:rsidRDefault="00B45CB0" w:rsidP="00073276">
            <w:pPr>
              <w:keepNext/>
              <w:rPr>
                <w:rFonts w:ascii="Arial Narrow" w:hAnsi="Arial Narrow"/>
                <w:sz w:val="20"/>
                <w:szCs w:val="20"/>
              </w:rPr>
            </w:pPr>
            <w:r w:rsidRPr="00933708">
              <w:rPr>
                <w:rFonts w:ascii="Arial Narrow" w:hAnsi="Arial Narrow"/>
                <w:sz w:val="20"/>
                <w:szCs w:val="20"/>
              </w:rPr>
              <w:t>Total cost of GP visits</w:t>
            </w:r>
          </w:p>
        </w:tc>
        <w:tc>
          <w:tcPr>
            <w:tcW w:w="5194" w:type="dxa"/>
          </w:tcPr>
          <w:p w14:paraId="67DCA54B" w14:textId="77777777" w:rsidR="00B45CB0" w:rsidRPr="00933708" w:rsidRDefault="00B45CB0" w:rsidP="00073276">
            <w:pPr>
              <w:keepNext/>
              <w:jc w:val="center"/>
              <w:rPr>
                <w:rFonts w:ascii="Arial Narrow" w:hAnsi="Arial Narrow"/>
                <w:sz w:val="20"/>
                <w:szCs w:val="20"/>
              </w:rPr>
            </w:pPr>
            <w:r w:rsidRPr="00933708">
              <w:rPr>
                <w:rFonts w:ascii="Arial Narrow" w:hAnsi="Arial Narrow"/>
                <w:sz w:val="20"/>
                <w:szCs w:val="20"/>
              </w:rPr>
              <w:t>$89.57 (=$41.20×2.174)</w:t>
            </w:r>
          </w:p>
        </w:tc>
      </w:tr>
      <w:tr w:rsidR="00B45CB0" w:rsidRPr="00933708" w14:paraId="2F4A4E77" w14:textId="77777777" w:rsidTr="00A26A6A">
        <w:tc>
          <w:tcPr>
            <w:tcW w:w="3823" w:type="dxa"/>
            <w:tcBorders>
              <w:bottom w:val="single" w:sz="4" w:space="0" w:color="auto"/>
            </w:tcBorders>
          </w:tcPr>
          <w:p w14:paraId="184B0BFD" w14:textId="77777777" w:rsidR="00B45CB0" w:rsidRPr="00933708" w:rsidRDefault="00B45CB0" w:rsidP="00073276">
            <w:pPr>
              <w:keepNext/>
              <w:rPr>
                <w:rFonts w:ascii="Arial Narrow" w:hAnsi="Arial Narrow"/>
                <w:b/>
                <w:bCs/>
                <w:sz w:val="20"/>
                <w:szCs w:val="20"/>
              </w:rPr>
            </w:pPr>
            <w:r w:rsidRPr="00933708">
              <w:rPr>
                <w:rFonts w:ascii="Arial Narrow" w:hAnsi="Arial Narrow"/>
                <w:b/>
                <w:bCs/>
                <w:sz w:val="20"/>
                <w:szCs w:val="20"/>
              </w:rPr>
              <w:t>Total cost of treatment</w:t>
            </w:r>
          </w:p>
        </w:tc>
        <w:tc>
          <w:tcPr>
            <w:tcW w:w="5194" w:type="dxa"/>
            <w:tcBorders>
              <w:bottom w:val="single" w:sz="4" w:space="0" w:color="auto"/>
            </w:tcBorders>
          </w:tcPr>
          <w:p w14:paraId="12179F63" w14:textId="77777777" w:rsidR="00B45CB0" w:rsidRPr="00933708" w:rsidRDefault="00B45CB0" w:rsidP="00073276">
            <w:pPr>
              <w:keepNext/>
              <w:jc w:val="center"/>
              <w:rPr>
                <w:rFonts w:ascii="Arial Narrow" w:hAnsi="Arial Narrow"/>
                <w:b/>
                <w:bCs/>
                <w:sz w:val="20"/>
                <w:szCs w:val="20"/>
              </w:rPr>
            </w:pPr>
            <w:r w:rsidRPr="00933708">
              <w:rPr>
                <w:rFonts w:ascii="Arial Narrow" w:hAnsi="Arial Narrow"/>
                <w:b/>
                <w:bCs/>
                <w:sz w:val="20"/>
                <w:szCs w:val="20"/>
              </w:rPr>
              <w:t>$633.40 (=$543.83+$89.57)</w:t>
            </w:r>
          </w:p>
        </w:tc>
      </w:tr>
      <w:tr w:rsidR="00A26A6A" w:rsidRPr="00933708" w14:paraId="00CFEE88" w14:textId="77777777" w:rsidTr="00073276">
        <w:tc>
          <w:tcPr>
            <w:tcW w:w="3823" w:type="dxa"/>
            <w:tcBorders>
              <w:bottom w:val="double" w:sz="4" w:space="0" w:color="auto"/>
            </w:tcBorders>
          </w:tcPr>
          <w:p w14:paraId="7E69BD0E" w14:textId="3600D518" w:rsidR="00A26A6A" w:rsidRPr="00933708" w:rsidRDefault="00A26A6A" w:rsidP="00073276">
            <w:pPr>
              <w:keepNext/>
              <w:rPr>
                <w:rFonts w:ascii="Arial Narrow" w:hAnsi="Arial Narrow"/>
                <w:b/>
                <w:bCs/>
                <w:i/>
                <w:iCs/>
                <w:sz w:val="20"/>
                <w:szCs w:val="20"/>
              </w:rPr>
            </w:pPr>
            <w:r w:rsidRPr="00933708">
              <w:rPr>
                <w:rFonts w:ascii="Arial Narrow" w:hAnsi="Arial Narrow"/>
                <w:b/>
                <w:bCs/>
                <w:sz w:val="20"/>
                <w:szCs w:val="20"/>
              </w:rPr>
              <w:t>Total cost of treatment without GP visits</w:t>
            </w:r>
          </w:p>
        </w:tc>
        <w:tc>
          <w:tcPr>
            <w:tcW w:w="5194" w:type="dxa"/>
            <w:tcBorders>
              <w:bottom w:val="double" w:sz="4" w:space="0" w:color="auto"/>
            </w:tcBorders>
          </w:tcPr>
          <w:p w14:paraId="3986BB65" w14:textId="5DDB01A0" w:rsidR="00A26A6A" w:rsidRPr="00933708" w:rsidRDefault="00A26A6A" w:rsidP="00073276">
            <w:pPr>
              <w:keepNext/>
              <w:jc w:val="center"/>
              <w:rPr>
                <w:rFonts w:ascii="Arial Narrow" w:hAnsi="Arial Narrow"/>
                <w:b/>
                <w:bCs/>
                <w:sz w:val="20"/>
                <w:szCs w:val="20"/>
              </w:rPr>
            </w:pPr>
            <w:r w:rsidRPr="00933708">
              <w:rPr>
                <w:rFonts w:ascii="Arial Narrow" w:hAnsi="Arial Narrow"/>
                <w:b/>
                <w:bCs/>
                <w:sz w:val="20"/>
                <w:szCs w:val="20"/>
              </w:rPr>
              <w:t>$</w:t>
            </w:r>
            <w:r w:rsidR="002515AC" w:rsidRPr="00933708">
              <w:rPr>
                <w:rFonts w:ascii="Arial Narrow" w:hAnsi="Arial Narrow"/>
                <w:b/>
                <w:bCs/>
                <w:sz w:val="20"/>
                <w:szCs w:val="20"/>
              </w:rPr>
              <w:t>5</w:t>
            </w:r>
            <w:r w:rsidRPr="00933708">
              <w:rPr>
                <w:rFonts w:ascii="Arial Narrow" w:hAnsi="Arial Narrow"/>
                <w:b/>
                <w:bCs/>
                <w:sz w:val="20"/>
                <w:szCs w:val="20"/>
              </w:rPr>
              <w:t>43.83 (medicine costs only)</w:t>
            </w:r>
          </w:p>
        </w:tc>
      </w:tr>
      <w:tr w:rsidR="00B45CB0" w:rsidRPr="00933708" w14:paraId="305629A5" w14:textId="77777777" w:rsidTr="00073276">
        <w:tc>
          <w:tcPr>
            <w:tcW w:w="9017" w:type="dxa"/>
            <w:gridSpan w:val="2"/>
          </w:tcPr>
          <w:p w14:paraId="50B0F93B" w14:textId="77777777" w:rsidR="00B45CB0" w:rsidRPr="00933708" w:rsidRDefault="00B45CB0" w:rsidP="00073276">
            <w:pPr>
              <w:pStyle w:val="COMTableheadingrow"/>
              <w:rPr>
                <w:lang w:val="en-AU"/>
              </w:rPr>
            </w:pPr>
            <w:r w:rsidRPr="00933708">
              <w:rPr>
                <w:lang w:val="en-AU"/>
              </w:rPr>
              <w:t>Empagliflozin</w:t>
            </w:r>
          </w:p>
        </w:tc>
      </w:tr>
      <w:tr w:rsidR="00B45CB0" w:rsidRPr="00933708" w14:paraId="7DDEC43D" w14:textId="77777777" w:rsidTr="00073276">
        <w:tc>
          <w:tcPr>
            <w:tcW w:w="3823" w:type="dxa"/>
          </w:tcPr>
          <w:p w14:paraId="74887747" w14:textId="77777777" w:rsidR="00B45CB0" w:rsidRPr="00933708" w:rsidRDefault="00B45CB0" w:rsidP="00073276">
            <w:pPr>
              <w:keepNext/>
              <w:rPr>
                <w:rFonts w:ascii="Arial Narrow" w:hAnsi="Arial Narrow"/>
                <w:b/>
                <w:bCs/>
                <w:sz w:val="20"/>
                <w:szCs w:val="20"/>
              </w:rPr>
            </w:pPr>
            <w:r w:rsidRPr="00933708">
              <w:rPr>
                <w:rFonts w:ascii="Arial Narrow" w:hAnsi="Arial Narrow"/>
                <w:b/>
                <w:bCs/>
                <w:sz w:val="20"/>
                <w:szCs w:val="20"/>
              </w:rPr>
              <w:t>Total cost of treatment</w:t>
            </w:r>
          </w:p>
        </w:tc>
        <w:tc>
          <w:tcPr>
            <w:tcW w:w="5194" w:type="dxa"/>
          </w:tcPr>
          <w:p w14:paraId="3254E4EA" w14:textId="6529C0AC" w:rsidR="00B45CB0" w:rsidRPr="00E864F0" w:rsidRDefault="00B45CB0" w:rsidP="00073276">
            <w:pPr>
              <w:keepNext/>
              <w:jc w:val="center"/>
              <w:rPr>
                <w:rFonts w:ascii="Arial Narrow" w:hAnsi="Arial Narrow"/>
                <w:b/>
                <w:bCs/>
                <w:sz w:val="20"/>
                <w:szCs w:val="20"/>
              </w:rPr>
            </w:pPr>
            <w:r w:rsidRPr="00E864F0">
              <w:rPr>
                <w:rFonts w:ascii="Arial Narrow" w:hAnsi="Arial Narrow"/>
                <w:b/>
                <w:bCs/>
                <w:sz w:val="20"/>
                <w:szCs w:val="20"/>
              </w:rPr>
              <w:t>$633.40</w:t>
            </w:r>
            <w:r w:rsidR="00761465" w:rsidRPr="00E864F0">
              <w:rPr>
                <w:rFonts w:ascii="Arial Narrow" w:hAnsi="Arial Narrow"/>
                <w:b/>
                <w:bCs/>
                <w:sz w:val="20"/>
                <w:szCs w:val="20"/>
              </w:rPr>
              <w:t xml:space="preserve"> </w:t>
            </w:r>
          </w:p>
        </w:tc>
      </w:tr>
      <w:tr w:rsidR="00B45CB0" w:rsidRPr="00933708" w14:paraId="36F7CC2E" w14:textId="77777777" w:rsidTr="00073276">
        <w:tc>
          <w:tcPr>
            <w:tcW w:w="3823" w:type="dxa"/>
          </w:tcPr>
          <w:p w14:paraId="661B5331" w14:textId="77777777" w:rsidR="00B45CB0" w:rsidRPr="00933708" w:rsidRDefault="00B45CB0" w:rsidP="00073276">
            <w:pPr>
              <w:keepNext/>
              <w:rPr>
                <w:rFonts w:ascii="Arial Narrow" w:hAnsi="Arial Narrow"/>
                <w:sz w:val="20"/>
                <w:szCs w:val="20"/>
              </w:rPr>
            </w:pPr>
            <w:r w:rsidRPr="00933708">
              <w:rPr>
                <w:rFonts w:ascii="Arial Narrow" w:hAnsi="Arial Narrow"/>
                <w:sz w:val="20"/>
                <w:szCs w:val="20"/>
              </w:rPr>
              <w:t>Cost of GP visits for prescribing</w:t>
            </w:r>
          </w:p>
        </w:tc>
        <w:tc>
          <w:tcPr>
            <w:tcW w:w="5194" w:type="dxa"/>
          </w:tcPr>
          <w:p w14:paraId="41536288" w14:textId="77777777" w:rsidR="00B45CB0" w:rsidRPr="00E864F0" w:rsidRDefault="00B45CB0" w:rsidP="00073276">
            <w:pPr>
              <w:keepNext/>
              <w:jc w:val="center"/>
              <w:rPr>
                <w:rFonts w:ascii="Arial Narrow" w:hAnsi="Arial Narrow"/>
                <w:sz w:val="20"/>
                <w:szCs w:val="20"/>
              </w:rPr>
            </w:pPr>
            <w:r w:rsidRPr="00E864F0">
              <w:rPr>
                <w:rFonts w:ascii="Arial Narrow" w:hAnsi="Arial Narrow"/>
                <w:sz w:val="20"/>
                <w:szCs w:val="20"/>
              </w:rPr>
              <w:t>$41.20 (MBS item #23)</w:t>
            </w:r>
          </w:p>
        </w:tc>
      </w:tr>
      <w:tr w:rsidR="00B45CB0" w:rsidRPr="00933708" w14:paraId="2F78B54C" w14:textId="77777777" w:rsidTr="00073276">
        <w:tc>
          <w:tcPr>
            <w:tcW w:w="3823" w:type="dxa"/>
            <w:vAlign w:val="center"/>
          </w:tcPr>
          <w:p w14:paraId="5B60D335" w14:textId="77777777" w:rsidR="00B45CB0" w:rsidRPr="00933708" w:rsidRDefault="00B45CB0" w:rsidP="00073276">
            <w:pPr>
              <w:keepNext/>
              <w:jc w:val="left"/>
              <w:rPr>
                <w:rFonts w:ascii="Arial Narrow" w:hAnsi="Arial Narrow"/>
                <w:sz w:val="20"/>
                <w:szCs w:val="20"/>
              </w:rPr>
            </w:pPr>
            <w:r w:rsidRPr="00933708">
              <w:rPr>
                <w:rFonts w:ascii="Arial Narrow" w:hAnsi="Arial Narrow"/>
                <w:sz w:val="20"/>
                <w:szCs w:val="20"/>
              </w:rPr>
              <w:t>GP visits per year</w:t>
            </w:r>
          </w:p>
        </w:tc>
        <w:tc>
          <w:tcPr>
            <w:tcW w:w="5194" w:type="dxa"/>
          </w:tcPr>
          <w:p w14:paraId="2C937192" w14:textId="77777777" w:rsidR="00B45CB0" w:rsidRPr="00E864F0" w:rsidRDefault="00B45CB0" w:rsidP="00073276">
            <w:pPr>
              <w:keepNext/>
              <w:jc w:val="center"/>
              <w:rPr>
                <w:rFonts w:ascii="Arial Narrow" w:hAnsi="Arial Narrow"/>
                <w:sz w:val="20"/>
                <w:szCs w:val="20"/>
              </w:rPr>
            </w:pPr>
            <w:r w:rsidRPr="00E864F0">
              <w:rPr>
                <w:rFonts w:ascii="Arial Narrow" w:hAnsi="Arial Narrow"/>
                <w:sz w:val="20"/>
                <w:szCs w:val="20"/>
              </w:rPr>
              <w:t>2.029 (=365.25/[30 days × 6 scripts (1 initial &amp; 5 repeats)])</w:t>
            </w:r>
          </w:p>
        </w:tc>
      </w:tr>
      <w:tr w:rsidR="00B45CB0" w:rsidRPr="00933708" w14:paraId="383638B6" w14:textId="77777777" w:rsidTr="00073276">
        <w:tc>
          <w:tcPr>
            <w:tcW w:w="3823" w:type="dxa"/>
          </w:tcPr>
          <w:p w14:paraId="44CFF47C" w14:textId="77777777" w:rsidR="00B45CB0" w:rsidRPr="00933708" w:rsidRDefault="00B45CB0" w:rsidP="00073276">
            <w:pPr>
              <w:keepNext/>
              <w:rPr>
                <w:rFonts w:ascii="Arial Narrow" w:hAnsi="Arial Narrow"/>
                <w:sz w:val="20"/>
                <w:szCs w:val="20"/>
              </w:rPr>
            </w:pPr>
            <w:r w:rsidRPr="00933708">
              <w:rPr>
                <w:rFonts w:ascii="Arial Narrow" w:hAnsi="Arial Narrow"/>
                <w:sz w:val="20"/>
                <w:szCs w:val="20"/>
              </w:rPr>
              <w:t>Total cost of GP visits</w:t>
            </w:r>
          </w:p>
        </w:tc>
        <w:tc>
          <w:tcPr>
            <w:tcW w:w="5194" w:type="dxa"/>
          </w:tcPr>
          <w:p w14:paraId="78E304A5" w14:textId="77777777" w:rsidR="00B45CB0" w:rsidRPr="00E864F0" w:rsidRDefault="00B45CB0" w:rsidP="00073276">
            <w:pPr>
              <w:keepNext/>
              <w:jc w:val="center"/>
              <w:rPr>
                <w:rFonts w:ascii="Arial Narrow" w:hAnsi="Arial Narrow"/>
                <w:sz w:val="20"/>
                <w:szCs w:val="20"/>
              </w:rPr>
            </w:pPr>
            <w:r w:rsidRPr="00E864F0">
              <w:rPr>
                <w:rFonts w:ascii="Arial Narrow" w:hAnsi="Arial Narrow"/>
                <w:sz w:val="20"/>
                <w:szCs w:val="20"/>
              </w:rPr>
              <w:t>$83.60 (=$41.20×2.029)</w:t>
            </w:r>
          </w:p>
        </w:tc>
      </w:tr>
      <w:tr w:rsidR="00B45CB0" w:rsidRPr="00933708" w14:paraId="58D036E9" w14:textId="77777777" w:rsidTr="00073276">
        <w:tc>
          <w:tcPr>
            <w:tcW w:w="3823" w:type="dxa"/>
          </w:tcPr>
          <w:p w14:paraId="132A60E2" w14:textId="77777777" w:rsidR="00B45CB0" w:rsidRPr="00933708" w:rsidRDefault="00B45CB0" w:rsidP="00073276">
            <w:pPr>
              <w:keepNext/>
              <w:rPr>
                <w:rFonts w:ascii="Arial Narrow" w:hAnsi="Arial Narrow"/>
                <w:sz w:val="20"/>
                <w:szCs w:val="20"/>
              </w:rPr>
            </w:pPr>
            <w:r w:rsidRPr="00933708">
              <w:rPr>
                <w:rFonts w:ascii="Arial Narrow" w:hAnsi="Arial Narrow"/>
                <w:sz w:val="20"/>
                <w:szCs w:val="20"/>
              </w:rPr>
              <w:t>Total cost of medicine</w:t>
            </w:r>
          </w:p>
        </w:tc>
        <w:tc>
          <w:tcPr>
            <w:tcW w:w="5194" w:type="dxa"/>
          </w:tcPr>
          <w:p w14:paraId="5BD36B82" w14:textId="3951494F" w:rsidR="00B45CB0" w:rsidRPr="00E864F0" w:rsidRDefault="00B45CB0" w:rsidP="00073276">
            <w:pPr>
              <w:keepNext/>
              <w:jc w:val="center"/>
              <w:rPr>
                <w:rFonts w:ascii="Arial Narrow" w:hAnsi="Arial Narrow"/>
                <w:sz w:val="20"/>
                <w:szCs w:val="20"/>
              </w:rPr>
            </w:pPr>
            <w:r w:rsidRPr="00E864F0">
              <w:rPr>
                <w:rFonts w:ascii="Arial Narrow" w:hAnsi="Arial Narrow"/>
                <w:sz w:val="20"/>
                <w:szCs w:val="20"/>
              </w:rPr>
              <w:t>$549.80</w:t>
            </w:r>
            <w:r w:rsidR="00761465" w:rsidRPr="00E864F0">
              <w:rPr>
                <w:rFonts w:ascii="Arial Narrow" w:hAnsi="Arial Narrow"/>
                <w:sz w:val="20"/>
                <w:szCs w:val="20"/>
              </w:rPr>
              <w:t xml:space="preserve"> </w:t>
            </w:r>
            <w:r w:rsidRPr="00E864F0">
              <w:rPr>
                <w:rFonts w:ascii="Arial Narrow" w:hAnsi="Arial Narrow"/>
                <w:sz w:val="20"/>
                <w:szCs w:val="20"/>
              </w:rPr>
              <w:t xml:space="preserve"> (=$633.40</w:t>
            </w:r>
            <w:r w:rsidR="00761465" w:rsidRPr="00E864F0">
              <w:rPr>
                <w:rFonts w:ascii="Arial Narrow" w:hAnsi="Arial Narrow"/>
                <w:sz w:val="20"/>
                <w:szCs w:val="20"/>
              </w:rPr>
              <w:t xml:space="preserve"> </w:t>
            </w:r>
            <w:r w:rsidRPr="00E864F0">
              <w:rPr>
                <w:rFonts w:ascii="Arial Narrow" w:hAnsi="Arial Narrow" w:cs="Calibri"/>
                <w:sz w:val="20"/>
                <w:szCs w:val="20"/>
              </w:rPr>
              <w:t>-</w:t>
            </w:r>
            <w:r w:rsidRPr="00E864F0">
              <w:rPr>
                <w:rFonts w:ascii="Arial Narrow" w:hAnsi="Arial Narrow"/>
                <w:sz w:val="20"/>
                <w:szCs w:val="20"/>
              </w:rPr>
              <w:t>$83.60)</w:t>
            </w:r>
          </w:p>
        </w:tc>
      </w:tr>
      <w:tr w:rsidR="00B45CB0" w:rsidRPr="00933708" w14:paraId="6E426FA3" w14:textId="77777777" w:rsidTr="00073276">
        <w:tc>
          <w:tcPr>
            <w:tcW w:w="3823" w:type="dxa"/>
          </w:tcPr>
          <w:p w14:paraId="46D77CEF" w14:textId="77777777" w:rsidR="00B45CB0" w:rsidRPr="00933708" w:rsidRDefault="00B45CB0" w:rsidP="00073276">
            <w:pPr>
              <w:keepNext/>
              <w:rPr>
                <w:rFonts w:ascii="Arial Narrow" w:hAnsi="Arial Narrow"/>
                <w:sz w:val="20"/>
                <w:szCs w:val="20"/>
              </w:rPr>
            </w:pPr>
            <w:r w:rsidRPr="00933708">
              <w:rPr>
                <w:rFonts w:ascii="Arial Narrow" w:hAnsi="Arial Narrow"/>
                <w:sz w:val="20"/>
                <w:szCs w:val="20"/>
              </w:rPr>
              <w:t>Prescriptions per year</w:t>
            </w:r>
          </w:p>
        </w:tc>
        <w:tc>
          <w:tcPr>
            <w:tcW w:w="5194" w:type="dxa"/>
          </w:tcPr>
          <w:p w14:paraId="53E0B311" w14:textId="1832DDD5" w:rsidR="00B45CB0" w:rsidRPr="00E864F0" w:rsidRDefault="00B45CB0" w:rsidP="00073276">
            <w:pPr>
              <w:keepNext/>
              <w:jc w:val="center"/>
              <w:rPr>
                <w:rFonts w:ascii="Arial Narrow" w:hAnsi="Arial Narrow"/>
                <w:sz w:val="20"/>
                <w:szCs w:val="20"/>
              </w:rPr>
            </w:pPr>
            <w:r w:rsidRPr="00E864F0">
              <w:rPr>
                <w:rFonts w:ascii="Arial Narrow" w:hAnsi="Arial Narrow"/>
                <w:sz w:val="20"/>
                <w:szCs w:val="20"/>
              </w:rPr>
              <w:t>12.175</w:t>
            </w:r>
            <w:r w:rsidR="00761465" w:rsidRPr="00E864F0">
              <w:rPr>
                <w:rFonts w:ascii="Arial Narrow" w:hAnsi="Arial Narrow"/>
                <w:sz w:val="20"/>
                <w:szCs w:val="20"/>
              </w:rPr>
              <w:t xml:space="preserve"> </w:t>
            </w:r>
            <w:r w:rsidRPr="00E864F0">
              <w:rPr>
                <w:rFonts w:ascii="Arial Narrow" w:hAnsi="Arial Narrow"/>
                <w:sz w:val="20"/>
                <w:szCs w:val="20"/>
              </w:rPr>
              <w:t xml:space="preserve"> (=365.25</w:t>
            </w:r>
            <w:r w:rsidR="00276BE5" w:rsidRPr="00E864F0">
              <w:rPr>
                <w:rFonts w:ascii="Arial Narrow" w:hAnsi="Arial Narrow"/>
                <w:sz w:val="20"/>
                <w:szCs w:val="20"/>
              </w:rPr>
              <w:t xml:space="preserve"> </w:t>
            </w:r>
            <w:r w:rsidRPr="00E864F0">
              <w:rPr>
                <w:rFonts w:ascii="Arial Narrow" w:hAnsi="Arial Narrow"/>
                <w:sz w:val="20"/>
                <w:szCs w:val="20"/>
              </w:rPr>
              <w:t>/30 days per script)</w:t>
            </w:r>
          </w:p>
        </w:tc>
      </w:tr>
      <w:tr w:rsidR="00741623" w:rsidRPr="00933708" w14:paraId="3E491671" w14:textId="77777777" w:rsidTr="00073276">
        <w:tc>
          <w:tcPr>
            <w:tcW w:w="3823" w:type="dxa"/>
          </w:tcPr>
          <w:p w14:paraId="47F594D0" w14:textId="780EA95C" w:rsidR="00741623" w:rsidRPr="00933708" w:rsidRDefault="00741623" w:rsidP="00741623">
            <w:pPr>
              <w:keepNext/>
              <w:rPr>
                <w:rFonts w:ascii="Arial Narrow" w:hAnsi="Arial Narrow"/>
                <w:sz w:val="20"/>
                <w:szCs w:val="20"/>
              </w:rPr>
            </w:pPr>
            <w:r w:rsidRPr="00933708">
              <w:rPr>
                <w:rFonts w:ascii="Arial Narrow" w:hAnsi="Arial Narrow"/>
                <w:b/>
                <w:bCs/>
                <w:sz w:val="20"/>
                <w:szCs w:val="20"/>
              </w:rPr>
              <w:t>Derived AEMP</w:t>
            </w:r>
          </w:p>
        </w:tc>
        <w:tc>
          <w:tcPr>
            <w:tcW w:w="5194" w:type="dxa"/>
          </w:tcPr>
          <w:p w14:paraId="335AD278" w14:textId="5B5A4DBD" w:rsidR="00741623" w:rsidRPr="00E864F0" w:rsidRDefault="00741623" w:rsidP="00741623">
            <w:pPr>
              <w:keepNext/>
              <w:jc w:val="center"/>
              <w:rPr>
                <w:rFonts w:ascii="Arial Narrow" w:hAnsi="Arial Narrow"/>
                <w:sz w:val="20"/>
                <w:szCs w:val="20"/>
              </w:rPr>
            </w:pPr>
            <w:r w:rsidRPr="00E864F0">
              <w:rPr>
                <w:rFonts w:ascii="Arial Narrow" w:hAnsi="Arial Narrow"/>
                <w:b/>
                <w:bCs/>
                <w:sz w:val="20"/>
                <w:szCs w:val="20"/>
              </w:rPr>
              <w:t>$45.16(=$549.80</w:t>
            </w:r>
            <w:r w:rsidR="00276BE5" w:rsidRPr="00E864F0">
              <w:rPr>
                <w:rFonts w:ascii="Arial Narrow" w:hAnsi="Arial Narrow"/>
                <w:b/>
                <w:bCs/>
                <w:sz w:val="20"/>
                <w:szCs w:val="20"/>
              </w:rPr>
              <w:t xml:space="preserve"> </w:t>
            </w:r>
            <w:r w:rsidRPr="00E864F0">
              <w:rPr>
                <w:rFonts w:ascii="Arial Narrow" w:hAnsi="Arial Narrow"/>
                <w:b/>
                <w:bCs/>
                <w:sz w:val="20"/>
                <w:szCs w:val="20"/>
              </w:rPr>
              <w:t>/12.175)</w:t>
            </w:r>
          </w:p>
        </w:tc>
      </w:tr>
      <w:tr w:rsidR="00741623" w:rsidRPr="00933708" w14:paraId="2DB96FB7" w14:textId="77777777" w:rsidTr="00073276">
        <w:tc>
          <w:tcPr>
            <w:tcW w:w="3823" w:type="dxa"/>
          </w:tcPr>
          <w:p w14:paraId="503163E1" w14:textId="2E3C92F2" w:rsidR="00741623" w:rsidRPr="00933708" w:rsidRDefault="00741623" w:rsidP="00741623">
            <w:pPr>
              <w:keepNext/>
              <w:rPr>
                <w:rFonts w:ascii="Arial Narrow" w:hAnsi="Arial Narrow"/>
                <w:sz w:val="20"/>
                <w:szCs w:val="20"/>
              </w:rPr>
            </w:pPr>
            <w:r w:rsidRPr="00933708">
              <w:rPr>
                <w:rFonts w:ascii="Arial Narrow" w:hAnsi="Arial Narrow"/>
                <w:b/>
                <w:bCs/>
                <w:sz w:val="20"/>
                <w:szCs w:val="20"/>
              </w:rPr>
              <w:t>Derived AEMP without GP visits</w:t>
            </w:r>
          </w:p>
        </w:tc>
        <w:tc>
          <w:tcPr>
            <w:tcW w:w="5194" w:type="dxa"/>
          </w:tcPr>
          <w:p w14:paraId="11D183C9" w14:textId="6F0E7DA4" w:rsidR="00741623" w:rsidRPr="00E864F0" w:rsidRDefault="00741623" w:rsidP="00741623">
            <w:pPr>
              <w:keepNext/>
              <w:jc w:val="center"/>
              <w:rPr>
                <w:rFonts w:ascii="Arial Narrow" w:hAnsi="Arial Narrow"/>
                <w:sz w:val="20"/>
                <w:szCs w:val="20"/>
              </w:rPr>
            </w:pPr>
            <w:r w:rsidRPr="00E864F0">
              <w:rPr>
                <w:rFonts w:ascii="Arial Narrow" w:hAnsi="Arial Narrow"/>
                <w:b/>
                <w:bCs/>
                <w:sz w:val="20"/>
                <w:szCs w:val="20"/>
              </w:rPr>
              <w:t xml:space="preserve">$44.67 </w:t>
            </w:r>
            <w:r w:rsidR="00D52143" w:rsidRPr="00E864F0">
              <w:rPr>
                <w:rFonts w:ascii="Arial Narrow" w:hAnsi="Arial Narrow"/>
                <w:b/>
                <w:bCs/>
                <w:sz w:val="20"/>
                <w:szCs w:val="20"/>
                <w:vertAlign w:val="superscript"/>
              </w:rPr>
              <w:t>1</w:t>
            </w:r>
            <w:r w:rsidRPr="00E864F0">
              <w:rPr>
                <w:rFonts w:ascii="Arial Narrow" w:hAnsi="Arial Narrow"/>
                <w:b/>
                <w:bCs/>
                <w:sz w:val="20"/>
                <w:szCs w:val="20"/>
              </w:rPr>
              <w:t>(=$543.83/12.175)</w:t>
            </w:r>
          </w:p>
        </w:tc>
      </w:tr>
    </w:tbl>
    <w:p w14:paraId="372FC6C5" w14:textId="77777777" w:rsidR="00B45CB0" w:rsidRPr="00933708" w:rsidRDefault="00B45CB0" w:rsidP="00B45CB0">
      <w:pPr>
        <w:pStyle w:val="COMTablefooter"/>
      </w:pPr>
      <w:r w:rsidRPr="00933708">
        <w:t>Source: Table 2A.4, p342 of the submission, modified during the evaluation to conform with current dispensing durations and with MBS Item 23 costs at 1 July 2023.</w:t>
      </w:r>
    </w:p>
    <w:p w14:paraId="3EE947A3" w14:textId="710E6D0B" w:rsidR="00B45CB0" w:rsidRDefault="00B45CB0" w:rsidP="00B45CB0">
      <w:pPr>
        <w:pStyle w:val="COMTablefooter"/>
      </w:pPr>
      <w:r w:rsidRPr="00933708">
        <w:t>Abbreviations: AEMP, approved ex-manufacturer price; GP, general practitioner</w:t>
      </w:r>
    </w:p>
    <w:p w14:paraId="17309058" w14:textId="1C411240" w:rsidR="006F1E32" w:rsidRPr="00933708" w:rsidRDefault="006F1E32" w:rsidP="007C4C88">
      <w:pPr>
        <w:pStyle w:val="ListParagraph"/>
        <w:numPr>
          <w:ilvl w:val="1"/>
          <w:numId w:val="1"/>
        </w:numPr>
        <w:ind w:left="720" w:hanging="720"/>
        <w:rPr>
          <w:color w:val="0066FF"/>
        </w:rPr>
      </w:pPr>
      <w:r w:rsidRPr="00933708">
        <w:t>The AEMP for empagliflozin derived from the submission’s cost-minimisation approach using 60 day dispensing ($) was not consistent with the AEMP proposed in Section 1 of the submission and used in the submission’s cost-utility analysis and financial estimates ($89.32, which is the AEMP for a 30 day prescription ($44.66) multiplied by 2), or the current AEMP ($44.66) for other empagliflozin PBS listings. The AEMP for empagliflozin derived during the evaluation ($45.16), using the submission’s cost-minimisation approach with 30 day dispensing instead of 60 day dispensing, was also inconsistent with the AEMP of $44.66.</w:t>
      </w:r>
      <w:r w:rsidR="00874DD2" w:rsidRPr="00933708">
        <w:t xml:space="preserve"> Without consideration of GP visits, the cost-minimised price of empagliflozin was consistent with the existing AEMP</w:t>
      </w:r>
      <w:r w:rsidR="00FB7E30" w:rsidRPr="00933708">
        <w:t>.</w:t>
      </w:r>
      <w:r w:rsidR="00B10E2C" w:rsidRPr="00933708">
        <w:t xml:space="preserve"> </w:t>
      </w:r>
      <w:r w:rsidR="00FB7E30" w:rsidRPr="00933708">
        <w:rPr>
          <w:iCs/>
        </w:rPr>
        <w:t>The</w:t>
      </w:r>
      <w:r w:rsidR="00B10E2C" w:rsidRPr="00933708">
        <w:rPr>
          <w:iCs/>
        </w:rPr>
        <w:t xml:space="preserve"> ESC considered </w:t>
      </w:r>
      <w:r w:rsidR="00FB7E30" w:rsidRPr="00933708">
        <w:rPr>
          <w:iCs/>
        </w:rPr>
        <w:t>the approach without GP visits was consistent with previous CMA decisions for the SGLT2 inhibitors in other indications and was the most appropriate</w:t>
      </w:r>
      <w:r w:rsidR="00C45983" w:rsidRPr="00933708">
        <w:rPr>
          <w:iCs/>
        </w:rPr>
        <w:t xml:space="preserve"> option</w:t>
      </w:r>
      <w:r w:rsidR="00874DD2" w:rsidRPr="00933708">
        <w:t>.</w:t>
      </w:r>
    </w:p>
    <w:p w14:paraId="24E64BFB" w14:textId="254152E8" w:rsidR="00205C12" w:rsidRPr="00933708" w:rsidRDefault="00FC6853" w:rsidP="00AD44F3">
      <w:pPr>
        <w:pStyle w:val="COMH3"/>
        <w:spacing w:after="120"/>
        <w:rPr>
          <w:i/>
          <w:iCs w:val="0"/>
          <w:color w:val="0066FF"/>
          <w:sz w:val="24"/>
          <w:szCs w:val="22"/>
        </w:rPr>
      </w:pPr>
      <w:r w:rsidRPr="00933708">
        <w:rPr>
          <w:i/>
          <w:iCs w:val="0"/>
          <w:sz w:val="24"/>
          <w:szCs w:val="22"/>
        </w:rPr>
        <w:t>Cost utility approach</w:t>
      </w:r>
    </w:p>
    <w:p w14:paraId="30AAC8DA" w14:textId="77777777" w:rsidR="00106936" w:rsidRPr="00933708" w:rsidRDefault="00C900D1" w:rsidP="007C4C88">
      <w:pPr>
        <w:pStyle w:val="ListParagraph"/>
        <w:numPr>
          <w:ilvl w:val="1"/>
          <w:numId w:val="1"/>
        </w:numPr>
        <w:ind w:left="720" w:hanging="720"/>
      </w:pPr>
      <w:r w:rsidRPr="00933708">
        <w:t>The submission presented a modelled economic evaluation of empagliflozin plus standard care versus standard care alone</w:t>
      </w:r>
      <w:r w:rsidR="009E3CF5" w:rsidRPr="00933708">
        <w:t xml:space="preserve"> based </w:t>
      </w:r>
      <w:r w:rsidR="00227E5D" w:rsidRPr="00933708">
        <w:t xml:space="preserve">on clinical data from the overall </w:t>
      </w:r>
      <w:r w:rsidRPr="00933708">
        <w:t>EMPA-KIDNEY population</w:t>
      </w:r>
      <w:r w:rsidR="00227E5D" w:rsidRPr="00933708">
        <w:t xml:space="preserve">, </w:t>
      </w:r>
      <w:r w:rsidRPr="00933708">
        <w:t xml:space="preserve">with additional modelled data. </w:t>
      </w:r>
    </w:p>
    <w:p w14:paraId="03D555E4" w14:textId="5747D08E" w:rsidR="008C0203" w:rsidRPr="00933708" w:rsidRDefault="005708C4" w:rsidP="007C4C88">
      <w:pPr>
        <w:pStyle w:val="ListParagraph"/>
        <w:numPr>
          <w:ilvl w:val="1"/>
          <w:numId w:val="1"/>
        </w:numPr>
        <w:ind w:left="720" w:hanging="720"/>
      </w:pPr>
      <w:r w:rsidRPr="00933708">
        <w:t xml:space="preserve">The submission also presented a </w:t>
      </w:r>
      <w:r w:rsidR="001E5464" w:rsidRPr="00933708">
        <w:t>scenario</w:t>
      </w:r>
      <w:r w:rsidRPr="00933708">
        <w:t xml:space="preserve"> analysis</w:t>
      </w:r>
      <w:r w:rsidR="00FC401F" w:rsidRPr="00933708">
        <w:t xml:space="preserve"> using modelled baseline characteristics of the incremental population</w:t>
      </w:r>
      <w:r w:rsidR="00497BB1" w:rsidRPr="00933708">
        <w:t xml:space="preserve">, based on </w:t>
      </w:r>
      <w:r w:rsidR="008C0203" w:rsidRPr="00933708">
        <w:t xml:space="preserve">clinical data from the overall EMPA-KIDNEY population, with additional modelled data. </w:t>
      </w:r>
    </w:p>
    <w:p w14:paraId="34783988" w14:textId="09A99F9F" w:rsidR="00C900D1" w:rsidRPr="00933708" w:rsidRDefault="00C900D1" w:rsidP="007C4C88">
      <w:pPr>
        <w:pStyle w:val="ListParagraph"/>
        <w:numPr>
          <w:ilvl w:val="1"/>
          <w:numId w:val="1"/>
        </w:numPr>
        <w:ind w:left="720" w:hanging="720"/>
      </w:pPr>
      <w:r w:rsidRPr="00933708">
        <w:t>The economic evaluation</w:t>
      </w:r>
      <w:r w:rsidR="00106936" w:rsidRPr="00933708">
        <w:t>s</w:t>
      </w:r>
      <w:r w:rsidRPr="00933708">
        <w:t xml:space="preserve"> </w:t>
      </w:r>
      <w:r w:rsidR="00106936" w:rsidRPr="00933708">
        <w:t xml:space="preserve">were </w:t>
      </w:r>
      <w:r w:rsidRPr="00933708">
        <w:t xml:space="preserve">presented </w:t>
      </w:r>
      <w:r w:rsidR="005708C4" w:rsidRPr="00933708">
        <w:t>as</w:t>
      </w:r>
      <w:r w:rsidRPr="00933708">
        <w:t xml:space="preserve"> cost-</w:t>
      </w:r>
      <w:r w:rsidR="005708C4" w:rsidRPr="00933708">
        <w:t>effectiveness/cost-</w:t>
      </w:r>
      <w:r w:rsidRPr="00933708">
        <w:t>utility analys</w:t>
      </w:r>
      <w:r w:rsidR="00406E89" w:rsidRPr="00933708">
        <w:t>e</w:t>
      </w:r>
      <w:r w:rsidRPr="00933708">
        <w:t>s.</w:t>
      </w:r>
    </w:p>
    <w:p w14:paraId="44324403" w14:textId="6C492662" w:rsidR="00E23F18" w:rsidRPr="00933708" w:rsidRDefault="00EF2C40" w:rsidP="007C4C88">
      <w:pPr>
        <w:pStyle w:val="ListParagraph"/>
        <w:numPr>
          <w:ilvl w:val="1"/>
          <w:numId w:val="1"/>
        </w:numPr>
        <w:ind w:left="720" w:hanging="720"/>
      </w:pPr>
      <w:r w:rsidRPr="00933708">
        <w:fldChar w:fldCharType="begin"/>
      </w:r>
      <w:r w:rsidRPr="00933708">
        <w:instrText xml:space="preserve"> REF _Ref144641709 \h </w:instrText>
      </w:r>
      <w:r w:rsidR="007C4C88" w:rsidRPr="00933708">
        <w:instrText xml:space="preserve"> \* MERGEFORMAT </w:instrText>
      </w:r>
      <w:r w:rsidRPr="00933708">
        <w:fldChar w:fldCharType="separate"/>
      </w:r>
      <w:r w:rsidR="00D5135E" w:rsidRPr="00933708">
        <w:t xml:space="preserve">Table </w:t>
      </w:r>
      <w:r w:rsidR="00D5135E">
        <w:t>11</w:t>
      </w:r>
      <w:r w:rsidRPr="00933708">
        <w:fldChar w:fldCharType="end"/>
      </w:r>
      <w:r w:rsidRPr="00933708">
        <w:t xml:space="preserve"> presents the key components of the economic evaluation.</w:t>
      </w:r>
    </w:p>
    <w:p w14:paraId="15A9AFA4" w14:textId="2C785737" w:rsidR="00275C5A" w:rsidRPr="00933708" w:rsidRDefault="00E16AD8" w:rsidP="004A1A23">
      <w:pPr>
        <w:pStyle w:val="COMtablefigcaption"/>
        <w:keepLines/>
      </w:pPr>
      <w:bookmarkStart w:id="53" w:name="_Ref144641709"/>
      <w:r w:rsidRPr="00933708">
        <w:lastRenderedPageBreak/>
        <w:t xml:space="preserve">Table </w:t>
      </w:r>
      <w:r w:rsidR="00D5135E">
        <w:fldChar w:fldCharType="begin"/>
      </w:r>
      <w:r w:rsidR="00D5135E">
        <w:instrText xml:space="preserve"> SEQ Table \* ARABIC </w:instrText>
      </w:r>
      <w:r w:rsidR="00D5135E">
        <w:fldChar w:fldCharType="separate"/>
      </w:r>
      <w:r w:rsidR="00D5135E">
        <w:rPr>
          <w:noProof/>
        </w:rPr>
        <w:t>11</w:t>
      </w:r>
      <w:r w:rsidR="00D5135E">
        <w:rPr>
          <w:noProof/>
        </w:rPr>
        <w:fldChar w:fldCharType="end"/>
      </w:r>
      <w:bookmarkEnd w:id="53"/>
      <w:r w:rsidRPr="00933708">
        <w:t>:</w:t>
      </w:r>
      <w:r w:rsidR="00275C5A" w:rsidRPr="00933708">
        <w:t xml:space="preserve"> </w:t>
      </w:r>
      <w:r w:rsidR="00EF2C40" w:rsidRPr="00933708">
        <w:t>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14"/>
        <w:gridCol w:w="7603"/>
      </w:tblGrid>
      <w:tr w:rsidR="00275C5A" w:rsidRPr="00933708" w14:paraId="48BB958D" w14:textId="77777777" w:rsidTr="00EA033C">
        <w:trPr>
          <w:tblHeader/>
        </w:trPr>
        <w:tc>
          <w:tcPr>
            <w:tcW w:w="784" w:type="pct"/>
            <w:shd w:val="clear" w:color="auto" w:fill="auto"/>
            <w:vAlign w:val="center"/>
          </w:tcPr>
          <w:p w14:paraId="29C3D629" w14:textId="77777777" w:rsidR="00275C5A" w:rsidRPr="00933708" w:rsidRDefault="00275C5A" w:rsidP="004A1A23">
            <w:pPr>
              <w:pStyle w:val="COMTableheadingrow"/>
              <w:keepLines/>
              <w:rPr>
                <w:lang w:val="en-AU"/>
              </w:rPr>
            </w:pPr>
            <w:r w:rsidRPr="00933708">
              <w:rPr>
                <w:lang w:val="en-AU"/>
              </w:rPr>
              <w:t>Component</w:t>
            </w:r>
          </w:p>
        </w:tc>
        <w:tc>
          <w:tcPr>
            <w:tcW w:w="4216" w:type="pct"/>
            <w:shd w:val="clear" w:color="auto" w:fill="auto"/>
            <w:vAlign w:val="center"/>
          </w:tcPr>
          <w:p w14:paraId="58FBA37B" w14:textId="77777777" w:rsidR="00275C5A" w:rsidRPr="00933708" w:rsidRDefault="00275C5A" w:rsidP="004A1A23">
            <w:pPr>
              <w:pStyle w:val="COMTableheadingrow"/>
              <w:keepLines/>
              <w:rPr>
                <w:lang w:val="en-AU"/>
              </w:rPr>
            </w:pPr>
            <w:r w:rsidRPr="00933708">
              <w:rPr>
                <w:lang w:val="en-AU"/>
              </w:rPr>
              <w:t>Summary</w:t>
            </w:r>
          </w:p>
        </w:tc>
      </w:tr>
      <w:tr w:rsidR="000A6039" w:rsidRPr="00933708" w14:paraId="7476B2FD" w14:textId="77777777" w:rsidTr="00EA033C">
        <w:tc>
          <w:tcPr>
            <w:tcW w:w="784" w:type="pct"/>
            <w:shd w:val="clear" w:color="auto" w:fill="auto"/>
            <w:vAlign w:val="center"/>
          </w:tcPr>
          <w:p w14:paraId="5FA8442E" w14:textId="27CD0EEA" w:rsidR="000A6039" w:rsidRPr="00933708" w:rsidRDefault="000A6039" w:rsidP="004A1A23">
            <w:pPr>
              <w:pStyle w:val="COMTabletext"/>
              <w:keepLines/>
            </w:pPr>
            <w:r w:rsidRPr="00933708">
              <w:t>Treatments</w:t>
            </w:r>
          </w:p>
        </w:tc>
        <w:tc>
          <w:tcPr>
            <w:tcW w:w="4216" w:type="pct"/>
            <w:shd w:val="clear" w:color="auto" w:fill="auto"/>
            <w:vAlign w:val="center"/>
          </w:tcPr>
          <w:p w14:paraId="554C8AD3" w14:textId="470D54FA" w:rsidR="000A6039" w:rsidRPr="00933708" w:rsidRDefault="00FE7AD0" w:rsidP="004A1A23">
            <w:pPr>
              <w:pStyle w:val="COMTabletext"/>
              <w:keepLines/>
            </w:pPr>
            <w:r w:rsidRPr="00933708">
              <w:t>Empagliflozin</w:t>
            </w:r>
            <w:r w:rsidR="00D52793" w:rsidRPr="00933708">
              <w:t xml:space="preserve"> and placebo (both in combination with an ACE inhibitor and an ARB)</w:t>
            </w:r>
          </w:p>
        </w:tc>
      </w:tr>
      <w:tr w:rsidR="00275C5A" w:rsidRPr="00933708" w14:paraId="6A8D84D4" w14:textId="77777777" w:rsidTr="00EA033C">
        <w:tc>
          <w:tcPr>
            <w:tcW w:w="784" w:type="pct"/>
            <w:shd w:val="clear" w:color="auto" w:fill="auto"/>
            <w:vAlign w:val="center"/>
          </w:tcPr>
          <w:p w14:paraId="5F652354" w14:textId="77777777" w:rsidR="00275C5A" w:rsidRPr="00933708" w:rsidRDefault="00275C5A" w:rsidP="004A1A23">
            <w:pPr>
              <w:pStyle w:val="COMTabletext"/>
              <w:keepLines/>
            </w:pPr>
            <w:r w:rsidRPr="00933708">
              <w:t>Time horizon</w:t>
            </w:r>
          </w:p>
        </w:tc>
        <w:tc>
          <w:tcPr>
            <w:tcW w:w="4216" w:type="pct"/>
            <w:shd w:val="clear" w:color="auto" w:fill="auto"/>
            <w:vAlign w:val="center"/>
          </w:tcPr>
          <w:p w14:paraId="460936F1" w14:textId="45CC8A45" w:rsidR="00275C5A" w:rsidRPr="00933708" w:rsidRDefault="00367D00" w:rsidP="004A1A23">
            <w:pPr>
              <w:pStyle w:val="COMTabletext"/>
              <w:keepLines/>
            </w:pPr>
            <w:r w:rsidRPr="00933708">
              <w:t>20 years in the model base case versus mean follow-up of 23.9 months in EMPA-KIDNEY.</w:t>
            </w:r>
          </w:p>
        </w:tc>
      </w:tr>
      <w:tr w:rsidR="00367D00" w:rsidRPr="00933708" w14:paraId="003209BF" w14:textId="77777777" w:rsidTr="00EA033C">
        <w:tc>
          <w:tcPr>
            <w:tcW w:w="784" w:type="pct"/>
            <w:shd w:val="clear" w:color="auto" w:fill="auto"/>
            <w:vAlign w:val="center"/>
          </w:tcPr>
          <w:p w14:paraId="522DAB95" w14:textId="77777777" w:rsidR="00367D00" w:rsidRPr="00933708" w:rsidRDefault="00367D00" w:rsidP="004A1A23">
            <w:pPr>
              <w:pStyle w:val="COMTabletext"/>
              <w:keepLines/>
            </w:pPr>
            <w:r w:rsidRPr="00933708">
              <w:t>Outcomes</w:t>
            </w:r>
          </w:p>
        </w:tc>
        <w:tc>
          <w:tcPr>
            <w:tcW w:w="4216" w:type="pct"/>
            <w:shd w:val="clear" w:color="auto" w:fill="auto"/>
          </w:tcPr>
          <w:p w14:paraId="3D1C428E" w14:textId="6298AAC5" w:rsidR="00367D00" w:rsidRPr="00933708" w:rsidRDefault="00367D00" w:rsidP="004A1A23">
            <w:pPr>
              <w:pStyle w:val="COMTabletext"/>
              <w:keepLines/>
            </w:pPr>
            <w:r w:rsidRPr="00933708">
              <w:t>ESKD; CV death; life years; quality adjusted life years</w:t>
            </w:r>
          </w:p>
        </w:tc>
      </w:tr>
      <w:tr w:rsidR="00367D00" w:rsidRPr="00933708" w14:paraId="29120B3F" w14:textId="77777777" w:rsidTr="00EA033C">
        <w:tc>
          <w:tcPr>
            <w:tcW w:w="784" w:type="pct"/>
            <w:shd w:val="clear" w:color="auto" w:fill="auto"/>
            <w:vAlign w:val="center"/>
          </w:tcPr>
          <w:p w14:paraId="1AAC94CB" w14:textId="77777777" w:rsidR="00367D00" w:rsidRPr="00933708" w:rsidRDefault="00367D00" w:rsidP="00EB46FC">
            <w:pPr>
              <w:pStyle w:val="COMTabletext"/>
              <w:keepNext w:val="0"/>
            </w:pPr>
            <w:r w:rsidRPr="00933708">
              <w:t>Methods used to generate results</w:t>
            </w:r>
          </w:p>
        </w:tc>
        <w:tc>
          <w:tcPr>
            <w:tcW w:w="4216" w:type="pct"/>
            <w:shd w:val="clear" w:color="auto" w:fill="auto"/>
          </w:tcPr>
          <w:p w14:paraId="69D4F042" w14:textId="2B676C63" w:rsidR="00367D00" w:rsidRPr="00933708" w:rsidRDefault="00367D00" w:rsidP="00EB46FC">
            <w:pPr>
              <w:pStyle w:val="COMTabletext"/>
              <w:keepNext w:val="0"/>
            </w:pPr>
            <w:r w:rsidRPr="00933708">
              <w:t>Microsimulation of 1000 patients. To obtain stable results, the randomness around patient characteristics and risks were fixed to a specific seed.</w:t>
            </w:r>
          </w:p>
        </w:tc>
      </w:tr>
      <w:tr w:rsidR="00367D00" w:rsidRPr="00933708" w14:paraId="7F7ACECA" w14:textId="77777777" w:rsidTr="00EA033C">
        <w:tc>
          <w:tcPr>
            <w:tcW w:w="784" w:type="pct"/>
            <w:shd w:val="clear" w:color="auto" w:fill="auto"/>
            <w:vAlign w:val="center"/>
          </w:tcPr>
          <w:p w14:paraId="344631D3" w14:textId="77777777" w:rsidR="00367D00" w:rsidRPr="00933708" w:rsidRDefault="00367D00" w:rsidP="00EB46FC">
            <w:pPr>
              <w:pStyle w:val="COMTabletext"/>
              <w:keepNext w:val="0"/>
            </w:pPr>
            <w:r w:rsidRPr="00933708">
              <w:t>Health states</w:t>
            </w:r>
          </w:p>
        </w:tc>
        <w:tc>
          <w:tcPr>
            <w:tcW w:w="4216" w:type="pct"/>
            <w:shd w:val="clear" w:color="auto" w:fill="auto"/>
          </w:tcPr>
          <w:p w14:paraId="03F23F80" w14:textId="6ACFE56C" w:rsidR="00367D00" w:rsidRPr="00933708" w:rsidRDefault="00367D00" w:rsidP="00EB46FC">
            <w:pPr>
              <w:pStyle w:val="COMTabletext"/>
              <w:keepNext w:val="0"/>
            </w:pPr>
            <w:r w:rsidRPr="00933708">
              <w:t>15 CKD health states defined by KDIGO classification categories (G2A1 to G5A3), non-CVD, non-renal death. The model also includes a number of submodules including ESKD (including renal death), cardiovascular disease (including CVD death), acute kidney injury, hypertension, diabetes and adverse events.</w:t>
            </w:r>
          </w:p>
        </w:tc>
      </w:tr>
      <w:tr w:rsidR="00275C5A" w:rsidRPr="00933708" w14:paraId="7F944EEA" w14:textId="77777777" w:rsidTr="00EA033C">
        <w:tc>
          <w:tcPr>
            <w:tcW w:w="784" w:type="pct"/>
            <w:shd w:val="clear" w:color="auto" w:fill="auto"/>
            <w:vAlign w:val="center"/>
          </w:tcPr>
          <w:p w14:paraId="255C0B8D" w14:textId="77777777" w:rsidR="00275C5A" w:rsidRPr="00933708" w:rsidRDefault="00275C5A" w:rsidP="00EB46FC">
            <w:pPr>
              <w:pStyle w:val="COMTabletext"/>
              <w:keepNext w:val="0"/>
            </w:pPr>
            <w:r w:rsidRPr="00933708">
              <w:t>Cycle length</w:t>
            </w:r>
          </w:p>
        </w:tc>
        <w:tc>
          <w:tcPr>
            <w:tcW w:w="4216" w:type="pct"/>
            <w:shd w:val="clear" w:color="auto" w:fill="auto"/>
            <w:vAlign w:val="center"/>
          </w:tcPr>
          <w:p w14:paraId="5733F6EA" w14:textId="56627AB8" w:rsidR="00275C5A" w:rsidRPr="00933708" w:rsidRDefault="00EB46FC" w:rsidP="00EB46FC">
            <w:pPr>
              <w:pStyle w:val="COMTabletext"/>
              <w:keepNext w:val="0"/>
            </w:pPr>
            <w:r w:rsidRPr="00933708">
              <w:t>1 year</w:t>
            </w:r>
          </w:p>
        </w:tc>
      </w:tr>
      <w:tr w:rsidR="00EB46FC" w:rsidRPr="00933708" w14:paraId="6EFF7035" w14:textId="77777777" w:rsidTr="00EA033C">
        <w:tc>
          <w:tcPr>
            <w:tcW w:w="784" w:type="pct"/>
            <w:shd w:val="clear" w:color="auto" w:fill="auto"/>
            <w:vAlign w:val="center"/>
          </w:tcPr>
          <w:p w14:paraId="77A45407" w14:textId="3C02CE09" w:rsidR="00EB46FC" w:rsidRPr="00933708" w:rsidRDefault="00EB46FC" w:rsidP="00EB46FC">
            <w:pPr>
              <w:pStyle w:val="COMTabletext"/>
              <w:keepNext w:val="0"/>
            </w:pPr>
            <w:r w:rsidRPr="00933708">
              <w:t>Transition probabilities</w:t>
            </w:r>
          </w:p>
        </w:tc>
        <w:tc>
          <w:tcPr>
            <w:tcW w:w="4216" w:type="pct"/>
            <w:shd w:val="clear" w:color="auto" w:fill="auto"/>
          </w:tcPr>
          <w:p w14:paraId="61D69DED" w14:textId="77777777" w:rsidR="00EB46FC" w:rsidRPr="00933708" w:rsidRDefault="00EB46FC" w:rsidP="00EB46FC">
            <w:pPr>
              <w:pStyle w:val="COMTabletext"/>
              <w:keepNext w:val="0"/>
              <w:spacing w:after="60"/>
            </w:pPr>
            <w:r w:rsidRPr="00933708">
              <w:t>Treatment discontinuations were separately estimated for each treatment arm based on data from the overall population of the EMPA-KIDNEY trial. Patients initiating renal replacement therapy (RRT) are also assumed to discontinue treatment.</w:t>
            </w:r>
          </w:p>
          <w:p w14:paraId="01757614" w14:textId="77777777" w:rsidR="00EB46FC" w:rsidRPr="00933708" w:rsidRDefault="00EB46FC" w:rsidP="00EB46FC">
            <w:pPr>
              <w:pStyle w:val="COMTabletext"/>
              <w:keepNext w:val="0"/>
              <w:spacing w:after="60"/>
            </w:pPr>
            <w:r w:rsidRPr="00933708">
              <w:t xml:space="preserve">Disease progression was based on independently modelled changes in eGFR and UACR. eGFR progression was based on a </w:t>
            </w:r>
            <w:r w:rsidRPr="00933708">
              <w:rPr>
                <w:i/>
                <w:iCs/>
              </w:rPr>
              <w:t>post hoc</w:t>
            </w:r>
            <w:r w:rsidRPr="00933708">
              <w:t xml:space="preserve"> analysis of annual change in eGFR based on KDIGO categories from EMPA-KIDNEY while patients remain on treatment; then modelled based on a US prospective observational cohort study of disease trajectories in patients with chronic renal insufficiency (Grams 2021). UACR change over time was based on a </w:t>
            </w:r>
            <w:r w:rsidRPr="00933708">
              <w:rPr>
                <w:i/>
                <w:iCs/>
              </w:rPr>
              <w:t>post hoc</w:t>
            </w:r>
            <w:r w:rsidRPr="00933708">
              <w:t xml:space="preserve"> analysis of annual change in UACR based on KDIGO categories from EMPA-KIDNEY while patients remain on treatment; then modelled based on a meta-analysis of individual patient data from published cohort studies reporting longitudinal data on albuminuria/proteinuria and the subsequent risk of ESKD (Coresh 2019). Patients transition to another health state when their eGFR and/or UACR crosses a threshold for a different KDIGO classification health state, based on change in eGFR and UACR within a cycle.</w:t>
            </w:r>
          </w:p>
          <w:p w14:paraId="123F7CBD" w14:textId="5E0BCC01" w:rsidR="00EB46FC" w:rsidRPr="00933708" w:rsidRDefault="00EB46FC" w:rsidP="00EB46FC">
            <w:pPr>
              <w:pStyle w:val="COMTabletext"/>
              <w:keepNext w:val="0"/>
              <w:spacing w:after="60"/>
            </w:pPr>
            <w:r w:rsidRPr="00933708">
              <w:t xml:space="preserve">The change in other risk factors (HbA1c, BMI, SBP) while on treatment was based on data from the EMPA-KIDNEY trial. The change in risk factors while off-treatment and/or for treatment independent risk factors (HDL, TC) were based on various published sources (Wilson 1993, Leal 2021, </w:t>
            </w:r>
            <w:proofErr w:type="spellStart"/>
            <w:r w:rsidRPr="00933708">
              <w:t>Pani</w:t>
            </w:r>
            <w:proofErr w:type="spellEnd"/>
            <w:r w:rsidRPr="00933708">
              <w:t xml:space="preserve"> 2008, </w:t>
            </w:r>
            <w:proofErr w:type="spellStart"/>
            <w:r w:rsidRPr="00933708">
              <w:t>Iyanden</w:t>
            </w:r>
            <w:proofErr w:type="spellEnd"/>
            <w:r w:rsidRPr="00933708">
              <w:t xml:space="preserve"> 2021, </w:t>
            </w:r>
            <w:proofErr w:type="spellStart"/>
            <w:r w:rsidRPr="00933708">
              <w:t>Zaninotto</w:t>
            </w:r>
            <w:proofErr w:type="spellEnd"/>
            <w:r w:rsidRPr="00933708">
              <w:t xml:space="preserve"> 2019)</w:t>
            </w:r>
            <w:r w:rsidR="00933708">
              <w:t xml:space="preserve">. </w:t>
            </w:r>
          </w:p>
          <w:p w14:paraId="28A11D3A" w14:textId="77777777" w:rsidR="00EB46FC" w:rsidRPr="00933708" w:rsidRDefault="00EB46FC" w:rsidP="00EB46FC">
            <w:pPr>
              <w:pStyle w:val="COMTabletext"/>
              <w:keepNext w:val="0"/>
              <w:spacing w:after="60"/>
            </w:pPr>
            <w:r w:rsidRPr="00933708">
              <w:t>Progression to ESKD occurs when a patient’s eGFR falls below 15 mL/min/1.73 m</w:t>
            </w:r>
            <w:r w:rsidRPr="00933708">
              <w:rPr>
                <w:vertAlign w:val="superscript"/>
              </w:rPr>
              <w:t>2</w:t>
            </w:r>
            <w:r w:rsidRPr="00933708">
              <w:t xml:space="preserve"> (informed by modelled eGFR and UACR progression). The risk of RRT (dialysis or transplant) was based on a published international risk equation (</w:t>
            </w:r>
            <w:proofErr w:type="spellStart"/>
            <w:r w:rsidRPr="00933708">
              <w:t>Tangri</w:t>
            </w:r>
            <w:proofErr w:type="spellEnd"/>
            <w:r w:rsidRPr="00933708">
              <w:t xml:space="preserve"> 2016). The distribution between dialysis types (haemodialysis and peritoneal dialysis) and kidney transplant was based on an </w:t>
            </w:r>
            <w:r w:rsidRPr="00933708">
              <w:rPr>
                <w:i/>
                <w:iCs/>
              </w:rPr>
              <w:t>ad hoc</w:t>
            </w:r>
            <w:r w:rsidRPr="00933708">
              <w:t xml:space="preserve"> analysis of ANZDATA data in patients initiating RRT in 2020. Transitions between RRTs and death were based on treatment status at 1 year from the same ANZDATA analysis. Patients who do not receive RRT receive conservative care. The model included risks of complications from peritoneal dialysis (based on Perl 2020) and haemodialysis (based on </w:t>
            </w:r>
            <w:proofErr w:type="spellStart"/>
            <w:r w:rsidRPr="00933708">
              <w:t>Dalgaard</w:t>
            </w:r>
            <w:proofErr w:type="spellEnd"/>
            <w:r w:rsidRPr="00933708">
              <w:t xml:space="preserve"> 2015 and Culp 1995).</w:t>
            </w:r>
          </w:p>
          <w:p w14:paraId="47EB12BF" w14:textId="77777777" w:rsidR="00EB46FC" w:rsidRPr="00933708" w:rsidRDefault="00EB46FC" w:rsidP="00EB46FC">
            <w:pPr>
              <w:pStyle w:val="COMTabletext"/>
              <w:keepNext w:val="0"/>
              <w:spacing w:after="60"/>
            </w:pPr>
            <w:r w:rsidRPr="00933708">
              <w:t>The risk of diabetes (</w:t>
            </w:r>
            <w:proofErr w:type="spellStart"/>
            <w:r w:rsidRPr="00933708">
              <w:t>Hippisley</w:t>
            </w:r>
            <w:proofErr w:type="spellEnd"/>
            <w:r w:rsidRPr="00933708">
              <w:t>-Cox 2017), hypertension (Vidal-</w:t>
            </w:r>
            <w:proofErr w:type="spellStart"/>
            <w:r w:rsidRPr="00933708">
              <w:t>Petiot</w:t>
            </w:r>
            <w:proofErr w:type="spellEnd"/>
            <w:r w:rsidRPr="00933708">
              <w:t xml:space="preserve"> 2018), cardiovascular events (</w:t>
            </w:r>
            <w:proofErr w:type="spellStart"/>
            <w:r w:rsidRPr="00933708">
              <w:t>Matsushida</w:t>
            </w:r>
            <w:proofErr w:type="spellEnd"/>
            <w:r w:rsidRPr="00933708">
              <w:t xml:space="preserve"> 2020, D’Agostino 2000, Wolf 1991, Eriksson 2001, EMPA-REG OUTCOME), peripheral artery disease (</w:t>
            </w:r>
            <w:proofErr w:type="spellStart"/>
            <w:r w:rsidRPr="00933708">
              <w:t>Cea</w:t>
            </w:r>
            <w:proofErr w:type="spellEnd"/>
            <w:r w:rsidRPr="00933708">
              <w:t xml:space="preserve">-Soriano 2018, Matsushita 2017), heart failure (Grams 2021), acute kidney injury (Sawhney 2017, James 2015, </w:t>
            </w:r>
            <w:proofErr w:type="spellStart"/>
            <w:r w:rsidRPr="00933708">
              <w:t>Hatakeyama</w:t>
            </w:r>
            <w:proofErr w:type="spellEnd"/>
            <w:r w:rsidRPr="00933708">
              <w:t xml:space="preserve"> 2017) and amputation (EMPA-KIDNEY) were based on various published sources including multiple risk equations and assumptions. The model included additional treatment effects of empagliflozin on heart failure and acute kidney injury based on the EMPA-KIDNEY trial.</w:t>
            </w:r>
          </w:p>
          <w:p w14:paraId="203B1553" w14:textId="77777777" w:rsidR="00EB46FC" w:rsidRPr="00933708" w:rsidRDefault="00EB46FC" w:rsidP="00EB46FC">
            <w:pPr>
              <w:pStyle w:val="COMTabletext"/>
              <w:keepNext w:val="0"/>
              <w:spacing w:after="60"/>
            </w:pPr>
            <w:r w:rsidRPr="00933708">
              <w:t>Age- and sex-specific non-cardiovascular, non-renal mortality rates in the Australian population were based on ABS life tables (2019-2021), adjusted to remove the proportion of deaths due to ischaemic heart disease, cerebrovascular disease and renal failure based on AIHW General Record of Incidence of Mortality (GRIM 2020).</w:t>
            </w:r>
          </w:p>
          <w:p w14:paraId="15ADCA8D" w14:textId="77777777" w:rsidR="00EB46FC" w:rsidRPr="00933708" w:rsidRDefault="00EB46FC" w:rsidP="00EB46FC">
            <w:pPr>
              <w:pStyle w:val="COMTabletext"/>
              <w:keepNext w:val="0"/>
              <w:spacing w:after="60"/>
            </w:pPr>
            <w:r w:rsidRPr="00933708">
              <w:t>Death due to kidney disease occurs in ESKD patients only. Death in patients on RRT was based on all-cause deaths in patients receiving dialysis or transplant from ANZDATA. Patients in ESKD receiving conservative care die if their eGFR reaches ≤3 mL/min/1.73 m</w:t>
            </w:r>
            <w:r w:rsidRPr="00933708">
              <w:rPr>
                <w:vertAlign w:val="superscript"/>
              </w:rPr>
              <w:t>2</w:t>
            </w:r>
            <w:r w:rsidRPr="00933708">
              <w:t>.</w:t>
            </w:r>
          </w:p>
          <w:p w14:paraId="76387578" w14:textId="47403BF1" w:rsidR="00EB46FC" w:rsidRPr="00933708" w:rsidRDefault="00EB46FC" w:rsidP="00EB46FC">
            <w:pPr>
              <w:pStyle w:val="COMTabletext"/>
              <w:keepNext w:val="0"/>
            </w:pPr>
            <w:r w:rsidRPr="00933708">
              <w:t>The risk of cardiovascular disease mortality was estimated based on a published risk equation that estimated risk based on eGFR, albuminuria levels and other risk factors (Matsushita 2020).</w:t>
            </w:r>
          </w:p>
        </w:tc>
      </w:tr>
      <w:tr w:rsidR="006E61AE" w:rsidRPr="00933708" w14:paraId="07C0A709" w14:textId="77777777" w:rsidTr="00EA033C">
        <w:tc>
          <w:tcPr>
            <w:tcW w:w="784" w:type="pct"/>
            <w:shd w:val="clear" w:color="auto" w:fill="auto"/>
            <w:vAlign w:val="center"/>
          </w:tcPr>
          <w:p w14:paraId="33B632EB" w14:textId="073F2AAF" w:rsidR="006E61AE" w:rsidRPr="00933708" w:rsidRDefault="006E61AE" w:rsidP="006E61AE">
            <w:pPr>
              <w:pStyle w:val="COMTabletext"/>
              <w:keepNext w:val="0"/>
            </w:pPr>
            <w:r w:rsidRPr="00933708">
              <w:lastRenderedPageBreak/>
              <w:t>Utility values</w:t>
            </w:r>
          </w:p>
        </w:tc>
        <w:tc>
          <w:tcPr>
            <w:tcW w:w="4216" w:type="pct"/>
            <w:shd w:val="clear" w:color="auto" w:fill="auto"/>
          </w:tcPr>
          <w:p w14:paraId="03564D9F" w14:textId="77777777" w:rsidR="006E61AE" w:rsidRPr="00933708" w:rsidRDefault="006E61AE" w:rsidP="006E61AE">
            <w:pPr>
              <w:pStyle w:val="Tabletext0"/>
              <w:spacing w:after="60"/>
              <w:rPr>
                <w:rFonts w:eastAsia="Calibri"/>
              </w:rPr>
            </w:pPr>
            <w:r w:rsidRPr="00933708">
              <w:rPr>
                <w:rFonts w:eastAsia="Calibri"/>
              </w:rPr>
              <w:t xml:space="preserve">Pre-ESKD health state utilities by KDIGO category (G2A1 to G4A3) were based on a </w:t>
            </w:r>
            <w:r w:rsidRPr="00933708">
              <w:rPr>
                <w:rFonts w:eastAsia="Calibri"/>
                <w:i/>
                <w:iCs/>
              </w:rPr>
              <w:t>post hoc</w:t>
            </w:r>
            <w:r w:rsidRPr="00933708">
              <w:rPr>
                <w:rFonts w:eastAsia="Calibri"/>
              </w:rPr>
              <w:t xml:space="preserve"> subgroup analysis of EQ-5D-5L data from the EMPA-KIDNEY trial, mapped to EQ-5D-3L and valued using the UK value set.</w:t>
            </w:r>
          </w:p>
          <w:p w14:paraId="20EC6E1B" w14:textId="77777777" w:rsidR="006E61AE" w:rsidRPr="00933708" w:rsidRDefault="006E61AE" w:rsidP="006E61AE">
            <w:pPr>
              <w:pStyle w:val="Tabletext0"/>
              <w:spacing w:after="60"/>
              <w:rPr>
                <w:rFonts w:eastAsia="Calibri"/>
              </w:rPr>
            </w:pPr>
            <w:r w:rsidRPr="00933708">
              <w:rPr>
                <w:rFonts w:eastAsia="Calibri"/>
              </w:rPr>
              <w:t>The ESKD (conservative care) utility was based on Jesky 2016,</w:t>
            </w:r>
            <w:r w:rsidRPr="00933708">
              <w:t xml:space="preserve"> a prospective observational cohort study of UK patients with pre-dialysis CKD which used EQ-5D-3L to collect quality of life data</w:t>
            </w:r>
            <w:r w:rsidRPr="00933708">
              <w:rPr>
                <w:rFonts w:eastAsia="Calibri"/>
              </w:rPr>
              <w:t>.</w:t>
            </w:r>
          </w:p>
          <w:p w14:paraId="2948D521" w14:textId="090ECA70" w:rsidR="006E61AE" w:rsidRPr="00933708" w:rsidRDefault="006E61AE" w:rsidP="006E61AE">
            <w:pPr>
              <w:pStyle w:val="Tabletext0"/>
              <w:spacing w:after="60"/>
              <w:rPr>
                <w:rFonts w:eastAsia="Calibri"/>
              </w:rPr>
            </w:pPr>
            <w:r w:rsidRPr="00933708">
              <w:rPr>
                <w:rFonts w:eastAsia="Calibri"/>
              </w:rPr>
              <w:t xml:space="preserve">Utilities for dialysis were based on the average utilities for haemodialysis and peritoneal dialysis from a systematic review of utilities derived using EQ-5D in patients receiving </w:t>
            </w:r>
            <w:r w:rsidR="00154DAF" w:rsidRPr="00933708">
              <w:rPr>
                <w:rFonts w:eastAsia="Calibri"/>
              </w:rPr>
              <w:t>RRT</w:t>
            </w:r>
            <w:r w:rsidRPr="00933708">
              <w:rPr>
                <w:rFonts w:eastAsia="Calibri"/>
              </w:rPr>
              <w:t xml:space="preserve"> (</w:t>
            </w:r>
            <w:proofErr w:type="spellStart"/>
            <w:r w:rsidRPr="00933708">
              <w:rPr>
                <w:rFonts w:eastAsia="Calibri"/>
              </w:rPr>
              <w:t>Liem</w:t>
            </w:r>
            <w:proofErr w:type="spellEnd"/>
            <w:r w:rsidRPr="00933708">
              <w:rPr>
                <w:rFonts w:eastAsia="Calibri"/>
              </w:rPr>
              <w:t xml:space="preserve"> 2008).</w:t>
            </w:r>
          </w:p>
          <w:p w14:paraId="6A252C3A" w14:textId="77777777" w:rsidR="006E61AE" w:rsidRPr="00933708" w:rsidRDefault="006E61AE" w:rsidP="006E61AE">
            <w:pPr>
              <w:pStyle w:val="Tabletext0"/>
              <w:spacing w:after="60"/>
              <w:rPr>
                <w:rFonts w:eastAsia="Calibri"/>
              </w:rPr>
            </w:pPr>
            <w:r w:rsidRPr="00933708">
              <w:rPr>
                <w:rFonts w:eastAsia="Calibri"/>
              </w:rPr>
              <w:t xml:space="preserve">The utility for kidney transplant was based on the estimate from the July 2021 dapagliflozin submission, derived from </w:t>
            </w:r>
            <w:r w:rsidRPr="00933708">
              <w:t>a utility study in patients from a hospital renal unit in Wales using the EQ-5D</w:t>
            </w:r>
            <w:r w:rsidRPr="00933708">
              <w:rPr>
                <w:szCs w:val="20"/>
              </w:rPr>
              <w:t xml:space="preserve"> (Lee 2005).</w:t>
            </w:r>
          </w:p>
          <w:p w14:paraId="2F1E93B9" w14:textId="77777777" w:rsidR="006E61AE" w:rsidRPr="00933708" w:rsidRDefault="006E61AE" w:rsidP="006E61AE">
            <w:pPr>
              <w:pStyle w:val="Tabletext0"/>
              <w:spacing w:after="60"/>
              <w:rPr>
                <w:rFonts w:eastAsia="Calibri"/>
              </w:rPr>
            </w:pPr>
            <w:r w:rsidRPr="00933708">
              <w:rPr>
                <w:rFonts w:eastAsia="Calibri"/>
              </w:rPr>
              <w:t>Disutilities associated with MI, unstable angina, stroke and heart failure hospitalisation were based on a study assessing the impact of diabetes-related complications on EQ-5D utility scores in patients with type 2 diabetes using data from the UKPDS (Clarke 2002). The transient ischaemic attack disutility was based on SF-12 responses from a nationally representative US survey, mapped to EQ-5D-3L (Sullivan 2016). The peripheral artery disease disutility was based on a cross-sectional survey of European type 2 diabetes patients using the EQ-5D (</w:t>
            </w:r>
            <w:proofErr w:type="spellStart"/>
            <w:r w:rsidRPr="00933708">
              <w:rPr>
                <w:rFonts w:eastAsia="Calibri"/>
              </w:rPr>
              <w:t>Bagust</w:t>
            </w:r>
            <w:proofErr w:type="spellEnd"/>
            <w:r w:rsidRPr="00933708">
              <w:rPr>
                <w:rFonts w:eastAsia="Calibri"/>
              </w:rPr>
              <w:t xml:space="preserve"> and Beale 2005).</w:t>
            </w:r>
          </w:p>
          <w:p w14:paraId="4315F434" w14:textId="77777777" w:rsidR="006E61AE" w:rsidRPr="00933708" w:rsidRDefault="006E61AE" w:rsidP="006E61AE">
            <w:pPr>
              <w:pStyle w:val="Tabletext0"/>
              <w:spacing w:after="60"/>
              <w:rPr>
                <w:rFonts w:eastAsia="Calibri"/>
              </w:rPr>
            </w:pPr>
            <w:r w:rsidRPr="00933708">
              <w:rPr>
                <w:rFonts w:eastAsia="Calibri"/>
              </w:rPr>
              <w:t>The disutility associated with acute kidney injury was based on SF-12 responses from a nationally representative US survey, mapped to EQ-5D-3L (Sullivan 2016).</w:t>
            </w:r>
          </w:p>
          <w:p w14:paraId="6FCC32AA" w14:textId="3C463A1F" w:rsidR="006E61AE" w:rsidRPr="00933708" w:rsidRDefault="006E61AE" w:rsidP="006E61AE">
            <w:pPr>
              <w:pStyle w:val="COMTabletext"/>
              <w:keepNext w:val="0"/>
            </w:pPr>
            <w:r w:rsidRPr="00933708">
              <w:rPr>
                <w:rFonts w:eastAsia="Calibri"/>
              </w:rPr>
              <w:t>Disutilities for amputation adverse events were not included.</w:t>
            </w:r>
          </w:p>
        </w:tc>
      </w:tr>
      <w:tr w:rsidR="006E61AE" w:rsidRPr="00933708" w14:paraId="6093DA19" w14:textId="77777777" w:rsidTr="00EA033C">
        <w:tc>
          <w:tcPr>
            <w:tcW w:w="784" w:type="pct"/>
            <w:shd w:val="clear" w:color="auto" w:fill="auto"/>
            <w:vAlign w:val="center"/>
          </w:tcPr>
          <w:p w14:paraId="63E46A80" w14:textId="35E5F5ED" w:rsidR="006E61AE" w:rsidRPr="00933708" w:rsidRDefault="006E61AE" w:rsidP="006E61AE">
            <w:pPr>
              <w:pStyle w:val="COMTabletext"/>
              <w:keepNext w:val="0"/>
            </w:pPr>
            <w:r w:rsidRPr="00933708">
              <w:t>Costs</w:t>
            </w:r>
          </w:p>
        </w:tc>
        <w:tc>
          <w:tcPr>
            <w:tcW w:w="4216" w:type="pct"/>
            <w:shd w:val="clear" w:color="auto" w:fill="auto"/>
          </w:tcPr>
          <w:p w14:paraId="1F5EA7DD" w14:textId="77777777" w:rsidR="006E61AE" w:rsidRPr="00933708" w:rsidRDefault="006E61AE" w:rsidP="006E61AE">
            <w:pPr>
              <w:pStyle w:val="TableText"/>
              <w:keepNext w:val="0"/>
              <w:spacing w:after="60"/>
            </w:pPr>
            <w:r w:rsidRPr="00933708">
              <w:t>Empagliflozin costs were based on the proposed DPMQ, based on 60 day dispensing, with perfect adherence assumed.</w:t>
            </w:r>
          </w:p>
          <w:p w14:paraId="0D5A9F3B" w14:textId="77777777" w:rsidR="006E61AE" w:rsidRPr="00933708" w:rsidRDefault="006E61AE" w:rsidP="006E61AE">
            <w:pPr>
              <w:pStyle w:val="TableText"/>
              <w:keepNext w:val="0"/>
              <w:spacing w:after="60"/>
            </w:pPr>
            <w:r w:rsidRPr="00933708">
              <w:t>The costs of standard care were based on the assumption that patients receive both an ACE inhibitor and ARB, assuming 60 day dispensing and perfect adherence.</w:t>
            </w:r>
          </w:p>
          <w:p w14:paraId="689B5B05" w14:textId="77777777" w:rsidR="006E61AE" w:rsidRPr="00933708" w:rsidRDefault="006E61AE" w:rsidP="006E61AE">
            <w:pPr>
              <w:pStyle w:val="TableText"/>
              <w:keepNext w:val="0"/>
              <w:spacing w:after="60"/>
            </w:pPr>
            <w:r w:rsidRPr="00933708">
              <w:t>Disease management costs by KDIGO health state were based on MBS fees and resource use estimates from the Deloitte Access Economics 2023 report on the costs of CKD in Australia, plus assumptions regarding additional resources required for patients with more severe kidney disease, and additional specialist visits for all health states.</w:t>
            </w:r>
          </w:p>
          <w:p w14:paraId="2AFFBEB0" w14:textId="77777777" w:rsidR="006E61AE" w:rsidRPr="00933708" w:rsidRDefault="006E61AE" w:rsidP="006E61AE">
            <w:pPr>
              <w:pStyle w:val="TableText"/>
              <w:keepNext w:val="0"/>
              <w:spacing w:after="60"/>
            </w:pPr>
            <w:r w:rsidRPr="00933708">
              <w:t>Costs associated with dialysis and transplant were based on the Deloitte Access Economics 2023 report on the costs of CKD in Australia. The calculation of annual dialysis costs assumed that initial access costs would apply to patients initiating and continuing haemodialysis or peritoneal dialysis. The 2021 costs were inflated to 2022 prices using the CPI for medical and hospital services (based on the inflation factor for 2019 to 2022).</w:t>
            </w:r>
          </w:p>
          <w:p w14:paraId="4CD69EB8" w14:textId="304320AF" w:rsidR="006E61AE" w:rsidRPr="00933708" w:rsidRDefault="006E61AE" w:rsidP="006E61AE">
            <w:pPr>
              <w:pStyle w:val="COMTabletext"/>
              <w:keepNext w:val="0"/>
            </w:pPr>
            <w:r w:rsidRPr="00933708">
              <w:t>The costs of acute kidney injury, cardiovascular hospitalisations, amputation adverse events and complications associated with dialysis were based on the weighted average cost of relevant AR-DRGs (v10.0, Round 24, 2019-20), inflated from 2019 to 2022 prices using the CPI for medical and hospital services.</w:t>
            </w:r>
          </w:p>
        </w:tc>
      </w:tr>
    </w:tbl>
    <w:p w14:paraId="213DED56" w14:textId="5D91F8AC" w:rsidR="003270E4" w:rsidRPr="00933708" w:rsidRDefault="003270E4" w:rsidP="00BB00B3">
      <w:pPr>
        <w:pStyle w:val="COMTablefooter"/>
      </w:pPr>
      <w:r w:rsidRPr="00933708">
        <w:t xml:space="preserve">Source: </w:t>
      </w:r>
      <w:r w:rsidR="00634FAF" w:rsidRPr="00933708">
        <w:t>Section 3.2.4, pp269-275 of the submission</w:t>
      </w:r>
    </w:p>
    <w:p w14:paraId="3F4757BA" w14:textId="77777777" w:rsidR="00392621" w:rsidRPr="00933708" w:rsidRDefault="00392621" w:rsidP="00392621">
      <w:pPr>
        <w:pStyle w:val="COMTablefooter"/>
      </w:pPr>
      <w:r w:rsidRPr="00933708">
        <w:t>Abbreviations: Abbreviations: ABS, Australian Bureau of Statistics; ACE inhibitor, angiotensin-converting enzyme inhibitor; AIHW, Australian Institute of Health and Welfare; ANZDATA, Australia and New Zealand Dialysis and Transplant Registry; ARB, angiotensin II receptor blocker;  BMI, body mass index; CKD, chronic kidney disease; CV, cardiovascular; CVD, cardiovascular disease; eGFR, estimated glomerular filtration rate; ESKD, end-stage kidney disease; HbA1c, glycated haemoglobin; HDL, high density lipoprotein cholesterol; KDIGO, Kidney Disease Improving Global Outcomes; RRT, renal replacement therapy; SBP, systolic blood pressure; TC, total cholesterol; UACR, urine albumin-creatinine ratio; UKPDS, United Kingdom Prospective Diabetes Study</w:t>
      </w:r>
    </w:p>
    <w:p w14:paraId="03762679" w14:textId="0141F902" w:rsidR="00E24F67" w:rsidRPr="00933708" w:rsidRDefault="00E24F67" w:rsidP="002E1071">
      <w:pPr>
        <w:pStyle w:val="COMexecsumnumberedpara"/>
      </w:pPr>
      <w:r w:rsidRPr="00933708">
        <w:rPr>
          <w:snapToGrid/>
          <w:highlight w:val="cyan"/>
        </w:rPr>
        <w:fldChar w:fldCharType="begin"/>
      </w:r>
      <w:r w:rsidRPr="00933708">
        <w:instrText xml:space="preserve"> REF _Ref144640985 \h </w:instrText>
      </w:r>
      <w:r w:rsidRPr="00933708">
        <w:rPr>
          <w:snapToGrid/>
          <w:highlight w:val="cyan"/>
        </w:rPr>
      </w:r>
      <w:r w:rsidRPr="00933708">
        <w:rPr>
          <w:snapToGrid/>
          <w:highlight w:val="cyan"/>
        </w:rPr>
        <w:fldChar w:fldCharType="separate"/>
      </w:r>
      <w:r w:rsidR="00D5135E" w:rsidRPr="00933708">
        <w:t xml:space="preserve">Figure </w:t>
      </w:r>
      <w:r w:rsidR="00D5135E">
        <w:rPr>
          <w:noProof/>
        </w:rPr>
        <w:t>3</w:t>
      </w:r>
      <w:r w:rsidRPr="00933708">
        <w:rPr>
          <w:snapToGrid/>
          <w:highlight w:val="cyan"/>
        </w:rPr>
        <w:fldChar w:fldCharType="end"/>
      </w:r>
      <w:r w:rsidRPr="00933708">
        <w:rPr>
          <w:snapToGrid/>
        </w:rPr>
        <w:t xml:space="preserve"> provides an overview of the model structure.</w:t>
      </w:r>
    </w:p>
    <w:p w14:paraId="41760B36" w14:textId="38D83B16" w:rsidR="003D3A9F" w:rsidRPr="00933708" w:rsidRDefault="00C20CD0" w:rsidP="00C20CD0">
      <w:pPr>
        <w:pStyle w:val="Caption"/>
        <w:rPr>
          <w:snapToGrid w:val="0"/>
        </w:rPr>
      </w:pPr>
      <w:bookmarkStart w:id="54" w:name="_Ref144640985"/>
      <w:r w:rsidRPr="00933708">
        <w:lastRenderedPageBreak/>
        <w:t xml:space="preserve">Figure </w:t>
      </w:r>
      <w:r w:rsidR="00D5135E">
        <w:fldChar w:fldCharType="begin"/>
      </w:r>
      <w:r w:rsidR="00D5135E">
        <w:instrText xml:space="preserve"> SEQ Figure \* ARABIC </w:instrText>
      </w:r>
      <w:r w:rsidR="00D5135E">
        <w:fldChar w:fldCharType="separate"/>
      </w:r>
      <w:r w:rsidR="00D5135E">
        <w:rPr>
          <w:noProof/>
        </w:rPr>
        <w:t>3</w:t>
      </w:r>
      <w:r w:rsidR="00D5135E">
        <w:rPr>
          <w:noProof/>
        </w:rPr>
        <w:fldChar w:fldCharType="end"/>
      </w:r>
      <w:bookmarkEnd w:id="54"/>
      <w:r w:rsidRPr="00933708">
        <w:t>: Model structure overview</w:t>
      </w:r>
    </w:p>
    <w:p w14:paraId="4602CDC5" w14:textId="749CE66A" w:rsidR="003D3A9F" w:rsidRPr="00933708" w:rsidRDefault="003D3A9F" w:rsidP="00C20CD0">
      <w:pPr>
        <w:pStyle w:val="COMexecsumnumberedpara"/>
        <w:numPr>
          <w:ilvl w:val="0"/>
          <w:numId w:val="0"/>
        </w:numPr>
        <w:spacing w:after="0"/>
        <w:rPr>
          <w:color w:val="0066FF"/>
        </w:rPr>
      </w:pPr>
      <w:r w:rsidRPr="00251484">
        <w:rPr>
          <w:rFonts w:ascii="Arial Nova Light" w:hAnsi="Arial Nova Light"/>
          <w:noProof/>
        </w:rPr>
        <w:drawing>
          <wp:inline distT="0" distB="0" distL="0" distR="0" wp14:anchorId="42406745" wp14:editId="05C2908F">
            <wp:extent cx="5732145" cy="2767965"/>
            <wp:effectExtent l="0" t="0" r="1905" b="0"/>
            <wp:docPr id="28" name="Picture 2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A screenshot of a compu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2145" cy="2767965"/>
                    </a:xfrm>
                    <a:prstGeom prst="rect">
                      <a:avLst/>
                    </a:prstGeom>
                  </pic:spPr>
                </pic:pic>
              </a:graphicData>
            </a:graphic>
          </wp:inline>
        </w:drawing>
      </w:r>
    </w:p>
    <w:p w14:paraId="6BB5FE61" w14:textId="77777777" w:rsidR="00C20CD0" w:rsidRPr="00933708" w:rsidRDefault="00C20CD0" w:rsidP="00C20CD0">
      <w:pPr>
        <w:pStyle w:val="COMTablefooter"/>
      </w:pPr>
      <w:r w:rsidRPr="00933708">
        <w:rPr>
          <w:snapToGrid/>
        </w:rPr>
        <w:t>Source: Figure 3.3, p265 of the submission</w:t>
      </w:r>
    </w:p>
    <w:p w14:paraId="3288211B" w14:textId="77777777" w:rsidR="0004694A" w:rsidRPr="00933708" w:rsidRDefault="0004694A" w:rsidP="007C4C88">
      <w:pPr>
        <w:pStyle w:val="ListParagraph"/>
        <w:numPr>
          <w:ilvl w:val="1"/>
          <w:numId w:val="1"/>
        </w:numPr>
        <w:ind w:left="720" w:hanging="720"/>
      </w:pPr>
      <w:r w:rsidRPr="00933708">
        <w:t xml:space="preserve">A set of baseline characteristics (demographics, biomarkers, history of complications) is individually generated for each modelled patient. </w:t>
      </w:r>
    </w:p>
    <w:p w14:paraId="30B72ED8" w14:textId="4B0C50E4" w:rsidR="00285D74" w:rsidRPr="00933708" w:rsidRDefault="00285D74" w:rsidP="007C4C88">
      <w:pPr>
        <w:pStyle w:val="ListParagraph"/>
        <w:numPr>
          <w:ilvl w:val="1"/>
          <w:numId w:val="1"/>
        </w:numPr>
        <w:ind w:left="720" w:hanging="720"/>
      </w:pPr>
      <w:r w:rsidRPr="00933708">
        <w:t>Patients begin the model in one of 12 KDIGO health states (G2A1 to G4A3) based on their baseline eGFR and UACR; and move to another health state when their modelled eGFR and/or UACR reaches the threshold for a different KDIGO health state.</w:t>
      </w:r>
    </w:p>
    <w:p w14:paraId="6BCAB3DA" w14:textId="29060473" w:rsidR="00285D74" w:rsidRPr="00933708" w:rsidRDefault="00285D74" w:rsidP="007C4C88">
      <w:pPr>
        <w:pStyle w:val="ListParagraph"/>
        <w:numPr>
          <w:ilvl w:val="1"/>
          <w:numId w:val="1"/>
        </w:numPr>
        <w:ind w:left="720" w:hanging="720"/>
      </w:pPr>
      <w:r w:rsidRPr="00933708">
        <w:t>Patients enter the ESKD module when their eGFR reaches less than 15</w:t>
      </w:r>
      <w:r w:rsidR="003138A3" w:rsidRPr="00933708">
        <w:t> </w:t>
      </w:r>
      <w:r w:rsidRPr="00933708">
        <w:t>mL/min/1.73</w:t>
      </w:r>
      <w:r w:rsidR="003138A3" w:rsidRPr="00933708">
        <w:t> </w:t>
      </w:r>
      <w:r w:rsidRPr="00933708">
        <w:t>m2, and are at risk of renal replacement therapy (haemodialysis, peritoneal dialysis, kidney transplant), complications from dialysis, and death from dialysis and transplant states. Patients may transition between dialysis modalities, from dialysis to kidney transplant, and from kidney transplant to dialysis following kidney transplant failure. Following a successful kidney transplant, patients move to the KDIGO G3a</w:t>
      </w:r>
      <w:r w:rsidR="00EF44B5" w:rsidRPr="00933708">
        <w:t>A1</w:t>
      </w:r>
      <w:r w:rsidRPr="00933708">
        <w:t xml:space="preserve"> health state</w:t>
      </w:r>
      <w:r w:rsidR="00EF44B5" w:rsidRPr="00933708">
        <w:t xml:space="preserve"> </w:t>
      </w:r>
      <w:r w:rsidRPr="00933708">
        <w:t>and follow the same trajectory as patients without a kidney transplant.</w:t>
      </w:r>
      <w:r w:rsidR="00533C16" w:rsidRPr="00933708">
        <w:t xml:space="preserve"> </w:t>
      </w:r>
      <w:r w:rsidRPr="00933708">
        <w:t xml:space="preserve">Patients with ESKD not receiving </w:t>
      </w:r>
      <w:r w:rsidR="0027143B" w:rsidRPr="00933708">
        <w:t>renal</w:t>
      </w:r>
      <w:r w:rsidRPr="00933708">
        <w:t xml:space="preserve"> replacement therapy are treated with conservative care</w:t>
      </w:r>
      <w:r w:rsidR="000930D5" w:rsidRPr="00933708">
        <w:t xml:space="preserve"> and </w:t>
      </w:r>
      <w:r w:rsidRPr="00933708">
        <w:t xml:space="preserve">may transition to </w:t>
      </w:r>
      <w:r w:rsidR="0027143B" w:rsidRPr="00933708">
        <w:t>renal</w:t>
      </w:r>
      <w:r w:rsidRPr="00933708">
        <w:t xml:space="preserve"> replacement therapy, die from non-</w:t>
      </w:r>
      <w:r w:rsidR="00154E2D" w:rsidRPr="00933708">
        <w:t>cardiovascular</w:t>
      </w:r>
      <w:r w:rsidRPr="00933708">
        <w:t>, non-renal mortality, or die if their eGFR reaches 3</w:t>
      </w:r>
      <w:r w:rsidR="00B97511" w:rsidRPr="00933708">
        <w:t> </w:t>
      </w:r>
      <w:r w:rsidRPr="00933708">
        <w:t>mL/min/1.73 m2 or lower.</w:t>
      </w:r>
    </w:p>
    <w:p w14:paraId="161553CE" w14:textId="67AD8323" w:rsidR="00285D74" w:rsidRPr="00933708" w:rsidRDefault="00285D74" w:rsidP="007C4C88">
      <w:pPr>
        <w:pStyle w:val="ListParagraph"/>
        <w:numPr>
          <w:ilvl w:val="1"/>
          <w:numId w:val="1"/>
        </w:numPr>
        <w:ind w:left="720" w:hanging="720"/>
      </w:pPr>
      <w:r w:rsidRPr="00933708">
        <w:t>During each cycle, patients are at risk of diabetes, hypertension, cardiovascular events (myocardial infarction, stroke, unstable angina, transient ischaemic attack), peripheral artery disease, heart failure, acute kidney injury and amputation adverse events</w:t>
      </w:r>
      <w:r w:rsidR="00933708">
        <w:t xml:space="preserve">. </w:t>
      </w:r>
      <w:r w:rsidRPr="00933708">
        <w:t>Patients may also die from cardiovascular causes or non-cardiorenal causes.</w:t>
      </w:r>
    </w:p>
    <w:p w14:paraId="773E79F6" w14:textId="0546952F" w:rsidR="00285D74" w:rsidRPr="00933708" w:rsidRDefault="00285D74" w:rsidP="007C4C88">
      <w:pPr>
        <w:pStyle w:val="ListParagraph"/>
        <w:numPr>
          <w:ilvl w:val="1"/>
          <w:numId w:val="1"/>
        </w:numPr>
        <w:ind w:left="720" w:hanging="720"/>
      </w:pPr>
      <w:r w:rsidRPr="00933708">
        <w:t>The model was associated with considerable additional complexity compared to other economic models in chronic kidney disease. In particular, the modelling of cardiovascular complications was a primary source of complexity in the model, yet only represented a small proportion of the incremental differences between treatment arms.</w:t>
      </w:r>
      <w:r w:rsidR="00074603" w:rsidRPr="00933708">
        <w:t xml:space="preserve"> The complexity of the model reduces the transparency of the analysis </w:t>
      </w:r>
      <w:r w:rsidR="00074603" w:rsidRPr="00933708">
        <w:lastRenderedPageBreak/>
        <w:t>(with multiple interactions between components) and increases</w:t>
      </w:r>
      <w:r w:rsidR="008A7167" w:rsidRPr="00933708">
        <w:t xml:space="preserve"> the potential for calculation errors. Many of the components of the model were poorly documented and inadequately justified in the submission. </w:t>
      </w:r>
    </w:p>
    <w:p w14:paraId="655C8BA7" w14:textId="40755FA7" w:rsidR="00285D74" w:rsidRPr="00933708" w:rsidRDefault="00285D74" w:rsidP="007C4C88">
      <w:pPr>
        <w:pStyle w:val="ListParagraph"/>
        <w:numPr>
          <w:ilvl w:val="1"/>
          <w:numId w:val="1"/>
        </w:numPr>
        <w:ind w:left="720" w:hanging="720"/>
      </w:pPr>
      <w:r w:rsidRPr="00933708">
        <w:t>Despite the substantial complexity involved in capturing individual patient variation in the model, there was very limited variation captured</w:t>
      </w:r>
      <w:r w:rsidR="005771F1" w:rsidRPr="00933708">
        <w:t xml:space="preserve"> regarding</w:t>
      </w:r>
      <w:r w:rsidRPr="00933708">
        <w:t xml:space="preserve"> the core mechanic of eGFR/UACR progression; with fixed baseline values based on KDIGO category and fixed changes in eGFR over time. Overall, the modelling of eGFR/UACR progression was poorly justified in the submission.</w:t>
      </w:r>
    </w:p>
    <w:p w14:paraId="488FC3E7" w14:textId="45E45B1A" w:rsidR="002D0F98" w:rsidRPr="00933708" w:rsidRDefault="002D0F98" w:rsidP="007C4C88">
      <w:pPr>
        <w:pStyle w:val="ListParagraph"/>
        <w:numPr>
          <w:ilvl w:val="1"/>
          <w:numId w:val="1"/>
        </w:numPr>
        <w:ind w:left="720" w:hanging="720"/>
      </w:pPr>
      <w:bookmarkStart w:id="55" w:name="_Ref150863350"/>
      <w:bookmarkStart w:id="56" w:name="_Ref144877978"/>
      <w:r w:rsidRPr="00933708">
        <w:t>There were multiple issues identified with the model that are likely to be key drivers, but could not be adequately assessed through sensitivity analyses:</w:t>
      </w:r>
      <w:bookmarkEnd w:id="55"/>
    </w:p>
    <w:bookmarkEnd w:id="56"/>
    <w:p w14:paraId="5764DCD0" w14:textId="5202A6E0" w:rsidR="00AC161A" w:rsidRPr="00933708" w:rsidRDefault="00AC161A" w:rsidP="00A51AD5">
      <w:pPr>
        <w:pStyle w:val="COMexecsummbulletlist"/>
        <w:numPr>
          <w:ilvl w:val="1"/>
          <w:numId w:val="20"/>
        </w:numPr>
        <w:ind w:left="993"/>
      </w:pPr>
      <w:r w:rsidRPr="00933708">
        <w:t xml:space="preserve">The modelled </w:t>
      </w:r>
      <w:r w:rsidR="00E422E0" w:rsidRPr="00933708">
        <w:t xml:space="preserve">overall and incremental </w:t>
      </w:r>
      <w:r w:rsidRPr="00933708">
        <w:t xml:space="preserve">populations are not representative of the target </w:t>
      </w:r>
      <w:r w:rsidR="00575B48" w:rsidRPr="00933708">
        <w:t xml:space="preserve">incremental </w:t>
      </w:r>
      <w:r w:rsidRPr="00933708">
        <w:t>population (patients who are not covered under existing SGLT2 inhibitor PBS listings for chronic kidney disease, diabetes and heart failure).</w:t>
      </w:r>
    </w:p>
    <w:p w14:paraId="7DC8A48E" w14:textId="77777777" w:rsidR="00CD4128" w:rsidRPr="00933708" w:rsidRDefault="00CD4128" w:rsidP="00A51AD5">
      <w:pPr>
        <w:pStyle w:val="COMexecsummbulletlist"/>
        <w:numPr>
          <w:ilvl w:val="1"/>
          <w:numId w:val="20"/>
        </w:numPr>
        <w:ind w:left="993"/>
      </w:pPr>
      <w:r w:rsidRPr="00933708">
        <w:t>The modelled changes in eGFR and UACR over time did not account for individual patient variation and known correlations with each other and patient age.</w:t>
      </w:r>
    </w:p>
    <w:p w14:paraId="4AC31D34" w14:textId="2E6FE55C" w:rsidR="00CD4128" w:rsidRPr="00933708" w:rsidRDefault="00CD4128" w:rsidP="00A51AD5">
      <w:pPr>
        <w:pStyle w:val="COMexecsummbulletlist"/>
        <w:numPr>
          <w:ilvl w:val="1"/>
          <w:numId w:val="20"/>
        </w:numPr>
        <w:ind w:left="993"/>
      </w:pPr>
      <w:r w:rsidRPr="00933708">
        <w:t>There was no assessment of the impact of variance on treatment effect estimates for eGFR decline and UACR change</w:t>
      </w:r>
      <w:r w:rsidR="00E36DD8" w:rsidRPr="00933708">
        <w:t>,</w:t>
      </w:r>
      <w:r w:rsidR="00933F41" w:rsidRPr="00933708">
        <w:t xml:space="preserve"> or </w:t>
      </w:r>
      <w:r w:rsidR="00F65439" w:rsidRPr="00933708">
        <w:t xml:space="preserve">of </w:t>
      </w:r>
      <w:r w:rsidR="00933F41" w:rsidRPr="00933708">
        <w:t xml:space="preserve">modelling </w:t>
      </w:r>
      <w:r w:rsidR="006264EE" w:rsidRPr="00933708">
        <w:t xml:space="preserve">treatment effects across all KDIGO categories </w:t>
      </w:r>
      <w:r w:rsidR="00E36DD8" w:rsidRPr="00933708">
        <w:t>when</w:t>
      </w:r>
      <w:r w:rsidR="006264EE" w:rsidRPr="00933708">
        <w:t xml:space="preserve"> the available data generally support reductions in eGFR decline for patients with </w:t>
      </w:r>
      <w:r w:rsidR="00E36DD8" w:rsidRPr="00933708">
        <w:t>UACR &gt;300 mg/g only</w:t>
      </w:r>
      <w:r w:rsidRPr="00933708">
        <w:t>.</w:t>
      </w:r>
    </w:p>
    <w:p w14:paraId="2BD82630" w14:textId="77777777" w:rsidR="00F315D5" w:rsidRPr="00933708" w:rsidRDefault="00EC2793" w:rsidP="00A51AD5">
      <w:pPr>
        <w:pStyle w:val="COMexecsummbulletlist"/>
        <w:numPr>
          <w:ilvl w:val="1"/>
          <w:numId w:val="20"/>
        </w:numPr>
        <w:ind w:left="993"/>
      </w:pPr>
      <w:r w:rsidRPr="00933708">
        <w:t xml:space="preserve">Treatment effects for the modelled incremental population were based on </w:t>
      </w:r>
      <w:r w:rsidR="0009085B" w:rsidRPr="00933708">
        <w:t xml:space="preserve">the overall EMPA-KIDNEY population. </w:t>
      </w:r>
      <w:r w:rsidR="00355579" w:rsidRPr="00933708">
        <w:t xml:space="preserve">The impact of modelling outcomes based on the </w:t>
      </w:r>
      <w:r w:rsidR="0009085B" w:rsidRPr="00933708">
        <w:t xml:space="preserve">EMPA-KIDNEY </w:t>
      </w:r>
      <w:r w:rsidR="00355579" w:rsidRPr="00933708">
        <w:t>incremental population was not assessed. Results for annual eGFR change suggest a smaller treatment effect for the incremental population than for the overall population.</w:t>
      </w:r>
    </w:p>
    <w:p w14:paraId="6570C826" w14:textId="4C7E7EED" w:rsidR="00AC161A" w:rsidRPr="00933708" w:rsidRDefault="00130901" w:rsidP="00A51AD5">
      <w:pPr>
        <w:pStyle w:val="COMexecsummbulletlist"/>
        <w:numPr>
          <w:ilvl w:val="1"/>
          <w:numId w:val="20"/>
        </w:numPr>
        <w:ind w:left="993"/>
      </w:pPr>
      <w:r w:rsidRPr="00933708">
        <w:t xml:space="preserve">The model </w:t>
      </w:r>
      <w:r w:rsidR="00AC161A" w:rsidRPr="00933708">
        <w:t>extrapolate</w:t>
      </w:r>
      <w:r w:rsidRPr="00933708">
        <w:t>d</w:t>
      </w:r>
      <w:r w:rsidR="00AC161A" w:rsidRPr="00933708">
        <w:t xml:space="preserve"> long-term treatment effects from the EMPA-KIDNEY trial </w:t>
      </w:r>
      <w:r w:rsidRPr="00933708">
        <w:t>(mean follow-up</w:t>
      </w:r>
      <w:r w:rsidR="00D96EA9" w:rsidRPr="00933708">
        <w:t xml:space="preserve"> 23.9 months</w:t>
      </w:r>
      <w:r w:rsidRPr="00933708">
        <w:t xml:space="preserve">) </w:t>
      </w:r>
      <w:r w:rsidR="00AC161A" w:rsidRPr="00933708">
        <w:t>while patients remain on therapy without accounting for the natural history of chronic kidney disease. Additionally, the model assumed that patients who discontinue</w:t>
      </w:r>
      <w:r w:rsidR="007926B1" w:rsidRPr="00933708">
        <w:t xml:space="preserve"> empagliflozin or placebo</w:t>
      </w:r>
      <w:r w:rsidR="00AC161A" w:rsidRPr="00933708">
        <w:t xml:space="preserve"> therapy would also stop their background </w:t>
      </w:r>
      <w:r w:rsidR="00E2638C" w:rsidRPr="00933708">
        <w:t>ACE inhibitor/ARB</w:t>
      </w:r>
      <w:r w:rsidR="00AC161A" w:rsidRPr="00933708">
        <w:t xml:space="preserve"> treatment</w:t>
      </w:r>
      <w:r w:rsidR="00E2638C" w:rsidRPr="00933708">
        <w:t>,</w:t>
      </w:r>
      <w:r w:rsidR="00AC161A" w:rsidRPr="00933708">
        <w:t xml:space="preserve"> which was used to justify alternative transition probabilities after treatment discontinuation. This assumption was not reasonable and the alternative transition probabilities are not representative of patients ‘off treatment’.</w:t>
      </w:r>
    </w:p>
    <w:p w14:paraId="359DC40B" w14:textId="72FF7DFD" w:rsidR="006377FA" w:rsidRPr="00933708" w:rsidRDefault="001F6AEC" w:rsidP="007C4C88">
      <w:pPr>
        <w:pStyle w:val="ListParagraph"/>
        <w:numPr>
          <w:ilvl w:val="1"/>
          <w:numId w:val="1"/>
        </w:numPr>
        <w:ind w:left="720" w:hanging="720"/>
      </w:pPr>
      <w:r w:rsidRPr="00933708">
        <w:t xml:space="preserve">The incremental difference in costs for health care resource items used in the economic evaluation is summarised in </w:t>
      </w:r>
      <w:r w:rsidR="006377FA" w:rsidRPr="00933708">
        <w:fldChar w:fldCharType="begin"/>
      </w:r>
      <w:r w:rsidR="006377FA" w:rsidRPr="00933708">
        <w:instrText xml:space="preserve"> REF _Ref144833328 \h </w:instrText>
      </w:r>
      <w:r w:rsidR="006377FA" w:rsidRPr="00933708">
        <w:fldChar w:fldCharType="separate"/>
      </w:r>
      <w:r w:rsidR="00D5135E" w:rsidRPr="00933708">
        <w:t xml:space="preserve">Table </w:t>
      </w:r>
      <w:r w:rsidR="00D5135E">
        <w:rPr>
          <w:noProof/>
        </w:rPr>
        <w:t>12</w:t>
      </w:r>
      <w:r w:rsidR="006377FA" w:rsidRPr="00933708">
        <w:fldChar w:fldCharType="end"/>
      </w:r>
      <w:r w:rsidR="006377FA" w:rsidRPr="00933708">
        <w:t xml:space="preserve"> </w:t>
      </w:r>
      <w:r w:rsidRPr="00933708">
        <w:t>below.</w:t>
      </w:r>
    </w:p>
    <w:p w14:paraId="0076A095" w14:textId="17AC5C7F" w:rsidR="006377FA" w:rsidRPr="00933708" w:rsidRDefault="006377FA" w:rsidP="006377FA">
      <w:pPr>
        <w:pStyle w:val="Caption"/>
      </w:pPr>
      <w:bookmarkStart w:id="57" w:name="_Ref144833328"/>
      <w:r w:rsidRPr="00933708">
        <w:lastRenderedPageBreak/>
        <w:t xml:space="preserve">Table </w:t>
      </w:r>
      <w:r w:rsidR="00D5135E">
        <w:fldChar w:fldCharType="begin"/>
      </w:r>
      <w:r w:rsidR="00D5135E">
        <w:instrText xml:space="preserve"> SEQ Table \* ARABIC </w:instrText>
      </w:r>
      <w:r w:rsidR="00D5135E">
        <w:fldChar w:fldCharType="separate"/>
      </w:r>
      <w:r w:rsidR="00D5135E">
        <w:rPr>
          <w:noProof/>
        </w:rPr>
        <w:t>12</w:t>
      </w:r>
      <w:r w:rsidR="00D5135E">
        <w:rPr>
          <w:noProof/>
        </w:rPr>
        <w:fldChar w:fldCharType="end"/>
      </w:r>
      <w:bookmarkEnd w:id="57"/>
      <w:r w:rsidRPr="00933708">
        <w:t>: Disaggregated summary of cost impacts in the economic evaluation (discounted)</w:t>
      </w:r>
    </w:p>
    <w:tbl>
      <w:tblPr>
        <w:tblStyle w:val="TableGrid"/>
        <w:tblW w:w="0" w:type="auto"/>
        <w:tblLayout w:type="fixed"/>
        <w:tblCellMar>
          <w:left w:w="57" w:type="dxa"/>
          <w:right w:w="57" w:type="dxa"/>
        </w:tblCellMar>
        <w:tblLook w:val="04A0" w:firstRow="1" w:lastRow="0" w:firstColumn="1" w:lastColumn="0" w:noHBand="0" w:noVBand="1"/>
      </w:tblPr>
      <w:tblGrid>
        <w:gridCol w:w="2737"/>
        <w:gridCol w:w="1637"/>
        <w:gridCol w:w="1638"/>
        <w:gridCol w:w="1638"/>
        <w:gridCol w:w="1366"/>
      </w:tblGrid>
      <w:tr w:rsidR="006377FA" w:rsidRPr="00933708" w14:paraId="087D7F7A" w14:textId="77777777" w:rsidTr="00794EFC">
        <w:tc>
          <w:tcPr>
            <w:tcW w:w="2737" w:type="dxa"/>
            <w:vAlign w:val="center"/>
          </w:tcPr>
          <w:p w14:paraId="61FB2BA6" w14:textId="77777777" w:rsidR="006377FA" w:rsidRPr="00933708" w:rsidRDefault="006377FA" w:rsidP="00794EFC">
            <w:pPr>
              <w:pStyle w:val="TableText"/>
              <w:rPr>
                <w:b/>
                <w:bCs w:val="0"/>
              </w:rPr>
            </w:pPr>
            <w:r w:rsidRPr="00933708">
              <w:rPr>
                <w:b/>
                <w:bCs w:val="0"/>
              </w:rPr>
              <w:t>Resource item</w:t>
            </w:r>
          </w:p>
        </w:tc>
        <w:tc>
          <w:tcPr>
            <w:tcW w:w="1637" w:type="dxa"/>
            <w:vAlign w:val="center"/>
          </w:tcPr>
          <w:p w14:paraId="7BC66FFF" w14:textId="77777777" w:rsidR="006377FA" w:rsidRPr="00933708" w:rsidRDefault="006377FA" w:rsidP="00794EFC">
            <w:pPr>
              <w:pStyle w:val="TableText"/>
              <w:jc w:val="center"/>
              <w:rPr>
                <w:b/>
                <w:bCs w:val="0"/>
              </w:rPr>
            </w:pPr>
            <w:proofErr w:type="spellStart"/>
            <w:r w:rsidRPr="00933708">
              <w:rPr>
                <w:b/>
                <w:bCs w:val="0"/>
              </w:rPr>
              <w:t>Empagliflozin+SC</w:t>
            </w:r>
            <w:proofErr w:type="spellEnd"/>
          </w:p>
        </w:tc>
        <w:tc>
          <w:tcPr>
            <w:tcW w:w="1638" w:type="dxa"/>
            <w:vAlign w:val="center"/>
          </w:tcPr>
          <w:p w14:paraId="06C37623" w14:textId="77777777" w:rsidR="006377FA" w:rsidRPr="00933708" w:rsidRDefault="006377FA" w:rsidP="00794EFC">
            <w:pPr>
              <w:pStyle w:val="TableText"/>
              <w:jc w:val="center"/>
              <w:rPr>
                <w:b/>
                <w:bCs w:val="0"/>
              </w:rPr>
            </w:pPr>
            <w:proofErr w:type="spellStart"/>
            <w:r w:rsidRPr="00933708">
              <w:rPr>
                <w:b/>
                <w:bCs w:val="0"/>
              </w:rPr>
              <w:t>Placebo+SC</w:t>
            </w:r>
            <w:proofErr w:type="spellEnd"/>
          </w:p>
        </w:tc>
        <w:tc>
          <w:tcPr>
            <w:tcW w:w="1638" w:type="dxa"/>
            <w:vAlign w:val="center"/>
          </w:tcPr>
          <w:p w14:paraId="1397D0CB" w14:textId="77777777" w:rsidR="006377FA" w:rsidRPr="00933708" w:rsidRDefault="006377FA" w:rsidP="00794EFC">
            <w:pPr>
              <w:pStyle w:val="TableText"/>
              <w:jc w:val="center"/>
              <w:rPr>
                <w:b/>
                <w:bCs w:val="0"/>
              </w:rPr>
            </w:pPr>
            <w:r w:rsidRPr="00933708">
              <w:rPr>
                <w:b/>
                <w:bCs w:val="0"/>
              </w:rPr>
              <w:t>Incremental cost</w:t>
            </w:r>
          </w:p>
        </w:tc>
        <w:tc>
          <w:tcPr>
            <w:tcW w:w="1366" w:type="dxa"/>
          </w:tcPr>
          <w:p w14:paraId="4231B870" w14:textId="77777777" w:rsidR="006377FA" w:rsidRPr="00933708" w:rsidRDefault="006377FA" w:rsidP="00794EFC">
            <w:pPr>
              <w:pStyle w:val="TableText"/>
              <w:jc w:val="center"/>
              <w:rPr>
                <w:b/>
                <w:bCs w:val="0"/>
              </w:rPr>
            </w:pPr>
            <w:r w:rsidRPr="00933708">
              <w:rPr>
                <w:b/>
                <w:bCs w:val="0"/>
              </w:rPr>
              <w:t>% incremental</w:t>
            </w:r>
          </w:p>
        </w:tc>
      </w:tr>
      <w:tr w:rsidR="006377FA" w:rsidRPr="00933708" w14:paraId="6B1E399F" w14:textId="77777777" w:rsidTr="00794EFC">
        <w:tc>
          <w:tcPr>
            <w:tcW w:w="2737" w:type="dxa"/>
            <w:tcBorders>
              <w:bottom w:val="single" w:sz="4" w:space="0" w:color="auto"/>
            </w:tcBorders>
            <w:vAlign w:val="center"/>
          </w:tcPr>
          <w:p w14:paraId="5190162E" w14:textId="77777777" w:rsidR="006377FA" w:rsidRPr="00933708" w:rsidRDefault="006377FA" w:rsidP="00794EFC">
            <w:pPr>
              <w:pStyle w:val="TableText"/>
            </w:pPr>
            <w:r w:rsidRPr="00933708">
              <w:t>Empagliflozin and standard care</w:t>
            </w:r>
          </w:p>
        </w:tc>
        <w:tc>
          <w:tcPr>
            <w:tcW w:w="1637" w:type="dxa"/>
            <w:tcBorders>
              <w:bottom w:val="single" w:sz="4" w:space="0" w:color="auto"/>
            </w:tcBorders>
            <w:vAlign w:val="center"/>
          </w:tcPr>
          <w:p w14:paraId="1FAFB8A8" w14:textId="2E1A5B87" w:rsidR="006377FA" w:rsidRPr="00933708" w:rsidRDefault="00056F3E" w:rsidP="00794EFC">
            <w:pPr>
              <w:pStyle w:val="TableText"/>
              <w:jc w:val="center"/>
            </w:pPr>
            <w:r>
              <w:rPr>
                <w:rFonts w:cs="Calibri"/>
                <w:color w:val="000000"/>
                <w:szCs w:val="20"/>
              </w:rPr>
              <w:t xml:space="preserve"> </w:t>
            </w:r>
            <w:r w:rsidRPr="00056F3E">
              <w:rPr>
                <w:rFonts w:cs="Calibri"/>
                <w:color w:val="000000"/>
                <w:szCs w:val="20"/>
                <w:shd w:val="solid" w:color="000000" w:fill="000000"/>
                <w14:textFill>
                  <w14:solidFill>
                    <w14:srgbClr w14:val="000000">
                      <w14:alpha w14:val="100000"/>
                    </w14:srgbClr>
                  </w14:solidFill>
                </w14:textFill>
              </w:rPr>
              <w:t>|</w:t>
            </w:r>
            <w:r w:rsidR="000D064C">
              <w:rPr>
                <w:rFonts w:cs="Calibri"/>
                <w:color w:val="000000"/>
                <w:szCs w:val="20"/>
              </w:rPr>
              <w:t xml:space="preserve"> </w:t>
            </w:r>
          </w:p>
        </w:tc>
        <w:tc>
          <w:tcPr>
            <w:tcW w:w="1638" w:type="dxa"/>
            <w:tcBorders>
              <w:bottom w:val="single" w:sz="4" w:space="0" w:color="auto"/>
            </w:tcBorders>
            <w:vAlign w:val="center"/>
          </w:tcPr>
          <w:p w14:paraId="334BC59F" w14:textId="77777777" w:rsidR="006377FA" w:rsidRPr="00933708" w:rsidRDefault="006377FA" w:rsidP="00794EFC">
            <w:pPr>
              <w:pStyle w:val="TableText"/>
              <w:jc w:val="center"/>
            </w:pPr>
            <w:r w:rsidRPr="00933708">
              <w:rPr>
                <w:rFonts w:cs="Calibri"/>
                <w:color w:val="000000"/>
                <w:szCs w:val="20"/>
              </w:rPr>
              <w:t>$607</w:t>
            </w:r>
          </w:p>
        </w:tc>
        <w:tc>
          <w:tcPr>
            <w:tcW w:w="1638" w:type="dxa"/>
            <w:tcBorders>
              <w:bottom w:val="single" w:sz="4" w:space="0" w:color="auto"/>
            </w:tcBorders>
            <w:vAlign w:val="center"/>
          </w:tcPr>
          <w:p w14:paraId="7CE92E43" w14:textId="66004EBC" w:rsidR="006377FA" w:rsidRPr="00933708" w:rsidRDefault="00056F3E" w:rsidP="00794EFC">
            <w:pPr>
              <w:pStyle w:val="TableText"/>
              <w:jc w:val="center"/>
            </w:pPr>
            <w:r>
              <w:rPr>
                <w:rFonts w:cs="Calibri"/>
                <w:color w:val="000000"/>
                <w:szCs w:val="20"/>
              </w:rPr>
              <w:t xml:space="preserve"> </w:t>
            </w:r>
            <w:r w:rsidRPr="00056F3E">
              <w:rPr>
                <w:rFonts w:cs="Calibri"/>
                <w:color w:val="000000"/>
                <w:szCs w:val="20"/>
                <w:shd w:val="solid" w:color="000000" w:fill="000000"/>
                <w14:textFill>
                  <w14:solidFill>
                    <w14:srgbClr w14:val="000000">
                      <w14:alpha w14:val="100000"/>
                    </w14:srgbClr>
                  </w14:solidFill>
                </w14:textFill>
              </w:rPr>
              <w:t>|</w:t>
            </w:r>
          </w:p>
        </w:tc>
        <w:tc>
          <w:tcPr>
            <w:tcW w:w="1366" w:type="dxa"/>
            <w:tcBorders>
              <w:bottom w:val="single" w:sz="4" w:space="0" w:color="auto"/>
            </w:tcBorders>
          </w:tcPr>
          <w:p w14:paraId="18A0C7D0" w14:textId="77777777" w:rsidR="006377FA" w:rsidRPr="00933708" w:rsidRDefault="006377FA" w:rsidP="00794EFC">
            <w:pPr>
              <w:pStyle w:val="TableText"/>
              <w:jc w:val="center"/>
            </w:pPr>
            <w:r w:rsidRPr="00933708">
              <w:t>-14.16%</w:t>
            </w:r>
          </w:p>
        </w:tc>
      </w:tr>
      <w:tr w:rsidR="006377FA" w:rsidRPr="00933708" w14:paraId="69525B5B" w14:textId="77777777" w:rsidTr="00794EFC">
        <w:tc>
          <w:tcPr>
            <w:tcW w:w="2737" w:type="dxa"/>
            <w:tcBorders>
              <w:bottom w:val="nil"/>
            </w:tcBorders>
            <w:vAlign w:val="center"/>
          </w:tcPr>
          <w:p w14:paraId="01957869" w14:textId="77777777" w:rsidR="006377FA" w:rsidRPr="00933708" w:rsidRDefault="006377FA" w:rsidP="00794EFC">
            <w:pPr>
              <w:pStyle w:val="TableText"/>
            </w:pPr>
            <w:r w:rsidRPr="00933708">
              <w:t>Disease management</w:t>
            </w:r>
          </w:p>
        </w:tc>
        <w:tc>
          <w:tcPr>
            <w:tcW w:w="1637" w:type="dxa"/>
            <w:tcBorders>
              <w:bottom w:val="nil"/>
            </w:tcBorders>
            <w:vAlign w:val="center"/>
          </w:tcPr>
          <w:p w14:paraId="5E38FA22" w14:textId="77777777" w:rsidR="006377FA" w:rsidRPr="00933708" w:rsidRDefault="006377FA" w:rsidP="00794EFC">
            <w:pPr>
              <w:pStyle w:val="TableText"/>
              <w:jc w:val="center"/>
            </w:pPr>
            <w:r w:rsidRPr="00933708">
              <w:rPr>
                <w:rFonts w:cs="Calibri"/>
                <w:color w:val="000000"/>
                <w:szCs w:val="20"/>
              </w:rPr>
              <w:t>$6,847</w:t>
            </w:r>
          </w:p>
        </w:tc>
        <w:tc>
          <w:tcPr>
            <w:tcW w:w="1638" w:type="dxa"/>
            <w:tcBorders>
              <w:bottom w:val="nil"/>
            </w:tcBorders>
            <w:vAlign w:val="center"/>
          </w:tcPr>
          <w:p w14:paraId="4AE0C7B7" w14:textId="77777777" w:rsidR="006377FA" w:rsidRPr="00933708" w:rsidRDefault="006377FA" w:rsidP="00794EFC">
            <w:pPr>
              <w:pStyle w:val="TableText"/>
              <w:jc w:val="center"/>
            </w:pPr>
            <w:r w:rsidRPr="00933708">
              <w:rPr>
                <w:rFonts w:cs="Calibri"/>
                <w:color w:val="000000"/>
                <w:szCs w:val="20"/>
              </w:rPr>
              <w:t>$6,257</w:t>
            </w:r>
          </w:p>
        </w:tc>
        <w:tc>
          <w:tcPr>
            <w:tcW w:w="1638" w:type="dxa"/>
            <w:tcBorders>
              <w:bottom w:val="nil"/>
            </w:tcBorders>
            <w:vAlign w:val="center"/>
          </w:tcPr>
          <w:p w14:paraId="2C5A82DC" w14:textId="77777777" w:rsidR="006377FA" w:rsidRPr="00933708" w:rsidRDefault="006377FA" w:rsidP="00794EFC">
            <w:pPr>
              <w:pStyle w:val="TableText"/>
              <w:jc w:val="center"/>
            </w:pPr>
            <w:r w:rsidRPr="00933708">
              <w:rPr>
                <w:rFonts w:cs="Calibri"/>
                <w:color w:val="000000"/>
                <w:szCs w:val="20"/>
              </w:rPr>
              <w:t>$590</w:t>
            </w:r>
          </w:p>
        </w:tc>
        <w:tc>
          <w:tcPr>
            <w:tcW w:w="1366" w:type="dxa"/>
            <w:tcBorders>
              <w:bottom w:val="nil"/>
            </w:tcBorders>
          </w:tcPr>
          <w:p w14:paraId="275B016C" w14:textId="77777777" w:rsidR="006377FA" w:rsidRPr="00933708" w:rsidRDefault="006377FA" w:rsidP="00794EFC">
            <w:pPr>
              <w:pStyle w:val="TableText"/>
              <w:jc w:val="center"/>
            </w:pPr>
            <w:r w:rsidRPr="00933708">
              <w:t>-2.28%</w:t>
            </w:r>
          </w:p>
        </w:tc>
      </w:tr>
      <w:tr w:rsidR="006377FA" w:rsidRPr="00933708" w14:paraId="53161A03" w14:textId="77777777" w:rsidTr="00794EFC">
        <w:tc>
          <w:tcPr>
            <w:tcW w:w="2737" w:type="dxa"/>
            <w:vAlign w:val="center"/>
          </w:tcPr>
          <w:p w14:paraId="1787AB12" w14:textId="77777777" w:rsidR="006377FA" w:rsidRPr="00933708" w:rsidRDefault="006377FA" w:rsidP="00794EFC">
            <w:pPr>
              <w:pStyle w:val="TableText"/>
            </w:pPr>
            <w:r w:rsidRPr="00933708">
              <w:t>ESKD conservative therapy</w:t>
            </w:r>
          </w:p>
        </w:tc>
        <w:tc>
          <w:tcPr>
            <w:tcW w:w="1637" w:type="dxa"/>
            <w:vAlign w:val="center"/>
          </w:tcPr>
          <w:p w14:paraId="4ABA926D" w14:textId="77777777" w:rsidR="006377FA" w:rsidRPr="00933708" w:rsidRDefault="006377FA" w:rsidP="00794EFC">
            <w:pPr>
              <w:pStyle w:val="TableText"/>
              <w:jc w:val="center"/>
            </w:pPr>
            <w:r w:rsidRPr="00933708">
              <w:rPr>
                <w:rFonts w:cs="Calibri"/>
                <w:color w:val="000000"/>
                <w:szCs w:val="20"/>
              </w:rPr>
              <w:t>$279</w:t>
            </w:r>
          </w:p>
        </w:tc>
        <w:tc>
          <w:tcPr>
            <w:tcW w:w="1638" w:type="dxa"/>
            <w:vAlign w:val="center"/>
          </w:tcPr>
          <w:p w14:paraId="729044F9" w14:textId="77777777" w:rsidR="006377FA" w:rsidRPr="00933708" w:rsidRDefault="006377FA" w:rsidP="00794EFC">
            <w:pPr>
              <w:pStyle w:val="TableText"/>
              <w:jc w:val="center"/>
            </w:pPr>
            <w:r w:rsidRPr="00933708">
              <w:rPr>
                <w:rFonts w:cs="Calibri"/>
                <w:color w:val="000000"/>
                <w:szCs w:val="20"/>
              </w:rPr>
              <w:t>$324</w:t>
            </w:r>
          </w:p>
        </w:tc>
        <w:tc>
          <w:tcPr>
            <w:tcW w:w="1638" w:type="dxa"/>
            <w:vAlign w:val="center"/>
          </w:tcPr>
          <w:p w14:paraId="23B2FB72" w14:textId="77777777" w:rsidR="006377FA" w:rsidRPr="00933708" w:rsidRDefault="006377FA" w:rsidP="00794EFC">
            <w:pPr>
              <w:pStyle w:val="TableText"/>
              <w:jc w:val="center"/>
            </w:pPr>
            <w:r w:rsidRPr="00933708">
              <w:rPr>
                <w:rFonts w:cs="Calibri"/>
                <w:color w:val="000000"/>
                <w:szCs w:val="20"/>
              </w:rPr>
              <w:t>-$44</w:t>
            </w:r>
          </w:p>
        </w:tc>
        <w:tc>
          <w:tcPr>
            <w:tcW w:w="1366" w:type="dxa"/>
            <w:vAlign w:val="center"/>
          </w:tcPr>
          <w:p w14:paraId="246508FA" w14:textId="77777777" w:rsidR="006377FA" w:rsidRPr="00933708" w:rsidRDefault="006377FA" w:rsidP="00794EFC">
            <w:pPr>
              <w:pStyle w:val="TableText"/>
              <w:jc w:val="center"/>
            </w:pPr>
            <w:r w:rsidRPr="00933708">
              <w:rPr>
                <w:rFonts w:cs="Calibri"/>
                <w:color w:val="000000"/>
                <w:szCs w:val="20"/>
              </w:rPr>
              <w:t>0.17%</w:t>
            </w:r>
          </w:p>
        </w:tc>
      </w:tr>
      <w:tr w:rsidR="006377FA" w:rsidRPr="00933708" w14:paraId="4EADE193" w14:textId="77777777" w:rsidTr="00794EFC">
        <w:tc>
          <w:tcPr>
            <w:tcW w:w="2737" w:type="dxa"/>
            <w:vAlign w:val="center"/>
          </w:tcPr>
          <w:p w14:paraId="11F0D1F7" w14:textId="77777777" w:rsidR="006377FA" w:rsidRPr="00933708" w:rsidRDefault="006377FA" w:rsidP="00794EFC">
            <w:pPr>
              <w:pStyle w:val="TableText"/>
            </w:pPr>
            <w:r w:rsidRPr="00933708">
              <w:t>Renal replacement therapy</w:t>
            </w:r>
          </w:p>
        </w:tc>
        <w:tc>
          <w:tcPr>
            <w:tcW w:w="1637" w:type="dxa"/>
            <w:vAlign w:val="center"/>
          </w:tcPr>
          <w:p w14:paraId="5EB3A148" w14:textId="77777777" w:rsidR="006377FA" w:rsidRPr="00933708" w:rsidRDefault="006377FA" w:rsidP="00794EFC">
            <w:pPr>
              <w:pStyle w:val="TableText"/>
              <w:jc w:val="center"/>
              <w:rPr>
                <w:rFonts w:cs="Calibri"/>
                <w:color w:val="000000"/>
                <w:szCs w:val="20"/>
              </w:rPr>
            </w:pPr>
            <w:r w:rsidRPr="00933708">
              <w:rPr>
                <w:rFonts w:cs="Calibri"/>
                <w:color w:val="000000"/>
                <w:szCs w:val="20"/>
              </w:rPr>
              <w:t>$55,479</w:t>
            </w:r>
          </w:p>
        </w:tc>
        <w:tc>
          <w:tcPr>
            <w:tcW w:w="1638" w:type="dxa"/>
            <w:vAlign w:val="center"/>
          </w:tcPr>
          <w:p w14:paraId="2C3F3BF9" w14:textId="77777777" w:rsidR="006377FA" w:rsidRPr="00933708" w:rsidRDefault="006377FA" w:rsidP="00794EFC">
            <w:pPr>
              <w:pStyle w:val="TableText"/>
              <w:jc w:val="center"/>
              <w:rPr>
                <w:rFonts w:cs="Calibri"/>
                <w:color w:val="000000"/>
                <w:szCs w:val="20"/>
              </w:rPr>
            </w:pPr>
            <w:r w:rsidRPr="00933708">
              <w:rPr>
                <w:rFonts w:cs="Calibri"/>
                <w:color w:val="000000"/>
                <w:szCs w:val="20"/>
              </w:rPr>
              <w:t>$86,348</w:t>
            </w:r>
          </w:p>
        </w:tc>
        <w:tc>
          <w:tcPr>
            <w:tcW w:w="1638" w:type="dxa"/>
            <w:vAlign w:val="center"/>
          </w:tcPr>
          <w:p w14:paraId="10EC79C1" w14:textId="77777777" w:rsidR="006377FA" w:rsidRPr="00933708" w:rsidRDefault="006377FA" w:rsidP="00794EFC">
            <w:pPr>
              <w:pStyle w:val="TableText"/>
              <w:jc w:val="center"/>
              <w:rPr>
                <w:rFonts w:cs="Calibri"/>
                <w:color w:val="000000"/>
                <w:szCs w:val="20"/>
              </w:rPr>
            </w:pPr>
            <w:r w:rsidRPr="00933708">
              <w:rPr>
                <w:rFonts w:cs="Calibri"/>
                <w:color w:val="000000"/>
                <w:szCs w:val="20"/>
              </w:rPr>
              <w:t>-$30,870</w:t>
            </w:r>
          </w:p>
        </w:tc>
        <w:tc>
          <w:tcPr>
            <w:tcW w:w="1366" w:type="dxa"/>
            <w:vAlign w:val="center"/>
          </w:tcPr>
          <w:p w14:paraId="5B07A0BA" w14:textId="77777777" w:rsidR="006377FA" w:rsidRPr="00933708" w:rsidRDefault="006377FA" w:rsidP="00794EFC">
            <w:pPr>
              <w:pStyle w:val="TableText"/>
              <w:jc w:val="center"/>
              <w:rPr>
                <w:rFonts w:cs="Calibri"/>
                <w:color w:val="000000"/>
                <w:szCs w:val="20"/>
              </w:rPr>
            </w:pPr>
            <w:r w:rsidRPr="00933708">
              <w:rPr>
                <w:rFonts w:cs="Calibri"/>
                <w:color w:val="000000"/>
                <w:szCs w:val="20"/>
              </w:rPr>
              <w:t>119.29%</w:t>
            </w:r>
          </w:p>
        </w:tc>
      </w:tr>
      <w:tr w:rsidR="006377FA" w:rsidRPr="00933708" w14:paraId="296E04BE" w14:textId="77777777" w:rsidTr="00794EFC">
        <w:tc>
          <w:tcPr>
            <w:tcW w:w="2737" w:type="dxa"/>
            <w:vAlign w:val="center"/>
          </w:tcPr>
          <w:p w14:paraId="7FB3B4B7" w14:textId="77777777" w:rsidR="006377FA" w:rsidRPr="00933708" w:rsidRDefault="006377FA" w:rsidP="00794EFC">
            <w:pPr>
              <w:pStyle w:val="TableText"/>
            </w:pPr>
            <w:r w:rsidRPr="00933708">
              <w:t>- dialysis</w:t>
            </w:r>
          </w:p>
        </w:tc>
        <w:tc>
          <w:tcPr>
            <w:tcW w:w="1637" w:type="dxa"/>
            <w:vAlign w:val="bottom"/>
          </w:tcPr>
          <w:p w14:paraId="2C28DB66" w14:textId="77777777" w:rsidR="006377FA" w:rsidRPr="00933708" w:rsidRDefault="006377FA" w:rsidP="00794EFC">
            <w:pPr>
              <w:pStyle w:val="TableText"/>
              <w:jc w:val="center"/>
              <w:rPr>
                <w:rFonts w:cs="Calibri"/>
                <w:color w:val="000000"/>
                <w:szCs w:val="20"/>
              </w:rPr>
            </w:pPr>
            <w:r w:rsidRPr="00933708">
              <w:rPr>
                <w:rFonts w:cs="Calibri"/>
                <w:color w:val="000000"/>
                <w:szCs w:val="20"/>
              </w:rPr>
              <w:t>$50,514</w:t>
            </w:r>
          </w:p>
        </w:tc>
        <w:tc>
          <w:tcPr>
            <w:tcW w:w="1638" w:type="dxa"/>
            <w:vAlign w:val="bottom"/>
          </w:tcPr>
          <w:p w14:paraId="3675A8E7" w14:textId="77777777" w:rsidR="006377FA" w:rsidRPr="00933708" w:rsidRDefault="006377FA" w:rsidP="00794EFC">
            <w:pPr>
              <w:pStyle w:val="TableText"/>
              <w:jc w:val="center"/>
              <w:rPr>
                <w:rFonts w:cs="Calibri"/>
                <w:color w:val="000000"/>
                <w:szCs w:val="20"/>
              </w:rPr>
            </w:pPr>
            <w:r w:rsidRPr="00933708">
              <w:rPr>
                <w:rFonts w:cs="Calibri"/>
                <w:color w:val="000000"/>
                <w:szCs w:val="20"/>
              </w:rPr>
              <w:t>$78,476</w:t>
            </w:r>
          </w:p>
        </w:tc>
        <w:tc>
          <w:tcPr>
            <w:tcW w:w="1638" w:type="dxa"/>
            <w:vAlign w:val="bottom"/>
          </w:tcPr>
          <w:p w14:paraId="5ADD7F62" w14:textId="77777777" w:rsidR="006377FA" w:rsidRPr="00933708" w:rsidRDefault="006377FA" w:rsidP="00794EFC">
            <w:pPr>
              <w:pStyle w:val="TableText"/>
              <w:jc w:val="center"/>
              <w:rPr>
                <w:rFonts w:cs="Calibri"/>
                <w:color w:val="000000"/>
                <w:szCs w:val="20"/>
              </w:rPr>
            </w:pPr>
            <w:r w:rsidRPr="00933708">
              <w:rPr>
                <w:rFonts w:cs="Calibri"/>
                <w:color w:val="000000"/>
                <w:szCs w:val="20"/>
              </w:rPr>
              <w:t>-$27,962</w:t>
            </w:r>
          </w:p>
        </w:tc>
        <w:tc>
          <w:tcPr>
            <w:tcW w:w="1366" w:type="dxa"/>
            <w:vAlign w:val="bottom"/>
          </w:tcPr>
          <w:p w14:paraId="7E6CA7CB" w14:textId="77777777" w:rsidR="006377FA" w:rsidRPr="00933708" w:rsidRDefault="006377FA" w:rsidP="00794EFC">
            <w:pPr>
              <w:pStyle w:val="TableText"/>
              <w:jc w:val="center"/>
              <w:rPr>
                <w:rFonts w:cs="Calibri"/>
                <w:color w:val="000000"/>
                <w:szCs w:val="20"/>
              </w:rPr>
            </w:pPr>
            <w:r w:rsidRPr="00933708">
              <w:rPr>
                <w:rFonts w:cs="Calibri"/>
                <w:color w:val="000000"/>
                <w:szCs w:val="20"/>
              </w:rPr>
              <w:t>108.05%</w:t>
            </w:r>
          </w:p>
        </w:tc>
      </w:tr>
      <w:tr w:rsidR="006377FA" w:rsidRPr="00933708" w14:paraId="6C5DF0D9" w14:textId="77777777" w:rsidTr="00794EFC">
        <w:tc>
          <w:tcPr>
            <w:tcW w:w="2737" w:type="dxa"/>
            <w:vAlign w:val="center"/>
          </w:tcPr>
          <w:p w14:paraId="7CB8B95F" w14:textId="77777777" w:rsidR="006377FA" w:rsidRPr="00933708" w:rsidRDefault="006377FA" w:rsidP="00794EFC">
            <w:pPr>
              <w:pStyle w:val="TableText"/>
            </w:pPr>
            <w:r w:rsidRPr="00933708">
              <w:t>- dialysis complications</w:t>
            </w:r>
          </w:p>
        </w:tc>
        <w:tc>
          <w:tcPr>
            <w:tcW w:w="1637" w:type="dxa"/>
            <w:vAlign w:val="center"/>
          </w:tcPr>
          <w:p w14:paraId="55AC753C" w14:textId="77777777" w:rsidR="006377FA" w:rsidRPr="00933708" w:rsidRDefault="006377FA" w:rsidP="00794EFC">
            <w:pPr>
              <w:pStyle w:val="TableText"/>
              <w:jc w:val="center"/>
              <w:rPr>
                <w:rFonts w:cs="Calibri"/>
                <w:color w:val="000000"/>
                <w:szCs w:val="20"/>
              </w:rPr>
            </w:pPr>
            <w:r w:rsidRPr="00933708">
              <w:rPr>
                <w:rFonts w:cs="Calibri"/>
                <w:color w:val="000000"/>
                <w:szCs w:val="20"/>
              </w:rPr>
              <w:t>$2,275</w:t>
            </w:r>
          </w:p>
        </w:tc>
        <w:tc>
          <w:tcPr>
            <w:tcW w:w="1638" w:type="dxa"/>
            <w:vAlign w:val="center"/>
          </w:tcPr>
          <w:p w14:paraId="541A6539" w14:textId="77777777" w:rsidR="006377FA" w:rsidRPr="00933708" w:rsidRDefault="006377FA" w:rsidP="00794EFC">
            <w:pPr>
              <w:pStyle w:val="TableText"/>
              <w:jc w:val="center"/>
              <w:rPr>
                <w:rFonts w:cs="Calibri"/>
                <w:color w:val="000000"/>
                <w:szCs w:val="20"/>
              </w:rPr>
            </w:pPr>
            <w:r w:rsidRPr="00933708">
              <w:rPr>
                <w:rFonts w:cs="Calibri"/>
                <w:color w:val="000000"/>
                <w:szCs w:val="20"/>
              </w:rPr>
              <w:t>$3,440</w:t>
            </w:r>
          </w:p>
        </w:tc>
        <w:tc>
          <w:tcPr>
            <w:tcW w:w="1638" w:type="dxa"/>
            <w:vAlign w:val="center"/>
          </w:tcPr>
          <w:p w14:paraId="13AA212A" w14:textId="77777777" w:rsidR="006377FA" w:rsidRPr="00933708" w:rsidRDefault="006377FA" w:rsidP="00794EFC">
            <w:pPr>
              <w:pStyle w:val="TableText"/>
              <w:jc w:val="center"/>
              <w:rPr>
                <w:rFonts w:cs="Calibri"/>
                <w:color w:val="000000"/>
                <w:szCs w:val="20"/>
              </w:rPr>
            </w:pPr>
            <w:r w:rsidRPr="00933708">
              <w:rPr>
                <w:rFonts w:cs="Calibri"/>
                <w:color w:val="000000"/>
                <w:szCs w:val="20"/>
              </w:rPr>
              <w:t>-$1,165</w:t>
            </w:r>
          </w:p>
        </w:tc>
        <w:tc>
          <w:tcPr>
            <w:tcW w:w="1366" w:type="dxa"/>
            <w:vAlign w:val="bottom"/>
          </w:tcPr>
          <w:p w14:paraId="00C6F97D" w14:textId="77777777" w:rsidR="006377FA" w:rsidRPr="00933708" w:rsidRDefault="006377FA" w:rsidP="00794EFC">
            <w:pPr>
              <w:pStyle w:val="TableText"/>
              <w:jc w:val="center"/>
              <w:rPr>
                <w:rFonts w:cs="Calibri"/>
                <w:color w:val="000000"/>
                <w:szCs w:val="20"/>
              </w:rPr>
            </w:pPr>
            <w:r w:rsidRPr="00933708">
              <w:rPr>
                <w:rFonts w:cs="Calibri"/>
                <w:color w:val="000000"/>
                <w:szCs w:val="20"/>
              </w:rPr>
              <w:t>4.50%</w:t>
            </w:r>
          </w:p>
        </w:tc>
      </w:tr>
      <w:tr w:rsidR="006377FA" w:rsidRPr="00933708" w14:paraId="06CA618A" w14:textId="77777777" w:rsidTr="00794EFC">
        <w:tc>
          <w:tcPr>
            <w:tcW w:w="2737" w:type="dxa"/>
            <w:vAlign w:val="center"/>
          </w:tcPr>
          <w:p w14:paraId="6AED96C3" w14:textId="77777777" w:rsidR="006377FA" w:rsidRPr="00933708" w:rsidRDefault="006377FA" w:rsidP="00794EFC">
            <w:pPr>
              <w:pStyle w:val="TableText"/>
            </w:pPr>
            <w:r w:rsidRPr="00933708">
              <w:t>- transplant (initial)</w:t>
            </w:r>
          </w:p>
        </w:tc>
        <w:tc>
          <w:tcPr>
            <w:tcW w:w="1637" w:type="dxa"/>
            <w:vAlign w:val="center"/>
          </w:tcPr>
          <w:p w14:paraId="37BDABCE" w14:textId="77777777" w:rsidR="006377FA" w:rsidRPr="00933708" w:rsidRDefault="006377FA" w:rsidP="00794EFC">
            <w:pPr>
              <w:pStyle w:val="TableText"/>
              <w:jc w:val="center"/>
              <w:rPr>
                <w:rFonts w:cs="Calibri"/>
                <w:color w:val="000000"/>
                <w:szCs w:val="20"/>
              </w:rPr>
            </w:pPr>
            <w:r w:rsidRPr="00933708">
              <w:rPr>
                <w:rFonts w:cs="Calibri"/>
                <w:color w:val="000000"/>
                <w:szCs w:val="20"/>
              </w:rPr>
              <w:t>$2,690</w:t>
            </w:r>
          </w:p>
        </w:tc>
        <w:tc>
          <w:tcPr>
            <w:tcW w:w="1638" w:type="dxa"/>
            <w:vAlign w:val="center"/>
          </w:tcPr>
          <w:p w14:paraId="0274C625" w14:textId="77777777" w:rsidR="006377FA" w:rsidRPr="00933708" w:rsidRDefault="006377FA" w:rsidP="00794EFC">
            <w:pPr>
              <w:pStyle w:val="TableText"/>
              <w:jc w:val="center"/>
              <w:rPr>
                <w:rFonts w:cs="Calibri"/>
                <w:color w:val="000000"/>
                <w:szCs w:val="20"/>
              </w:rPr>
            </w:pPr>
            <w:r w:rsidRPr="00933708">
              <w:rPr>
                <w:rFonts w:cs="Calibri"/>
                <w:color w:val="000000"/>
                <w:szCs w:val="20"/>
              </w:rPr>
              <w:t>$4,432</w:t>
            </w:r>
          </w:p>
        </w:tc>
        <w:tc>
          <w:tcPr>
            <w:tcW w:w="1638" w:type="dxa"/>
            <w:vAlign w:val="center"/>
          </w:tcPr>
          <w:p w14:paraId="54E237C8" w14:textId="77777777" w:rsidR="006377FA" w:rsidRPr="00933708" w:rsidRDefault="006377FA" w:rsidP="00794EFC">
            <w:pPr>
              <w:pStyle w:val="TableText"/>
              <w:jc w:val="center"/>
              <w:rPr>
                <w:rFonts w:cs="Calibri"/>
                <w:color w:val="000000"/>
                <w:szCs w:val="20"/>
              </w:rPr>
            </w:pPr>
            <w:r w:rsidRPr="00933708">
              <w:rPr>
                <w:rFonts w:cs="Calibri"/>
                <w:color w:val="000000"/>
                <w:szCs w:val="20"/>
              </w:rPr>
              <w:t>-$1,742</w:t>
            </w:r>
          </w:p>
        </w:tc>
        <w:tc>
          <w:tcPr>
            <w:tcW w:w="1366" w:type="dxa"/>
            <w:vAlign w:val="bottom"/>
          </w:tcPr>
          <w:p w14:paraId="0582D24C" w14:textId="77777777" w:rsidR="006377FA" w:rsidRPr="00933708" w:rsidRDefault="006377FA" w:rsidP="00794EFC">
            <w:pPr>
              <w:pStyle w:val="TableText"/>
              <w:jc w:val="center"/>
              <w:rPr>
                <w:rFonts w:cs="Calibri"/>
                <w:color w:val="000000"/>
                <w:szCs w:val="20"/>
              </w:rPr>
            </w:pPr>
            <w:r w:rsidRPr="00933708">
              <w:rPr>
                <w:rFonts w:cs="Calibri"/>
                <w:color w:val="000000"/>
                <w:szCs w:val="20"/>
              </w:rPr>
              <w:t>6.73%</w:t>
            </w:r>
          </w:p>
        </w:tc>
      </w:tr>
      <w:tr w:rsidR="006377FA" w:rsidRPr="00933708" w14:paraId="1F62E453" w14:textId="77777777" w:rsidTr="00794EFC">
        <w:tc>
          <w:tcPr>
            <w:tcW w:w="2737" w:type="dxa"/>
            <w:vAlign w:val="center"/>
          </w:tcPr>
          <w:p w14:paraId="1D0C99E4" w14:textId="77777777" w:rsidR="006377FA" w:rsidRPr="00933708" w:rsidRDefault="006377FA" w:rsidP="00794EFC">
            <w:pPr>
              <w:pStyle w:val="TableText"/>
            </w:pPr>
            <w:r w:rsidRPr="00933708">
              <w:t>- transplant (ongoing)</w:t>
            </w:r>
          </w:p>
        </w:tc>
        <w:tc>
          <w:tcPr>
            <w:tcW w:w="1637" w:type="dxa"/>
            <w:vAlign w:val="center"/>
          </w:tcPr>
          <w:p w14:paraId="0778807F" w14:textId="77777777" w:rsidR="006377FA" w:rsidRPr="00933708" w:rsidRDefault="006377FA" w:rsidP="00794EFC">
            <w:pPr>
              <w:pStyle w:val="TableText"/>
              <w:jc w:val="center"/>
              <w:rPr>
                <w:rFonts w:cs="Calibri"/>
                <w:color w:val="000000"/>
                <w:szCs w:val="20"/>
              </w:rPr>
            </w:pPr>
            <w:r w:rsidRPr="00933708">
              <w:rPr>
                <w:rFonts w:cs="Calibri"/>
                <w:color w:val="000000"/>
                <w:szCs w:val="20"/>
              </w:rPr>
              <w:t>$0</w:t>
            </w:r>
          </w:p>
        </w:tc>
        <w:tc>
          <w:tcPr>
            <w:tcW w:w="1638" w:type="dxa"/>
            <w:vAlign w:val="center"/>
          </w:tcPr>
          <w:p w14:paraId="34E6323F" w14:textId="77777777" w:rsidR="006377FA" w:rsidRPr="00933708" w:rsidRDefault="006377FA" w:rsidP="00794EFC">
            <w:pPr>
              <w:pStyle w:val="TableText"/>
              <w:jc w:val="center"/>
              <w:rPr>
                <w:rFonts w:cs="Calibri"/>
                <w:color w:val="000000"/>
                <w:szCs w:val="20"/>
              </w:rPr>
            </w:pPr>
            <w:r w:rsidRPr="00933708">
              <w:rPr>
                <w:rFonts w:cs="Calibri"/>
                <w:color w:val="000000"/>
                <w:szCs w:val="20"/>
              </w:rPr>
              <w:t>$0</w:t>
            </w:r>
          </w:p>
        </w:tc>
        <w:tc>
          <w:tcPr>
            <w:tcW w:w="1638" w:type="dxa"/>
            <w:vAlign w:val="center"/>
          </w:tcPr>
          <w:p w14:paraId="7E2277DF" w14:textId="77777777" w:rsidR="006377FA" w:rsidRPr="00933708" w:rsidRDefault="006377FA" w:rsidP="00794EFC">
            <w:pPr>
              <w:pStyle w:val="TableText"/>
              <w:jc w:val="center"/>
              <w:rPr>
                <w:rFonts w:cs="Calibri"/>
                <w:color w:val="000000"/>
                <w:szCs w:val="20"/>
              </w:rPr>
            </w:pPr>
            <w:r w:rsidRPr="00933708">
              <w:rPr>
                <w:rFonts w:cs="Calibri"/>
                <w:color w:val="000000"/>
                <w:szCs w:val="20"/>
              </w:rPr>
              <w:t>$0</w:t>
            </w:r>
          </w:p>
        </w:tc>
        <w:tc>
          <w:tcPr>
            <w:tcW w:w="1366" w:type="dxa"/>
            <w:vAlign w:val="center"/>
          </w:tcPr>
          <w:p w14:paraId="0B5D8FD0" w14:textId="77777777" w:rsidR="006377FA" w:rsidRPr="00933708" w:rsidRDefault="006377FA" w:rsidP="00794EFC">
            <w:pPr>
              <w:pStyle w:val="TableText"/>
              <w:jc w:val="center"/>
              <w:rPr>
                <w:rFonts w:cs="Calibri"/>
                <w:color w:val="000000"/>
                <w:szCs w:val="20"/>
              </w:rPr>
            </w:pPr>
            <w:r w:rsidRPr="00933708">
              <w:rPr>
                <w:rFonts w:cs="Calibri"/>
                <w:color w:val="000000"/>
                <w:szCs w:val="20"/>
              </w:rPr>
              <w:t>0%</w:t>
            </w:r>
          </w:p>
        </w:tc>
      </w:tr>
      <w:tr w:rsidR="006377FA" w:rsidRPr="00933708" w14:paraId="6E1AD0E8" w14:textId="77777777" w:rsidTr="00794EFC">
        <w:tc>
          <w:tcPr>
            <w:tcW w:w="2737" w:type="dxa"/>
            <w:vAlign w:val="center"/>
          </w:tcPr>
          <w:p w14:paraId="2FDDFBC0" w14:textId="77777777" w:rsidR="006377FA" w:rsidRPr="00933708" w:rsidRDefault="006377FA" w:rsidP="00794EFC">
            <w:pPr>
              <w:pStyle w:val="TableText"/>
            </w:pPr>
            <w:r w:rsidRPr="00933708">
              <w:t xml:space="preserve">Cardiovascular disease </w:t>
            </w:r>
          </w:p>
        </w:tc>
        <w:tc>
          <w:tcPr>
            <w:tcW w:w="1637" w:type="dxa"/>
            <w:vAlign w:val="center"/>
          </w:tcPr>
          <w:p w14:paraId="720FC60B" w14:textId="77777777" w:rsidR="006377FA" w:rsidRPr="00933708" w:rsidRDefault="006377FA" w:rsidP="00794EFC">
            <w:pPr>
              <w:pStyle w:val="TableText"/>
              <w:jc w:val="center"/>
            </w:pPr>
            <w:r w:rsidRPr="00933708">
              <w:rPr>
                <w:rFonts w:cs="Calibri"/>
                <w:color w:val="000000"/>
                <w:szCs w:val="20"/>
              </w:rPr>
              <w:t>$5,383</w:t>
            </w:r>
          </w:p>
        </w:tc>
        <w:tc>
          <w:tcPr>
            <w:tcW w:w="1638" w:type="dxa"/>
            <w:vAlign w:val="center"/>
          </w:tcPr>
          <w:p w14:paraId="622D9745" w14:textId="77777777" w:rsidR="006377FA" w:rsidRPr="00933708" w:rsidRDefault="006377FA" w:rsidP="00794EFC">
            <w:pPr>
              <w:pStyle w:val="TableText"/>
              <w:jc w:val="center"/>
            </w:pPr>
            <w:r w:rsidRPr="00933708">
              <w:rPr>
                <w:rFonts w:cs="Calibri"/>
                <w:color w:val="000000"/>
                <w:szCs w:val="20"/>
              </w:rPr>
              <w:t>$5,261</w:t>
            </w:r>
          </w:p>
        </w:tc>
        <w:tc>
          <w:tcPr>
            <w:tcW w:w="1638" w:type="dxa"/>
            <w:vAlign w:val="center"/>
          </w:tcPr>
          <w:p w14:paraId="0A1114E7" w14:textId="77777777" w:rsidR="006377FA" w:rsidRPr="00933708" w:rsidRDefault="006377FA" w:rsidP="00794EFC">
            <w:pPr>
              <w:pStyle w:val="TableText"/>
              <w:jc w:val="center"/>
            </w:pPr>
            <w:r w:rsidRPr="00933708">
              <w:rPr>
                <w:rFonts w:cs="Calibri"/>
                <w:color w:val="000000"/>
                <w:szCs w:val="20"/>
              </w:rPr>
              <w:t>$123</w:t>
            </w:r>
          </w:p>
        </w:tc>
        <w:tc>
          <w:tcPr>
            <w:tcW w:w="1366" w:type="dxa"/>
            <w:vAlign w:val="center"/>
          </w:tcPr>
          <w:p w14:paraId="4C5B856F" w14:textId="77777777" w:rsidR="006377FA" w:rsidRPr="00933708" w:rsidRDefault="006377FA" w:rsidP="00794EFC">
            <w:pPr>
              <w:pStyle w:val="TableText"/>
              <w:jc w:val="center"/>
            </w:pPr>
            <w:r w:rsidRPr="00933708">
              <w:t>-0.47%</w:t>
            </w:r>
          </w:p>
        </w:tc>
      </w:tr>
      <w:tr w:rsidR="006377FA" w:rsidRPr="00933708" w14:paraId="4DBBF52E" w14:textId="77777777" w:rsidTr="00794EFC">
        <w:tc>
          <w:tcPr>
            <w:tcW w:w="2737" w:type="dxa"/>
            <w:vAlign w:val="center"/>
          </w:tcPr>
          <w:p w14:paraId="15CD4F77" w14:textId="77777777" w:rsidR="006377FA" w:rsidRPr="00933708" w:rsidRDefault="006377FA" w:rsidP="00794EFC">
            <w:pPr>
              <w:pStyle w:val="TableText"/>
            </w:pPr>
            <w:r w:rsidRPr="00933708">
              <w:t>Acute kidney injury</w:t>
            </w:r>
          </w:p>
        </w:tc>
        <w:tc>
          <w:tcPr>
            <w:tcW w:w="1637" w:type="dxa"/>
            <w:vAlign w:val="center"/>
          </w:tcPr>
          <w:p w14:paraId="006E5363" w14:textId="77777777" w:rsidR="006377FA" w:rsidRPr="00933708" w:rsidRDefault="006377FA" w:rsidP="00794EFC">
            <w:pPr>
              <w:pStyle w:val="TableText"/>
              <w:jc w:val="center"/>
            </w:pPr>
            <w:r w:rsidRPr="00933708">
              <w:rPr>
                <w:rFonts w:cs="Calibri"/>
                <w:color w:val="000000"/>
                <w:szCs w:val="20"/>
              </w:rPr>
              <w:t>$3,687</w:t>
            </w:r>
          </w:p>
        </w:tc>
        <w:tc>
          <w:tcPr>
            <w:tcW w:w="1638" w:type="dxa"/>
            <w:vAlign w:val="center"/>
          </w:tcPr>
          <w:p w14:paraId="2381B790" w14:textId="77777777" w:rsidR="006377FA" w:rsidRPr="00933708" w:rsidRDefault="006377FA" w:rsidP="00794EFC">
            <w:pPr>
              <w:pStyle w:val="TableText"/>
              <w:jc w:val="center"/>
            </w:pPr>
            <w:r w:rsidRPr="00933708">
              <w:rPr>
                <w:rFonts w:cs="Calibri"/>
                <w:color w:val="000000"/>
                <w:szCs w:val="20"/>
              </w:rPr>
              <w:t>$3,791</w:t>
            </w:r>
          </w:p>
        </w:tc>
        <w:tc>
          <w:tcPr>
            <w:tcW w:w="1638" w:type="dxa"/>
            <w:vAlign w:val="center"/>
          </w:tcPr>
          <w:p w14:paraId="426BC470" w14:textId="77777777" w:rsidR="006377FA" w:rsidRPr="00933708" w:rsidRDefault="006377FA" w:rsidP="00794EFC">
            <w:pPr>
              <w:pStyle w:val="TableText"/>
              <w:jc w:val="center"/>
            </w:pPr>
            <w:r w:rsidRPr="00933708">
              <w:rPr>
                <w:rFonts w:cs="Calibri"/>
                <w:color w:val="000000"/>
                <w:szCs w:val="20"/>
              </w:rPr>
              <w:t>-$105</w:t>
            </w:r>
          </w:p>
        </w:tc>
        <w:tc>
          <w:tcPr>
            <w:tcW w:w="1366" w:type="dxa"/>
            <w:vAlign w:val="center"/>
          </w:tcPr>
          <w:p w14:paraId="3B5BD9B6" w14:textId="77777777" w:rsidR="006377FA" w:rsidRPr="00933708" w:rsidRDefault="006377FA" w:rsidP="00794EFC">
            <w:pPr>
              <w:pStyle w:val="TableText"/>
              <w:jc w:val="center"/>
            </w:pPr>
            <w:r w:rsidRPr="00933708">
              <w:t>0.40%</w:t>
            </w:r>
          </w:p>
        </w:tc>
      </w:tr>
      <w:tr w:rsidR="006377FA" w:rsidRPr="00933708" w14:paraId="5902AE86" w14:textId="77777777" w:rsidTr="00794EFC">
        <w:tc>
          <w:tcPr>
            <w:tcW w:w="2737" w:type="dxa"/>
            <w:vAlign w:val="center"/>
          </w:tcPr>
          <w:p w14:paraId="3EB9CC4A" w14:textId="77777777" w:rsidR="006377FA" w:rsidRPr="00933708" w:rsidRDefault="006377FA" w:rsidP="00794EFC">
            <w:pPr>
              <w:pStyle w:val="TableText"/>
            </w:pPr>
            <w:r w:rsidRPr="00933708">
              <w:t>Adverse events</w:t>
            </w:r>
          </w:p>
        </w:tc>
        <w:tc>
          <w:tcPr>
            <w:tcW w:w="1637" w:type="dxa"/>
            <w:vAlign w:val="center"/>
          </w:tcPr>
          <w:p w14:paraId="78DEFFE8" w14:textId="77777777" w:rsidR="006377FA" w:rsidRPr="00933708" w:rsidRDefault="006377FA" w:rsidP="00794EFC">
            <w:pPr>
              <w:pStyle w:val="TableText"/>
              <w:jc w:val="center"/>
            </w:pPr>
            <w:r w:rsidRPr="00933708">
              <w:rPr>
                <w:rFonts w:cs="Calibri"/>
                <w:color w:val="000000"/>
                <w:szCs w:val="20"/>
              </w:rPr>
              <w:t>$1,076</w:t>
            </w:r>
          </w:p>
        </w:tc>
        <w:tc>
          <w:tcPr>
            <w:tcW w:w="1638" w:type="dxa"/>
            <w:vAlign w:val="center"/>
          </w:tcPr>
          <w:p w14:paraId="1E0C5CFF" w14:textId="77777777" w:rsidR="006377FA" w:rsidRPr="00933708" w:rsidRDefault="006377FA" w:rsidP="00794EFC">
            <w:pPr>
              <w:pStyle w:val="TableText"/>
              <w:jc w:val="center"/>
            </w:pPr>
            <w:r w:rsidRPr="00933708">
              <w:rPr>
                <w:rFonts w:cs="Calibri"/>
                <w:color w:val="000000"/>
                <w:szCs w:val="20"/>
              </w:rPr>
              <w:t>$314</w:t>
            </w:r>
          </w:p>
        </w:tc>
        <w:tc>
          <w:tcPr>
            <w:tcW w:w="1638" w:type="dxa"/>
            <w:vAlign w:val="center"/>
          </w:tcPr>
          <w:p w14:paraId="5B5863E6" w14:textId="77777777" w:rsidR="006377FA" w:rsidRPr="00933708" w:rsidRDefault="006377FA" w:rsidP="00794EFC">
            <w:pPr>
              <w:pStyle w:val="TableText"/>
              <w:jc w:val="center"/>
            </w:pPr>
            <w:r w:rsidRPr="00933708">
              <w:rPr>
                <w:rFonts w:cs="Calibri"/>
                <w:color w:val="000000"/>
                <w:szCs w:val="20"/>
              </w:rPr>
              <w:t>$763</w:t>
            </w:r>
          </w:p>
        </w:tc>
        <w:tc>
          <w:tcPr>
            <w:tcW w:w="1366" w:type="dxa"/>
            <w:vAlign w:val="center"/>
          </w:tcPr>
          <w:p w14:paraId="68FD5069" w14:textId="77777777" w:rsidR="006377FA" w:rsidRPr="00933708" w:rsidRDefault="006377FA" w:rsidP="00794EFC">
            <w:pPr>
              <w:pStyle w:val="TableText"/>
              <w:jc w:val="center"/>
            </w:pPr>
            <w:r w:rsidRPr="00933708">
              <w:t>-2.95%</w:t>
            </w:r>
          </w:p>
        </w:tc>
      </w:tr>
      <w:tr w:rsidR="006377FA" w:rsidRPr="00933708" w14:paraId="5F1B8F76" w14:textId="77777777" w:rsidTr="00A51AD5">
        <w:trPr>
          <w:trHeight w:val="50"/>
        </w:trPr>
        <w:tc>
          <w:tcPr>
            <w:tcW w:w="2737" w:type="dxa"/>
            <w:vAlign w:val="center"/>
          </w:tcPr>
          <w:p w14:paraId="56EE3779" w14:textId="77777777" w:rsidR="006377FA" w:rsidRPr="00933708" w:rsidRDefault="006377FA" w:rsidP="00794EFC">
            <w:pPr>
              <w:pStyle w:val="TableText"/>
              <w:rPr>
                <w:b/>
                <w:bCs w:val="0"/>
              </w:rPr>
            </w:pPr>
            <w:r w:rsidRPr="00933708">
              <w:rPr>
                <w:b/>
                <w:bCs w:val="0"/>
              </w:rPr>
              <w:t>Total costs</w:t>
            </w:r>
          </w:p>
        </w:tc>
        <w:tc>
          <w:tcPr>
            <w:tcW w:w="1637" w:type="dxa"/>
            <w:vAlign w:val="center"/>
          </w:tcPr>
          <w:p w14:paraId="0BD31346" w14:textId="2F82D8B7" w:rsidR="006377FA" w:rsidRPr="00933708" w:rsidRDefault="00056F3E" w:rsidP="00794EFC">
            <w:pPr>
              <w:pStyle w:val="TableText"/>
              <w:jc w:val="center"/>
              <w:rPr>
                <w:b/>
                <w:bCs w:val="0"/>
              </w:rPr>
            </w:pPr>
            <w:r>
              <w:rPr>
                <w:rFonts w:cs="Calibri"/>
                <w:b/>
                <w:bCs w:val="0"/>
                <w:color w:val="000000"/>
                <w:szCs w:val="20"/>
              </w:rPr>
              <w:t xml:space="preserve"> </w:t>
            </w:r>
            <w:r w:rsidRPr="00056F3E">
              <w:rPr>
                <w:rFonts w:cs="Calibri"/>
                <w:b/>
                <w:bCs w:val="0"/>
                <w:color w:val="000000"/>
                <w:szCs w:val="20"/>
                <w:shd w:val="solid" w:color="000000" w:fill="000000"/>
                <w14:textFill>
                  <w14:solidFill>
                    <w14:srgbClr w14:val="000000">
                      <w14:alpha w14:val="100000"/>
                    </w14:srgbClr>
                  </w14:solidFill>
                </w14:textFill>
              </w:rPr>
              <w:t>|</w:t>
            </w:r>
          </w:p>
        </w:tc>
        <w:tc>
          <w:tcPr>
            <w:tcW w:w="1638" w:type="dxa"/>
            <w:vAlign w:val="center"/>
          </w:tcPr>
          <w:p w14:paraId="3B9710A3" w14:textId="77777777" w:rsidR="006377FA" w:rsidRPr="00933708" w:rsidRDefault="006377FA" w:rsidP="00794EFC">
            <w:pPr>
              <w:pStyle w:val="TableText"/>
              <w:jc w:val="center"/>
              <w:rPr>
                <w:b/>
                <w:bCs w:val="0"/>
              </w:rPr>
            </w:pPr>
            <w:r w:rsidRPr="00933708">
              <w:rPr>
                <w:rFonts w:cs="Calibri"/>
                <w:b/>
                <w:bCs w:val="0"/>
                <w:color w:val="000000"/>
                <w:szCs w:val="20"/>
              </w:rPr>
              <w:t>$102,902</w:t>
            </w:r>
          </w:p>
        </w:tc>
        <w:tc>
          <w:tcPr>
            <w:tcW w:w="1638" w:type="dxa"/>
            <w:vAlign w:val="center"/>
          </w:tcPr>
          <w:p w14:paraId="2D661D80" w14:textId="54822379" w:rsidR="006377FA" w:rsidRPr="00933708" w:rsidRDefault="00056F3E" w:rsidP="00794EFC">
            <w:pPr>
              <w:pStyle w:val="TableText"/>
              <w:jc w:val="center"/>
              <w:rPr>
                <w:b/>
                <w:bCs w:val="0"/>
              </w:rPr>
            </w:pPr>
            <w:r>
              <w:rPr>
                <w:rFonts w:cs="Calibri"/>
                <w:b/>
                <w:bCs w:val="0"/>
                <w:color w:val="000000"/>
                <w:szCs w:val="20"/>
              </w:rPr>
              <w:t xml:space="preserve"> </w:t>
            </w:r>
            <w:r w:rsidRPr="00056F3E">
              <w:rPr>
                <w:rFonts w:cs="Calibri"/>
                <w:b/>
                <w:bCs w:val="0"/>
                <w:color w:val="000000"/>
                <w:szCs w:val="20"/>
                <w:shd w:val="solid" w:color="000000" w:fill="000000"/>
                <w14:textFill>
                  <w14:solidFill>
                    <w14:srgbClr w14:val="000000">
                      <w14:alpha w14:val="100000"/>
                    </w14:srgbClr>
                  </w14:solidFill>
                </w14:textFill>
              </w:rPr>
              <w:t>|</w:t>
            </w:r>
            <w:r w:rsidR="000D064C">
              <w:rPr>
                <w:rFonts w:cs="Calibri"/>
                <w:b/>
                <w:bCs w:val="0"/>
                <w:color w:val="000000"/>
                <w:szCs w:val="20"/>
              </w:rPr>
              <w:t xml:space="preserve"> </w:t>
            </w:r>
          </w:p>
        </w:tc>
        <w:tc>
          <w:tcPr>
            <w:tcW w:w="1366" w:type="dxa"/>
          </w:tcPr>
          <w:p w14:paraId="41867AA3" w14:textId="77777777" w:rsidR="006377FA" w:rsidRPr="00933708" w:rsidRDefault="006377FA" w:rsidP="00794EFC">
            <w:pPr>
              <w:pStyle w:val="TableText"/>
              <w:jc w:val="center"/>
              <w:rPr>
                <w:b/>
                <w:bCs w:val="0"/>
              </w:rPr>
            </w:pPr>
            <w:r w:rsidRPr="00933708">
              <w:rPr>
                <w:b/>
                <w:bCs w:val="0"/>
              </w:rPr>
              <w:t>100%</w:t>
            </w:r>
          </w:p>
        </w:tc>
      </w:tr>
    </w:tbl>
    <w:p w14:paraId="3F5B9050" w14:textId="77777777" w:rsidR="006377FA" w:rsidRPr="00933708" w:rsidRDefault="006377FA" w:rsidP="006377FA">
      <w:pPr>
        <w:pStyle w:val="COMTablefooter"/>
      </w:pPr>
      <w:r w:rsidRPr="00933708">
        <w:t>Source: Table 3.58, p332 of the submission; ‘Att_12_empagliflozin (Jardiance) CKD CEA’ model spreadsheet provided with the submission</w:t>
      </w:r>
    </w:p>
    <w:p w14:paraId="36BC1CDD" w14:textId="77777777" w:rsidR="006377FA" w:rsidRPr="00933708" w:rsidRDefault="006377FA" w:rsidP="006377FA">
      <w:pPr>
        <w:pStyle w:val="COMTablefooter"/>
      </w:pPr>
      <w:r w:rsidRPr="00933708">
        <w:t>Abbreviations: ESKD, end stage kidney disease; SC, standard care</w:t>
      </w:r>
    </w:p>
    <w:p w14:paraId="68F2893C" w14:textId="1EB06585" w:rsidR="000D064C" w:rsidRPr="00A51AD5" w:rsidRDefault="00534951" w:rsidP="00A51AD5">
      <w:pPr>
        <w:pStyle w:val="COMTablefooter"/>
        <w:rPr>
          <w:i/>
          <w:iCs/>
        </w:rPr>
      </w:pPr>
      <w:r w:rsidRPr="00933708">
        <w:t>Note: The estimates in the submission were based on the assumption of 60 day dispensing for empagliflozin, which were not corrected during the evaluation.</w:t>
      </w:r>
    </w:p>
    <w:p w14:paraId="03C646D9" w14:textId="4408ED6B" w:rsidR="006377FA" w:rsidRPr="00933708" w:rsidRDefault="006377FA" w:rsidP="007C4C88">
      <w:pPr>
        <w:pStyle w:val="ListParagraph"/>
        <w:numPr>
          <w:ilvl w:val="1"/>
          <w:numId w:val="1"/>
        </w:numPr>
        <w:ind w:left="720" w:hanging="720"/>
      </w:pPr>
      <w:r w:rsidRPr="00933708">
        <w:t xml:space="preserve">The difference in cost between treatment arms was driven by the cost offsets associated with lower kidney replacement therapy costs (predominantly dialysis costs) in the empagliflozin plus standard care arm, which </w:t>
      </w:r>
      <w:r w:rsidR="00FF4465" w:rsidRPr="00933708">
        <w:t>far exceeded</w:t>
      </w:r>
      <w:r w:rsidRPr="00933708">
        <w:t xml:space="preserve"> the additional costs associated with empagliflozin</w:t>
      </w:r>
      <w:r w:rsidR="00A66BEC" w:rsidRPr="00933708">
        <w:t xml:space="preserve"> treatment</w:t>
      </w:r>
      <w:r w:rsidRPr="00933708">
        <w:t>.</w:t>
      </w:r>
    </w:p>
    <w:p w14:paraId="672F1E0C" w14:textId="0B33D1DC" w:rsidR="006377FA" w:rsidRPr="00933708" w:rsidRDefault="004920A4" w:rsidP="004920A4">
      <w:pPr>
        <w:pStyle w:val="ExecSumBodyText"/>
        <w:numPr>
          <w:ilvl w:val="1"/>
          <w:numId w:val="1"/>
        </w:numPr>
        <w:spacing w:after="160"/>
      </w:pPr>
      <w:r w:rsidRPr="00933708">
        <w:t xml:space="preserve">The incremental difference in health outcomes estimated in the economic evaluation is summarised in </w:t>
      </w:r>
      <w:r w:rsidRPr="00933708">
        <w:fldChar w:fldCharType="begin"/>
      </w:r>
      <w:r w:rsidRPr="00933708">
        <w:instrText xml:space="preserve"> REF _Ref144833376 \h </w:instrText>
      </w:r>
      <w:r w:rsidRPr="00933708">
        <w:fldChar w:fldCharType="separate"/>
      </w:r>
      <w:r w:rsidR="00D5135E" w:rsidRPr="00933708">
        <w:t xml:space="preserve">Table </w:t>
      </w:r>
      <w:r w:rsidR="00D5135E">
        <w:rPr>
          <w:noProof/>
        </w:rPr>
        <w:t>13</w:t>
      </w:r>
      <w:r w:rsidRPr="00933708">
        <w:fldChar w:fldCharType="end"/>
      </w:r>
      <w:r w:rsidRPr="00933708">
        <w:t xml:space="preserve"> below.</w:t>
      </w:r>
    </w:p>
    <w:p w14:paraId="68989765" w14:textId="42C4F2CE" w:rsidR="006377FA" w:rsidRPr="00933708" w:rsidRDefault="006377FA" w:rsidP="006377FA">
      <w:pPr>
        <w:pStyle w:val="Caption"/>
      </w:pPr>
      <w:bookmarkStart w:id="58" w:name="_Ref144833376"/>
      <w:r w:rsidRPr="00933708">
        <w:lastRenderedPageBreak/>
        <w:t xml:space="preserve">Table </w:t>
      </w:r>
      <w:r w:rsidR="00D5135E">
        <w:fldChar w:fldCharType="begin"/>
      </w:r>
      <w:r w:rsidR="00D5135E">
        <w:instrText xml:space="preserve"> SEQ Table \* ARABIC </w:instrText>
      </w:r>
      <w:r w:rsidR="00D5135E">
        <w:fldChar w:fldCharType="separate"/>
      </w:r>
      <w:r w:rsidR="00D5135E">
        <w:rPr>
          <w:noProof/>
        </w:rPr>
        <w:t>13</w:t>
      </w:r>
      <w:r w:rsidR="00D5135E">
        <w:rPr>
          <w:noProof/>
        </w:rPr>
        <w:fldChar w:fldCharType="end"/>
      </w:r>
      <w:bookmarkEnd w:id="58"/>
      <w:r w:rsidRPr="00933708">
        <w:t>: Disaggregated summary of health outcomes included in the economic evaluation</w:t>
      </w:r>
    </w:p>
    <w:tbl>
      <w:tblPr>
        <w:tblStyle w:val="TableGrid"/>
        <w:tblW w:w="0" w:type="auto"/>
        <w:tblCellMar>
          <w:left w:w="57" w:type="dxa"/>
          <w:right w:w="57" w:type="dxa"/>
        </w:tblCellMar>
        <w:tblLook w:val="04A0" w:firstRow="1" w:lastRow="0" w:firstColumn="1" w:lastColumn="0" w:noHBand="0" w:noVBand="1"/>
      </w:tblPr>
      <w:tblGrid>
        <w:gridCol w:w="3396"/>
        <w:gridCol w:w="1560"/>
        <w:gridCol w:w="1417"/>
        <w:gridCol w:w="1276"/>
        <w:gridCol w:w="1367"/>
      </w:tblGrid>
      <w:tr w:rsidR="006377FA" w:rsidRPr="00933708" w14:paraId="17C5173A" w14:textId="77777777" w:rsidTr="00794EFC">
        <w:trPr>
          <w:tblHeader/>
        </w:trPr>
        <w:tc>
          <w:tcPr>
            <w:tcW w:w="3396" w:type="dxa"/>
            <w:vAlign w:val="center"/>
          </w:tcPr>
          <w:p w14:paraId="40F4F01B" w14:textId="77777777" w:rsidR="006377FA" w:rsidRPr="00933708" w:rsidRDefault="006377FA" w:rsidP="004920A4">
            <w:pPr>
              <w:pStyle w:val="TableText"/>
              <w:keepLines/>
              <w:rPr>
                <w:b/>
                <w:bCs w:val="0"/>
              </w:rPr>
            </w:pPr>
            <w:r w:rsidRPr="00933708">
              <w:rPr>
                <w:b/>
                <w:bCs w:val="0"/>
              </w:rPr>
              <w:t>Health outcome</w:t>
            </w:r>
          </w:p>
        </w:tc>
        <w:tc>
          <w:tcPr>
            <w:tcW w:w="1560" w:type="dxa"/>
            <w:vAlign w:val="center"/>
          </w:tcPr>
          <w:p w14:paraId="0FAC23AA" w14:textId="77777777" w:rsidR="006377FA" w:rsidRPr="00933708" w:rsidRDefault="006377FA" w:rsidP="004920A4">
            <w:pPr>
              <w:pStyle w:val="TableText"/>
              <w:keepLines/>
              <w:jc w:val="center"/>
              <w:rPr>
                <w:b/>
                <w:bCs w:val="0"/>
              </w:rPr>
            </w:pPr>
            <w:proofErr w:type="spellStart"/>
            <w:r w:rsidRPr="00933708">
              <w:rPr>
                <w:b/>
                <w:bCs w:val="0"/>
              </w:rPr>
              <w:t>Empagliflozin+SC</w:t>
            </w:r>
            <w:proofErr w:type="spellEnd"/>
          </w:p>
        </w:tc>
        <w:tc>
          <w:tcPr>
            <w:tcW w:w="1417" w:type="dxa"/>
            <w:vAlign w:val="center"/>
          </w:tcPr>
          <w:p w14:paraId="59E0DACB" w14:textId="77777777" w:rsidR="006377FA" w:rsidRPr="00933708" w:rsidRDefault="006377FA" w:rsidP="004920A4">
            <w:pPr>
              <w:pStyle w:val="TableText"/>
              <w:keepLines/>
              <w:jc w:val="center"/>
              <w:rPr>
                <w:b/>
                <w:bCs w:val="0"/>
              </w:rPr>
            </w:pPr>
            <w:proofErr w:type="spellStart"/>
            <w:r w:rsidRPr="00933708">
              <w:rPr>
                <w:b/>
                <w:bCs w:val="0"/>
              </w:rPr>
              <w:t>Placebo+SC</w:t>
            </w:r>
            <w:proofErr w:type="spellEnd"/>
          </w:p>
        </w:tc>
        <w:tc>
          <w:tcPr>
            <w:tcW w:w="1276" w:type="dxa"/>
            <w:vAlign w:val="center"/>
          </w:tcPr>
          <w:p w14:paraId="223673C4" w14:textId="77777777" w:rsidR="006377FA" w:rsidRPr="00933708" w:rsidRDefault="006377FA" w:rsidP="004920A4">
            <w:pPr>
              <w:pStyle w:val="TableText"/>
              <w:keepLines/>
              <w:jc w:val="center"/>
              <w:rPr>
                <w:b/>
                <w:bCs w:val="0"/>
              </w:rPr>
            </w:pPr>
            <w:r w:rsidRPr="00933708">
              <w:rPr>
                <w:b/>
                <w:bCs w:val="0"/>
              </w:rPr>
              <w:t>Incremental outcome</w:t>
            </w:r>
          </w:p>
        </w:tc>
        <w:tc>
          <w:tcPr>
            <w:tcW w:w="1367" w:type="dxa"/>
            <w:vAlign w:val="center"/>
          </w:tcPr>
          <w:p w14:paraId="1E03EDC3" w14:textId="77777777" w:rsidR="006377FA" w:rsidRPr="00933708" w:rsidRDefault="006377FA" w:rsidP="004920A4">
            <w:pPr>
              <w:pStyle w:val="TableText"/>
              <w:keepLines/>
              <w:jc w:val="center"/>
              <w:rPr>
                <w:b/>
                <w:bCs w:val="0"/>
              </w:rPr>
            </w:pPr>
            <w:r w:rsidRPr="00933708">
              <w:rPr>
                <w:b/>
                <w:bCs w:val="0"/>
              </w:rPr>
              <w:t>% incremental</w:t>
            </w:r>
          </w:p>
        </w:tc>
      </w:tr>
      <w:tr w:rsidR="006377FA" w:rsidRPr="00933708" w14:paraId="749E6256" w14:textId="77777777" w:rsidTr="00794EFC">
        <w:trPr>
          <w:trHeight w:val="229"/>
        </w:trPr>
        <w:tc>
          <w:tcPr>
            <w:tcW w:w="9016" w:type="dxa"/>
            <w:gridSpan w:val="5"/>
            <w:vAlign w:val="center"/>
          </w:tcPr>
          <w:p w14:paraId="7F18C72F" w14:textId="77777777" w:rsidR="006377FA" w:rsidRPr="00933708" w:rsidRDefault="006377FA" w:rsidP="004920A4">
            <w:pPr>
              <w:pStyle w:val="TableText"/>
              <w:keepLines/>
            </w:pPr>
            <w:r w:rsidRPr="00933708">
              <w:rPr>
                <w:b/>
                <w:bCs w:val="0"/>
              </w:rPr>
              <w:t>Proportion of patients with events</w:t>
            </w:r>
          </w:p>
        </w:tc>
      </w:tr>
      <w:tr w:rsidR="006377FA" w:rsidRPr="00933708" w14:paraId="0E40259F" w14:textId="77777777" w:rsidTr="00794EFC">
        <w:trPr>
          <w:trHeight w:val="229"/>
        </w:trPr>
        <w:tc>
          <w:tcPr>
            <w:tcW w:w="3396" w:type="dxa"/>
            <w:vAlign w:val="center"/>
          </w:tcPr>
          <w:p w14:paraId="7B2F7EA4" w14:textId="77777777" w:rsidR="006377FA" w:rsidRPr="00933708" w:rsidRDefault="006377FA" w:rsidP="004920A4">
            <w:pPr>
              <w:pStyle w:val="TableText"/>
              <w:keepLines/>
            </w:pPr>
            <w:r w:rsidRPr="00933708">
              <w:t>ESKD</w:t>
            </w:r>
          </w:p>
        </w:tc>
        <w:tc>
          <w:tcPr>
            <w:tcW w:w="1560" w:type="dxa"/>
            <w:vAlign w:val="bottom"/>
          </w:tcPr>
          <w:p w14:paraId="681A4E17" w14:textId="77777777" w:rsidR="006377FA" w:rsidRPr="00933708" w:rsidRDefault="006377FA" w:rsidP="004920A4">
            <w:pPr>
              <w:pStyle w:val="TableText"/>
              <w:keepLines/>
              <w:jc w:val="center"/>
              <w:rPr>
                <w:rFonts w:cs="Calibri"/>
                <w:szCs w:val="20"/>
              </w:rPr>
            </w:pPr>
            <w:r w:rsidRPr="00933708">
              <w:rPr>
                <w:rFonts w:cs="Calibri"/>
                <w:szCs w:val="20"/>
              </w:rPr>
              <w:t>56.3%</w:t>
            </w:r>
          </w:p>
        </w:tc>
        <w:tc>
          <w:tcPr>
            <w:tcW w:w="1417" w:type="dxa"/>
            <w:vAlign w:val="bottom"/>
          </w:tcPr>
          <w:p w14:paraId="5432B394" w14:textId="77777777" w:rsidR="006377FA" w:rsidRPr="00933708" w:rsidRDefault="006377FA" w:rsidP="004920A4">
            <w:pPr>
              <w:pStyle w:val="TableText"/>
              <w:keepLines/>
              <w:jc w:val="center"/>
              <w:rPr>
                <w:rFonts w:cs="Calibri"/>
                <w:szCs w:val="20"/>
              </w:rPr>
            </w:pPr>
            <w:r w:rsidRPr="00933708">
              <w:rPr>
                <w:rFonts w:cs="Calibri"/>
                <w:szCs w:val="20"/>
              </w:rPr>
              <w:t>69.7%</w:t>
            </w:r>
          </w:p>
        </w:tc>
        <w:tc>
          <w:tcPr>
            <w:tcW w:w="1276" w:type="dxa"/>
            <w:vAlign w:val="bottom"/>
          </w:tcPr>
          <w:p w14:paraId="38200BD5" w14:textId="77777777" w:rsidR="006377FA" w:rsidRPr="00933708" w:rsidRDefault="006377FA" w:rsidP="004920A4">
            <w:pPr>
              <w:pStyle w:val="TableText"/>
              <w:keepLines/>
              <w:jc w:val="center"/>
              <w:rPr>
                <w:rFonts w:cs="Calibri"/>
                <w:szCs w:val="20"/>
              </w:rPr>
            </w:pPr>
            <w:r w:rsidRPr="00933708">
              <w:rPr>
                <w:rFonts w:cs="Calibri"/>
                <w:szCs w:val="20"/>
              </w:rPr>
              <w:t>-13.4%</w:t>
            </w:r>
          </w:p>
        </w:tc>
        <w:tc>
          <w:tcPr>
            <w:tcW w:w="1367" w:type="dxa"/>
          </w:tcPr>
          <w:p w14:paraId="4072C6C4" w14:textId="77777777" w:rsidR="006377FA" w:rsidRPr="00933708" w:rsidRDefault="006377FA" w:rsidP="004920A4">
            <w:pPr>
              <w:pStyle w:val="TableText"/>
              <w:keepLines/>
              <w:jc w:val="center"/>
            </w:pPr>
            <w:r w:rsidRPr="00933708">
              <w:t>-</w:t>
            </w:r>
          </w:p>
        </w:tc>
      </w:tr>
      <w:tr w:rsidR="006377FA" w:rsidRPr="00933708" w14:paraId="19FC8563" w14:textId="77777777" w:rsidTr="00794EFC">
        <w:trPr>
          <w:trHeight w:val="229"/>
        </w:trPr>
        <w:tc>
          <w:tcPr>
            <w:tcW w:w="3396" w:type="dxa"/>
            <w:vAlign w:val="center"/>
          </w:tcPr>
          <w:p w14:paraId="4DF00520" w14:textId="77777777" w:rsidR="006377FA" w:rsidRPr="00933708" w:rsidRDefault="006377FA" w:rsidP="004920A4">
            <w:pPr>
              <w:pStyle w:val="TableText"/>
              <w:keepLines/>
            </w:pPr>
            <w:r w:rsidRPr="00933708">
              <w:t>Peritoneal dialysis</w:t>
            </w:r>
          </w:p>
        </w:tc>
        <w:tc>
          <w:tcPr>
            <w:tcW w:w="1560" w:type="dxa"/>
            <w:vAlign w:val="bottom"/>
          </w:tcPr>
          <w:p w14:paraId="0C017797" w14:textId="77777777" w:rsidR="006377FA" w:rsidRPr="00933708" w:rsidRDefault="006377FA" w:rsidP="004920A4">
            <w:pPr>
              <w:pStyle w:val="TableText"/>
              <w:keepLines/>
              <w:jc w:val="center"/>
              <w:rPr>
                <w:rFonts w:cs="Calibri"/>
                <w:szCs w:val="20"/>
              </w:rPr>
            </w:pPr>
            <w:r w:rsidRPr="00933708">
              <w:rPr>
                <w:rFonts w:cs="Calibri"/>
                <w:szCs w:val="20"/>
              </w:rPr>
              <w:t>20.9%</w:t>
            </w:r>
          </w:p>
        </w:tc>
        <w:tc>
          <w:tcPr>
            <w:tcW w:w="1417" w:type="dxa"/>
            <w:vAlign w:val="bottom"/>
          </w:tcPr>
          <w:p w14:paraId="2F55A2F7" w14:textId="77777777" w:rsidR="006377FA" w:rsidRPr="00933708" w:rsidRDefault="006377FA" w:rsidP="004920A4">
            <w:pPr>
              <w:pStyle w:val="TableText"/>
              <w:keepLines/>
              <w:jc w:val="center"/>
              <w:rPr>
                <w:rFonts w:cs="Calibri"/>
                <w:szCs w:val="20"/>
              </w:rPr>
            </w:pPr>
            <w:r w:rsidRPr="00933708">
              <w:rPr>
                <w:rFonts w:cs="Calibri"/>
                <w:szCs w:val="20"/>
              </w:rPr>
              <w:t>27.2%</w:t>
            </w:r>
          </w:p>
        </w:tc>
        <w:tc>
          <w:tcPr>
            <w:tcW w:w="1276" w:type="dxa"/>
            <w:vAlign w:val="bottom"/>
          </w:tcPr>
          <w:p w14:paraId="03599FAC" w14:textId="77777777" w:rsidR="006377FA" w:rsidRPr="00933708" w:rsidRDefault="006377FA" w:rsidP="004920A4">
            <w:pPr>
              <w:pStyle w:val="TableText"/>
              <w:keepLines/>
              <w:jc w:val="center"/>
              <w:rPr>
                <w:rFonts w:cs="Calibri"/>
                <w:szCs w:val="20"/>
              </w:rPr>
            </w:pPr>
            <w:r w:rsidRPr="00933708">
              <w:rPr>
                <w:rFonts w:cs="Calibri"/>
                <w:szCs w:val="20"/>
              </w:rPr>
              <w:t>-6.3%</w:t>
            </w:r>
          </w:p>
        </w:tc>
        <w:tc>
          <w:tcPr>
            <w:tcW w:w="1367" w:type="dxa"/>
          </w:tcPr>
          <w:p w14:paraId="204F36F8" w14:textId="77777777" w:rsidR="006377FA" w:rsidRPr="00933708" w:rsidRDefault="006377FA" w:rsidP="004920A4">
            <w:pPr>
              <w:pStyle w:val="TableText"/>
              <w:keepLines/>
              <w:jc w:val="center"/>
            </w:pPr>
            <w:r w:rsidRPr="00933708">
              <w:t>-</w:t>
            </w:r>
          </w:p>
        </w:tc>
      </w:tr>
      <w:tr w:rsidR="006377FA" w:rsidRPr="00933708" w14:paraId="605FCD7A" w14:textId="77777777" w:rsidTr="00794EFC">
        <w:trPr>
          <w:trHeight w:val="229"/>
        </w:trPr>
        <w:tc>
          <w:tcPr>
            <w:tcW w:w="3396" w:type="dxa"/>
            <w:vAlign w:val="center"/>
          </w:tcPr>
          <w:p w14:paraId="0795F0C6" w14:textId="77777777" w:rsidR="006377FA" w:rsidRPr="00933708" w:rsidRDefault="006377FA" w:rsidP="004920A4">
            <w:pPr>
              <w:pStyle w:val="TableText"/>
              <w:keepLines/>
            </w:pPr>
            <w:r w:rsidRPr="00933708">
              <w:t>Haemodialysis</w:t>
            </w:r>
          </w:p>
        </w:tc>
        <w:tc>
          <w:tcPr>
            <w:tcW w:w="1560" w:type="dxa"/>
            <w:vAlign w:val="bottom"/>
          </w:tcPr>
          <w:p w14:paraId="1E428C30" w14:textId="77777777" w:rsidR="006377FA" w:rsidRPr="00933708" w:rsidRDefault="006377FA" w:rsidP="004920A4">
            <w:pPr>
              <w:pStyle w:val="TableText"/>
              <w:keepLines/>
              <w:jc w:val="center"/>
              <w:rPr>
                <w:rFonts w:cs="Calibri"/>
                <w:szCs w:val="20"/>
              </w:rPr>
            </w:pPr>
            <w:r w:rsidRPr="00933708">
              <w:rPr>
                <w:rFonts w:cs="Calibri"/>
                <w:szCs w:val="20"/>
              </w:rPr>
              <w:t>40.9%</w:t>
            </w:r>
          </w:p>
        </w:tc>
        <w:tc>
          <w:tcPr>
            <w:tcW w:w="1417" w:type="dxa"/>
            <w:vAlign w:val="bottom"/>
          </w:tcPr>
          <w:p w14:paraId="7A08C003" w14:textId="77777777" w:rsidR="006377FA" w:rsidRPr="00933708" w:rsidRDefault="006377FA" w:rsidP="004920A4">
            <w:pPr>
              <w:pStyle w:val="TableText"/>
              <w:keepLines/>
              <w:jc w:val="center"/>
              <w:rPr>
                <w:rFonts w:cs="Calibri"/>
                <w:szCs w:val="20"/>
              </w:rPr>
            </w:pPr>
            <w:r w:rsidRPr="00933708">
              <w:rPr>
                <w:rFonts w:cs="Calibri"/>
                <w:szCs w:val="20"/>
              </w:rPr>
              <w:t>53.8%</w:t>
            </w:r>
          </w:p>
        </w:tc>
        <w:tc>
          <w:tcPr>
            <w:tcW w:w="1276" w:type="dxa"/>
            <w:vAlign w:val="bottom"/>
          </w:tcPr>
          <w:p w14:paraId="3CBB243B" w14:textId="77777777" w:rsidR="006377FA" w:rsidRPr="00933708" w:rsidRDefault="006377FA" w:rsidP="004920A4">
            <w:pPr>
              <w:pStyle w:val="TableText"/>
              <w:keepLines/>
              <w:jc w:val="center"/>
              <w:rPr>
                <w:rFonts w:cs="Calibri"/>
                <w:szCs w:val="20"/>
              </w:rPr>
            </w:pPr>
            <w:r w:rsidRPr="00933708">
              <w:rPr>
                <w:rFonts w:cs="Calibri"/>
                <w:szCs w:val="20"/>
              </w:rPr>
              <w:t>-12.9%</w:t>
            </w:r>
          </w:p>
        </w:tc>
        <w:tc>
          <w:tcPr>
            <w:tcW w:w="1367" w:type="dxa"/>
          </w:tcPr>
          <w:p w14:paraId="7269D00F" w14:textId="77777777" w:rsidR="006377FA" w:rsidRPr="00933708" w:rsidRDefault="006377FA" w:rsidP="004920A4">
            <w:pPr>
              <w:pStyle w:val="TableText"/>
              <w:keepLines/>
              <w:jc w:val="center"/>
            </w:pPr>
            <w:r w:rsidRPr="00933708">
              <w:t>-</w:t>
            </w:r>
          </w:p>
        </w:tc>
      </w:tr>
      <w:tr w:rsidR="006377FA" w:rsidRPr="00933708" w14:paraId="71622AC7" w14:textId="77777777" w:rsidTr="00794EFC">
        <w:trPr>
          <w:trHeight w:val="229"/>
        </w:trPr>
        <w:tc>
          <w:tcPr>
            <w:tcW w:w="3396" w:type="dxa"/>
            <w:vAlign w:val="center"/>
          </w:tcPr>
          <w:p w14:paraId="565AAF3D" w14:textId="77777777" w:rsidR="006377FA" w:rsidRPr="00933708" w:rsidRDefault="006377FA" w:rsidP="004920A4">
            <w:pPr>
              <w:pStyle w:val="TableText"/>
              <w:keepLines/>
            </w:pPr>
            <w:r w:rsidRPr="00933708">
              <w:t>Kidney transplant</w:t>
            </w:r>
          </w:p>
        </w:tc>
        <w:tc>
          <w:tcPr>
            <w:tcW w:w="1560" w:type="dxa"/>
            <w:vAlign w:val="bottom"/>
          </w:tcPr>
          <w:p w14:paraId="7001A2E8" w14:textId="77777777" w:rsidR="006377FA" w:rsidRPr="00933708" w:rsidRDefault="006377FA" w:rsidP="004920A4">
            <w:pPr>
              <w:pStyle w:val="TableText"/>
              <w:keepLines/>
              <w:jc w:val="center"/>
              <w:rPr>
                <w:rFonts w:cs="Calibri"/>
                <w:szCs w:val="20"/>
              </w:rPr>
            </w:pPr>
            <w:r w:rsidRPr="00933708">
              <w:rPr>
                <w:rFonts w:cs="Calibri"/>
                <w:szCs w:val="20"/>
              </w:rPr>
              <w:t>8.5%</w:t>
            </w:r>
          </w:p>
        </w:tc>
        <w:tc>
          <w:tcPr>
            <w:tcW w:w="1417" w:type="dxa"/>
            <w:vAlign w:val="bottom"/>
          </w:tcPr>
          <w:p w14:paraId="09D37FC4" w14:textId="77777777" w:rsidR="006377FA" w:rsidRPr="00933708" w:rsidRDefault="006377FA" w:rsidP="004920A4">
            <w:pPr>
              <w:pStyle w:val="TableText"/>
              <w:keepLines/>
              <w:jc w:val="center"/>
              <w:rPr>
                <w:rFonts w:cs="Calibri"/>
                <w:szCs w:val="20"/>
              </w:rPr>
            </w:pPr>
            <w:r w:rsidRPr="00933708">
              <w:rPr>
                <w:rFonts w:cs="Calibri"/>
                <w:szCs w:val="20"/>
              </w:rPr>
              <w:t>13.2%</w:t>
            </w:r>
          </w:p>
        </w:tc>
        <w:tc>
          <w:tcPr>
            <w:tcW w:w="1276" w:type="dxa"/>
            <w:vAlign w:val="bottom"/>
          </w:tcPr>
          <w:p w14:paraId="11D941D2" w14:textId="77777777" w:rsidR="006377FA" w:rsidRPr="00933708" w:rsidRDefault="006377FA" w:rsidP="004920A4">
            <w:pPr>
              <w:pStyle w:val="TableText"/>
              <w:keepLines/>
              <w:jc w:val="center"/>
              <w:rPr>
                <w:rFonts w:cs="Calibri"/>
                <w:szCs w:val="20"/>
              </w:rPr>
            </w:pPr>
            <w:r w:rsidRPr="00933708">
              <w:rPr>
                <w:rFonts w:cs="Calibri"/>
                <w:szCs w:val="20"/>
              </w:rPr>
              <w:t>-4.7%</w:t>
            </w:r>
          </w:p>
        </w:tc>
        <w:tc>
          <w:tcPr>
            <w:tcW w:w="1367" w:type="dxa"/>
          </w:tcPr>
          <w:p w14:paraId="56BED0EE" w14:textId="77777777" w:rsidR="006377FA" w:rsidRPr="00933708" w:rsidRDefault="006377FA" w:rsidP="004920A4">
            <w:pPr>
              <w:pStyle w:val="TableText"/>
              <w:keepLines/>
              <w:jc w:val="center"/>
            </w:pPr>
            <w:r w:rsidRPr="00933708">
              <w:t>-</w:t>
            </w:r>
          </w:p>
        </w:tc>
      </w:tr>
      <w:tr w:rsidR="006377FA" w:rsidRPr="00933708" w14:paraId="207970D8" w14:textId="77777777" w:rsidTr="00794EFC">
        <w:trPr>
          <w:trHeight w:val="229"/>
        </w:trPr>
        <w:tc>
          <w:tcPr>
            <w:tcW w:w="3396" w:type="dxa"/>
            <w:vAlign w:val="center"/>
          </w:tcPr>
          <w:p w14:paraId="5E0FF8D8" w14:textId="77777777" w:rsidR="006377FA" w:rsidRPr="00933708" w:rsidRDefault="006377FA" w:rsidP="004920A4">
            <w:pPr>
              <w:pStyle w:val="TableText"/>
              <w:keepLines/>
            </w:pPr>
            <w:r w:rsidRPr="00933708">
              <w:t>Renal death</w:t>
            </w:r>
          </w:p>
        </w:tc>
        <w:tc>
          <w:tcPr>
            <w:tcW w:w="1560" w:type="dxa"/>
            <w:vAlign w:val="bottom"/>
          </w:tcPr>
          <w:p w14:paraId="25CA6DAE" w14:textId="77777777" w:rsidR="006377FA" w:rsidRPr="00933708" w:rsidRDefault="006377FA" w:rsidP="004920A4">
            <w:pPr>
              <w:pStyle w:val="TableText"/>
              <w:keepLines/>
              <w:jc w:val="center"/>
              <w:rPr>
                <w:rFonts w:cs="Calibri"/>
                <w:szCs w:val="20"/>
              </w:rPr>
            </w:pPr>
            <w:r w:rsidRPr="00933708">
              <w:rPr>
                <w:rFonts w:cs="Calibri"/>
                <w:szCs w:val="20"/>
              </w:rPr>
              <w:t>22.0%</w:t>
            </w:r>
          </w:p>
        </w:tc>
        <w:tc>
          <w:tcPr>
            <w:tcW w:w="1417" w:type="dxa"/>
            <w:vAlign w:val="bottom"/>
          </w:tcPr>
          <w:p w14:paraId="61DE85AC" w14:textId="77777777" w:rsidR="006377FA" w:rsidRPr="00933708" w:rsidRDefault="006377FA" w:rsidP="004920A4">
            <w:pPr>
              <w:pStyle w:val="TableText"/>
              <w:keepLines/>
              <w:jc w:val="center"/>
              <w:rPr>
                <w:rFonts w:cs="Calibri"/>
                <w:szCs w:val="20"/>
              </w:rPr>
            </w:pPr>
            <w:r w:rsidRPr="00933708">
              <w:rPr>
                <w:rFonts w:cs="Calibri"/>
                <w:szCs w:val="20"/>
              </w:rPr>
              <w:t>29.7%</w:t>
            </w:r>
          </w:p>
        </w:tc>
        <w:tc>
          <w:tcPr>
            <w:tcW w:w="1276" w:type="dxa"/>
            <w:vAlign w:val="bottom"/>
          </w:tcPr>
          <w:p w14:paraId="30BB130B" w14:textId="77777777" w:rsidR="006377FA" w:rsidRPr="00933708" w:rsidRDefault="006377FA" w:rsidP="004920A4">
            <w:pPr>
              <w:pStyle w:val="TableText"/>
              <w:keepLines/>
              <w:jc w:val="center"/>
              <w:rPr>
                <w:rFonts w:cs="Calibri"/>
                <w:szCs w:val="20"/>
              </w:rPr>
            </w:pPr>
            <w:r w:rsidRPr="00933708">
              <w:rPr>
                <w:rFonts w:cs="Calibri"/>
                <w:szCs w:val="20"/>
              </w:rPr>
              <w:t>-7.7%</w:t>
            </w:r>
          </w:p>
        </w:tc>
        <w:tc>
          <w:tcPr>
            <w:tcW w:w="1367" w:type="dxa"/>
          </w:tcPr>
          <w:p w14:paraId="13D654A1" w14:textId="77777777" w:rsidR="006377FA" w:rsidRPr="00933708" w:rsidRDefault="006377FA" w:rsidP="004920A4">
            <w:pPr>
              <w:pStyle w:val="TableText"/>
              <w:keepLines/>
              <w:jc w:val="center"/>
            </w:pPr>
          </w:p>
        </w:tc>
      </w:tr>
      <w:tr w:rsidR="006377FA" w:rsidRPr="00933708" w14:paraId="18ADD2DA" w14:textId="77777777" w:rsidTr="00794EFC">
        <w:trPr>
          <w:trHeight w:val="230"/>
        </w:trPr>
        <w:tc>
          <w:tcPr>
            <w:tcW w:w="3396" w:type="dxa"/>
            <w:vAlign w:val="center"/>
          </w:tcPr>
          <w:p w14:paraId="6DEAC577" w14:textId="77777777" w:rsidR="006377FA" w:rsidRPr="00933708" w:rsidRDefault="006377FA" w:rsidP="004920A4">
            <w:pPr>
              <w:pStyle w:val="TableText"/>
              <w:keepLines/>
            </w:pPr>
            <w:r w:rsidRPr="00933708">
              <w:t>Cardiovascular death</w:t>
            </w:r>
          </w:p>
        </w:tc>
        <w:tc>
          <w:tcPr>
            <w:tcW w:w="1560" w:type="dxa"/>
            <w:vAlign w:val="bottom"/>
          </w:tcPr>
          <w:p w14:paraId="62A64C81" w14:textId="77777777" w:rsidR="006377FA" w:rsidRPr="00933708" w:rsidRDefault="006377FA" w:rsidP="004920A4">
            <w:pPr>
              <w:pStyle w:val="TableText"/>
              <w:keepLines/>
              <w:jc w:val="center"/>
              <w:rPr>
                <w:szCs w:val="20"/>
              </w:rPr>
            </w:pPr>
            <w:r w:rsidRPr="00933708">
              <w:rPr>
                <w:rFonts w:cs="Calibri"/>
                <w:szCs w:val="20"/>
              </w:rPr>
              <w:t>39.9%</w:t>
            </w:r>
          </w:p>
        </w:tc>
        <w:tc>
          <w:tcPr>
            <w:tcW w:w="1417" w:type="dxa"/>
            <w:vAlign w:val="bottom"/>
          </w:tcPr>
          <w:p w14:paraId="20D1EED2" w14:textId="77777777" w:rsidR="006377FA" w:rsidRPr="00933708" w:rsidRDefault="006377FA" w:rsidP="004920A4">
            <w:pPr>
              <w:pStyle w:val="TableText"/>
              <w:keepLines/>
              <w:jc w:val="center"/>
              <w:rPr>
                <w:szCs w:val="20"/>
              </w:rPr>
            </w:pPr>
            <w:r w:rsidRPr="00933708">
              <w:rPr>
                <w:rFonts w:cs="Calibri"/>
                <w:szCs w:val="20"/>
              </w:rPr>
              <w:t>40.5%</w:t>
            </w:r>
          </w:p>
        </w:tc>
        <w:tc>
          <w:tcPr>
            <w:tcW w:w="1276" w:type="dxa"/>
            <w:vAlign w:val="bottom"/>
          </w:tcPr>
          <w:p w14:paraId="30C3AEBB" w14:textId="77777777" w:rsidR="006377FA" w:rsidRPr="00933708" w:rsidRDefault="006377FA" w:rsidP="004920A4">
            <w:pPr>
              <w:pStyle w:val="TableText"/>
              <w:keepLines/>
              <w:jc w:val="center"/>
              <w:rPr>
                <w:szCs w:val="20"/>
              </w:rPr>
            </w:pPr>
            <w:r w:rsidRPr="00933708">
              <w:rPr>
                <w:rFonts w:cs="Calibri"/>
                <w:szCs w:val="20"/>
              </w:rPr>
              <w:t>-0.6%</w:t>
            </w:r>
          </w:p>
        </w:tc>
        <w:tc>
          <w:tcPr>
            <w:tcW w:w="1367" w:type="dxa"/>
          </w:tcPr>
          <w:p w14:paraId="5E12F780" w14:textId="77777777" w:rsidR="006377FA" w:rsidRPr="00933708" w:rsidRDefault="006377FA" w:rsidP="004920A4">
            <w:pPr>
              <w:pStyle w:val="TableText"/>
              <w:keepLines/>
              <w:jc w:val="center"/>
            </w:pPr>
            <w:r w:rsidRPr="00933708">
              <w:t>-</w:t>
            </w:r>
          </w:p>
        </w:tc>
      </w:tr>
      <w:tr w:rsidR="006377FA" w:rsidRPr="00933708" w14:paraId="197C2BB8" w14:textId="77777777" w:rsidTr="00794EFC">
        <w:trPr>
          <w:trHeight w:val="230"/>
        </w:trPr>
        <w:tc>
          <w:tcPr>
            <w:tcW w:w="3396" w:type="dxa"/>
            <w:vAlign w:val="center"/>
          </w:tcPr>
          <w:p w14:paraId="5F7EB781" w14:textId="77777777" w:rsidR="006377FA" w:rsidRPr="00933708" w:rsidRDefault="006377FA" w:rsidP="004920A4">
            <w:pPr>
              <w:pStyle w:val="TableText"/>
              <w:keepLines/>
            </w:pPr>
            <w:r w:rsidRPr="00933708">
              <w:t>Non-cardiovascular/non-renal death</w:t>
            </w:r>
          </w:p>
        </w:tc>
        <w:tc>
          <w:tcPr>
            <w:tcW w:w="1560" w:type="dxa"/>
            <w:vAlign w:val="bottom"/>
          </w:tcPr>
          <w:p w14:paraId="1B52C68D" w14:textId="77777777" w:rsidR="006377FA" w:rsidRPr="00933708" w:rsidRDefault="006377FA" w:rsidP="004920A4">
            <w:pPr>
              <w:pStyle w:val="TableText"/>
              <w:keepLines/>
              <w:jc w:val="center"/>
              <w:rPr>
                <w:szCs w:val="20"/>
              </w:rPr>
            </w:pPr>
            <w:r w:rsidRPr="00933708">
              <w:rPr>
                <w:rFonts w:cs="Calibri"/>
                <w:szCs w:val="20"/>
              </w:rPr>
              <w:t>17.8%</w:t>
            </w:r>
          </w:p>
        </w:tc>
        <w:tc>
          <w:tcPr>
            <w:tcW w:w="1417" w:type="dxa"/>
            <w:vAlign w:val="bottom"/>
          </w:tcPr>
          <w:p w14:paraId="5197DE45" w14:textId="77777777" w:rsidR="006377FA" w:rsidRPr="00933708" w:rsidRDefault="006377FA" w:rsidP="004920A4">
            <w:pPr>
              <w:pStyle w:val="TableText"/>
              <w:keepLines/>
              <w:jc w:val="center"/>
              <w:rPr>
                <w:szCs w:val="20"/>
              </w:rPr>
            </w:pPr>
            <w:r w:rsidRPr="00933708">
              <w:rPr>
                <w:rFonts w:cs="Calibri"/>
                <w:szCs w:val="20"/>
              </w:rPr>
              <w:t>14.0%</w:t>
            </w:r>
          </w:p>
        </w:tc>
        <w:tc>
          <w:tcPr>
            <w:tcW w:w="1276" w:type="dxa"/>
            <w:vAlign w:val="bottom"/>
          </w:tcPr>
          <w:p w14:paraId="4A36EF1B" w14:textId="77777777" w:rsidR="006377FA" w:rsidRPr="00933708" w:rsidRDefault="006377FA" w:rsidP="004920A4">
            <w:pPr>
              <w:pStyle w:val="TableText"/>
              <w:keepLines/>
              <w:jc w:val="center"/>
              <w:rPr>
                <w:szCs w:val="20"/>
              </w:rPr>
            </w:pPr>
            <w:r w:rsidRPr="00933708">
              <w:rPr>
                <w:rFonts w:cs="Calibri"/>
                <w:szCs w:val="20"/>
              </w:rPr>
              <w:t>3.8%</w:t>
            </w:r>
          </w:p>
        </w:tc>
        <w:tc>
          <w:tcPr>
            <w:tcW w:w="1367" w:type="dxa"/>
          </w:tcPr>
          <w:p w14:paraId="387FCA2E" w14:textId="77777777" w:rsidR="006377FA" w:rsidRPr="00933708" w:rsidRDefault="006377FA" w:rsidP="004920A4">
            <w:pPr>
              <w:pStyle w:val="TableText"/>
              <w:keepLines/>
              <w:jc w:val="center"/>
            </w:pPr>
            <w:r w:rsidRPr="00933708">
              <w:t>-</w:t>
            </w:r>
          </w:p>
        </w:tc>
      </w:tr>
      <w:tr w:rsidR="006377FA" w:rsidRPr="00933708" w14:paraId="3580D64A" w14:textId="77777777" w:rsidTr="00794EFC">
        <w:trPr>
          <w:trHeight w:val="70"/>
        </w:trPr>
        <w:tc>
          <w:tcPr>
            <w:tcW w:w="9016" w:type="dxa"/>
            <w:gridSpan w:val="5"/>
            <w:vAlign w:val="center"/>
          </w:tcPr>
          <w:p w14:paraId="4BA5DFA0" w14:textId="77777777" w:rsidR="006377FA" w:rsidRPr="00933708" w:rsidRDefault="006377FA" w:rsidP="004920A4">
            <w:pPr>
              <w:pStyle w:val="TableText"/>
              <w:keepLines/>
              <w:rPr>
                <w:b/>
                <w:bCs w:val="0"/>
              </w:rPr>
            </w:pPr>
            <w:r w:rsidRPr="00933708">
              <w:rPr>
                <w:b/>
                <w:bCs w:val="0"/>
              </w:rPr>
              <w:t>Time in health state (undiscounted)</w:t>
            </w:r>
          </w:p>
        </w:tc>
      </w:tr>
      <w:tr w:rsidR="007713D9" w:rsidRPr="00933708" w14:paraId="42A8F50D" w14:textId="77777777" w:rsidTr="00E04968">
        <w:trPr>
          <w:trHeight w:val="70"/>
        </w:trPr>
        <w:tc>
          <w:tcPr>
            <w:tcW w:w="9016" w:type="dxa"/>
            <w:gridSpan w:val="5"/>
            <w:vAlign w:val="center"/>
          </w:tcPr>
          <w:p w14:paraId="4ACA0184" w14:textId="4CE30628" w:rsidR="007713D9" w:rsidRPr="00933708" w:rsidRDefault="007713D9" w:rsidP="007713D9">
            <w:pPr>
              <w:pStyle w:val="TableText"/>
              <w:keepLines/>
              <w:rPr>
                <w:b/>
                <w:bCs w:val="0"/>
              </w:rPr>
            </w:pPr>
            <w:r w:rsidRPr="00933708">
              <w:rPr>
                <w:b/>
                <w:bCs w:val="0"/>
              </w:rPr>
              <w:t xml:space="preserve">By eGFR </w:t>
            </w:r>
            <w:proofErr w:type="spellStart"/>
            <w:r w:rsidRPr="00933708">
              <w:rPr>
                <w:b/>
                <w:bCs w:val="0"/>
              </w:rPr>
              <w:t>category</w:t>
            </w:r>
            <w:r w:rsidRPr="00933708">
              <w:rPr>
                <w:b/>
                <w:bCs w:val="0"/>
                <w:vertAlign w:val="superscript"/>
              </w:rPr>
              <w:t>a</w:t>
            </w:r>
            <w:proofErr w:type="spellEnd"/>
          </w:p>
        </w:tc>
      </w:tr>
      <w:tr w:rsidR="006377FA" w:rsidRPr="00933708" w14:paraId="21FF6B40" w14:textId="77777777" w:rsidTr="00794EFC">
        <w:trPr>
          <w:trHeight w:val="230"/>
        </w:trPr>
        <w:tc>
          <w:tcPr>
            <w:tcW w:w="3396" w:type="dxa"/>
            <w:vAlign w:val="center"/>
          </w:tcPr>
          <w:p w14:paraId="66CDD43A" w14:textId="77777777" w:rsidR="006377FA" w:rsidRPr="00933708" w:rsidRDefault="006377FA" w:rsidP="004920A4">
            <w:pPr>
              <w:pStyle w:val="TableText"/>
              <w:keepLines/>
            </w:pPr>
            <w:r w:rsidRPr="00933708">
              <w:t>- G2: eGFR 60 to &lt;90 mL/min/1.73 m</w:t>
            </w:r>
            <w:r w:rsidRPr="00933708">
              <w:rPr>
                <w:vertAlign w:val="superscript"/>
              </w:rPr>
              <w:t>2</w:t>
            </w:r>
          </w:p>
        </w:tc>
        <w:tc>
          <w:tcPr>
            <w:tcW w:w="1560" w:type="dxa"/>
            <w:vAlign w:val="center"/>
          </w:tcPr>
          <w:p w14:paraId="0153B37A" w14:textId="0609C295" w:rsidR="006377FA" w:rsidRPr="00A51AD5" w:rsidRDefault="006377FA" w:rsidP="004920A4">
            <w:pPr>
              <w:pStyle w:val="TableText"/>
              <w:keepLines/>
              <w:jc w:val="center"/>
            </w:pPr>
            <w:r w:rsidRPr="00A51AD5">
              <w:rPr>
                <w:rFonts w:cs="Calibri"/>
                <w:color w:val="000000"/>
                <w:szCs w:val="20"/>
              </w:rPr>
              <w:t>0.2760</w:t>
            </w:r>
            <w:r w:rsidR="0029767E">
              <w:rPr>
                <w:rFonts w:cs="Calibri"/>
                <w:color w:val="000000"/>
                <w:szCs w:val="20"/>
              </w:rPr>
              <w:t>*</w:t>
            </w:r>
          </w:p>
        </w:tc>
        <w:tc>
          <w:tcPr>
            <w:tcW w:w="1417" w:type="dxa"/>
            <w:vAlign w:val="center"/>
          </w:tcPr>
          <w:p w14:paraId="03191336" w14:textId="77777777" w:rsidR="006377FA" w:rsidRPr="00A51AD5" w:rsidRDefault="006377FA" w:rsidP="004920A4">
            <w:pPr>
              <w:pStyle w:val="TableText"/>
              <w:keepLines/>
              <w:jc w:val="center"/>
            </w:pPr>
            <w:r w:rsidRPr="00A51AD5">
              <w:rPr>
                <w:rFonts w:cs="Calibri"/>
                <w:color w:val="000000"/>
                <w:szCs w:val="20"/>
              </w:rPr>
              <w:t>0.2350</w:t>
            </w:r>
          </w:p>
        </w:tc>
        <w:tc>
          <w:tcPr>
            <w:tcW w:w="1276" w:type="dxa"/>
            <w:vAlign w:val="center"/>
          </w:tcPr>
          <w:p w14:paraId="7402A175" w14:textId="5948D724" w:rsidR="006377FA" w:rsidRPr="00A51AD5" w:rsidRDefault="006377FA" w:rsidP="004920A4">
            <w:pPr>
              <w:pStyle w:val="TableText"/>
              <w:keepLines/>
              <w:jc w:val="center"/>
            </w:pPr>
            <w:r w:rsidRPr="00A51AD5">
              <w:rPr>
                <w:rFonts w:cs="Calibri"/>
                <w:color w:val="000000"/>
                <w:szCs w:val="20"/>
              </w:rPr>
              <w:t>0.0410</w:t>
            </w:r>
            <w:r w:rsidR="0029767E">
              <w:rPr>
                <w:rFonts w:cs="Calibri"/>
                <w:color w:val="000000"/>
                <w:szCs w:val="20"/>
              </w:rPr>
              <w:t>*</w:t>
            </w:r>
          </w:p>
        </w:tc>
        <w:tc>
          <w:tcPr>
            <w:tcW w:w="1367" w:type="dxa"/>
            <w:vAlign w:val="center"/>
          </w:tcPr>
          <w:p w14:paraId="23F8FC9A" w14:textId="05D5E884" w:rsidR="006377FA" w:rsidRPr="00A51AD5" w:rsidRDefault="006377FA" w:rsidP="004920A4">
            <w:pPr>
              <w:pStyle w:val="TableText"/>
              <w:keepLines/>
              <w:jc w:val="center"/>
            </w:pPr>
            <w:r w:rsidRPr="00A51AD5">
              <w:rPr>
                <w:rFonts w:cs="Calibri"/>
                <w:color w:val="000000"/>
                <w:szCs w:val="20"/>
              </w:rPr>
              <w:t>3.31%</w:t>
            </w:r>
            <w:r w:rsidR="0029767E">
              <w:rPr>
                <w:rFonts w:cs="Calibri"/>
                <w:color w:val="000000"/>
                <w:szCs w:val="20"/>
              </w:rPr>
              <w:t>*</w:t>
            </w:r>
          </w:p>
        </w:tc>
      </w:tr>
      <w:tr w:rsidR="006377FA" w:rsidRPr="00933708" w14:paraId="3C6C9EE9" w14:textId="77777777" w:rsidTr="00794EFC">
        <w:trPr>
          <w:trHeight w:val="230"/>
        </w:trPr>
        <w:tc>
          <w:tcPr>
            <w:tcW w:w="3396" w:type="dxa"/>
            <w:vAlign w:val="center"/>
          </w:tcPr>
          <w:p w14:paraId="5EC23EC7" w14:textId="77777777" w:rsidR="006377FA" w:rsidRPr="00933708" w:rsidRDefault="006377FA" w:rsidP="004920A4">
            <w:pPr>
              <w:pStyle w:val="TableText"/>
              <w:keepLines/>
            </w:pPr>
            <w:r w:rsidRPr="00933708">
              <w:t>- G3a: eGFR 45 to &lt;60 mL/min/1.73 m</w:t>
            </w:r>
            <w:r w:rsidRPr="00933708">
              <w:rPr>
                <w:vertAlign w:val="superscript"/>
              </w:rPr>
              <w:t>2</w:t>
            </w:r>
          </w:p>
        </w:tc>
        <w:tc>
          <w:tcPr>
            <w:tcW w:w="1560" w:type="dxa"/>
            <w:vAlign w:val="center"/>
          </w:tcPr>
          <w:p w14:paraId="5CEF51E6" w14:textId="316C1DB6" w:rsidR="006377FA" w:rsidRPr="00A51AD5" w:rsidRDefault="006377FA" w:rsidP="004920A4">
            <w:pPr>
              <w:pStyle w:val="TableText"/>
              <w:keepLines/>
              <w:jc w:val="center"/>
            </w:pPr>
            <w:r w:rsidRPr="00A51AD5">
              <w:rPr>
                <w:rFonts w:cs="Calibri"/>
                <w:color w:val="000000"/>
                <w:szCs w:val="20"/>
              </w:rPr>
              <w:t>1.0800</w:t>
            </w:r>
            <w:r w:rsidR="0029767E">
              <w:rPr>
                <w:rFonts w:cs="Calibri"/>
                <w:color w:val="000000"/>
                <w:szCs w:val="20"/>
              </w:rPr>
              <w:t>*</w:t>
            </w:r>
          </w:p>
        </w:tc>
        <w:tc>
          <w:tcPr>
            <w:tcW w:w="1417" w:type="dxa"/>
            <w:vAlign w:val="center"/>
          </w:tcPr>
          <w:p w14:paraId="6425DD30" w14:textId="77777777" w:rsidR="006377FA" w:rsidRPr="00A51AD5" w:rsidRDefault="006377FA" w:rsidP="004920A4">
            <w:pPr>
              <w:pStyle w:val="TableText"/>
              <w:keepLines/>
              <w:jc w:val="center"/>
            </w:pPr>
            <w:r w:rsidRPr="00A51AD5">
              <w:rPr>
                <w:rFonts w:cs="Calibri"/>
                <w:color w:val="000000"/>
                <w:szCs w:val="20"/>
              </w:rPr>
              <w:t>1.1815</w:t>
            </w:r>
          </w:p>
        </w:tc>
        <w:tc>
          <w:tcPr>
            <w:tcW w:w="1276" w:type="dxa"/>
            <w:vAlign w:val="center"/>
          </w:tcPr>
          <w:p w14:paraId="1BA36536" w14:textId="0973A482" w:rsidR="006377FA" w:rsidRPr="00A51AD5" w:rsidRDefault="006377FA" w:rsidP="004920A4">
            <w:pPr>
              <w:pStyle w:val="TableText"/>
              <w:keepLines/>
              <w:jc w:val="center"/>
            </w:pPr>
            <w:r w:rsidRPr="00A51AD5">
              <w:rPr>
                <w:rFonts w:cs="Calibri"/>
                <w:color w:val="000000"/>
                <w:szCs w:val="20"/>
              </w:rPr>
              <w:t>-0.1015</w:t>
            </w:r>
            <w:r w:rsidR="0029767E">
              <w:rPr>
                <w:rFonts w:cs="Calibri"/>
                <w:color w:val="000000"/>
                <w:szCs w:val="20"/>
              </w:rPr>
              <w:t>*</w:t>
            </w:r>
          </w:p>
        </w:tc>
        <w:tc>
          <w:tcPr>
            <w:tcW w:w="1367" w:type="dxa"/>
            <w:vAlign w:val="center"/>
          </w:tcPr>
          <w:p w14:paraId="666E9C3C" w14:textId="5CC31B94" w:rsidR="006377FA" w:rsidRPr="00A51AD5" w:rsidRDefault="006377FA" w:rsidP="004920A4">
            <w:pPr>
              <w:pStyle w:val="TableText"/>
              <w:keepLines/>
              <w:jc w:val="center"/>
            </w:pPr>
            <w:r w:rsidRPr="00A51AD5">
              <w:rPr>
                <w:rFonts w:cs="Calibri"/>
                <w:color w:val="000000"/>
                <w:szCs w:val="20"/>
              </w:rPr>
              <w:t>-8.18%</w:t>
            </w:r>
            <w:r w:rsidR="0029767E">
              <w:rPr>
                <w:rFonts w:cs="Calibri"/>
                <w:color w:val="000000"/>
                <w:szCs w:val="20"/>
              </w:rPr>
              <w:t>*</w:t>
            </w:r>
          </w:p>
        </w:tc>
      </w:tr>
      <w:tr w:rsidR="006377FA" w:rsidRPr="00933708" w14:paraId="06908B64" w14:textId="77777777" w:rsidTr="00794EFC">
        <w:trPr>
          <w:trHeight w:val="230"/>
        </w:trPr>
        <w:tc>
          <w:tcPr>
            <w:tcW w:w="3396" w:type="dxa"/>
            <w:vAlign w:val="center"/>
          </w:tcPr>
          <w:p w14:paraId="2E1926D0" w14:textId="77777777" w:rsidR="006377FA" w:rsidRPr="00933708" w:rsidRDefault="006377FA" w:rsidP="004920A4">
            <w:pPr>
              <w:pStyle w:val="TableText"/>
              <w:keepLines/>
            </w:pPr>
            <w:r w:rsidRPr="00933708">
              <w:t>- G3b: eGFR 30 to &lt;45 mL/min/1.73 m</w:t>
            </w:r>
            <w:r w:rsidRPr="00933708">
              <w:rPr>
                <w:vertAlign w:val="superscript"/>
              </w:rPr>
              <w:t>2</w:t>
            </w:r>
          </w:p>
        </w:tc>
        <w:tc>
          <w:tcPr>
            <w:tcW w:w="1560" w:type="dxa"/>
            <w:vAlign w:val="center"/>
          </w:tcPr>
          <w:p w14:paraId="15F2CF0F" w14:textId="17C6D7A7" w:rsidR="006377FA" w:rsidRPr="00A51AD5" w:rsidRDefault="006377FA" w:rsidP="004920A4">
            <w:pPr>
              <w:pStyle w:val="TableText"/>
              <w:keepLines/>
              <w:jc w:val="center"/>
            </w:pPr>
            <w:r w:rsidRPr="00A51AD5">
              <w:rPr>
                <w:rFonts w:cs="Calibri"/>
                <w:color w:val="000000"/>
                <w:szCs w:val="20"/>
              </w:rPr>
              <w:t>2.8410</w:t>
            </w:r>
            <w:r w:rsidR="0029767E">
              <w:rPr>
                <w:rFonts w:cs="Calibri"/>
                <w:color w:val="000000"/>
                <w:szCs w:val="20"/>
              </w:rPr>
              <w:t>*</w:t>
            </w:r>
          </w:p>
        </w:tc>
        <w:tc>
          <w:tcPr>
            <w:tcW w:w="1417" w:type="dxa"/>
            <w:vAlign w:val="center"/>
          </w:tcPr>
          <w:p w14:paraId="1EFE2F98" w14:textId="77777777" w:rsidR="006377FA" w:rsidRPr="00A51AD5" w:rsidRDefault="006377FA" w:rsidP="004920A4">
            <w:pPr>
              <w:pStyle w:val="TableText"/>
              <w:keepLines/>
              <w:jc w:val="center"/>
            </w:pPr>
            <w:r w:rsidRPr="00A51AD5">
              <w:rPr>
                <w:rFonts w:cs="Calibri"/>
                <w:color w:val="000000"/>
                <w:szCs w:val="20"/>
              </w:rPr>
              <w:t>2.3385</w:t>
            </w:r>
          </w:p>
        </w:tc>
        <w:tc>
          <w:tcPr>
            <w:tcW w:w="1276" w:type="dxa"/>
            <w:vAlign w:val="center"/>
          </w:tcPr>
          <w:p w14:paraId="18749617" w14:textId="57637062" w:rsidR="006377FA" w:rsidRPr="00A51AD5" w:rsidRDefault="006377FA" w:rsidP="004920A4">
            <w:pPr>
              <w:pStyle w:val="TableText"/>
              <w:keepLines/>
              <w:jc w:val="center"/>
            </w:pPr>
            <w:r w:rsidRPr="00A51AD5">
              <w:rPr>
                <w:rFonts w:cs="Calibri"/>
                <w:color w:val="000000"/>
                <w:szCs w:val="20"/>
              </w:rPr>
              <w:t>0.5025</w:t>
            </w:r>
            <w:r w:rsidR="0029767E">
              <w:rPr>
                <w:rFonts w:cs="Calibri"/>
                <w:color w:val="000000"/>
                <w:szCs w:val="20"/>
              </w:rPr>
              <w:t>*</w:t>
            </w:r>
          </w:p>
        </w:tc>
        <w:tc>
          <w:tcPr>
            <w:tcW w:w="1367" w:type="dxa"/>
            <w:vAlign w:val="center"/>
          </w:tcPr>
          <w:p w14:paraId="4BAEA8DA" w14:textId="3C854825" w:rsidR="006377FA" w:rsidRPr="00A51AD5" w:rsidRDefault="006377FA" w:rsidP="004920A4">
            <w:pPr>
              <w:pStyle w:val="TableText"/>
              <w:keepLines/>
              <w:jc w:val="center"/>
            </w:pPr>
            <w:r w:rsidRPr="00A51AD5">
              <w:rPr>
                <w:rFonts w:cs="Calibri"/>
                <w:color w:val="000000"/>
                <w:szCs w:val="20"/>
              </w:rPr>
              <w:t>40.51%</w:t>
            </w:r>
            <w:r w:rsidR="0029767E">
              <w:rPr>
                <w:rFonts w:cs="Calibri"/>
                <w:color w:val="000000"/>
                <w:szCs w:val="20"/>
              </w:rPr>
              <w:t>*</w:t>
            </w:r>
          </w:p>
        </w:tc>
      </w:tr>
      <w:tr w:rsidR="006377FA" w:rsidRPr="00933708" w14:paraId="23B8EAEE" w14:textId="77777777" w:rsidTr="00794EFC">
        <w:trPr>
          <w:trHeight w:val="230"/>
        </w:trPr>
        <w:tc>
          <w:tcPr>
            <w:tcW w:w="3396" w:type="dxa"/>
            <w:vAlign w:val="center"/>
          </w:tcPr>
          <w:p w14:paraId="724026C9" w14:textId="77777777" w:rsidR="006377FA" w:rsidRPr="00933708" w:rsidRDefault="006377FA" w:rsidP="004920A4">
            <w:pPr>
              <w:pStyle w:val="TableText"/>
              <w:keepLines/>
            </w:pPr>
            <w:r w:rsidRPr="00933708">
              <w:t>- G4: eGFR 15 to &lt;30 mL/min/1.73 m</w:t>
            </w:r>
            <w:r w:rsidRPr="00933708">
              <w:rPr>
                <w:vertAlign w:val="superscript"/>
              </w:rPr>
              <w:t>2</w:t>
            </w:r>
          </w:p>
        </w:tc>
        <w:tc>
          <w:tcPr>
            <w:tcW w:w="1560" w:type="dxa"/>
            <w:vAlign w:val="center"/>
          </w:tcPr>
          <w:p w14:paraId="221CD459" w14:textId="79F74DF9" w:rsidR="006377FA" w:rsidRPr="00A51AD5" w:rsidRDefault="006377FA" w:rsidP="004920A4">
            <w:pPr>
              <w:pStyle w:val="TableText"/>
              <w:keepLines/>
              <w:jc w:val="center"/>
            </w:pPr>
            <w:r w:rsidRPr="00A51AD5">
              <w:rPr>
                <w:rFonts w:cs="Calibri"/>
                <w:color w:val="000000"/>
                <w:szCs w:val="20"/>
              </w:rPr>
              <w:t>5.2820</w:t>
            </w:r>
            <w:r w:rsidR="0029767E">
              <w:rPr>
                <w:rFonts w:cs="Calibri"/>
                <w:color w:val="000000"/>
                <w:szCs w:val="20"/>
              </w:rPr>
              <w:t>*</w:t>
            </w:r>
          </w:p>
        </w:tc>
        <w:tc>
          <w:tcPr>
            <w:tcW w:w="1417" w:type="dxa"/>
            <w:vAlign w:val="center"/>
          </w:tcPr>
          <w:p w14:paraId="470B2064" w14:textId="77777777" w:rsidR="006377FA" w:rsidRPr="00A51AD5" w:rsidRDefault="006377FA" w:rsidP="004920A4">
            <w:pPr>
              <w:pStyle w:val="TableText"/>
              <w:keepLines/>
              <w:jc w:val="center"/>
            </w:pPr>
            <w:r w:rsidRPr="00A51AD5">
              <w:rPr>
                <w:rFonts w:cs="Calibri"/>
                <w:color w:val="000000"/>
                <w:szCs w:val="20"/>
              </w:rPr>
              <w:t>3.7040</w:t>
            </w:r>
          </w:p>
        </w:tc>
        <w:tc>
          <w:tcPr>
            <w:tcW w:w="1276" w:type="dxa"/>
            <w:vAlign w:val="center"/>
          </w:tcPr>
          <w:p w14:paraId="10E66FCD" w14:textId="49298ECB" w:rsidR="006377FA" w:rsidRPr="00A51AD5" w:rsidRDefault="006377FA" w:rsidP="004920A4">
            <w:pPr>
              <w:pStyle w:val="TableText"/>
              <w:keepLines/>
              <w:jc w:val="center"/>
            </w:pPr>
            <w:r w:rsidRPr="00A51AD5">
              <w:rPr>
                <w:rFonts w:cs="Calibri"/>
                <w:color w:val="000000"/>
                <w:szCs w:val="20"/>
              </w:rPr>
              <w:t>1.5780</w:t>
            </w:r>
            <w:r w:rsidR="0029767E">
              <w:rPr>
                <w:rFonts w:cs="Calibri"/>
                <w:color w:val="000000"/>
                <w:szCs w:val="20"/>
              </w:rPr>
              <w:t>*</w:t>
            </w:r>
          </w:p>
        </w:tc>
        <w:tc>
          <w:tcPr>
            <w:tcW w:w="1367" w:type="dxa"/>
            <w:vAlign w:val="center"/>
          </w:tcPr>
          <w:p w14:paraId="735BCC48" w14:textId="1B94EE1A" w:rsidR="006377FA" w:rsidRPr="00A51AD5" w:rsidRDefault="006377FA" w:rsidP="004920A4">
            <w:pPr>
              <w:pStyle w:val="TableText"/>
              <w:keepLines/>
              <w:jc w:val="center"/>
            </w:pPr>
            <w:r w:rsidRPr="00A51AD5">
              <w:rPr>
                <w:rFonts w:cs="Calibri"/>
                <w:color w:val="000000"/>
                <w:szCs w:val="20"/>
              </w:rPr>
              <w:t>127.21%</w:t>
            </w:r>
            <w:r w:rsidR="0029767E">
              <w:rPr>
                <w:rFonts w:cs="Calibri"/>
                <w:color w:val="000000"/>
                <w:szCs w:val="20"/>
              </w:rPr>
              <w:t>*</w:t>
            </w:r>
          </w:p>
        </w:tc>
      </w:tr>
      <w:tr w:rsidR="006377FA" w:rsidRPr="00933708" w14:paraId="35CA10A7" w14:textId="77777777" w:rsidTr="00794EFC">
        <w:trPr>
          <w:trHeight w:val="229"/>
        </w:trPr>
        <w:tc>
          <w:tcPr>
            <w:tcW w:w="3396" w:type="dxa"/>
            <w:vAlign w:val="center"/>
          </w:tcPr>
          <w:p w14:paraId="08198135" w14:textId="77777777" w:rsidR="006377FA" w:rsidRPr="00933708" w:rsidRDefault="006377FA" w:rsidP="004920A4">
            <w:pPr>
              <w:pStyle w:val="TableText"/>
              <w:keepLines/>
            </w:pPr>
            <w:r w:rsidRPr="00933708">
              <w:t>- G5: eGFR &lt;15 mL/min/1.73 m</w:t>
            </w:r>
            <w:r w:rsidRPr="00933708">
              <w:rPr>
                <w:vertAlign w:val="superscript"/>
              </w:rPr>
              <w:t>2</w:t>
            </w:r>
          </w:p>
        </w:tc>
        <w:tc>
          <w:tcPr>
            <w:tcW w:w="1560" w:type="dxa"/>
            <w:vAlign w:val="center"/>
          </w:tcPr>
          <w:p w14:paraId="557E9270" w14:textId="3B9F98C3" w:rsidR="006377FA" w:rsidRPr="00A51AD5" w:rsidRDefault="006377FA" w:rsidP="004920A4">
            <w:pPr>
              <w:pStyle w:val="TableText"/>
              <w:keepLines/>
              <w:jc w:val="center"/>
            </w:pPr>
            <w:r w:rsidRPr="00A51AD5">
              <w:rPr>
                <w:rFonts w:cs="Calibri"/>
                <w:color w:val="000000"/>
                <w:szCs w:val="20"/>
              </w:rPr>
              <w:t>2.1565</w:t>
            </w:r>
            <w:r w:rsidR="0029767E">
              <w:rPr>
                <w:rFonts w:cs="Calibri"/>
                <w:color w:val="000000"/>
                <w:szCs w:val="20"/>
              </w:rPr>
              <w:t>*</w:t>
            </w:r>
          </w:p>
        </w:tc>
        <w:tc>
          <w:tcPr>
            <w:tcW w:w="1417" w:type="dxa"/>
            <w:vAlign w:val="center"/>
          </w:tcPr>
          <w:p w14:paraId="73C4B7C3" w14:textId="77777777" w:rsidR="006377FA" w:rsidRPr="00A51AD5" w:rsidRDefault="006377FA" w:rsidP="004920A4">
            <w:pPr>
              <w:pStyle w:val="TableText"/>
              <w:keepLines/>
              <w:jc w:val="center"/>
            </w:pPr>
            <w:r w:rsidRPr="00A51AD5">
              <w:rPr>
                <w:rFonts w:cs="Calibri"/>
                <w:color w:val="000000"/>
                <w:szCs w:val="20"/>
              </w:rPr>
              <w:t>2.9360</w:t>
            </w:r>
          </w:p>
        </w:tc>
        <w:tc>
          <w:tcPr>
            <w:tcW w:w="1276" w:type="dxa"/>
            <w:vAlign w:val="center"/>
          </w:tcPr>
          <w:p w14:paraId="5CCAB551" w14:textId="3CF84902" w:rsidR="006377FA" w:rsidRPr="00A51AD5" w:rsidRDefault="006377FA" w:rsidP="004920A4">
            <w:pPr>
              <w:pStyle w:val="TableText"/>
              <w:keepLines/>
              <w:jc w:val="center"/>
            </w:pPr>
            <w:r w:rsidRPr="00A51AD5">
              <w:rPr>
                <w:rFonts w:cs="Calibri"/>
                <w:color w:val="000000"/>
                <w:szCs w:val="20"/>
              </w:rPr>
              <w:t>-0.7795</w:t>
            </w:r>
            <w:r w:rsidR="0029767E">
              <w:rPr>
                <w:rFonts w:cs="Calibri"/>
                <w:color w:val="000000"/>
                <w:szCs w:val="20"/>
              </w:rPr>
              <w:t>*</w:t>
            </w:r>
          </w:p>
        </w:tc>
        <w:tc>
          <w:tcPr>
            <w:tcW w:w="1367" w:type="dxa"/>
            <w:vAlign w:val="center"/>
          </w:tcPr>
          <w:p w14:paraId="679AB978" w14:textId="0FBEC2A5" w:rsidR="006377FA" w:rsidRPr="00A51AD5" w:rsidRDefault="006377FA" w:rsidP="004920A4">
            <w:pPr>
              <w:pStyle w:val="TableText"/>
              <w:keepLines/>
              <w:jc w:val="center"/>
            </w:pPr>
            <w:r w:rsidRPr="00A51AD5">
              <w:rPr>
                <w:rFonts w:cs="Calibri"/>
                <w:color w:val="000000"/>
                <w:szCs w:val="20"/>
              </w:rPr>
              <w:t>-62.84%</w:t>
            </w:r>
            <w:r w:rsidR="0029767E">
              <w:rPr>
                <w:rFonts w:cs="Calibri"/>
                <w:color w:val="000000"/>
                <w:szCs w:val="20"/>
              </w:rPr>
              <w:t>*</w:t>
            </w:r>
          </w:p>
        </w:tc>
      </w:tr>
      <w:tr w:rsidR="007713D9" w:rsidRPr="00933708" w14:paraId="4AB3F3CC" w14:textId="77777777" w:rsidTr="00A85E0B">
        <w:trPr>
          <w:trHeight w:val="70"/>
        </w:trPr>
        <w:tc>
          <w:tcPr>
            <w:tcW w:w="9016" w:type="dxa"/>
            <w:gridSpan w:val="5"/>
            <w:vAlign w:val="center"/>
          </w:tcPr>
          <w:p w14:paraId="48ADB2DF" w14:textId="092E059F" w:rsidR="007713D9" w:rsidRPr="00A51AD5" w:rsidRDefault="007713D9" w:rsidP="007713D9">
            <w:pPr>
              <w:pStyle w:val="TableText"/>
              <w:keepLines/>
              <w:rPr>
                <w:rFonts w:cs="Calibri"/>
                <w:color w:val="000000"/>
                <w:szCs w:val="20"/>
              </w:rPr>
            </w:pPr>
            <w:r w:rsidRPr="00A51AD5">
              <w:rPr>
                <w:b/>
                <w:bCs w:val="0"/>
              </w:rPr>
              <w:t xml:space="preserve">By UACR </w:t>
            </w:r>
            <w:proofErr w:type="spellStart"/>
            <w:r w:rsidRPr="00A51AD5">
              <w:rPr>
                <w:b/>
                <w:bCs w:val="0"/>
              </w:rPr>
              <w:t>category</w:t>
            </w:r>
            <w:r w:rsidRPr="00A51AD5">
              <w:rPr>
                <w:b/>
                <w:bCs w:val="0"/>
                <w:vertAlign w:val="superscript"/>
              </w:rPr>
              <w:t>b</w:t>
            </w:r>
            <w:proofErr w:type="spellEnd"/>
          </w:p>
        </w:tc>
      </w:tr>
      <w:tr w:rsidR="006377FA" w:rsidRPr="00933708" w14:paraId="375E5602" w14:textId="77777777" w:rsidTr="00794EFC">
        <w:trPr>
          <w:trHeight w:val="229"/>
        </w:trPr>
        <w:tc>
          <w:tcPr>
            <w:tcW w:w="3396" w:type="dxa"/>
            <w:vAlign w:val="center"/>
          </w:tcPr>
          <w:p w14:paraId="749CAA54" w14:textId="77777777" w:rsidR="006377FA" w:rsidRPr="00933708" w:rsidRDefault="006377FA" w:rsidP="004920A4">
            <w:pPr>
              <w:pStyle w:val="TableText"/>
              <w:keepLines/>
            </w:pPr>
            <w:r w:rsidRPr="00933708">
              <w:rPr>
                <w:szCs w:val="20"/>
              </w:rPr>
              <w:t>- A1: UACR &lt;30 mg/g</w:t>
            </w:r>
          </w:p>
        </w:tc>
        <w:tc>
          <w:tcPr>
            <w:tcW w:w="1560" w:type="dxa"/>
            <w:vAlign w:val="center"/>
          </w:tcPr>
          <w:p w14:paraId="393F54D3" w14:textId="57D34B74" w:rsidR="006377FA" w:rsidRPr="00A51AD5" w:rsidRDefault="006377FA" w:rsidP="004920A4">
            <w:pPr>
              <w:pStyle w:val="TableText"/>
              <w:keepLines/>
              <w:jc w:val="center"/>
              <w:rPr>
                <w:rFonts w:cs="Calibri"/>
                <w:color w:val="000000"/>
                <w:szCs w:val="20"/>
              </w:rPr>
            </w:pPr>
            <w:r w:rsidRPr="00A51AD5">
              <w:rPr>
                <w:rFonts w:cs="Calibri"/>
                <w:color w:val="000000"/>
                <w:szCs w:val="20"/>
              </w:rPr>
              <w:t>0.7315</w:t>
            </w:r>
            <w:r w:rsidR="0029767E">
              <w:rPr>
                <w:rFonts w:cs="Calibri"/>
                <w:color w:val="000000"/>
                <w:szCs w:val="20"/>
              </w:rPr>
              <w:t>*</w:t>
            </w:r>
          </w:p>
        </w:tc>
        <w:tc>
          <w:tcPr>
            <w:tcW w:w="1417" w:type="dxa"/>
            <w:vAlign w:val="center"/>
          </w:tcPr>
          <w:p w14:paraId="4DA5E351" w14:textId="77777777" w:rsidR="006377FA" w:rsidRPr="00A51AD5" w:rsidRDefault="006377FA" w:rsidP="004920A4">
            <w:pPr>
              <w:pStyle w:val="TableText"/>
              <w:keepLines/>
              <w:jc w:val="center"/>
              <w:rPr>
                <w:rFonts w:cs="Calibri"/>
                <w:color w:val="000000"/>
                <w:szCs w:val="20"/>
              </w:rPr>
            </w:pPr>
            <w:r w:rsidRPr="00A51AD5">
              <w:rPr>
                <w:rFonts w:cs="Calibri"/>
                <w:color w:val="000000"/>
                <w:szCs w:val="20"/>
              </w:rPr>
              <w:t>0.8030</w:t>
            </w:r>
          </w:p>
        </w:tc>
        <w:tc>
          <w:tcPr>
            <w:tcW w:w="1276" w:type="dxa"/>
            <w:vAlign w:val="center"/>
          </w:tcPr>
          <w:p w14:paraId="700E6AE5" w14:textId="30E2F8BA" w:rsidR="006377FA" w:rsidRPr="00A51AD5" w:rsidRDefault="006377FA" w:rsidP="004920A4">
            <w:pPr>
              <w:pStyle w:val="TableText"/>
              <w:keepLines/>
              <w:jc w:val="center"/>
              <w:rPr>
                <w:rFonts w:cs="Calibri"/>
                <w:color w:val="000000"/>
                <w:szCs w:val="20"/>
              </w:rPr>
            </w:pPr>
            <w:r w:rsidRPr="00A51AD5">
              <w:rPr>
                <w:rFonts w:cs="Calibri"/>
                <w:color w:val="000000"/>
                <w:szCs w:val="20"/>
              </w:rPr>
              <w:t>-0.0715</w:t>
            </w:r>
            <w:r w:rsidR="0029767E">
              <w:rPr>
                <w:rFonts w:cs="Calibri"/>
                <w:color w:val="000000"/>
                <w:szCs w:val="20"/>
              </w:rPr>
              <w:t>*</w:t>
            </w:r>
          </w:p>
        </w:tc>
        <w:tc>
          <w:tcPr>
            <w:tcW w:w="1367" w:type="dxa"/>
            <w:vAlign w:val="center"/>
          </w:tcPr>
          <w:p w14:paraId="7427D68A" w14:textId="37A7ED2B" w:rsidR="006377FA" w:rsidRPr="00A51AD5" w:rsidRDefault="006377FA" w:rsidP="004920A4">
            <w:pPr>
              <w:pStyle w:val="TableText"/>
              <w:keepLines/>
              <w:jc w:val="center"/>
              <w:rPr>
                <w:rFonts w:cs="Calibri"/>
                <w:color w:val="000000"/>
                <w:szCs w:val="20"/>
              </w:rPr>
            </w:pPr>
            <w:r w:rsidRPr="00A51AD5">
              <w:rPr>
                <w:rFonts w:cs="Calibri"/>
                <w:color w:val="000000"/>
                <w:szCs w:val="20"/>
              </w:rPr>
              <w:t>-5.76%</w:t>
            </w:r>
            <w:r w:rsidR="0029767E">
              <w:rPr>
                <w:rFonts w:cs="Calibri"/>
                <w:color w:val="000000"/>
                <w:szCs w:val="20"/>
              </w:rPr>
              <w:t>*</w:t>
            </w:r>
          </w:p>
        </w:tc>
      </w:tr>
      <w:tr w:rsidR="006377FA" w:rsidRPr="00933708" w14:paraId="1EFE1186" w14:textId="77777777" w:rsidTr="00794EFC">
        <w:trPr>
          <w:trHeight w:val="229"/>
        </w:trPr>
        <w:tc>
          <w:tcPr>
            <w:tcW w:w="3396" w:type="dxa"/>
            <w:vAlign w:val="center"/>
          </w:tcPr>
          <w:p w14:paraId="39165787" w14:textId="77777777" w:rsidR="006377FA" w:rsidRPr="00933708" w:rsidRDefault="006377FA" w:rsidP="004920A4">
            <w:pPr>
              <w:pStyle w:val="TableText"/>
              <w:keepLines/>
            </w:pPr>
            <w:r w:rsidRPr="00933708">
              <w:rPr>
                <w:szCs w:val="20"/>
              </w:rPr>
              <w:t>- A2: UACR 30-300 mg/g</w:t>
            </w:r>
          </w:p>
        </w:tc>
        <w:tc>
          <w:tcPr>
            <w:tcW w:w="1560" w:type="dxa"/>
            <w:vAlign w:val="center"/>
          </w:tcPr>
          <w:p w14:paraId="2928B6DA" w14:textId="64194465" w:rsidR="006377FA" w:rsidRPr="00A51AD5" w:rsidRDefault="006377FA" w:rsidP="004920A4">
            <w:pPr>
              <w:pStyle w:val="TableText"/>
              <w:keepLines/>
              <w:jc w:val="center"/>
              <w:rPr>
                <w:rFonts w:cs="Calibri"/>
                <w:color w:val="000000"/>
                <w:szCs w:val="20"/>
              </w:rPr>
            </w:pPr>
            <w:r w:rsidRPr="00A51AD5">
              <w:rPr>
                <w:rFonts w:cs="Calibri"/>
                <w:color w:val="000000"/>
                <w:szCs w:val="20"/>
              </w:rPr>
              <w:t>5.7685</w:t>
            </w:r>
            <w:r w:rsidR="0029767E">
              <w:rPr>
                <w:rFonts w:cs="Calibri"/>
                <w:color w:val="000000"/>
                <w:szCs w:val="20"/>
              </w:rPr>
              <w:t>*</w:t>
            </w:r>
          </w:p>
        </w:tc>
        <w:tc>
          <w:tcPr>
            <w:tcW w:w="1417" w:type="dxa"/>
            <w:vAlign w:val="center"/>
          </w:tcPr>
          <w:p w14:paraId="19FB96C0" w14:textId="77777777" w:rsidR="006377FA" w:rsidRPr="00A51AD5" w:rsidRDefault="006377FA" w:rsidP="004920A4">
            <w:pPr>
              <w:pStyle w:val="TableText"/>
              <w:keepLines/>
              <w:jc w:val="center"/>
              <w:rPr>
                <w:rFonts w:cs="Calibri"/>
                <w:color w:val="000000"/>
                <w:szCs w:val="20"/>
              </w:rPr>
            </w:pPr>
            <w:r w:rsidRPr="00A51AD5">
              <w:rPr>
                <w:rFonts w:cs="Calibri"/>
                <w:color w:val="000000"/>
                <w:szCs w:val="20"/>
              </w:rPr>
              <w:t>2.8950</w:t>
            </w:r>
          </w:p>
        </w:tc>
        <w:tc>
          <w:tcPr>
            <w:tcW w:w="1276" w:type="dxa"/>
            <w:vAlign w:val="center"/>
          </w:tcPr>
          <w:p w14:paraId="63D2F726" w14:textId="1DBB85F8" w:rsidR="006377FA" w:rsidRPr="00A51AD5" w:rsidRDefault="006377FA" w:rsidP="004920A4">
            <w:pPr>
              <w:pStyle w:val="TableText"/>
              <w:keepLines/>
              <w:jc w:val="center"/>
              <w:rPr>
                <w:rFonts w:cs="Calibri"/>
                <w:color w:val="000000"/>
                <w:szCs w:val="20"/>
              </w:rPr>
            </w:pPr>
            <w:r w:rsidRPr="00A51AD5">
              <w:rPr>
                <w:rFonts w:cs="Calibri"/>
                <w:color w:val="000000"/>
                <w:szCs w:val="20"/>
              </w:rPr>
              <w:t>2.8735</w:t>
            </w:r>
            <w:r w:rsidR="0029767E">
              <w:rPr>
                <w:rFonts w:cs="Calibri"/>
                <w:color w:val="000000"/>
                <w:szCs w:val="20"/>
              </w:rPr>
              <w:t>*</w:t>
            </w:r>
          </w:p>
        </w:tc>
        <w:tc>
          <w:tcPr>
            <w:tcW w:w="1367" w:type="dxa"/>
            <w:vAlign w:val="center"/>
          </w:tcPr>
          <w:p w14:paraId="2F605DDF" w14:textId="1CD137DA" w:rsidR="006377FA" w:rsidRPr="00A51AD5" w:rsidRDefault="006377FA" w:rsidP="004920A4">
            <w:pPr>
              <w:pStyle w:val="TableText"/>
              <w:keepLines/>
              <w:jc w:val="center"/>
              <w:rPr>
                <w:rFonts w:cs="Calibri"/>
                <w:color w:val="000000"/>
                <w:szCs w:val="20"/>
              </w:rPr>
            </w:pPr>
            <w:r w:rsidRPr="00A51AD5">
              <w:rPr>
                <w:rFonts w:cs="Calibri"/>
                <w:color w:val="000000"/>
                <w:szCs w:val="20"/>
              </w:rPr>
              <w:t>231.64%</w:t>
            </w:r>
            <w:r w:rsidR="0029767E">
              <w:rPr>
                <w:rFonts w:cs="Calibri"/>
                <w:color w:val="000000"/>
                <w:szCs w:val="20"/>
              </w:rPr>
              <w:t>*</w:t>
            </w:r>
          </w:p>
        </w:tc>
      </w:tr>
      <w:tr w:rsidR="006377FA" w:rsidRPr="00933708" w14:paraId="0564B400" w14:textId="77777777" w:rsidTr="00794EFC">
        <w:trPr>
          <w:trHeight w:val="229"/>
        </w:trPr>
        <w:tc>
          <w:tcPr>
            <w:tcW w:w="3396" w:type="dxa"/>
            <w:vAlign w:val="center"/>
          </w:tcPr>
          <w:p w14:paraId="13F30F88" w14:textId="77777777" w:rsidR="006377FA" w:rsidRPr="00933708" w:rsidRDefault="006377FA" w:rsidP="004920A4">
            <w:pPr>
              <w:pStyle w:val="TableText"/>
              <w:keepLines/>
            </w:pPr>
            <w:r w:rsidRPr="00933708">
              <w:rPr>
                <w:szCs w:val="20"/>
              </w:rPr>
              <w:t>- A3: UACR &gt;300 mg/g</w:t>
            </w:r>
          </w:p>
        </w:tc>
        <w:tc>
          <w:tcPr>
            <w:tcW w:w="1560" w:type="dxa"/>
            <w:vAlign w:val="center"/>
          </w:tcPr>
          <w:p w14:paraId="6EA7A3AE" w14:textId="0BDC6A3D" w:rsidR="006377FA" w:rsidRPr="00A51AD5" w:rsidRDefault="006377FA" w:rsidP="004920A4">
            <w:pPr>
              <w:pStyle w:val="TableText"/>
              <w:keepLines/>
              <w:jc w:val="center"/>
              <w:rPr>
                <w:rFonts w:cs="Calibri"/>
                <w:color w:val="000000"/>
                <w:szCs w:val="20"/>
              </w:rPr>
            </w:pPr>
            <w:r w:rsidRPr="00A51AD5">
              <w:rPr>
                <w:rFonts w:cs="Calibri"/>
                <w:color w:val="000000"/>
                <w:szCs w:val="20"/>
              </w:rPr>
              <w:t>5.1355</w:t>
            </w:r>
            <w:r w:rsidR="0029767E">
              <w:rPr>
                <w:rFonts w:cs="Calibri"/>
                <w:color w:val="000000"/>
                <w:szCs w:val="20"/>
              </w:rPr>
              <w:t>*</w:t>
            </w:r>
          </w:p>
        </w:tc>
        <w:tc>
          <w:tcPr>
            <w:tcW w:w="1417" w:type="dxa"/>
            <w:vAlign w:val="center"/>
          </w:tcPr>
          <w:p w14:paraId="303F2ACB" w14:textId="77777777" w:rsidR="006377FA" w:rsidRPr="00A51AD5" w:rsidRDefault="006377FA" w:rsidP="004920A4">
            <w:pPr>
              <w:pStyle w:val="TableText"/>
              <w:keepLines/>
              <w:jc w:val="center"/>
              <w:rPr>
                <w:rFonts w:cs="Calibri"/>
                <w:color w:val="000000"/>
                <w:szCs w:val="20"/>
              </w:rPr>
            </w:pPr>
            <w:r w:rsidRPr="00A51AD5">
              <w:rPr>
                <w:rFonts w:cs="Calibri"/>
                <w:color w:val="000000"/>
                <w:szCs w:val="20"/>
              </w:rPr>
              <w:t>6.6970</w:t>
            </w:r>
          </w:p>
        </w:tc>
        <w:tc>
          <w:tcPr>
            <w:tcW w:w="1276" w:type="dxa"/>
            <w:vAlign w:val="center"/>
          </w:tcPr>
          <w:p w14:paraId="02598CD6" w14:textId="3B8BA9E6" w:rsidR="006377FA" w:rsidRPr="00A51AD5" w:rsidRDefault="006377FA" w:rsidP="004920A4">
            <w:pPr>
              <w:pStyle w:val="TableText"/>
              <w:keepLines/>
              <w:jc w:val="center"/>
              <w:rPr>
                <w:rFonts w:cs="Calibri"/>
                <w:color w:val="000000"/>
                <w:szCs w:val="20"/>
              </w:rPr>
            </w:pPr>
            <w:r w:rsidRPr="00A51AD5">
              <w:rPr>
                <w:rFonts w:cs="Calibri"/>
                <w:color w:val="000000"/>
                <w:szCs w:val="20"/>
              </w:rPr>
              <w:t>-1.5615</w:t>
            </w:r>
            <w:r w:rsidR="0029767E">
              <w:rPr>
                <w:rFonts w:cs="Calibri"/>
                <w:color w:val="000000"/>
                <w:szCs w:val="20"/>
              </w:rPr>
              <w:t>*</w:t>
            </w:r>
          </w:p>
        </w:tc>
        <w:tc>
          <w:tcPr>
            <w:tcW w:w="1367" w:type="dxa"/>
            <w:vAlign w:val="center"/>
          </w:tcPr>
          <w:p w14:paraId="407C8E1D" w14:textId="5586EEC5" w:rsidR="006377FA" w:rsidRPr="00A51AD5" w:rsidRDefault="006377FA" w:rsidP="004920A4">
            <w:pPr>
              <w:pStyle w:val="TableText"/>
              <w:keepLines/>
              <w:jc w:val="center"/>
              <w:rPr>
                <w:rFonts w:cs="Calibri"/>
                <w:color w:val="000000"/>
                <w:szCs w:val="20"/>
              </w:rPr>
            </w:pPr>
            <w:r w:rsidRPr="00A51AD5">
              <w:rPr>
                <w:rFonts w:cs="Calibri"/>
                <w:color w:val="000000"/>
                <w:szCs w:val="20"/>
              </w:rPr>
              <w:t>-125.88%</w:t>
            </w:r>
            <w:r w:rsidR="0029767E">
              <w:rPr>
                <w:rFonts w:cs="Calibri"/>
                <w:color w:val="000000"/>
                <w:szCs w:val="20"/>
              </w:rPr>
              <w:t>*</w:t>
            </w:r>
          </w:p>
        </w:tc>
      </w:tr>
      <w:tr w:rsidR="006377FA" w:rsidRPr="00933708" w14:paraId="3BEEABE3" w14:textId="77777777" w:rsidTr="00794EFC">
        <w:trPr>
          <w:trHeight w:val="229"/>
        </w:trPr>
        <w:tc>
          <w:tcPr>
            <w:tcW w:w="3396" w:type="dxa"/>
            <w:vAlign w:val="center"/>
          </w:tcPr>
          <w:p w14:paraId="035A16BB" w14:textId="77777777" w:rsidR="006377FA" w:rsidRPr="00933708" w:rsidRDefault="006377FA" w:rsidP="004920A4">
            <w:pPr>
              <w:pStyle w:val="TableText"/>
              <w:keepLines/>
              <w:rPr>
                <w:b/>
                <w:bCs w:val="0"/>
              </w:rPr>
            </w:pPr>
            <w:r w:rsidRPr="00933708">
              <w:rPr>
                <w:b/>
                <w:bCs w:val="0"/>
              </w:rPr>
              <w:t>Total life years (undiscounted)</w:t>
            </w:r>
          </w:p>
        </w:tc>
        <w:tc>
          <w:tcPr>
            <w:tcW w:w="1560" w:type="dxa"/>
            <w:vAlign w:val="bottom"/>
          </w:tcPr>
          <w:p w14:paraId="3226B649" w14:textId="77777777" w:rsidR="006377FA" w:rsidRPr="00933708" w:rsidRDefault="006377FA" w:rsidP="004920A4">
            <w:pPr>
              <w:pStyle w:val="TableText"/>
              <w:keepLines/>
              <w:jc w:val="center"/>
              <w:rPr>
                <w:b/>
                <w:bCs w:val="0"/>
              </w:rPr>
            </w:pPr>
            <w:r w:rsidRPr="00933708">
              <w:rPr>
                <w:b/>
                <w:bCs w:val="0"/>
              </w:rPr>
              <w:t>11.6355</w:t>
            </w:r>
          </w:p>
        </w:tc>
        <w:tc>
          <w:tcPr>
            <w:tcW w:w="1417" w:type="dxa"/>
            <w:vAlign w:val="bottom"/>
          </w:tcPr>
          <w:p w14:paraId="122BEAC2" w14:textId="77777777" w:rsidR="006377FA" w:rsidRPr="00933708" w:rsidRDefault="006377FA" w:rsidP="004920A4">
            <w:pPr>
              <w:pStyle w:val="TableText"/>
              <w:keepLines/>
              <w:jc w:val="center"/>
              <w:rPr>
                <w:b/>
                <w:bCs w:val="0"/>
              </w:rPr>
            </w:pPr>
            <w:r w:rsidRPr="00933708">
              <w:rPr>
                <w:b/>
                <w:bCs w:val="0"/>
              </w:rPr>
              <w:t>10.3950</w:t>
            </w:r>
          </w:p>
        </w:tc>
        <w:tc>
          <w:tcPr>
            <w:tcW w:w="1276" w:type="dxa"/>
            <w:vAlign w:val="bottom"/>
          </w:tcPr>
          <w:p w14:paraId="39D9DEF5" w14:textId="77777777" w:rsidR="006377FA" w:rsidRPr="00933708" w:rsidRDefault="006377FA" w:rsidP="004920A4">
            <w:pPr>
              <w:pStyle w:val="TableText"/>
              <w:keepLines/>
              <w:jc w:val="center"/>
              <w:rPr>
                <w:b/>
                <w:bCs w:val="0"/>
              </w:rPr>
            </w:pPr>
            <w:r w:rsidRPr="00933708">
              <w:rPr>
                <w:b/>
                <w:bCs w:val="0"/>
              </w:rPr>
              <w:t>1.2405</w:t>
            </w:r>
          </w:p>
        </w:tc>
        <w:tc>
          <w:tcPr>
            <w:tcW w:w="1367" w:type="dxa"/>
          </w:tcPr>
          <w:p w14:paraId="764B259B" w14:textId="77777777" w:rsidR="006377FA" w:rsidRPr="00933708" w:rsidRDefault="006377FA" w:rsidP="004920A4">
            <w:pPr>
              <w:pStyle w:val="TableText"/>
              <w:keepLines/>
              <w:jc w:val="center"/>
              <w:rPr>
                <w:b/>
                <w:bCs w:val="0"/>
              </w:rPr>
            </w:pPr>
            <w:r w:rsidRPr="00933708">
              <w:rPr>
                <w:b/>
                <w:bCs w:val="0"/>
              </w:rPr>
              <w:t>100%</w:t>
            </w:r>
          </w:p>
        </w:tc>
      </w:tr>
      <w:tr w:rsidR="006377FA" w:rsidRPr="00933708" w14:paraId="57F2F8CF" w14:textId="77777777" w:rsidTr="00794EFC">
        <w:trPr>
          <w:trHeight w:val="230"/>
        </w:trPr>
        <w:tc>
          <w:tcPr>
            <w:tcW w:w="3396" w:type="dxa"/>
            <w:vAlign w:val="center"/>
          </w:tcPr>
          <w:p w14:paraId="4E44F19D" w14:textId="77777777" w:rsidR="006377FA" w:rsidRPr="00933708" w:rsidRDefault="006377FA" w:rsidP="004920A4">
            <w:pPr>
              <w:pStyle w:val="TableText"/>
              <w:keepLines/>
              <w:rPr>
                <w:b/>
                <w:bCs w:val="0"/>
              </w:rPr>
            </w:pPr>
            <w:r w:rsidRPr="00933708">
              <w:rPr>
                <w:b/>
                <w:bCs w:val="0"/>
              </w:rPr>
              <w:t>Total life years (discounted)</w:t>
            </w:r>
          </w:p>
        </w:tc>
        <w:tc>
          <w:tcPr>
            <w:tcW w:w="1560" w:type="dxa"/>
          </w:tcPr>
          <w:p w14:paraId="45F5FF2F" w14:textId="77777777" w:rsidR="006377FA" w:rsidRPr="00933708" w:rsidRDefault="006377FA" w:rsidP="004920A4">
            <w:pPr>
              <w:pStyle w:val="TableText"/>
              <w:keepLines/>
              <w:jc w:val="center"/>
              <w:rPr>
                <w:b/>
                <w:bCs w:val="0"/>
              </w:rPr>
            </w:pPr>
            <w:r w:rsidRPr="00933708">
              <w:rPr>
                <w:b/>
                <w:bCs w:val="0"/>
              </w:rPr>
              <w:t>8.5096</w:t>
            </w:r>
          </w:p>
        </w:tc>
        <w:tc>
          <w:tcPr>
            <w:tcW w:w="1417" w:type="dxa"/>
          </w:tcPr>
          <w:p w14:paraId="094B7E2D" w14:textId="77777777" w:rsidR="006377FA" w:rsidRPr="00933708" w:rsidRDefault="006377FA" w:rsidP="004920A4">
            <w:pPr>
              <w:pStyle w:val="TableText"/>
              <w:keepLines/>
              <w:jc w:val="center"/>
              <w:rPr>
                <w:b/>
                <w:bCs w:val="0"/>
              </w:rPr>
            </w:pPr>
            <w:r w:rsidRPr="00933708">
              <w:rPr>
                <w:b/>
                <w:bCs w:val="0"/>
              </w:rPr>
              <w:t>7.7753</w:t>
            </w:r>
          </w:p>
        </w:tc>
        <w:tc>
          <w:tcPr>
            <w:tcW w:w="1276" w:type="dxa"/>
          </w:tcPr>
          <w:p w14:paraId="30343E7E" w14:textId="77777777" w:rsidR="006377FA" w:rsidRPr="00933708" w:rsidRDefault="006377FA" w:rsidP="004920A4">
            <w:pPr>
              <w:pStyle w:val="TableText"/>
              <w:keepLines/>
              <w:jc w:val="center"/>
              <w:rPr>
                <w:b/>
                <w:bCs w:val="0"/>
              </w:rPr>
            </w:pPr>
            <w:r w:rsidRPr="00933708">
              <w:rPr>
                <w:b/>
                <w:bCs w:val="0"/>
              </w:rPr>
              <w:t>0.7343</w:t>
            </w:r>
          </w:p>
        </w:tc>
        <w:tc>
          <w:tcPr>
            <w:tcW w:w="1367" w:type="dxa"/>
          </w:tcPr>
          <w:p w14:paraId="5F4E3FD0" w14:textId="77777777" w:rsidR="006377FA" w:rsidRPr="00933708" w:rsidRDefault="006377FA" w:rsidP="004920A4">
            <w:pPr>
              <w:pStyle w:val="TableText"/>
              <w:keepLines/>
              <w:jc w:val="center"/>
            </w:pPr>
            <w:r w:rsidRPr="00933708">
              <w:t>-</w:t>
            </w:r>
          </w:p>
        </w:tc>
      </w:tr>
      <w:tr w:rsidR="006377FA" w:rsidRPr="00933708" w14:paraId="7736A6CC" w14:textId="77777777" w:rsidTr="00794EFC">
        <w:trPr>
          <w:trHeight w:val="229"/>
        </w:trPr>
        <w:tc>
          <w:tcPr>
            <w:tcW w:w="9016" w:type="dxa"/>
            <w:gridSpan w:val="5"/>
            <w:vAlign w:val="center"/>
          </w:tcPr>
          <w:p w14:paraId="1F400CC5" w14:textId="77777777" w:rsidR="006377FA" w:rsidRPr="00933708" w:rsidRDefault="006377FA" w:rsidP="004920A4">
            <w:pPr>
              <w:pStyle w:val="TableText"/>
              <w:keepLines/>
              <w:rPr>
                <w:b/>
                <w:bCs w:val="0"/>
              </w:rPr>
            </w:pPr>
            <w:r w:rsidRPr="00933708">
              <w:rPr>
                <w:b/>
                <w:bCs w:val="0"/>
              </w:rPr>
              <w:t>Health state QALYs (discounted)</w:t>
            </w:r>
          </w:p>
        </w:tc>
      </w:tr>
      <w:tr w:rsidR="006377FA" w:rsidRPr="00933708" w14:paraId="54CE424B" w14:textId="77777777" w:rsidTr="00794EFC">
        <w:trPr>
          <w:trHeight w:val="230"/>
        </w:trPr>
        <w:tc>
          <w:tcPr>
            <w:tcW w:w="3396" w:type="dxa"/>
            <w:vAlign w:val="center"/>
          </w:tcPr>
          <w:p w14:paraId="06A9DA06" w14:textId="77777777" w:rsidR="006377FA" w:rsidRPr="00933708" w:rsidRDefault="006377FA" w:rsidP="004920A4">
            <w:pPr>
              <w:pStyle w:val="TableText"/>
              <w:keepLines/>
            </w:pPr>
            <w:r w:rsidRPr="00933708">
              <w:t>QALYs by KDIGO health states</w:t>
            </w:r>
          </w:p>
        </w:tc>
        <w:tc>
          <w:tcPr>
            <w:tcW w:w="1560" w:type="dxa"/>
            <w:vAlign w:val="bottom"/>
          </w:tcPr>
          <w:p w14:paraId="3D1DB9AC" w14:textId="77777777" w:rsidR="006377FA" w:rsidRPr="00933708" w:rsidRDefault="006377FA" w:rsidP="004920A4">
            <w:pPr>
              <w:pStyle w:val="TableText"/>
              <w:keepLines/>
              <w:jc w:val="center"/>
              <w:rPr>
                <w:szCs w:val="20"/>
              </w:rPr>
            </w:pPr>
            <w:r w:rsidRPr="00933708">
              <w:rPr>
                <w:szCs w:val="20"/>
              </w:rPr>
              <w:t>7.0931</w:t>
            </w:r>
          </w:p>
        </w:tc>
        <w:tc>
          <w:tcPr>
            <w:tcW w:w="1417" w:type="dxa"/>
            <w:vAlign w:val="bottom"/>
          </w:tcPr>
          <w:p w14:paraId="3868DCBE" w14:textId="77777777" w:rsidR="006377FA" w:rsidRPr="00933708" w:rsidRDefault="006377FA" w:rsidP="004920A4">
            <w:pPr>
              <w:pStyle w:val="TableText"/>
              <w:keepLines/>
              <w:jc w:val="center"/>
              <w:rPr>
                <w:szCs w:val="20"/>
              </w:rPr>
            </w:pPr>
            <w:r w:rsidRPr="00933708">
              <w:rPr>
                <w:szCs w:val="20"/>
              </w:rPr>
              <w:t>6.4054</w:t>
            </w:r>
          </w:p>
        </w:tc>
        <w:tc>
          <w:tcPr>
            <w:tcW w:w="1276" w:type="dxa"/>
            <w:vAlign w:val="bottom"/>
          </w:tcPr>
          <w:p w14:paraId="29E93606" w14:textId="77777777" w:rsidR="006377FA" w:rsidRPr="00933708" w:rsidRDefault="006377FA" w:rsidP="004920A4">
            <w:pPr>
              <w:pStyle w:val="TableText"/>
              <w:keepLines/>
              <w:jc w:val="center"/>
              <w:rPr>
                <w:szCs w:val="20"/>
              </w:rPr>
            </w:pPr>
            <w:r w:rsidRPr="00933708">
              <w:rPr>
                <w:szCs w:val="20"/>
              </w:rPr>
              <w:t>0.6877</w:t>
            </w:r>
          </w:p>
        </w:tc>
        <w:tc>
          <w:tcPr>
            <w:tcW w:w="1367" w:type="dxa"/>
            <w:vAlign w:val="bottom"/>
          </w:tcPr>
          <w:p w14:paraId="72CA4537" w14:textId="77777777" w:rsidR="006377FA" w:rsidRPr="00933708" w:rsidRDefault="006377FA" w:rsidP="004920A4">
            <w:pPr>
              <w:pStyle w:val="TableText"/>
              <w:keepLines/>
              <w:jc w:val="center"/>
              <w:rPr>
                <w:szCs w:val="20"/>
              </w:rPr>
            </w:pPr>
            <w:r w:rsidRPr="00933708">
              <w:rPr>
                <w:szCs w:val="20"/>
              </w:rPr>
              <w:t>89.79%</w:t>
            </w:r>
          </w:p>
        </w:tc>
      </w:tr>
      <w:tr w:rsidR="006377FA" w:rsidRPr="00933708" w14:paraId="422F1C2D" w14:textId="77777777" w:rsidTr="00794EFC">
        <w:trPr>
          <w:trHeight w:val="230"/>
        </w:trPr>
        <w:tc>
          <w:tcPr>
            <w:tcW w:w="3396" w:type="dxa"/>
            <w:vAlign w:val="center"/>
          </w:tcPr>
          <w:p w14:paraId="07D22612" w14:textId="77777777" w:rsidR="006377FA" w:rsidRPr="00933708" w:rsidRDefault="006377FA" w:rsidP="004920A4">
            <w:pPr>
              <w:pStyle w:val="TableText"/>
              <w:keepLines/>
              <w:rPr>
                <w:b/>
                <w:bCs w:val="0"/>
              </w:rPr>
            </w:pPr>
            <w:r w:rsidRPr="00933708">
              <w:rPr>
                <w:b/>
                <w:bCs w:val="0"/>
              </w:rPr>
              <w:t>QALY losses (discounted)</w:t>
            </w:r>
          </w:p>
        </w:tc>
        <w:tc>
          <w:tcPr>
            <w:tcW w:w="1560" w:type="dxa"/>
            <w:vAlign w:val="center"/>
          </w:tcPr>
          <w:p w14:paraId="240B2674" w14:textId="77777777" w:rsidR="006377FA" w:rsidRPr="00933708" w:rsidRDefault="006377FA" w:rsidP="004920A4">
            <w:pPr>
              <w:pStyle w:val="TableText"/>
              <w:keepLines/>
              <w:jc w:val="center"/>
            </w:pPr>
          </w:p>
        </w:tc>
        <w:tc>
          <w:tcPr>
            <w:tcW w:w="1417" w:type="dxa"/>
            <w:vAlign w:val="center"/>
          </w:tcPr>
          <w:p w14:paraId="5ACF0688" w14:textId="77777777" w:rsidR="006377FA" w:rsidRPr="00933708" w:rsidRDefault="006377FA" w:rsidP="004920A4">
            <w:pPr>
              <w:pStyle w:val="TableText"/>
              <w:keepLines/>
              <w:jc w:val="center"/>
            </w:pPr>
          </w:p>
        </w:tc>
        <w:tc>
          <w:tcPr>
            <w:tcW w:w="1276" w:type="dxa"/>
            <w:vAlign w:val="center"/>
          </w:tcPr>
          <w:p w14:paraId="533A79CE" w14:textId="77777777" w:rsidR="006377FA" w:rsidRPr="00933708" w:rsidRDefault="006377FA" w:rsidP="004920A4">
            <w:pPr>
              <w:pStyle w:val="TableText"/>
              <w:keepLines/>
              <w:jc w:val="center"/>
            </w:pPr>
          </w:p>
        </w:tc>
        <w:tc>
          <w:tcPr>
            <w:tcW w:w="1367" w:type="dxa"/>
          </w:tcPr>
          <w:p w14:paraId="055FAAFB" w14:textId="77777777" w:rsidR="006377FA" w:rsidRPr="00933708" w:rsidRDefault="006377FA" w:rsidP="004920A4">
            <w:pPr>
              <w:pStyle w:val="TableText"/>
              <w:keepLines/>
              <w:jc w:val="center"/>
            </w:pPr>
          </w:p>
        </w:tc>
      </w:tr>
      <w:tr w:rsidR="006377FA" w:rsidRPr="00933708" w14:paraId="3CF3E842" w14:textId="77777777" w:rsidTr="00794EFC">
        <w:trPr>
          <w:trHeight w:val="229"/>
        </w:trPr>
        <w:tc>
          <w:tcPr>
            <w:tcW w:w="3396" w:type="dxa"/>
            <w:vAlign w:val="center"/>
          </w:tcPr>
          <w:p w14:paraId="2458BEA5" w14:textId="77777777" w:rsidR="006377FA" w:rsidRPr="00933708" w:rsidRDefault="006377FA" w:rsidP="004920A4">
            <w:pPr>
              <w:pStyle w:val="TableText"/>
              <w:keepLines/>
            </w:pPr>
            <w:r w:rsidRPr="00933708">
              <w:t>Adverse events</w:t>
            </w:r>
          </w:p>
        </w:tc>
        <w:tc>
          <w:tcPr>
            <w:tcW w:w="1560" w:type="dxa"/>
            <w:vAlign w:val="center"/>
          </w:tcPr>
          <w:p w14:paraId="7B9680AD" w14:textId="77777777" w:rsidR="006377FA" w:rsidRPr="00933708" w:rsidRDefault="006377FA" w:rsidP="004920A4">
            <w:pPr>
              <w:pStyle w:val="TableText"/>
              <w:keepLines/>
              <w:jc w:val="center"/>
            </w:pPr>
            <w:r w:rsidRPr="00933708">
              <w:t>0</w:t>
            </w:r>
          </w:p>
        </w:tc>
        <w:tc>
          <w:tcPr>
            <w:tcW w:w="1417" w:type="dxa"/>
            <w:vAlign w:val="center"/>
          </w:tcPr>
          <w:p w14:paraId="57D36AA7" w14:textId="77777777" w:rsidR="006377FA" w:rsidRPr="00933708" w:rsidRDefault="006377FA" w:rsidP="004920A4">
            <w:pPr>
              <w:pStyle w:val="TableText"/>
              <w:keepLines/>
              <w:jc w:val="center"/>
            </w:pPr>
            <w:r w:rsidRPr="00933708">
              <w:t>0</w:t>
            </w:r>
          </w:p>
        </w:tc>
        <w:tc>
          <w:tcPr>
            <w:tcW w:w="1276" w:type="dxa"/>
            <w:vAlign w:val="center"/>
          </w:tcPr>
          <w:p w14:paraId="64AF619B" w14:textId="77777777" w:rsidR="006377FA" w:rsidRPr="00933708" w:rsidRDefault="006377FA" w:rsidP="004920A4">
            <w:pPr>
              <w:pStyle w:val="TableText"/>
              <w:keepLines/>
              <w:jc w:val="center"/>
            </w:pPr>
            <w:r w:rsidRPr="00933708">
              <w:t>0</w:t>
            </w:r>
          </w:p>
        </w:tc>
        <w:tc>
          <w:tcPr>
            <w:tcW w:w="1367" w:type="dxa"/>
          </w:tcPr>
          <w:p w14:paraId="37406873" w14:textId="77777777" w:rsidR="006377FA" w:rsidRPr="00933708" w:rsidRDefault="006377FA" w:rsidP="004920A4">
            <w:pPr>
              <w:pStyle w:val="TableText"/>
              <w:keepLines/>
              <w:jc w:val="center"/>
            </w:pPr>
            <w:r w:rsidRPr="00933708">
              <w:t>0%</w:t>
            </w:r>
          </w:p>
        </w:tc>
      </w:tr>
      <w:tr w:rsidR="006377FA" w:rsidRPr="00933708" w14:paraId="179EB28E" w14:textId="77777777" w:rsidTr="00794EFC">
        <w:trPr>
          <w:trHeight w:val="229"/>
        </w:trPr>
        <w:tc>
          <w:tcPr>
            <w:tcW w:w="3396" w:type="dxa"/>
            <w:vAlign w:val="center"/>
          </w:tcPr>
          <w:p w14:paraId="7421F5B4" w14:textId="77777777" w:rsidR="006377FA" w:rsidRPr="00933708" w:rsidRDefault="006377FA" w:rsidP="004920A4">
            <w:pPr>
              <w:pStyle w:val="TableText"/>
              <w:keepLines/>
            </w:pPr>
            <w:r w:rsidRPr="00933708">
              <w:t>Renal replacement therapy</w:t>
            </w:r>
          </w:p>
        </w:tc>
        <w:tc>
          <w:tcPr>
            <w:tcW w:w="1560" w:type="dxa"/>
            <w:vAlign w:val="center"/>
          </w:tcPr>
          <w:p w14:paraId="55DBF067" w14:textId="77777777" w:rsidR="006377FA" w:rsidRPr="00933708" w:rsidRDefault="006377FA" w:rsidP="004920A4">
            <w:pPr>
              <w:pStyle w:val="TableText"/>
              <w:keepLines/>
              <w:jc w:val="center"/>
            </w:pPr>
            <w:r w:rsidRPr="00933708">
              <w:rPr>
                <w:rFonts w:cs="Calibri"/>
                <w:color w:val="000000"/>
                <w:szCs w:val="20"/>
              </w:rPr>
              <w:t>-0.1413</w:t>
            </w:r>
          </w:p>
        </w:tc>
        <w:tc>
          <w:tcPr>
            <w:tcW w:w="1417" w:type="dxa"/>
            <w:vAlign w:val="center"/>
          </w:tcPr>
          <w:p w14:paraId="71A27C8D" w14:textId="77777777" w:rsidR="006377FA" w:rsidRPr="00933708" w:rsidRDefault="006377FA" w:rsidP="004920A4">
            <w:pPr>
              <w:pStyle w:val="TableText"/>
              <w:keepLines/>
              <w:jc w:val="center"/>
            </w:pPr>
            <w:r w:rsidRPr="00933708">
              <w:rPr>
                <w:rFonts w:cs="Calibri"/>
                <w:color w:val="000000"/>
                <w:szCs w:val="20"/>
              </w:rPr>
              <w:t>-0.2197</w:t>
            </w:r>
          </w:p>
        </w:tc>
        <w:tc>
          <w:tcPr>
            <w:tcW w:w="1276" w:type="dxa"/>
            <w:vAlign w:val="center"/>
          </w:tcPr>
          <w:p w14:paraId="019124F6" w14:textId="77777777" w:rsidR="006377FA" w:rsidRPr="00933708" w:rsidRDefault="006377FA" w:rsidP="004920A4">
            <w:pPr>
              <w:pStyle w:val="TableText"/>
              <w:keepLines/>
              <w:jc w:val="center"/>
            </w:pPr>
            <w:r w:rsidRPr="00933708">
              <w:rPr>
                <w:rFonts w:cs="Calibri"/>
                <w:color w:val="000000"/>
                <w:szCs w:val="20"/>
              </w:rPr>
              <w:t>0.0784</w:t>
            </w:r>
          </w:p>
        </w:tc>
        <w:tc>
          <w:tcPr>
            <w:tcW w:w="1367" w:type="dxa"/>
            <w:vAlign w:val="center"/>
          </w:tcPr>
          <w:p w14:paraId="3843AF09" w14:textId="77777777" w:rsidR="006377FA" w:rsidRPr="00933708" w:rsidRDefault="006377FA" w:rsidP="004920A4">
            <w:pPr>
              <w:pStyle w:val="TableText"/>
              <w:keepLines/>
              <w:jc w:val="center"/>
            </w:pPr>
            <w:r w:rsidRPr="00933708">
              <w:rPr>
                <w:rFonts w:cs="Calibri"/>
                <w:color w:val="000000"/>
                <w:szCs w:val="20"/>
              </w:rPr>
              <w:t>10.24%</w:t>
            </w:r>
          </w:p>
        </w:tc>
      </w:tr>
      <w:tr w:rsidR="006377FA" w:rsidRPr="00933708" w14:paraId="00D0154D" w14:textId="77777777" w:rsidTr="00794EFC">
        <w:trPr>
          <w:trHeight w:val="229"/>
        </w:trPr>
        <w:tc>
          <w:tcPr>
            <w:tcW w:w="3396" w:type="dxa"/>
            <w:vAlign w:val="center"/>
          </w:tcPr>
          <w:p w14:paraId="3E34BF10" w14:textId="77777777" w:rsidR="006377FA" w:rsidRPr="00933708" w:rsidRDefault="006377FA" w:rsidP="004920A4">
            <w:pPr>
              <w:pStyle w:val="TableText"/>
              <w:keepLines/>
            </w:pPr>
            <w:r w:rsidRPr="00933708">
              <w:t>CV disease</w:t>
            </w:r>
          </w:p>
        </w:tc>
        <w:tc>
          <w:tcPr>
            <w:tcW w:w="1560" w:type="dxa"/>
            <w:vAlign w:val="center"/>
          </w:tcPr>
          <w:p w14:paraId="08929B9D" w14:textId="77777777" w:rsidR="006377FA" w:rsidRPr="00933708" w:rsidRDefault="006377FA" w:rsidP="004920A4">
            <w:pPr>
              <w:pStyle w:val="TableText"/>
              <w:keepLines/>
              <w:jc w:val="center"/>
            </w:pPr>
            <w:r w:rsidRPr="00933708">
              <w:rPr>
                <w:rFonts w:cs="Calibri"/>
                <w:color w:val="000000"/>
                <w:szCs w:val="20"/>
              </w:rPr>
              <w:t>-0.0587</w:t>
            </w:r>
          </w:p>
        </w:tc>
        <w:tc>
          <w:tcPr>
            <w:tcW w:w="1417" w:type="dxa"/>
            <w:vAlign w:val="center"/>
          </w:tcPr>
          <w:p w14:paraId="7B687E7E" w14:textId="77777777" w:rsidR="006377FA" w:rsidRPr="00933708" w:rsidRDefault="006377FA" w:rsidP="004920A4">
            <w:pPr>
              <w:pStyle w:val="TableText"/>
              <w:keepLines/>
              <w:jc w:val="center"/>
            </w:pPr>
            <w:r w:rsidRPr="00933708">
              <w:rPr>
                <w:rFonts w:cs="Calibri"/>
                <w:color w:val="000000"/>
                <w:szCs w:val="20"/>
              </w:rPr>
              <w:t>-0.0580</w:t>
            </w:r>
          </w:p>
        </w:tc>
        <w:tc>
          <w:tcPr>
            <w:tcW w:w="1276" w:type="dxa"/>
            <w:vAlign w:val="center"/>
          </w:tcPr>
          <w:p w14:paraId="72C9AB45" w14:textId="77777777" w:rsidR="006377FA" w:rsidRPr="00933708" w:rsidRDefault="006377FA" w:rsidP="004920A4">
            <w:pPr>
              <w:pStyle w:val="TableText"/>
              <w:keepLines/>
              <w:jc w:val="center"/>
            </w:pPr>
            <w:r w:rsidRPr="00933708">
              <w:rPr>
                <w:rFonts w:cs="Calibri"/>
                <w:color w:val="000000"/>
                <w:szCs w:val="20"/>
              </w:rPr>
              <w:t>-0.0007</w:t>
            </w:r>
          </w:p>
        </w:tc>
        <w:tc>
          <w:tcPr>
            <w:tcW w:w="1367" w:type="dxa"/>
            <w:vAlign w:val="center"/>
          </w:tcPr>
          <w:p w14:paraId="3DBC6DE1" w14:textId="77777777" w:rsidR="006377FA" w:rsidRPr="00933708" w:rsidRDefault="006377FA" w:rsidP="004920A4">
            <w:pPr>
              <w:pStyle w:val="TableText"/>
              <w:keepLines/>
              <w:jc w:val="center"/>
            </w:pPr>
            <w:r w:rsidRPr="00933708">
              <w:rPr>
                <w:rFonts w:cs="Calibri"/>
                <w:color w:val="000000"/>
                <w:szCs w:val="20"/>
              </w:rPr>
              <w:t>-0.09%</w:t>
            </w:r>
          </w:p>
        </w:tc>
      </w:tr>
      <w:tr w:rsidR="006377FA" w:rsidRPr="00933708" w14:paraId="4D809DBF" w14:textId="77777777" w:rsidTr="00794EFC">
        <w:trPr>
          <w:trHeight w:val="229"/>
        </w:trPr>
        <w:tc>
          <w:tcPr>
            <w:tcW w:w="3396" w:type="dxa"/>
            <w:vAlign w:val="center"/>
          </w:tcPr>
          <w:p w14:paraId="49CDE62A" w14:textId="77777777" w:rsidR="006377FA" w:rsidRPr="00933708" w:rsidRDefault="006377FA" w:rsidP="004920A4">
            <w:pPr>
              <w:pStyle w:val="TableText"/>
              <w:keepLines/>
            </w:pPr>
            <w:r w:rsidRPr="00933708">
              <w:t>Acute kidney injury</w:t>
            </w:r>
          </w:p>
        </w:tc>
        <w:tc>
          <w:tcPr>
            <w:tcW w:w="1560" w:type="dxa"/>
            <w:vAlign w:val="center"/>
          </w:tcPr>
          <w:p w14:paraId="7B03C620" w14:textId="77777777" w:rsidR="006377FA" w:rsidRPr="00933708" w:rsidRDefault="006377FA" w:rsidP="004920A4">
            <w:pPr>
              <w:pStyle w:val="TableText"/>
              <w:keepLines/>
              <w:jc w:val="center"/>
            </w:pPr>
            <w:r w:rsidRPr="00933708">
              <w:rPr>
                <w:rFonts w:cs="Calibri"/>
                <w:color w:val="000000"/>
                <w:szCs w:val="20"/>
              </w:rPr>
              <w:t>-0.0153</w:t>
            </w:r>
          </w:p>
        </w:tc>
        <w:tc>
          <w:tcPr>
            <w:tcW w:w="1417" w:type="dxa"/>
            <w:vAlign w:val="center"/>
          </w:tcPr>
          <w:p w14:paraId="5AD4C25E" w14:textId="77777777" w:rsidR="006377FA" w:rsidRPr="00933708" w:rsidRDefault="006377FA" w:rsidP="004920A4">
            <w:pPr>
              <w:pStyle w:val="TableText"/>
              <w:keepLines/>
              <w:jc w:val="center"/>
            </w:pPr>
            <w:r w:rsidRPr="00933708">
              <w:rPr>
                <w:rFonts w:cs="Calibri"/>
                <w:color w:val="000000"/>
                <w:szCs w:val="20"/>
              </w:rPr>
              <w:t>-0.0157</w:t>
            </w:r>
          </w:p>
        </w:tc>
        <w:tc>
          <w:tcPr>
            <w:tcW w:w="1276" w:type="dxa"/>
            <w:vAlign w:val="center"/>
          </w:tcPr>
          <w:p w14:paraId="2F317D05" w14:textId="77777777" w:rsidR="006377FA" w:rsidRPr="00933708" w:rsidRDefault="006377FA" w:rsidP="004920A4">
            <w:pPr>
              <w:pStyle w:val="TableText"/>
              <w:keepLines/>
              <w:jc w:val="center"/>
            </w:pPr>
            <w:r w:rsidRPr="00933708">
              <w:rPr>
                <w:rFonts w:cs="Calibri"/>
                <w:color w:val="000000"/>
                <w:szCs w:val="20"/>
              </w:rPr>
              <w:t>0.0005</w:t>
            </w:r>
          </w:p>
        </w:tc>
        <w:tc>
          <w:tcPr>
            <w:tcW w:w="1367" w:type="dxa"/>
            <w:vAlign w:val="center"/>
          </w:tcPr>
          <w:p w14:paraId="1895FFBC" w14:textId="77777777" w:rsidR="006377FA" w:rsidRPr="00933708" w:rsidRDefault="006377FA" w:rsidP="004920A4">
            <w:pPr>
              <w:pStyle w:val="TableText"/>
              <w:keepLines/>
              <w:jc w:val="center"/>
            </w:pPr>
            <w:r w:rsidRPr="00933708">
              <w:rPr>
                <w:rFonts w:cs="Calibri"/>
                <w:color w:val="000000"/>
                <w:szCs w:val="20"/>
              </w:rPr>
              <w:t>0.06%</w:t>
            </w:r>
          </w:p>
        </w:tc>
      </w:tr>
      <w:tr w:rsidR="006377FA" w:rsidRPr="00933708" w14:paraId="75AFC50E" w14:textId="77777777" w:rsidTr="00794EFC">
        <w:trPr>
          <w:trHeight w:val="229"/>
        </w:trPr>
        <w:tc>
          <w:tcPr>
            <w:tcW w:w="3396" w:type="dxa"/>
            <w:vAlign w:val="center"/>
          </w:tcPr>
          <w:p w14:paraId="5A30890B" w14:textId="77777777" w:rsidR="006377FA" w:rsidRPr="00933708" w:rsidRDefault="006377FA" w:rsidP="004920A4">
            <w:pPr>
              <w:pStyle w:val="TableText"/>
              <w:keepLines/>
              <w:rPr>
                <w:b/>
                <w:bCs w:val="0"/>
              </w:rPr>
            </w:pPr>
            <w:r w:rsidRPr="00933708">
              <w:rPr>
                <w:b/>
                <w:bCs w:val="0"/>
              </w:rPr>
              <w:t>Total QALYs (discounted)</w:t>
            </w:r>
          </w:p>
        </w:tc>
        <w:tc>
          <w:tcPr>
            <w:tcW w:w="1560" w:type="dxa"/>
            <w:vAlign w:val="center"/>
          </w:tcPr>
          <w:p w14:paraId="130650FA" w14:textId="67E51287" w:rsidR="006377FA" w:rsidRPr="00933708" w:rsidRDefault="006377FA" w:rsidP="004920A4">
            <w:pPr>
              <w:pStyle w:val="TableText"/>
              <w:keepLines/>
              <w:jc w:val="center"/>
              <w:rPr>
                <w:b/>
                <w:bCs w:val="0"/>
              </w:rPr>
            </w:pPr>
            <w:r w:rsidRPr="00933708">
              <w:rPr>
                <w:b/>
                <w:bCs w:val="0"/>
              </w:rPr>
              <w:t>6.8779</w:t>
            </w:r>
            <w:r w:rsidR="0029767E">
              <w:rPr>
                <w:b/>
                <w:bCs w:val="0"/>
              </w:rPr>
              <w:t>*</w:t>
            </w:r>
          </w:p>
        </w:tc>
        <w:tc>
          <w:tcPr>
            <w:tcW w:w="1417" w:type="dxa"/>
            <w:vAlign w:val="center"/>
          </w:tcPr>
          <w:p w14:paraId="745D4276" w14:textId="298DDA4B" w:rsidR="006377FA" w:rsidRPr="00933708" w:rsidRDefault="006377FA" w:rsidP="004920A4">
            <w:pPr>
              <w:pStyle w:val="TableText"/>
              <w:keepLines/>
              <w:jc w:val="center"/>
              <w:rPr>
                <w:b/>
                <w:bCs w:val="0"/>
              </w:rPr>
            </w:pPr>
            <w:r w:rsidRPr="00933708">
              <w:rPr>
                <w:b/>
                <w:bCs w:val="0"/>
              </w:rPr>
              <w:t>6.1120</w:t>
            </w:r>
            <w:r w:rsidR="0029767E">
              <w:rPr>
                <w:b/>
                <w:bCs w:val="0"/>
              </w:rPr>
              <w:t>*</w:t>
            </w:r>
          </w:p>
        </w:tc>
        <w:tc>
          <w:tcPr>
            <w:tcW w:w="1276" w:type="dxa"/>
            <w:vAlign w:val="center"/>
          </w:tcPr>
          <w:p w14:paraId="38CB992F" w14:textId="2EA10178" w:rsidR="006377FA" w:rsidRPr="00933708" w:rsidRDefault="006377FA" w:rsidP="004920A4">
            <w:pPr>
              <w:pStyle w:val="TableText"/>
              <w:keepLines/>
              <w:jc w:val="center"/>
              <w:rPr>
                <w:b/>
                <w:bCs w:val="0"/>
              </w:rPr>
            </w:pPr>
            <w:r w:rsidRPr="00933708">
              <w:rPr>
                <w:b/>
                <w:bCs w:val="0"/>
              </w:rPr>
              <w:t>0.7659</w:t>
            </w:r>
            <w:r w:rsidR="0029767E">
              <w:rPr>
                <w:b/>
                <w:bCs w:val="0"/>
              </w:rPr>
              <w:t>*</w:t>
            </w:r>
          </w:p>
        </w:tc>
        <w:tc>
          <w:tcPr>
            <w:tcW w:w="1367" w:type="dxa"/>
          </w:tcPr>
          <w:p w14:paraId="75C084B3" w14:textId="65771600" w:rsidR="006377FA" w:rsidRPr="00933708" w:rsidRDefault="006377FA" w:rsidP="004920A4">
            <w:pPr>
              <w:pStyle w:val="TableText"/>
              <w:keepLines/>
              <w:jc w:val="center"/>
              <w:rPr>
                <w:b/>
                <w:bCs w:val="0"/>
              </w:rPr>
            </w:pPr>
            <w:r w:rsidRPr="00933708">
              <w:rPr>
                <w:b/>
                <w:bCs w:val="0"/>
              </w:rPr>
              <w:t>100%</w:t>
            </w:r>
            <w:r w:rsidR="0029767E">
              <w:rPr>
                <w:b/>
                <w:bCs w:val="0"/>
              </w:rPr>
              <w:t>*</w:t>
            </w:r>
          </w:p>
        </w:tc>
      </w:tr>
    </w:tbl>
    <w:p w14:paraId="73279801" w14:textId="77777777" w:rsidR="006377FA" w:rsidRPr="00933708" w:rsidRDefault="006377FA" w:rsidP="006377FA">
      <w:pPr>
        <w:pStyle w:val="COMTablefooter"/>
      </w:pPr>
      <w:r w:rsidRPr="00933708">
        <w:t>Source: Table 3.59, p332 of the submission; ‘Att_12_empagliflozin (Jardiance) CKD CEA’ model spreadsheet provided with the submission</w:t>
      </w:r>
    </w:p>
    <w:p w14:paraId="50FF4A2F" w14:textId="5F129943" w:rsidR="006377FA" w:rsidRPr="00933708" w:rsidRDefault="006377FA" w:rsidP="006377FA">
      <w:pPr>
        <w:pStyle w:val="COMTablefooter"/>
      </w:pPr>
      <w:r w:rsidRPr="00933708">
        <w:t>Abbreviations: eGFR, estimated glomerular filtration rate; ESKD, end stage kidney disease; QALY, quality adjusted life year</w:t>
      </w:r>
      <w:r w:rsidR="004A154B" w:rsidRPr="00933708">
        <w:t xml:space="preserve">; </w:t>
      </w:r>
      <w:r w:rsidRPr="00933708">
        <w:t>SC, standard care; UACR, urine albumin-creatinine ratio</w:t>
      </w:r>
    </w:p>
    <w:p w14:paraId="6CCDD599" w14:textId="77777777" w:rsidR="006377FA" w:rsidRPr="00933708" w:rsidRDefault="006377FA" w:rsidP="006377FA">
      <w:pPr>
        <w:pStyle w:val="COMTablefooter"/>
      </w:pPr>
      <w:r w:rsidRPr="00933708">
        <w:rPr>
          <w:vertAlign w:val="superscript"/>
        </w:rPr>
        <w:t xml:space="preserve">a </w:t>
      </w:r>
      <w:r w:rsidRPr="00933708">
        <w:t>combines UACR categories</w:t>
      </w:r>
    </w:p>
    <w:p w14:paraId="2F883755" w14:textId="77777777" w:rsidR="006377FA" w:rsidRPr="00933708" w:rsidRDefault="006377FA" w:rsidP="006377FA">
      <w:pPr>
        <w:pStyle w:val="COMTablefooter"/>
      </w:pPr>
      <w:r w:rsidRPr="00933708">
        <w:rPr>
          <w:vertAlign w:val="superscript"/>
        </w:rPr>
        <w:t xml:space="preserve">b </w:t>
      </w:r>
      <w:r w:rsidRPr="00933708">
        <w:t>combines eGFR categories</w:t>
      </w:r>
    </w:p>
    <w:p w14:paraId="17BF8F53" w14:textId="77777777" w:rsidR="006377FA" w:rsidRPr="00AD44F3" w:rsidRDefault="006377FA" w:rsidP="006377FA">
      <w:pPr>
        <w:pStyle w:val="COMTablefooter"/>
        <w:rPr>
          <w:sz w:val="16"/>
          <w:szCs w:val="20"/>
        </w:rPr>
      </w:pPr>
      <w:r w:rsidRPr="00933708">
        <w:t xml:space="preserve">Note: Time in health state and health state QALYs are summarised by eGFR category and UACR category (rather than the 12 included </w:t>
      </w:r>
      <w:r w:rsidRPr="00AD44F3">
        <w:rPr>
          <w:sz w:val="16"/>
          <w:szCs w:val="20"/>
        </w:rPr>
        <w:t>KDIGO categories) and are not mutually exclusive</w:t>
      </w:r>
    </w:p>
    <w:p w14:paraId="009954E6" w14:textId="6EA33D75" w:rsidR="0029767E" w:rsidRPr="00AD44F3" w:rsidRDefault="0029767E" w:rsidP="0029767E">
      <w:pPr>
        <w:pStyle w:val="COMTablefooter"/>
        <w:rPr>
          <w:i/>
          <w:iCs/>
        </w:rPr>
      </w:pPr>
      <w:r>
        <w:t xml:space="preserve">* </w:t>
      </w:r>
      <w:r w:rsidRPr="00AD44F3">
        <w:rPr>
          <w:i/>
          <w:iCs/>
        </w:rPr>
        <w:t>Note that the results presented in Table 13 are derived from post-hoc analyses conducted by the applicant. These analyses were not part of the pre-specified statistical plan for EMPA-KIDNEY. Interpretation of the results and their application should therefore be limited to seeking to understand the basis for the PBAC outcome and should not be used for any other purpose.</w:t>
      </w:r>
    </w:p>
    <w:p w14:paraId="33031D0E" w14:textId="57C54E05" w:rsidR="00AD22B4" w:rsidRPr="00933708" w:rsidRDefault="00AD22B4" w:rsidP="007C4C88">
      <w:pPr>
        <w:pStyle w:val="ListParagraph"/>
        <w:numPr>
          <w:ilvl w:val="1"/>
          <w:numId w:val="1"/>
        </w:numPr>
        <w:ind w:left="720" w:hanging="720"/>
      </w:pPr>
      <w:r w:rsidRPr="00933708">
        <w:t>The difference in health outcomes between treatment arms was primar</w:t>
      </w:r>
      <w:r w:rsidR="00DB6F97" w:rsidRPr="00933708">
        <w:t>ily</w:t>
      </w:r>
      <w:r w:rsidRPr="00933708">
        <w:t xml:space="preserve"> driven by increased survival in patients treated with empagliflozin plus standard care compared to standard care alone</w:t>
      </w:r>
      <w:r w:rsidR="00BE43B7" w:rsidRPr="00933708">
        <w:t xml:space="preserve"> </w:t>
      </w:r>
      <w:r w:rsidR="00321649" w:rsidRPr="00933708">
        <w:t>(</w:t>
      </w:r>
      <w:r w:rsidR="00BE43B7" w:rsidRPr="00933708">
        <w:t>due to a reduction in renal death from ESKD</w:t>
      </w:r>
      <w:r w:rsidR="00321649" w:rsidRPr="00933708">
        <w:t>)</w:t>
      </w:r>
      <w:r w:rsidRPr="00933708">
        <w:t xml:space="preserve">, with patients in the empagliflozin plus standard care arm spending less time in end stage kidney disease (eGFR &lt;15 mL/min/1.73 m2) </w:t>
      </w:r>
      <w:r w:rsidR="004F0DF9" w:rsidRPr="00933708">
        <w:t xml:space="preserve">and less time with very severe albuminuria </w:t>
      </w:r>
      <w:r w:rsidRPr="00933708">
        <w:t>(UACR &gt;300 mg/g).</w:t>
      </w:r>
    </w:p>
    <w:p w14:paraId="7C9B060D" w14:textId="13C3B324" w:rsidR="00037B2A" w:rsidRPr="00933708" w:rsidRDefault="00257C24" w:rsidP="007C4C88">
      <w:pPr>
        <w:pStyle w:val="ListParagraph"/>
        <w:numPr>
          <w:ilvl w:val="1"/>
          <w:numId w:val="1"/>
        </w:numPr>
        <w:ind w:left="720" w:hanging="720"/>
        <w:rPr>
          <w:iCs/>
        </w:rPr>
      </w:pPr>
      <w:r w:rsidRPr="00933708">
        <w:t>A comparison of modelled estimates of initiation of renal replacement therapy and all-cause mortality with estimates from the EMPA-KIDNEY trial indicates that modelled estimates may</w:t>
      </w:r>
      <w:r w:rsidRPr="00251484">
        <w:t xml:space="preserve"> have poor validity. In the model, n</w:t>
      </w:r>
      <w:r w:rsidRPr="00933708">
        <w:t xml:space="preserve">o patients initiate renal replacement </w:t>
      </w:r>
      <w:r w:rsidRPr="00933708">
        <w:lastRenderedPageBreak/>
        <w:t>therapy in the first 2 years, compared with 3.1% of empagliflozin patients and 4.8% of placebo patients in the EMPA-KIDNEY trial. The model generates higher risks of all-cause death at 2 years (6.5% in the empagliflozin arm; 6.9% in the placebo arm) compared to the EMPA-KIDNEY trial (4.3% and 4.9% respectively).</w:t>
      </w:r>
      <w:r w:rsidR="00037B2A" w:rsidRPr="00933708">
        <w:t xml:space="preserve"> </w:t>
      </w:r>
      <w:r w:rsidR="00037B2A" w:rsidRPr="00933708">
        <w:rPr>
          <w:iCs/>
        </w:rPr>
        <w:t xml:space="preserve">The </w:t>
      </w:r>
      <w:r w:rsidR="00766222" w:rsidRPr="00766222">
        <w:rPr>
          <w:iCs/>
        </w:rPr>
        <w:t xml:space="preserve">Pre-Sub-Committee Response </w:t>
      </w:r>
      <w:r w:rsidR="00037B2A" w:rsidRPr="00251484">
        <w:rPr>
          <w:iCs/>
        </w:rPr>
        <w:t>presented the results of an external validation exercise comparing survival of the Australian cohort of the Study of Heart And Renal Protection (SHARP) extended review with modelled survival (see Figure 2 of the Response) and claimed this demonstrates that the model can be considered externally valid. The ESC considered that uncertainty remained regarding the potential overestimation of survival gains and differences in time to RRT compared to the EMPA-KIDNEY trial, with questionable results in the eGFR progression in the model traces</w:t>
      </w:r>
      <w:r w:rsidR="001155FC" w:rsidRPr="00251484">
        <w:rPr>
          <w:iCs/>
        </w:rPr>
        <w:t xml:space="preserve"> (see </w:t>
      </w:r>
      <w:bookmarkStart w:id="59" w:name="_Hlk148445572"/>
      <w:r w:rsidR="001155FC" w:rsidRPr="00933708">
        <w:rPr>
          <w:iCs/>
        </w:rPr>
        <w:t xml:space="preserve">Figure </w:t>
      </w:r>
      <w:r w:rsidR="001155FC" w:rsidRPr="00933708">
        <w:rPr>
          <w:iCs/>
        </w:rPr>
        <w:fldChar w:fldCharType="begin"/>
      </w:r>
      <w:r w:rsidR="001155FC" w:rsidRPr="00933708">
        <w:rPr>
          <w:iCs/>
        </w:rPr>
        <w:instrText xml:space="preserve"> SEQ Figure \* ARABIC </w:instrText>
      </w:r>
      <w:r w:rsidR="001155FC" w:rsidRPr="00933708">
        <w:rPr>
          <w:iCs/>
        </w:rPr>
        <w:fldChar w:fldCharType="separate"/>
      </w:r>
      <w:r w:rsidR="00D5135E">
        <w:rPr>
          <w:iCs/>
          <w:noProof/>
        </w:rPr>
        <w:t>4</w:t>
      </w:r>
      <w:r w:rsidR="001155FC" w:rsidRPr="00933708">
        <w:rPr>
          <w:iCs/>
        </w:rPr>
        <w:fldChar w:fldCharType="end"/>
      </w:r>
      <w:bookmarkEnd w:id="59"/>
      <w:r w:rsidR="001155FC" w:rsidRPr="00933708">
        <w:rPr>
          <w:iCs/>
        </w:rPr>
        <w:t>).</w:t>
      </w:r>
    </w:p>
    <w:p w14:paraId="62BC2EF6" w14:textId="43584A6D" w:rsidR="001155FC" w:rsidRPr="00933708" w:rsidRDefault="00581375" w:rsidP="001155FC">
      <w:pPr>
        <w:pStyle w:val="COMTableheadingrow"/>
        <w:rPr>
          <w:bCs/>
          <w:iCs/>
          <w:lang w:val="en-AU"/>
        </w:rPr>
      </w:pPr>
      <w:r w:rsidRPr="00933708">
        <w:rPr>
          <w:bCs/>
          <w:iCs/>
          <w:lang w:val="en-AU"/>
        </w:rPr>
        <w:t xml:space="preserve">Figure </w:t>
      </w:r>
      <w:r w:rsidRPr="00933708">
        <w:rPr>
          <w:bCs/>
          <w:iCs/>
          <w:lang w:val="en-AU"/>
        </w:rPr>
        <w:fldChar w:fldCharType="begin"/>
      </w:r>
      <w:r w:rsidRPr="00933708">
        <w:rPr>
          <w:bCs/>
          <w:iCs/>
          <w:lang w:val="en-AU"/>
        </w:rPr>
        <w:instrText xml:space="preserve"> SEQ Figure \* ARABIC </w:instrText>
      </w:r>
      <w:r w:rsidRPr="00933708">
        <w:rPr>
          <w:bCs/>
          <w:iCs/>
          <w:lang w:val="en-AU"/>
        </w:rPr>
        <w:fldChar w:fldCharType="separate"/>
      </w:r>
      <w:r w:rsidR="00D5135E">
        <w:rPr>
          <w:bCs/>
          <w:iCs/>
          <w:noProof/>
          <w:lang w:val="en-AU"/>
        </w:rPr>
        <w:t>5</w:t>
      </w:r>
      <w:r w:rsidRPr="00933708">
        <w:rPr>
          <w:bCs/>
          <w:iCs/>
          <w:lang w:val="en-AU"/>
        </w:rPr>
        <w:fldChar w:fldCharType="end"/>
      </w:r>
      <w:r w:rsidR="001155FC" w:rsidRPr="00933708">
        <w:rPr>
          <w:bCs/>
          <w:iCs/>
          <w:lang w:val="en-AU"/>
        </w:rPr>
        <w:t>: Model traces of health state occupancy over time by treatment arm</w:t>
      </w:r>
    </w:p>
    <w:p w14:paraId="6862761F" w14:textId="77777777" w:rsidR="001155FC" w:rsidRPr="00933708" w:rsidRDefault="001155FC" w:rsidP="001155FC">
      <w:pPr>
        <w:rPr>
          <w:color w:val="3366FF"/>
        </w:rPr>
      </w:pPr>
      <w:r w:rsidRPr="00251484">
        <w:rPr>
          <w:noProof/>
          <w:color w:val="3366FF"/>
        </w:rPr>
        <w:drawing>
          <wp:inline distT="0" distB="0" distL="0" distR="0" wp14:anchorId="4C930DC4" wp14:editId="4083E6E1">
            <wp:extent cx="5688330" cy="3481070"/>
            <wp:effectExtent l="0" t="0" r="762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8330" cy="3481070"/>
                    </a:xfrm>
                    <a:prstGeom prst="rect">
                      <a:avLst/>
                    </a:prstGeom>
                    <a:noFill/>
                  </pic:spPr>
                </pic:pic>
              </a:graphicData>
            </a:graphic>
          </wp:inline>
        </w:drawing>
      </w:r>
    </w:p>
    <w:p w14:paraId="245A6C8A" w14:textId="77777777" w:rsidR="001155FC" w:rsidRPr="00933708" w:rsidRDefault="001155FC" w:rsidP="001155FC">
      <w:pPr>
        <w:pStyle w:val="COMTablefooter"/>
        <w:rPr>
          <w:iCs/>
        </w:rPr>
      </w:pPr>
      <w:r w:rsidRPr="00933708">
        <w:rPr>
          <w:iCs/>
        </w:rPr>
        <w:t>Source: Constructed during the evaluation using Att_12_empagliflozin (Jardiance) CKD CEA model spreadsheet provided with the submission</w:t>
      </w:r>
    </w:p>
    <w:p w14:paraId="3C02A57A" w14:textId="77777777" w:rsidR="001155FC" w:rsidRPr="00933708" w:rsidRDefault="001155FC" w:rsidP="001155FC">
      <w:pPr>
        <w:pStyle w:val="COMTablefooter"/>
        <w:rPr>
          <w:iCs/>
        </w:rPr>
      </w:pPr>
      <w:r w:rsidRPr="00933708">
        <w:rPr>
          <w:iCs/>
        </w:rPr>
        <w:t>Abbreviations: CC, conservative care; CKD, chronic kidney disease stage; EMPA, empagliflozin plus standard care; ESKD, end stage kidney disease; PBO, placebo plus standard care; RRT, renal replacement therapy</w:t>
      </w:r>
    </w:p>
    <w:p w14:paraId="6805BEFB" w14:textId="4024DFBA" w:rsidR="00B44C25" w:rsidRPr="00933708" w:rsidRDefault="00982CC4" w:rsidP="007C4C88">
      <w:pPr>
        <w:pStyle w:val="ListParagraph"/>
        <w:numPr>
          <w:ilvl w:val="1"/>
          <w:numId w:val="1"/>
        </w:numPr>
        <w:ind w:left="720" w:hanging="720"/>
      </w:pPr>
      <w:r w:rsidRPr="00933708">
        <w:t xml:space="preserve">A comparison of modelled outcomes by </w:t>
      </w:r>
      <w:r w:rsidR="004C6D8C" w:rsidRPr="00933708">
        <w:t xml:space="preserve">baseline </w:t>
      </w:r>
      <w:r w:rsidRPr="00933708">
        <w:t xml:space="preserve">KDIGO category over 5 years with results from the Chronic Renal Insufficiency Cohort study (Grams 2021) indicated that </w:t>
      </w:r>
      <w:r w:rsidR="00B44C25" w:rsidRPr="00933708">
        <w:t xml:space="preserve">the </w:t>
      </w:r>
      <w:r w:rsidR="00557200" w:rsidRPr="00933708">
        <w:t xml:space="preserve">modelled </w:t>
      </w:r>
      <w:r w:rsidR="007A4CE4" w:rsidRPr="00933708">
        <w:t>estimates for chronic kidney disease progression may have poor validity</w:t>
      </w:r>
      <w:r w:rsidR="00B44C25" w:rsidRPr="00933708">
        <w:t>. The model estimates that no patients in KDIGO categories G2A1 to G4A1 experience ESKD over 5 years, compared with estimates ranging from 0% to 42% of patients from Grams 2021; and the modelled cumulative incidence of ESKD for KDIGO classes G4A2 and G4A3 (56.7% and 89.2%, respectively) exceed the upper 95% confidence limit from Grams 2021 (37% and 74%, respectively).</w:t>
      </w:r>
    </w:p>
    <w:p w14:paraId="149A848D" w14:textId="1E6F4266" w:rsidR="000037BC" w:rsidRPr="00933708" w:rsidRDefault="005E36A7" w:rsidP="007C4C88">
      <w:pPr>
        <w:pStyle w:val="ListParagraph"/>
        <w:numPr>
          <w:ilvl w:val="1"/>
          <w:numId w:val="1"/>
        </w:numPr>
        <w:ind w:left="720" w:hanging="720"/>
      </w:pPr>
      <w:r w:rsidRPr="00933708">
        <w:lastRenderedPageBreak/>
        <w:t xml:space="preserve">The submission presented the results of a stepped economic evaluation, which indicated that the inclusion of the costs of renal replacement </w:t>
      </w:r>
      <w:r w:rsidR="000037BC" w:rsidRPr="00933708">
        <w:t>therapy</w:t>
      </w:r>
      <w:r w:rsidRPr="00933708">
        <w:t xml:space="preserve"> and </w:t>
      </w:r>
      <w:r w:rsidR="000037BC" w:rsidRPr="00933708">
        <w:t>the extrapolation of outcomes to 20 years had the larges</w:t>
      </w:r>
      <w:r w:rsidR="004920A4" w:rsidRPr="00933708">
        <w:t>t</w:t>
      </w:r>
      <w:r w:rsidR="000037BC" w:rsidRPr="00933708">
        <w:t xml:space="preserve"> impact on the economic evaluation.</w:t>
      </w:r>
    </w:p>
    <w:p w14:paraId="2B4AF938" w14:textId="7B41F964" w:rsidR="008C5739" w:rsidRPr="00933708" w:rsidRDefault="00AF0326" w:rsidP="007C2474">
      <w:pPr>
        <w:pStyle w:val="COMexecsumnumberedpara"/>
      </w:pPr>
      <w:r w:rsidRPr="00933708">
        <w:t xml:space="preserve">The results of the </w:t>
      </w:r>
      <w:r w:rsidR="00446CA5" w:rsidRPr="00933708">
        <w:t>modelled</w:t>
      </w:r>
      <w:r w:rsidRPr="00933708">
        <w:t xml:space="preserve"> economic evaluation are presented in </w:t>
      </w:r>
      <w:r w:rsidR="00366E27" w:rsidRPr="00933708">
        <w:fldChar w:fldCharType="begin"/>
      </w:r>
      <w:r w:rsidR="00366E27" w:rsidRPr="00933708">
        <w:instrText xml:space="preserve"> REF _Ref104805160 \h </w:instrText>
      </w:r>
      <w:r w:rsidR="00366E27" w:rsidRPr="00933708">
        <w:fldChar w:fldCharType="separate"/>
      </w:r>
      <w:r w:rsidR="00D5135E" w:rsidRPr="00933708">
        <w:t xml:space="preserve">Table </w:t>
      </w:r>
      <w:r w:rsidR="00D5135E">
        <w:rPr>
          <w:noProof/>
        </w:rPr>
        <w:t>14</w:t>
      </w:r>
      <w:r w:rsidR="00366E27" w:rsidRPr="00933708">
        <w:fldChar w:fldCharType="end"/>
      </w:r>
      <w:r w:rsidR="00366E27" w:rsidRPr="00933708">
        <w:t xml:space="preserve"> </w:t>
      </w:r>
      <w:r w:rsidRPr="00933708">
        <w:t>below.</w:t>
      </w:r>
    </w:p>
    <w:p w14:paraId="63D487B8" w14:textId="68A04D1C" w:rsidR="00D110BD" w:rsidRPr="00933708" w:rsidRDefault="00E16AD8" w:rsidP="004920A4">
      <w:pPr>
        <w:pStyle w:val="COMtablefigcaption"/>
        <w:keepLines/>
      </w:pPr>
      <w:bookmarkStart w:id="60" w:name="_Ref104805160"/>
      <w:r w:rsidRPr="00933708">
        <w:t xml:space="preserve">Table </w:t>
      </w:r>
      <w:r w:rsidR="00D5135E">
        <w:fldChar w:fldCharType="begin"/>
      </w:r>
      <w:r w:rsidR="00D5135E">
        <w:instrText xml:space="preserve"> SEQ Table \* ARABIC </w:instrText>
      </w:r>
      <w:r w:rsidR="00D5135E">
        <w:fldChar w:fldCharType="separate"/>
      </w:r>
      <w:r w:rsidR="00D5135E">
        <w:rPr>
          <w:noProof/>
        </w:rPr>
        <w:t>14</w:t>
      </w:r>
      <w:r w:rsidR="00D5135E">
        <w:rPr>
          <w:noProof/>
        </w:rPr>
        <w:fldChar w:fldCharType="end"/>
      </w:r>
      <w:bookmarkEnd w:id="60"/>
      <w:r w:rsidRPr="00933708">
        <w:t>:</w:t>
      </w:r>
      <w:r w:rsidR="005A373D" w:rsidRPr="00933708">
        <w:t xml:space="preserve">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5"/>
        <w:gridCol w:w="2058"/>
        <w:gridCol w:w="2128"/>
        <w:gridCol w:w="2076"/>
      </w:tblGrid>
      <w:tr w:rsidR="00B512B2" w:rsidRPr="00933708" w14:paraId="098B1A49" w14:textId="77777777" w:rsidTr="00794EFC">
        <w:trPr>
          <w:trHeight w:val="70"/>
        </w:trPr>
        <w:tc>
          <w:tcPr>
            <w:tcW w:w="1528" w:type="pct"/>
            <w:vAlign w:val="center"/>
          </w:tcPr>
          <w:p w14:paraId="21A33630" w14:textId="77777777" w:rsidR="00B512B2" w:rsidRPr="00933708" w:rsidRDefault="00B512B2" w:rsidP="004920A4">
            <w:pPr>
              <w:pStyle w:val="TableText"/>
              <w:keepLines/>
              <w:rPr>
                <w:b/>
                <w:bCs w:val="0"/>
                <w:szCs w:val="20"/>
              </w:rPr>
            </w:pPr>
            <w:r w:rsidRPr="00933708">
              <w:rPr>
                <w:b/>
                <w:bCs w:val="0"/>
                <w:szCs w:val="20"/>
              </w:rPr>
              <w:t>Component</w:t>
            </w:r>
          </w:p>
        </w:tc>
        <w:tc>
          <w:tcPr>
            <w:tcW w:w="1141" w:type="pct"/>
            <w:vAlign w:val="center"/>
          </w:tcPr>
          <w:p w14:paraId="0D62A66F" w14:textId="77777777" w:rsidR="00B512B2" w:rsidRPr="00933708" w:rsidRDefault="00B512B2" w:rsidP="004920A4">
            <w:pPr>
              <w:pStyle w:val="TableText"/>
              <w:keepLines/>
              <w:jc w:val="center"/>
              <w:rPr>
                <w:b/>
                <w:bCs w:val="0"/>
                <w:szCs w:val="20"/>
              </w:rPr>
            </w:pPr>
            <w:proofErr w:type="spellStart"/>
            <w:r w:rsidRPr="00933708">
              <w:rPr>
                <w:b/>
                <w:bCs w:val="0"/>
                <w:szCs w:val="20"/>
              </w:rPr>
              <w:t>Empagliflozin+SC</w:t>
            </w:r>
            <w:proofErr w:type="spellEnd"/>
          </w:p>
        </w:tc>
        <w:tc>
          <w:tcPr>
            <w:tcW w:w="1180" w:type="pct"/>
            <w:vAlign w:val="center"/>
          </w:tcPr>
          <w:p w14:paraId="1C979F62" w14:textId="77777777" w:rsidR="00B512B2" w:rsidRPr="00933708" w:rsidRDefault="00B512B2" w:rsidP="004920A4">
            <w:pPr>
              <w:pStyle w:val="TableText"/>
              <w:keepLines/>
              <w:jc w:val="center"/>
              <w:rPr>
                <w:b/>
                <w:bCs w:val="0"/>
                <w:szCs w:val="20"/>
              </w:rPr>
            </w:pPr>
            <w:proofErr w:type="spellStart"/>
            <w:r w:rsidRPr="00933708">
              <w:rPr>
                <w:b/>
                <w:bCs w:val="0"/>
                <w:szCs w:val="20"/>
              </w:rPr>
              <w:t>Placebo+SC</w:t>
            </w:r>
            <w:proofErr w:type="spellEnd"/>
          </w:p>
        </w:tc>
        <w:tc>
          <w:tcPr>
            <w:tcW w:w="1151" w:type="pct"/>
            <w:vAlign w:val="center"/>
          </w:tcPr>
          <w:p w14:paraId="7FCA28C5" w14:textId="77777777" w:rsidR="00B512B2" w:rsidRPr="00933708" w:rsidRDefault="00B512B2" w:rsidP="004920A4">
            <w:pPr>
              <w:pStyle w:val="TableText"/>
              <w:keepLines/>
              <w:jc w:val="center"/>
              <w:rPr>
                <w:b/>
                <w:bCs w:val="0"/>
                <w:szCs w:val="20"/>
              </w:rPr>
            </w:pPr>
            <w:r w:rsidRPr="00933708">
              <w:rPr>
                <w:b/>
                <w:bCs w:val="0"/>
                <w:szCs w:val="20"/>
              </w:rPr>
              <w:t>Increment</w:t>
            </w:r>
          </w:p>
        </w:tc>
      </w:tr>
      <w:tr w:rsidR="00B512B2" w:rsidRPr="00933708" w14:paraId="0C1CA109" w14:textId="77777777" w:rsidTr="00794EFC">
        <w:tc>
          <w:tcPr>
            <w:tcW w:w="5000" w:type="pct"/>
            <w:gridSpan w:val="4"/>
            <w:vAlign w:val="center"/>
          </w:tcPr>
          <w:p w14:paraId="387C1ACB" w14:textId="15A51845" w:rsidR="00B512B2" w:rsidRPr="00933708" w:rsidRDefault="00B512B2" w:rsidP="004920A4">
            <w:pPr>
              <w:pStyle w:val="TableText"/>
              <w:keepLines/>
              <w:rPr>
                <w:b/>
                <w:bCs w:val="0"/>
                <w:szCs w:val="20"/>
              </w:rPr>
            </w:pPr>
            <w:r w:rsidRPr="00933708">
              <w:rPr>
                <w:b/>
                <w:bCs w:val="0"/>
                <w:szCs w:val="20"/>
              </w:rPr>
              <w:t>EMPA-KIDNEY modelled overall population</w:t>
            </w:r>
            <w:r w:rsidR="00D848C5" w:rsidRPr="00933708">
              <w:rPr>
                <w:b/>
                <w:bCs w:val="0"/>
                <w:szCs w:val="20"/>
              </w:rPr>
              <w:t xml:space="preserve"> (base case)</w:t>
            </w:r>
          </w:p>
        </w:tc>
      </w:tr>
      <w:tr w:rsidR="00B512B2" w:rsidRPr="00933708" w14:paraId="687B682E" w14:textId="77777777" w:rsidTr="00794EFC">
        <w:tc>
          <w:tcPr>
            <w:tcW w:w="1528" w:type="pct"/>
            <w:vAlign w:val="center"/>
          </w:tcPr>
          <w:p w14:paraId="415A8E17" w14:textId="77777777" w:rsidR="00B512B2" w:rsidRPr="00933708" w:rsidRDefault="00B512B2" w:rsidP="004920A4">
            <w:pPr>
              <w:pStyle w:val="TableText"/>
              <w:keepLines/>
              <w:rPr>
                <w:szCs w:val="20"/>
              </w:rPr>
            </w:pPr>
            <w:r w:rsidRPr="00933708">
              <w:rPr>
                <w:szCs w:val="20"/>
              </w:rPr>
              <w:t>Costs</w:t>
            </w:r>
          </w:p>
        </w:tc>
        <w:tc>
          <w:tcPr>
            <w:tcW w:w="1141" w:type="pct"/>
            <w:vAlign w:val="center"/>
          </w:tcPr>
          <w:p w14:paraId="4A09EE8F" w14:textId="3573E26F" w:rsidR="00B512B2" w:rsidRPr="00A51AD5" w:rsidRDefault="00056F3E" w:rsidP="004920A4">
            <w:pPr>
              <w:pStyle w:val="TableText"/>
              <w:keepLines/>
              <w:jc w:val="center"/>
              <w:rPr>
                <w:szCs w:val="20"/>
                <w:highlight w:val="darkGray"/>
              </w:rPr>
            </w:pPr>
            <w:r>
              <w:rPr>
                <w:szCs w:val="20"/>
              </w:rPr>
              <w:t xml:space="preserve"> </w:t>
            </w:r>
            <w:r w:rsidRPr="00056F3E">
              <w:rPr>
                <w:color w:val="000000"/>
                <w:szCs w:val="20"/>
                <w:shd w:val="solid" w:color="000000" w:fill="000000"/>
                <w14:textFill>
                  <w14:solidFill>
                    <w14:srgbClr w14:val="000000">
                      <w14:alpha w14:val="100000"/>
                    </w14:srgbClr>
                  </w14:solidFill>
                </w14:textFill>
              </w:rPr>
              <w:t>|</w:t>
            </w:r>
          </w:p>
        </w:tc>
        <w:tc>
          <w:tcPr>
            <w:tcW w:w="1180" w:type="pct"/>
            <w:vAlign w:val="center"/>
          </w:tcPr>
          <w:p w14:paraId="7A11B47E" w14:textId="77777777" w:rsidR="00B512B2" w:rsidRPr="00933708" w:rsidRDefault="00B512B2" w:rsidP="004920A4">
            <w:pPr>
              <w:pStyle w:val="TableText"/>
              <w:keepLines/>
              <w:jc w:val="center"/>
              <w:rPr>
                <w:szCs w:val="20"/>
              </w:rPr>
            </w:pPr>
            <w:r w:rsidRPr="00933708">
              <w:rPr>
                <w:szCs w:val="20"/>
              </w:rPr>
              <w:t>$102,941</w:t>
            </w:r>
          </w:p>
        </w:tc>
        <w:tc>
          <w:tcPr>
            <w:tcW w:w="1151" w:type="pct"/>
            <w:vAlign w:val="center"/>
          </w:tcPr>
          <w:p w14:paraId="14465018" w14:textId="627E537F" w:rsidR="00B512B2" w:rsidRPr="00933708" w:rsidRDefault="00B512B2" w:rsidP="004920A4">
            <w:pPr>
              <w:pStyle w:val="TableText"/>
              <w:keepLines/>
              <w:jc w:val="center"/>
              <w:rPr>
                <w:szCs w:val="20"/>
              </w:rPr>
            </w:pPr>
            <w:r w:rsidRPr="00933708">
              <w:rPr>
                <w:szCs w:val="20"/>
              </w:rPr>
              <w:t>-</w:t>
            </w:r>
            <w:r w:rsidR="00056F3E">
              <w:rPr>
                <w:szCs w:val="20"/>
              </w:rPr>
              <w:t xml:space="preserve"> </w:t>
            </w:r>
            <w:r w:rsidR="00056F3E" w:rsidRPr="00056F3E">
              <w:rPr>
                <w:color w:val="000000"/>
                <w:szCs w:val="20"/>
                <w:shd w:val="solid" w:color="000000" w:fill="000000"/>
                <w14:textFill>
                  <w14:solidFill>
                    <w14:srgbClr w14:val="000000">
                      <w14:alpha w14:val="100000"/>
                    </w14:srgbClr>
                  </w14:solidFill>
                </w14:textFill>
              </w:rPr>
              <w:t>|</w:t>
            </w:r>
          </w:p>
        </w:tc>
      </w:tr>
      <w:tr w:rsidR="00B512B2" w:rsidRPr="00933708" w14:paraId="4B2AD853" w14:textId="77777777" w:rsidTr="00794EFC">
        <w:tc>
          <w:tcPr>
            <w:tcW w:w="1528" w:type="pct"/>
            <w:vAlign w:val="center"/>
          </w:tcPr>
          <w:p w14:paraId="6158A724" w14:textId="77777777" w:rsidR="00B512B2" w:rsidRPr="00933708" w:rsidRDefault="00B512B2" w:rsidP="004920A4">
            <w:pPr>
              <w:pStyle w:val="TableText"/>
              <w:keepLines/>
              <w:rPr>
                <w:szCs w:val="20"/>
              </w:rPr>
            </w:pPr>
            <w:r w:rsidRPr="00933708">
              <w:rPr>
                <w:szCs w:val="20"/>
              </w:rPr>
              <w:t>QALYs</w:t>
            </w:r>
          </w:p>
        </w:tc>
        <w:tc>
          <w:tcPr>
            <w:tcW w:w="1141" w:type="pct"/>
            <w:vAlign w:val="center"/>
          </w:tcPr>
          <w:p w14:paraId="211108A4" w14:textId="40CC9512" w:rsidR="00B512B2" w:rsidRPr="00A51AD5" w:rsidRDefault="00B512B2" w:rsidP="004920A4">
            <w:pPr>
              <w:pStyle w:val="TableText"/>
              <w:keepLines/>
              <w:jc w:val="center"/>
              <w:rPr>
                <w:szCs w:val="20"/>
              </w:rPr>
            </w:pPr>
            <w:r w:rsidRPr="00A51AD5">
              <w:rPr>
                <w:szCs w:val="20"/>
              </w:rPr>
              <w:t>6.8779</w:t>
            </w:r>
            <w:r w:rsidR="0029767E">
              <w:rPr>
                <w:szCs w:val="20"/>
              </w:rPr>
              <w:t>*</w:t>
            </w:r>
          </w:p>
        </w:tc>
        <w:tc>
          <w:tcPr>
            <w:tcW w:w="1180" w:type="pct"/>
            <w:vAlign w:val="center"/>
          </w:tcPr>
          <w:p w14:paraId="25853905" w14:textId="77777777" w:rsidR="00B512B2" w:rsidRPr="00A51AD5" w:rsidRDefault="00B512B2" w:rsidP="004920A4">
            <w:pPr>
              <w:pStyle w:val="TableText"/>
              <w:keepLines/>
              <w:jc w:val="center"/>
              <w:rPr>
                <w:szCs w:val="20"/>
              </w:rPr>
            </w:pPr>
            <w:r w:rsidRPr="00A51AD5">
              <w:rPr>
                <w:szCs w:val="20"/>
              </w:rPr>
              <w:t>6.1120</w:t>
            </w:r>
          </w:p>
        </w:tc>
        <w:tc>
          <w:tcPr>
            <w:tcW w:w="1151" w:type="pct"/>
            <w:vAlign w:val="center"/>
          </w:tcPr>
          <w:p w14:paraId="02E94C90" w14:textId="1E73EC45" w:rsidR="00B512B2" w:rsidRPr="00A51AD5" w:rsidRDefault="00B512B2" w:rsidP="004920A4">
            <w:pPr>
              <w:pStyle w:val="TableText"/>
              <w:keepLines/>
              <w:jc w:val="center"/>
              <w:rPr>
                <w:szCs w:val="20"/>
              </w:rPr>
            </w:pPr>
            <w:r w:rsidRPr="00A51AD5">
              <w:rPr>
                <w:szCs w:val="20"/>
              </w:rPr>
              <w:t>0.7659</w:t>
            </w:r>
            <w:r w:rsidR="0029767E">
              <w:rPr>
                <w:szCs w:val="20"/>
              </w:rPr>
              <w:t>*</w:t>
            </w:r>
          </w:p>
        </w:tc>
      </w:tr>
      <w:tr w:rsidR="00B512B2" w:rsidRPr="00933708" w14:paraId="124E07D2" w14:textId="77777777" w:rsidTr="00794EFC">
        <w:tc>
          <w:tcPr>
            <w:tcW w:w="3849" w:type="pct"/>
            <w:gridSpan w:val="3"/>
            <w:vAlign w:val="center"/>
          </w:tcPr>
          <w:p w14:paraId="45B9C1D8" w14:textId="77777777" w:rsidR="00B512B2" w:rsidRPr="00933708" w:rsidRDefault="00B512B2" w:rsidP="004920A4">
            <w:pPr>
              <w:pStyle w:val="TableText"/>
              <w:keepLines/>
              <w:rPr>
                <w:szCs w:val="20"/>
              </w:rPr>
            </w:pPr>
            <w:r w:rsidRPr="00933708">
              <w:rPr>
                <w:szCs w:val="20"/>
              </w:rPr>
              <w:t>Incremental cost per QALY gained</w:t>
            </w:r>
          </w:p>
        </w:tc>
        <w:tc>
          <w:tcPr>
            <w:tcW w:w="1151" w:type="pct"/>
            <w:vAlign w:val="center"/>
          </w:tcPr>
          <w:p w14:paraId="024E5636" w14:textId="77777777" w:rsidR="00B512B2" w:rsidRPr="00933708" w:rsidRDefault="00B512B2" w:rsidP="004920A4">
            <w:pPr>
              <w:pStyle w:val="TableText"/>
              <w:keepLines/>
              <w:jc w:val="center"/>
              <w:rPr>
                <w:szCs w:val="20"/>
              </w:rPr>
            </w:pPr>
            <w:r w:rsidRPr="00933708">
              <w:rPr>
                <w:szCs w:val="20"/>
              </w:rPr>
              <w:t>Empagliflozin dominant</w:t>
            </w:r>
          </w:p>
        </w:tc>
      </w:tr>
      <w:tr w:rsidR="00B512B2" w:rsidRPr="00933708" w14:paraId="400B7794" w14:textId="77777777" w:rsidTr="00794EFC">
        <w:tc>
          <w:tcPr>
            <w:tcW w:w="5000" w:type="pct"/>
            <w:gridSpan w:val="4"/>
            <w:vAlign w:val="center"/>
          </w:tcPr>
          <w:p w14:paraId="568ED197" w14:textId="77777777" w:rsidR="00B512B2" w:rsidRPr="00933708" w:rsidRDefault="00B512B2" w:rsidP="004920A4">
            <w:pPr>
              <w:pStyle w:val="TableText"/>
              <w:keepLines/>
              <w:rPr>
                <w:b/>
                <w:bCs w:val="0"/>
                <w:szCs w:val="20"/>
              </w:rPr>
            </w:pPr>
            <w:r w:rsidRPr="00933708">
              <w:rPr>
                <w:b/>
                <w:bCs w:val="0"/>
                <w:szCs w:val="20"/>
              </w:rPr>
              <w:t>EMPA-KIDNEY modelled incremental population</w:t>
            </w:r>
          </w:p>
        </w:tc>
      </w:tr>
      <w:tr w:rsidR="00B512B2" w:rsidRPr="00933708" w14:paraId="29BD14F6" w14:textId="77777777" w:rsidTr="00794EFC">
        <w:tc>
          <w:tcPr>
            <w:tcW w:w="1528" w:type="pct"/>
            <w:vAlign w:val="center"/>
          </w:tcPr>
          <w:p w14:paraId="12F74DEC" w14:textId="77777777" w:rsidR="00B512B2" w:rsidRPr="00933708" w:rsidRDefault="00B512B2" w:rsidP="004920A4">
            <w:pPr>
              <w:pStyle w:val="TableText"/>
              <w:keepLines/>
              <w:rPr>
                <w:szCs w:val="20"/>
              </w:rPr>
            </w:pPr>
            <w:r w:rsidRPr="00933708">
              <w:rPr>
                <w:szCs w:val="20"/>
              </w:rPr>
              <w:t>Costs</w:t>
            </w:r>
          </w:p>
        </w:tc>
        <w:tc>
          <w:tcPr>
            <w:tcW w:w="1141" w:type="pct"/>
            <w:vAlign w:val="center"/>
          </w:tcPr>
          <w:p w14:paraId="34751274" w14:textId="5F68D433" w:rsidR="00B512B2" w:rsidRPr="00A51AD5" w:rsidRDefault="00056F3E" w:rsidP="004920A4">
            <w:pPr>
              <w:pStyle w:val="TableText"/>
              <w:keepLines/>
              <w:jc w:val="center"/>
              <w:rPr>
                <w:szCs w:val="20"/>
                <w:highlight w:val="darkGray"/>
              </w:rPr>
            </w:pPr>
            <w:r>
              <w:rPr>
                <w:szCs w:val="20"/>
              </w:rPr>
              <w:t xml:space="preserve"> </w:t>
            </w:r>
            <w:r w:rsidRPr="00056F3E">
              <w:rPr>
                <w:color w:val="000000"/>
                <w:szCs w:val="20"/>
                <w:shd w:val="solid" w:color="000000" w:fill="000000"/>
                <w14:textFill>
                  <w14:solidFill>
                    <w14:srgbClr w14:val="000000">
                      <w14:alpha w14:val="100000"/>
                    </w14:srgbClr>
                  </w14:solidFill>
                </w14:textFill>
              </w:rPr>
              <w:t>|</w:t>
            </w:r>
          </w:p>
        </w:tc>
        <w:tc>
          <w:tcPr>
            <w:tcW w:w="1180" w:type="pct"/>
            <w:vAlign w:val="center"/>
          </w:tcPr>
          <w:p w14:paraId="0A51BD11" w14:textId="77777777" w:rsidR="00B512B2" w:rsidRPr="00933708" w:rsidRDefault="00B512B2" w:rsidP="004920A4">
            <w:pPr>
              <w:pStyle w:val="TableText"/>
              <w:keepLines/>
              <w:jc w:val="center"/>
              <w:rPr>
                <w:szCs w:val="20"/>
              </w:rPr>
            </w:pPr>
            <w:r w:rsidRPr="00933708">
              <w:rPr>
                <w:szCs w:val="20"/>
              </w:rPr>
              <w:t>$83,706</w:t>
            </w:r>
          </w:p>
        </w:tc>
        <w:tc>
          <w:tcPr>
            <w:tcW w:w="1151" w:type="pct"/>
            <w:vAlign w:val="center"/>
          </w:tcPr>
          <w:p w14:paraId="7CCEEF3E" w14:textId="175F5DAD" w:rsidR="00B512B2" w:rsidRPr="00933708" w:rsidRDefault="00B512B2" w:rsidP="004920A4">
            <w:pPr>
              <w:pStyle w:val="TableText"/>
              <w:keepLines/>
              <w:jc w:val="center"/>
              <w:rPr>
                <w:szCs w:val="20"/>
              </w:rPr>
            </w:pPr>
            <w:r w:rsidRPr="00933708">
              <w:rPr>
                <w:szCs w:val="20"/>
              </w:rPr>
              <w:t>-</w:t>
            </w:r>
            <w:r w:rsidR="00056F3E">
              <w:rPr>
                <w:szCs w:val="20"/>
              </w:rPr>
              <w:t xml:space="preserve"> </w:t>
            </w:r>
            <w:r w:rsidR="00056F3E" w:rsidRPr="00056F3E">
              <w:rPr>
                <w:color w:val="000000"/>
                <w:szCs w:val="20"/>
                <w:shd w:val="solid" w:color="000000" w:fill="000000"/>
                <w14:textFill>
                  <w14:solidFill>
                    <w14:srgbClr w14:val="000000">
                      <w14:alpha w14:val="100000"/>
                    </w14:srgbClr>
                  </w14:solidFill>
                </w14:textFill>
              </w:rPr>
              <w:t>|</w:t>
            </w:r>
            <w:r w:rsidR="00D81BF7">
              <w:rPr>
                <w:szCs w:val="20"/>
              </w:rPr>
              <w:t xml:space="preserve"> </w:t>
            </w:r>
          </w:p>
        </w:tc>
      </w:tr>
      <w:tr w:rsidR="00B512B2" w:rsidRPr="00933708" w14:paraId="48362CE2" w14:textId="77777777" w:rsidTr="00794EFC">
        <w:tc>
          <w:tcPr>
            <w:tcW w:w="1528" w:type="pct"/>
            <w:vAlign w:val="center"/>
          </w:tcPr>
          <w:p w14:paraId="55D9E986" w14:textId="77777777" w:rsidR="00B512B2" w:rsidRPr="00933708" w:rsidRDefault="00B512B2" w:rsidP="004920A4">
            <w:pPr>
              <w:pStyle w:val="TableText"/>
              <w:keepLines/>
              <w:rPr>
                <w:szCs w:val="20"/>
              </w:rPr>
            </w:pPr>
            <w:r w:rsidRPr="00933708">
              <w:rPr>
                <w:szCs w:val="20"/>
              </w:rPr>
              <w:t>QALYs</w:t>
            </w:r>
          </w:p>
        </w:tc>
        <w:tc>
          <w:tcPr>
            <w:tcW w:w="1141" w:type="pct"/>
            <w:vAlign w:val="center"/>
          </w:tcPr>
          <w:p w14:paraId="23E09073" w14:textId="4C3EA660" w:rsidR="00B512B2" w:rsidRPr="00A51AD5" w:rsidRDefault="00B512B2" w:rsidP="004920A4">
            <w:pPr>
              <w:pStyle w:val="TableText"/>
              <w:keepLines/>
              <w:jc w:val="center"/>
              <w:rPr>
                <w:szCs w:val="20"/>
              </w:rPr>
            </w:pPr>
            <w:r w:rsidRPr="00A51AD5">
              <w:rPr>
                <w:szCs w:val="20"/>
              </w:rPr>
              <w:t>6.93</w:t>
            </w:r>
            <w:r w:rsidR="0069398A" w:rsidRPr="00A51AD5">
              <w:rPr>
                <w:szCs w:val="20"/>
              </w:rPr>
              <w:t>66</w:t>
            </w:r>
            <w:r w:rsidR="00D81BF7" w:rsidRPr="00A51AD5">
              <w:rPr>
                <w:szCs w:val="20"/>
              </w:rPr>
              <w:t xml:space="preserve"> </w:t>
            </w:r>
            <w:r w:rsidR="0029767E">
              <w:rPr>
                <w:szCs w:val="20"/>
              </w:rPr>
              <w:t>*</w:t>
            </w:r>
          </w:p>
        </w:tc>
        <w:tc>
          <w:tcPr>
            <w:tcW w:w="1180" w:type="pct"/>
            <w:vAlign w:val="center"/>
          </w:tcPr>
          <w:p w14:paraId="79124C4A" w14:textId="2CBDBDC0" w:rsidR="00B512B2" w:rsidRPr="00A51AD5" w:rsidRDefault="00B512B2" w:rsidP="004920A4">
            <w:pPr>
              <w:pStyle w:val="TableText"/>
              <w:keepLines/>
              <w:jc w:val="center"/>
              <w:rPr>
                <w:szCs w:val="20"/>
              </w:rPr>
            </w:pPr>
            <w:r w:rsidRPr="00A51AD5">
              <w:rPr>
                <w:szCs w:val="20"/>
              </w:rPr>
              <w:t>6.12</w:t>
            </w:r>
            <w:r w:rsidR="0069398A" w:rsidRPr="00A51AD5">
              <w:rPr>
                <w:szCs w:val="20"/>
              </w:rPr>
              <w:t>69</w:t>
            </w:r>
          </w:p>
        </w:tc>
        <w:tc>
          <w:tcPr>
            <w:tcW w:w="1151" w:type="pct"/>
            <w:vAlign w:val="center"/>
          </w:tcPr>
          <w:p w14:paraId="4E059BC8" w14:textId="0540ACC3" w:rsidR="00B512B2" w:rsidRPr="00A51AD5" w:rsidRDefault="00B512B2" w:rsidP="004920A4">
            <w:pPr>
              <w:pStyle w:val="TableText"/>
              <w:keepLines/>
              <w:jc w:val="center"/>
              <w:rPr>
                <w:szCs w:val="20"/>
              </w:rPr>
            </w:pPr>
            <w:r w:rsidRPr="00A51AD5">
              <w:rPr>
                <w:szCs w:val="20"/>
              </w:rPr>
              <w:t>0.8098</w:t>
            </w:r>
            <w:r w:rsidR="0029767E">
              <w:rPr>
                <w:szCs w:val="20"/>
              </w:rPr>
              <w:t>*</w:t>
            </w:r>
          </w:p>
        </w:tc>
      </w:tr>
      <w:tr w:rsidR="00B512B2" w:rsidRPr="00933708" w14:paraId="0E63B9E8" w14:textId="77777777" w:rsidTr="00794EFC">
        <w:tc>
          <w:tcPr>
            <w:tcW w:w="3849" w:type="pct"/>
            <w:gridSpan w:val="3"/>
            <w:vAlign w:val="center"/>
          </w:tcPr>
          <w:p w14:paraId="6164C326" w14:textId="77777777" w:rsidR="00B512B2" w:rsidRPr="00933708" w:rsidRDefault="00B512B2" w:rsidP="004920A4">
            <w:pPr>
              <w:pStyle w:val="TableText"/>
              <w:keepLines/>
              <w:rPr>
                <w:szCs w:val="20"/>
              </w:rPr>
            </w:pPr>
            <w:r w:rsidRPr="00933708">
              <w:rPr>
                <w:szCs w:val="20"/>
              </w:rPr>
              <w:t>Incremental cost per QALY gained</w:t>
            </w:r>
          </w:p>
        </w:tc>
        <w:tc>
          <w:tcPr>
            <w:tcW w:w="1151" w:type="pct"/>
            <w:vAlign w:val="center"/>
          </w:tcPr>
          <w:p w14:paraId="719F7BF7" w14:textId="77777777" w:rsidR="00B512B2" w:rsidRPr="00933708" w:rsidRDefault="00B512B2" w:rsidP="004920A4">
            <w:pPr>
              <w:pStyle w:val="TableText"/>
              <w:keepLines/>
              <w:jc w:val="center"/>
              <w:rPr>
                <w:szCs w:val="20"/>
              </w:rPr>
            </w:pPr>
            <w:r w:rsidRPr="00933708">
              <w:rPr>
                <w:szCs w:val="20"/>
              </w:rPr>
              <w:t>Empagliflozin dominant</w:t>
            </w:r>
          </w:p>
        </w:tc>
      </w:tr>
    </w:tbl>
    <w:p w14:paraId="22DFA079" w14:textId="77777777" w:rsidR="00B512B2" w:rsidRPr="00933708" w:rsidRDefault="00B512B2" w:rsidP="00E02338">
      <w:pPr>
        <w:pStyle w:val="COMTablefooter"/>
      </w:pPr>
      <w:r w:rsidRPr="00933708">
        <w:t>Source: Table 3.57, p331 and Table 3.61, p335 of the submission</w:t>
      </w:r>
    </w:p>
    <w:p w14:paraId="781BF55B" w14:textId="605645B4" w:rsidR="00B512B2" w:rsidRPr="00933708" w:rsidRDefault="00B512B2" w:rsidP="00E02338">
      <w:pPr>
        <w:pStyle w:val="COMTablefooter"/>
      </w:pPr>
      <w:r w:rsidRPr="00933708">
        <w:t>Abbreviations: QALY, quality adjusted life year; SC, standard care</w:t>
      </w:r>
    </w:p>
    <w:p w14:paraId="1B7DC87B" w14:textId="703351E4" w:rsidR="00D81BF7" w:rsidRDefault="00534951" w:rsidP="00D81BF7">
      <w:pPr>
        <w:pStyle w:val="COMTablefooter"/>
      </w:pPr>
      <w:r w:rsidRPr="00933708">
        <w:t>Note: The estimates in the submission were based on the assumption of 60 day dispensing for empagliflozin, which were not corrected during the evaluation.</w:t>
      </w:r>
    </w:p>
    <w:p w14:paraId="77E2602D" w14:textId="3E64C2D6" w:rsidR="0029767E" w:rsidRPr="00AD44F3" w:rsidRDefault="0029767E" w:rsidP="0029767E">
      <w:pPr>
        <w:pStyle w:val="COMTablefooter"/>
      </w:pPr>
      <w:r>
        <w:t xml:space="preserve">* </w:t>
      </w:r>
      <w:r w:rsidRPr="00AD44F3">
        <w:rPr>
          <w:i/>
          <w:iCs/>
        </w:rPr>
        <w:t>Note that the results presented in Table 14 are derived from post-hoc analyses conducted by the applicant. These analyses were not part of the pre-specified statistical plan for EMPA-KIDNEY. Interpretation of the results and their application should therefore be limited to seeking to understand the basis for the PBAC outcome and should not be used for any other purpose.</w:t>
      </w:r>
    </w:p>
    <w:p w14:paraId="00F39D4F" w14:textId="77777777" w:rsidR="008418F2" w:rsidRPr="00933708" w:rsidRDefault="008418F2" w:rsidP="007C4C88">
      <w:pPr>
        <w:pStyle w:val="ListParagraph"/>
        <w:numPr>
          <w:ilvl w:val="1"/>
          <w:numId w:val="1"/>
        </w:numPr>
        <w:ind w:left="720" w:hanging="720"/>
      </w:pPr>
      <w:r w:rsidRPr="00933708">
        <w:t>Based on the modelled economic evaluation, treatment with empagliflozin plus standard care was associated with lower costs and higher QALYs (i.e. was dominant) compared to standard care alone for the treatment of patients with CKD.</w:t>
      </w:r>
    </w:p>
    <w:p w14:paraId="0C7C0078" w14:textId="0B414BB8" w:rsidR="00E51709" w:rsidRPr="00933708" w:rsidRDefault="00E51709" w:rsidP="007C4C88">
      <w:pPr>
        <w:pStyle w:val="ListParagraph"/>
        <w:numPr>
          <w:ilvl w:val="1"/>
          <w:numId w:val="1"/>
        </w:numPr>
        <w:ind w:left="720" w:hanging="720"/>
      </w:pPr>
      <w:r w:rsidRPr="00933708">
        <w:t>In the model</w:t>
      </w:r>
      <w:r w:rsidR="00D848C5" w:rsidRPr="00933708">
        <w:t xml:space="preserve"> base case</w:t>
      </w:r>
      <w:r w:rsidRPr="00933708">
        <w:t>, 99.3% of the incremental QALYs, 63.8% of the incremental drug costs and all of the savings associated with ESKD are accrued in the extrapolated period (beyond 2 years).</w:t>
      </w:r>
    </w:p>
    <w:p w14:paraId="54B47681" w14:textId="7E8994C2" w:rsidR="008418F2" w:rsidRPr="00933708" w:rsidRDefault="008418F2" w:rsidP="007C4C88">
      <w:pPr>
        <w:pStyle w:val="ListParagraph"/>
        <w:numPr>
          <w:ilvl w:val="1"/>
          <w:numId w:val="1"/>
        </w:numPr>
        <w:ind w:left="720" w:hanging="720"/>
      </w:pPr>
      <w:r w:rsidRPr="00933708">
        <w:t xml:space="preserve">For every 1,000 patients treated with empagliflozin plus standard care versus placebo plus standard care and followed up for 20 years, the </w:t>
      </w:r>
      <w:r w:rsidR="00A23B94" w:rsidRPr="00933708">
        <w:t xml:space="preserve">base case </w:t>
      </w:r>
      <w:r w:rsidRPr="00933708">
        <w:t>economic evaluation (without discounting) estimated that there would be:</w:t>
      </w:r>
    </w:p>
    <w:p w14:paraId="2A330746" w14:textId="60D84A59" w:rsidR="008418F2" w:rsidRPr="00933708" w:rsidRDefault="008418F2" w:rsidP="00A51AD5">
      <w:pPr>
        <w:pStyle w:val="COMbodybulletlist"/>
      </w:pPr>
      <w:r w:rsidRPr="00933708">
        <w:t>Additional empagliflozin drug costs of $</w:t>
      </w:r>
      <w:r w:rsidR="00056F3E">
        <w:t xml:space="preserve"> </w:t>
      </w:r>
      <w:r w:rsidR="00056F3E" w:rsidRPr="00D5135E">
        <w:rPr>
          <w:color w:val="000000"/>
          <w:w w:val="15"/>
          <w:shd w:val="solid" w:color="000000" w:fill="000000"/>
          <w:fitText w:val="-20" w:id="-1032105728"/>
          <w14:textFill>
            <w14:solidFill>
              <w14:srgbClr w14:val="000000">
                <w14:alpha w14:val="100000"/>
              </w14:srgbClr>
            </w14:solidFill>
          </w14:textFill>
        </w:rPr>
        <w:t xml:space="preserve">|  </w:t>
      </w:r>
      <w:r w:rsidR="00056F3E" w:rsidRPr="00D5135E">
        <w:rPr>
          <w:color w:val="000000"/>
          <w:spacing w:val="-69"/>
          <w:w w:val="15"/>
          <w:shd w:val="solid" w:color="000000" w:fill="000000"/>
          <w:fitText w:val="-20" w:id="-1032105728"/>
          <w14:textFill>
            <w14:solidFill>
              <w14:srgbClr w14:val="000000">
                <w14:alpha w14:val="100000"/>
              </w14:srgbClr>
            </w14:solidFill>
          </w14:textFill>
        </w:rPr>
        <w:t>|</w:t>
      </w:r>
      <w:r w:rsidRPr="00933708">
        <w:t xml:space="preserve"> million with additional disease </w:t>
      </w:r>
      <w:r w:rsidRPr="0025567A">
        <w:t>management costs of $2.4 million (</w:t>
      </w:r>
      <w:r w:rsidR="0005075E" w:rsidRPr="0025567A">
        <w:t>background ACE inhibitor/ARB</w:t>
      </w:r>
      <w:r w:rsidRPr="0025567A">
        <w:t>,</w:t>
      </w:r>
      <w:r w:rsidR="000163E1" w:rsidRPr="0025567A">
        <w:t xml:space="preserve"> CKD</w:t>
      </w:r>
      <w:r w:rsidRPr="0025567A">
        <w:t xml:space="preserve"> health state and adverse event</w:t>
      </w:r>
      <w:r w:rsidR="000163E1" w:rsidRPr="0025567A">
        <w:t xml:space="preserve"> cost</w:t>
      </w:r>
      <w:r w:rsidRPr="0025567A">
        <w:t>s)</w:t>
      </w:r>
      <w:r w:rsidR="000163E1" w:rsidRPr="0025567A">
        <w:t xml:space="preserve">; which were offset </w:t>
      </w:r>
      <w:r w:rsidR="007D5BA4" w:rsidRPr="0025567A">
        <w:t>by d</w:t>
      </w:r>
      <w:r w:rsidR="000163E1" w:rsidRPr="0025567A">
        <w:t>ecreased costs for dialysis ($41.7 million)</w:t>
      </w:r>
      <w:r w:rsidR="007D5BA4" w:rsidRPr="0025567A">
        <w:t xml:space="preserve"> and</w:t>
      </w:r>
      <w:r w:rsidR="000163E1" w:rsidRPr="0025567A">
        <w:t xml:space="preserve"> transplantation ($2.6 million).</w:t>
      </w:r>
    </w:p>
    <w:p w14:paraId="02AAC07B" w14:textId="71BA7119" w:rsidR="008418F2" w:rsidRPr="00933708" w:rsidRDefault="008418F2" w:rsidP="00A51AD5">
      <w:pPr>
        <w:pStyle w:val="COMbodybulletlist"/>
      </w:pPr>
      <w:r w:rsidRPr="00933708">
        <w:t xml:space="preserve">A decreased incidence of dialysis (139 fewer initiations), transplant (47 fewer transplants), and </w:t>
      </w:r>
      <w:r w:rsidR="00261103" w:rsidRPr="00933708">
        <w:t>renal</w:t>
      </w:r>
      <w:r w:rsidRPr="00933708">
        <w:t xml:space="preserve"> deaths (77 fewer deaths).</w:t>
      </w:r>
    </w:p>
    <w:p w14:paraId="6BA6DD10" w14:textId="1E8E49EB" w:rsidR="008418F2" w:rsidRPr="00933708" w:rsidRDefault="008418F2" w:rsidP="00A51AD5">
      <w:pPr>
        <w:pStyle w:val="COMbodybulletlist"/>
      </w:pPr>
      <w:r w:rsidRPr="00933708">
        <w:t>Increased incidence of cardiovascular hospitalisation (51 additional events) but fewer cardiovascular deaths (6 fewer deaths).</w:t>
      </w:r>
    </w:p>
    <w:p w14:paraId="7B7B995C" w14:textId="1D994640" w:rsidR="008418F2" w:rsidRPr="00933708" w:rsidRDefault="008418F2" w:rsidP="00A51AD5">
      <w:pPr>
        <w:pStyle w:val="COMbodybulletlist"/>
      </w:pPr>
      <w:r w:rsidRPr="00933708">
        <w:t>Increased incidence of death due to non-</w:t>
      </w:r>
      <w:r w:rsidR="00154AEE" w:rsidRPr="00933708">
        <w:t>cardiovascular</w:t>
      </w:r>
      <w:r w:rsidR="00261103" w:rsidRPr="00933708">
        <w:t>, non-renal</w:t>
      </w:r>
      <w:r w:rsidRPr="00933708">
        <w:t xml:space="preserve"> causes (38 more deaths).</w:t>
      </w:r>
    </w:p>
    <w:p w14:paraId="30F3F552" w14:textId="002C8524" w:rsidR="005C68E8" w:rsidRPr="00933708" w:rsidRDefault="005C68E8" w:rsidP="007C4C88">
      <w:pPr>
        <w:pStyle w:val="ListParagraph"/>
        <w:numPr>
          <w:ilvl w:val="1"/>
          <w:numId w:val="1"/>
        </w:numPr>
        <w:ind w:left="720" w:hanging="720"/>
      </w:pPr>
      <w:r w:rsidRPr="00933708">
        <w:t xml:space="preserve">The results based on the overall population of the EMPA-KIDNEY trial have limited applicability to the </w:t>
      </w:r>
      <w:r w:rsidR="0012569B" w:rsidRPr="00933708">
        <w:t>requested</w:t>
      </w:r>
      <w:r w:rsidRPr="00933708">
        <w:t xml:space="preserve"> incremental population, as a substantial proportion of </w:t>
      </w:r>
      <w:r w:rsidRPr="00933708">
        <w:lastRenderedPageBreak/>
        <w:t>patients would be eligible for SGLT2 inhibitor treatment under existing PBS listings for chronic kidney disease, diabetes, and/or heart failure. The modelled population also included a proportion of patients outside of the proposed empagliflozin restriction.</w:t>
      </w:r>
    </w:p>
    <w:p w14:paraId="171491A6" w14:textId="29CFC2B6" w:rsidR="005708BC" w:rsidRPr="00933708" w:rsidRDefault="005708BC" w:rsidP="007C4C88">
      <w:pPr>
        <w:pStyle w:val="ListParagraph"/>
        <w:numPr>
          <w:ilvl w:val="1"/>
          <w:numId w:val="1"/>
        </w:numPr>
        <w:ind w:left="720" w:hanging="720"/>
      </w:pPr>
      <w:bookmarkStart w:id="61" w:name="_Ref148447142"/>
      <w:r w:rsidRPr="00933708">
        <w:t xml:space="preserve">The results based on the modelled incremental population </w:t>
      </w:r>
      <w:r w:rsidR="00F40310" w:rsidRPr="00933708">
        <w:t xml:space="preserve">were not informative of the </w:t>
      </w:r>
      <w:r w:rsidRPr="00933708">
        <w:t>cost-effectiveness of empagliflozin in the incremental population</w:t>
      </w:r>
      <w:r w:rsidR="00155BD3" w:rsidRPr="00933708">
        <w:t>, due to the following issues:</w:t>
      </w:r>
      <w:bookmarkEnd w:id="61"/>
    </w:p>
    <w:p w14:paraId="1FB6C807" w14:textId="77777777" w:rsidR="00155BD3" w:rsidRPr="004B5876" w:rsidRDefault="00F842EB" w:rsidP="00A51AD5">
      <w:pPr>
        <w:pStyle w:val="COMbodybulletlist"/>
      </w:pPr>
      <w:r w:rsidRPr="004B5876">
        <w:t>As acknowledged in the submission, the modelled incremental population included a proportion of patients from the overlap population (who would meet the dapagliflozin CKD restriction criteria; 13.6%), due to the separate allocation of patients into eGFR and UACR categories rather than</w:t>
      </w:r>
      <w:r w:rsidR="00122B8E" w:rsidRPr="004B5876">
        <w:t xml:space="preserve"> allocation</w:t>
      </w:r>
      <w:r w:rsidRPr="004B5876">
        <w:t xml:space="preserve"> based on the observed KDIGO category distribution from the trial, and the use of fixed mean baseline UACR and eGFR values for each KDIGO category from the overall population rather than the incremental population.</w:t>
      </w:r>
    </w:p>
    <w:p w14:paraId="338F5D31" w14:textId="77777777" w:rsidR="00155BD3" w:rsidRPr="00933708" w:rsidRDefault="00F842EB" w:rsidP="00A51AD5">
      <w:pPr>
        <w:pStyle w:val="COMbodybulletlist"/>
      </w:pPr>
      <w:r w:rsidRPr="00933708">
        <w:t>The modelled incremental population included a large proportion of patients with diabetes (50.5%) and heart failure (12.5%), as well as patients outside of the proposed empagliflozin restriction (10.2%).</w:t>
      </w:r>
    </w:p>
    <w:p w14:paraId="75F31C83" w14:textId="77777777" w:rsidR="00155BD3" w:rsidRPr="00933708" w:rsidRDefault="00F842EB" w:rsidP="00A51AD5">
      <w:pPr>
        <w:pStyle w:val="COMbodybulletlist"/>
      </w:pPr>
      <w:r w:rsidRPr="00933708">
        <w:t>The patients who meet the incremental population criteria are from only 2 of the 4 component subgroups (eGFR 25 to &lt;45 mL/min/1.73 m</w:t>
      </w:r>
      <w:r w:rsidRPr="00933708">
        <w:rPr>
          <w:vertAlign w:val="superscript"/>
        </w:rPr>
        <w:t>2</w:t>
      </w:r>
      <w:r w:rsidRPr="00933708">
        <w:t xml:space="preserve"> and UACR &lt;200 mg/g; eGFR 20 to &lt;25 mL/min/1.73 m</w:t>
      </w:r>
      <w:r w:rsidRPr="00933708">
        <w:rPr>
          <w:vertAlign w:val="superscript"/>
        </w:rPr>
        <w:t>2</w:t>
      </w:r>
      <w:r w:rsidRPr="00933708">
        <w:t xml:space="preserve"> regardless of UACR), with no patients included from the other component subgroups of the incremental population (eGFR &gt;75 to &lt;90 mL/min/1.73 m</w:t>
      </w:r>
      <w:r w:rsidRPr="00933708">
        <w:rPr>
          <w:vertAlign w:val="superscript"/>
        </w:rPr>
        <w:t>2</w:t>
      </w:r>
      <w:r w:rsidRPr="00933708">
        <w:t xml:space="preserve"> and UACR ≥200 mg/g; eGFR 25 to 75 mL/min/1.73 m</w:t>
      </w:r>
      <w:r w:rsidRPr="00933708">
        <w:rPr>
          <w:vertAlign w:val="superscript"/>
        </w:rPr>
        <w:t>2</w:t>
      </w:r>
      <w:r w:rsidRPr="00933708">
        <w:t xml:space="preserve"> and UACR &gt;5000 mg/g).</w:t>
      </w:r>
    </w:p>
    <w:p w14:paraId="118960D0" w14:textId="137FBDEA" w:rsidR="00F842EB" w:rsidRPr="00933708" w:rsidRDefault="00155BD3" w:rsidP="00A51AD5">
      <w:pPr>
        <w:pStyle w:val="COMbodybulletlist"/>
      </w:pPr>
      <w:r w:rsidRPr="00933708">
        <w:t>T</w:t>
      </w:r>
      <w:r w:rsidR="00F842EB" w:rsidRPr="00933708">
        <w:t xml:space="preserve">he analysis was based on the treatment effects of empagliflozin in the overall population. Results for annual eGFR change suggest a treatment effect interaction between the overlap and incremental populations, with smaller treatment effects observed in incremental population. </w:t>
      </w:r>
    </w:p>
    <w:p w14:paraId="1304187E" w14:textId="1076B0F2" w:rsidR="00F842EB" w:rsidRPr="00933708" w:rsidRDefault="00F842EB" w:rsidP="007C4C88">
      <w:pPr>
        <w:pStyle w:val="ListParagraph"/>
        <w:numPr>
          <w:ilvl w:val="1"/>
          <w:numId w:val="1"/>
        </w:numPr>
        <w:ind w:left="720" w:hanging="720"/>
      </w:pPr>
      <w:r w:rsidRPr="00933708">
        <w:t xml:space="preserve">Limited sensitivity analyses were presented in the submission. The sensitivity analyses were considered largely uninformative as they did not adequately assess the robustness of the modelled economic evaluation due to the </w:t>
      </w:r>
      <w:r w:rsidR="00F959EE" w:rsidRPr="00933708">
        <w:t xml:space="preserve">issues outlined in </w:t>
      </w:r>
      <w:r w:rsidR="009B4855" w:rsidRPr="00933708">
        <w:t xml:space="preserve">paragraph </w:t>
      </w:r>
      <w:r w:rsidR="009B4855" w:rsidRPr="00933708">
        <w:fldChar w:fldCharType="begin"/>
      </w:r>
      <w:r w:rsidR="009B4855" w:rsidRPr="00933708">
        <w:instrText xml:space="preserve"> REF _Ref144877978 \r \h </w:instrText>
      </w:r>
      <w:r w:rsidR="009B4855" w:rsidRPr="00933708">
        <w:fldChar w:fldCharType="separate"/>
      </w:r>
      <w:r w:rsidR="00D5135E">
        <w:t>6.69</w:t>
      </w:r>
      <w:r w:rsidR="009B4855" w:rsidRPr="00933708">
        <w:fldChar w:fldCharType="end"/>
      </w:r>
      <w:r w:rsidR="009B4855" w:rsidRPr="00933708">
        <w:t>.</w:t>
      </w:r>
    </w:p>
    <w:p w14:paraId="02022DEC" w14:textId="6D983207" w:rsidR="00356D8C" w:rsidRPr="00933708" w:rsidRDefault="00356D8C" w:rsidP="00356D8C">
      <w:pPr>
        <w:pStyle w:val="COMexecsumnumberedpara"/>
        <w:numPr>
          <w:ilvl w:val="0"/>
          <w:numId w:val="0"/>
        </w:numPr>
        <w:spacing w:after="0"/>
        <w:ind w:left="720"/>
      </w:pPr>
      <w:r w:rsidRPr="00933708">
        <w:rPr>
          <w:rFonts w:cstheme="minorHAnsi"/>
          <w:i/>
        </w:rPr>
        <w:t>For more detail on PBAC’s view, see section 7 PBAC outcome</w:t>
      </w:r>
    </w:p>
    <w:p w14:paraId="472842D7" w14:textId="60EA4005" w:rsidR="00C25D9C" w:rsidRPr="00933708" w:rsidRDefault="00C25D9C" w:rsidP="00BB732D">
      <w:pPr>
        <w:pStyle w:val="COMH2-non-numbered"/>
        <w:rPr>
          <w:iCs/>
        </w:rPr>
      </w:pPr>
      <w:bookmarkStart w:id="62" w:name="_Toc22897646"/>
      <w:bookmarkStart w:id="63" w:name="_Toc145496442"/>
      <w:r w:rsidRPr="00933708">
        <w:rPr>
          <w:iCs/>
        </w:rPr>
        <w:t>Drug cost/patient/</w:t>
      </w:r>
      <w:r w:rsidR="0069614D" w:rsidRPr="00933708">
        <w:rPr>
          <w:iCs/>
        </w:rPr>
        <w:t>y</w:t>
      </w:r>
      <w:r w:rsidRPr="00933708">
        <w:rPr>
          <w:iCs/>
        </w:rPr>
        <w:t>ear</w:t>
      </w:r>
      <w:bookmarkEnd w:id="62"/>
      <w:bookmarkEnd w:id="63"/>
    </w:p>
    <w:p w14:paraId="165F5665" w14:textId="6372713C" w:rsidR="006A43D9" w:rsidRPr="00933708" w:rsidRDefault="003513AE" w:rsidP="007C4C88">
      <w:pPr>
        <w:pStyle w:val="ListParagraph"/>
        <w:numPr>
          <w:ilvl w:val="1"/>
          <w:numId w:val="1"/>
        </w:numPr>
        <w:ind w:left="720" w:hanging="720"/>
      </w:pPr>
      <w:bookmarkStart w:id="64" w:name="_Ref104805102"/>
      <w:r w:rsidRPr="00933708">
        <w:t xml:space="preserve">A comparison of empagliflozin use between the trial setting, economic model and budget impact model is presented in </w:t>
      </w:r>
      <w:r w:rsidR="00347D1E" w:rsidRPr="00933708">
        <w:fldChar w:fldCharType="begin"/>
      </w:r>
      <w:r w:rsidR="00347D1E" w:rsidRPr="00933708">
        <w:instrText xml:space="preserve"> REF _Ref144640075 \h  \* MERGEFORMAT </w:instrText>
      </w:r>
      <w:r w:rsidR="00347D1E" w:rsidRPr="00933708">
        <w:fldChar w:fldCharType="separate"/>
      </w:r>
      <w:r w:rsidR="00D5135E" w:rsidRPr="00933708">
        <w:t xml:space="preserve">Table </w:t>
      </w:r>
      <w:r w:rsidR="00D5135E">
        <w:t>15</w:t>
      </w:r>
      <w:r w:rsidR="00347D1E" w:rsidRPr="00933708">
        <w:fldChar w:fldCharType="end"/>
      </w:r>
      <w:r w:rsidRPr="00933708">
        <w:t>.</w:t>
      </w:r>
      <w:r w:rsidR="00E66650" w:rsidRPr="00933708">
        <w:t xml:space="preserve"> The estimates in the submission </w:t>
      </w:r>
      <w:r w:rsidR="00933708" w:rsidRPr="00933708">
        <w:t>assumed</w:t>
      </w:r>
      <w:r w:rsidR="00E66650" w:rsidRPr="00933708">
        <w:t xml:space="preserve"> 60 day dispensing </w:t>
      </w:r>
      <w:r w:rsidR="002D46A3" w:rsidRPr="00933708">
        <w:t>for empagliflozin.</w:t>
      </w:r>
      <w:r w:rsidR="00E66650" w:rsidRPr="00933708">
        <w:t xml:space="preserve"> Given empagliflozin </w:t>
      </w:r>
      <w:r w:rsidR="00F14E9C" w:rsidRPr="00933708">
        <w:t xml:space="preserve">for </w:t>
      </w:r>
      <w:r w:rsidR="00933708">
        <w:t xml:space="preserve">CKD </w:t>
      </w:r>
      <w:r w:rsidR="00E66650" w:rsidRPr="00933708">
        <w:t>is not an eligible stage one medicine for 60 day dispensing, the DPMQ was corrected during the evaluation ($61.01) to reflect a maximum quality of 1 pack (30 tablets) dispensed, updated for current mark-ups at 1 July 2023.</w:t>
      </w:r>
    </w:p>
    <w:p w14:paraId="78837542" w14:textId="7726C9D7" w:rsidR="006E7F3B" w:rsidRPr="00933708" w:rsidRDefault="006E7F3B" w:rsidP="007179CB">
      <w:pPr>
        <w:pStyle w:val="Caption"/>
      </w:pPr>
      <w:bookmarkStart w:id="65" w:name="_Ref144640075"/>
      <w:r w:rsidRPr="00933708">
        <w:lastRenderedPageBreak/>
        <w:t xml:space="preserve">Table </w:t>
      </w:r>
      <w:r w:rsidR="00D5135E">
        <w:fldChar w:fldCharType="begin"/>
      </w:r>
      <w:r w:rsidR="00D5135E">
        <w:instrText xml:space="preserve"> SEQ Table \* ARABIC </w:instrText>
      </w:r>
      <w:r w:rsidR="00D5135E">
        <w:fldChar w:fldCharType="separate"/>
      </w:r>
      <w:r w:rsidR="00D5135E">
        <w:rPr>
          <w:noProof/>
        </w:rPr>
        <w:t>15</w:t>
      </w:r>
      <w:r w:rsidR="00D5135E">
        <w:rPr>
          <w:noProof/>
        </w:rPr>
        <w:fldChar w:fldCharType="end"/>
      </w:r>
      <w:bookmarkEnd w:id="65"/>
      <w:r w:rsidRPr="00933708">
        <w:t>: Drug cost per patient per year for empagliflozin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1984"/>
        <w:gridCol w:w="2977"/>
        <w:gridCol w:w="2076"/>
      </w:tblGrid>
      <w:tr w:rsidR="006E7F3B" w:rsidRPr="00933708" w14:paraId="1A08CD5B" w14:textId="77777777" w:rsidTr="00584F4A">
        <w:trPr>
          <w:cantSplit/>
          <w:tblHeader/>
          <w:jc w:val="center"/>
        </w:trPr>
        <w:tc>
          <w:tcPr>
            <w:tcW w:w="1098" w:type="pct"/>
            <w:tcMar>
              <w:top w:w="0" w:type="dxa"/>
              <w:left w:w="28" w:type="dxa"/>
              <w:bottom w:w="0" w:type="dxa"/>
              <w:right w:w="28" w:type="dxa"/>
            </w:tcMar>
            <w:vAlign w:val="center"/>
          </w:tcPr>
          <w:p w14:paraId="66364B54" w14:textId="77777777" w:rsidR="006E7F3B" w:rsidRPr="0025567A" w:rsidRDefault="006E7F3B" w:rsidP="00584F4A">
            <w:pPr>
              <w:keepNext/>
              <w:jc w:val="left"/>
              <w:rPr>
                <w:rFonts w:ascii="Arial Narrow" w:eastAsiaTheme="majorEastAsia" w:hAnsi="Arial Narrow" w:cstheme="majorBidi"/>
                <w:bCs/>
                <w:sz w:val="20"/>
              </w:rPr>
            </w:pPr>
          </w:p>
        </w:tc>
        <w:tc>
          <w:tcPr>
            <w:tcW w:w="1100" w:type="pct"/>
            <w:tcMar>
              <w:top w:w="0" w:type="dxa"/>
              <w:left w:w="28" w:type="dxa"/>
              <w:bottom w:w="0" w:type="dxa"/>
              <w:right w:w="28" w:type="dxa"/>
            </w:tcMar>
            <w:vAlign w:val="center"/>
            <w:hideMark/>
          </w:tcPr>
          <w:p w14:paraId="4BF4B426" w14:textId="77777777" w:rsidR="006E7F3B" w:rsidRPr="0025567A" w:rsidRDefault="006E7F3B" w:rsidP="00584F4A">
            <w:pPr>
              <w:keepNext/>
              <w:jc w:val="center"/>
              <w:rPr>
                <w:rFonts w:ascii="Arial Narrow" w:eastAsiaTheme="majorEastAsia" w:hAnsi="Arial Narrow" w:cstheme="majorBidi"/>
                <w:b/>
                <w:sz w:val="20"/>
              </w:rPr>
            </w:pPr>
            <w:r w:rsidRPr="0025567A">
              <w:rPr>
                <w:rFonts w:ascii="Arial Narrow" w:eastAsiaTheme="majorEastAsia" w:hAnsi="Arial Narrow" w:cstheme="majorBidi"/>
                <w:b/>
                <w:sz w:val="20"/>
              </w:rPr>
              <w:t>EMPA-KIDNEY trial</w:t>
            </w:r>
          </w:p>
        </w:tc>
        <w:tc>
          <w:tcPr>
            <w:tcW w:w="1651" w:type="pct"/>
            <w:tcMar>
              <w:top w:w="0" w:type="dxa"/>
              <w:left w:w="28" w:type="dxa"/>
              <w:bottom w:w="0" w:type="dxa"/>
              <w:right w:w="28" w:type="dxa"/>
            </w:tcMar>
            <w:vAlign w:val="center"/>
            <w:hideMark/>
          </w:tcPr>
          <w:p w14:paraId="05AFFF75" w14:textId="77777777" w:rsidR="006E7F3B" w:rsidRPr="0025567A" w:rsidRDefault="006E7F3B" w:rsidP="00584F4A">
            <w:pPr>
              <w:keepNext/>
              <w:jc w:val="center"/>
              <w:rPr>
                <w:rFonts w:ascii="Arial Narrow" w:eastAsiaTheme="majorEastAsia" w:hAnsi="Arial Narrow" w:cstheme="majorBidi"/>
                <w:b/>
                <w:sz w:val="20"/>
              </w:rPr>
            </w:pPr>
            <w:r w:rsidRPr="0025567A">
              <w:rPr>
                <w:rFonts w:ascii="Arial Narrow" w:eastAsiaTheme="majorEastAsia" w:hAnsi="Arial Narrow" w:cstheme="majorBidi"/>
                <w:b/>
                <w:sz w:val="20"/>
              </w:rPr>
              <w:t>Economic model</w:t>
            </w:r>
          </w:p>
        </w:tc>
        <w:tc>
          <w:tcPr>
            <w:tcW w:w="1151" w:type="pct"/>
            <w:tcMar>
              <w:top w:w="0" w:type="dxa"/>
              <w:left w:w="28" w:type="dxa"/>
              <w:bottom w:w="0" w:type="dxa"/>
              <w:right w:w="28" w:type="dxa"/>
            </w:tcMar>
            <w:vAlign w:val="center"/>
            <w:hideMark/>
          </w:tcPr>
          <w:p w14:paraId="4BE7E353" w14:textId="77777777" w:rsidR="006E7F3B" w:rsidRPr="0025567A" w:rsidRDefault="006E7F3B" w:rsidP="00584F4A">
            <w:pPr>
              <w:keepNext/>
              <w:jc w:val="center"/>
              <w:rPr>
                <w:rFonts w:ascii="Arial Narrow" w:eastAsiaTheme="majorEastAsia" w:hAnsi="Arial Narrow" w:cstheme="majorBidi"/>
                <w:b/>
                <w:sz w:val="20"/>
              </w:rPr>
            </w:pPr>
            <w:r w:rsidRPr="0025567A">
              <w:rPr>
                <w:rFonts w:ascii="Arial Narrow" w:eastAsiaTheme="majorEastAsia" w:hAnsi="Arial Narrow" w:cstheme="majorBidi"/>
                <w:b/>
                <w:sz w:val="20"/>
              </w:rPr>
              <w:t>Financial estimates</w:t>
            </w:r>
          </w:p>
        </w:tc>
      </w:tr>
      <w:tr w:rsidR="006E7F3B" w:rsidRPr="00933708" w14:paraId="39BE47B7" w14:textId="77777777" w:rsidTr="00584F4A">
        <w:trPr>
          <w:cantSplit/>
          <w:jc w:val="center"/>
        </w:trPr>
        <w:tc>
          <w:tcPr>
            <w:tcW w:w="1098" w:type="pct"/>
            <w:tcMar>
              <w:top w:w="0" w:type="dxa"/>
              <w:left w:w="28" w:type="dxa"/>
              <w:bottom w:w="0" w:type="dxa"/>
              <w:right w:w="28" w:type="dxa"/>
            </w:tcMar>
            <w:vAlign w:val="center"/>
            <w:hideMark/>
          </w:tcPr>
          <w:p w14:paraId="5EBAEC9B" w14:textId="77777777" w:rsidR="006E7F3B" w:rsidRPr="0025567A" w:rsidRDefault="006E7F3B" w:rsidP="00584F4A">
            <w:pPr>
              <w:keepNext/>
              <w:jc w:val="left"/>
              <w:rPr>
                <w:rFonts w:ascii="Arial Narrow" w:eastAsiaTheme="majorEastAsia" w:hAnsi="Arial Narrow" w:cstheme="majorBidi"/>
                <w:bCs/>
                <w:sz w:val="20"/>
              </w:rPr>
            </w:pPr>
            <w:r w:rsidRPr="0025567A">
              <w:rPr>
                <w:rFonts w:ascii="Arial Narrow" w:eastAsiaTheme="majorEastAsia" w:hAnsi="Arial Narrow" w:cstheme="majorBidi"/>
                <w:bCs/>
                <w:sz w:val="20"/>
              </w:rPr>
              <w:t>Daily dose</w:t>
            </w:r>
          </w:p>
        </w:tc>
        <w:tc>
          <w:tcPr>
            <w:tcW w:w="1100" w:type="pct"/>
            <w:tcMar>
              <w:top w:w="0" w:type="dxa"/>
              <w:left w:w="28" w:type="dxa"/>
              <w:bottom w:w="0" w:type="dxa"/>
              <w:right w:w="28" w:type="dxa"/>
            </w:tcMar>
            <w:vAlign w:val="center"/>
            <w:hideMark/>
          </w:tcPr>
          <w:p w14:paraId="4413DA43" w14:textId="77777777" w:rsidR="006E7F3B" w:rsidRPr="0025567A" w:rsidRDefault="006E7F3B" w:rsidP="00584F4A">
            <w:pPr>
              <w:keepNext/>
              <w:jc w:val="center"/>
              <w:rPr>
                <w:rFonts w:ascii="Arial Narrow" w:eastAsiaTheme="majorEastAsia" w:hAnsi="Arial Narrow" w:cstheme="majorBidi"/>
                <w:bCs/>
                <w:sz w:val="20"/>
              </w:rPr>
            </w:pPr>
            <w:r w:rsidRPr="0025567A">
              <w:rPr>
                <w:rFonts w:ascii="Arial Narrow" w:eastAsiaTheme="majorEastAsia" w:hAnsi="Arial Narrow" w:cstheme="majorBidi"/>
                <w:bCs/>
                <w:sz w:val="20"/>
              </w:rPr>
              <w:t>10 mg daily</w:t>
            </w:r>
          </w:p>
        </w:tc>
        <w:tc>
          <w:tcPr>
            <w:tcW w:w="1651" w:type="pct"/>
            <w:tcMar>
              <w:top w:w="0" w:type="dxa"/>
              <w:left w:w="28" w:type="dxa"/>
              <w:bottom w:w="0" w:type="dxa"/>
              <w:right w:w="28" w:type="dxa"/>
            </w:tcMar>
            <w:vAlign w:val="center"/>
            <w:hideMark/>
          </w:tcPr>
          <w:p w14:paraId="48A92204" w14:textId="77777777" w:rsidR="006E7F3B" w:rsidRPr="0025567A" w:rsidRDefault="006E7F3B" w:rsidP="00584F4A">
            <w:pPr>
              <w:keepNext/>
              <w:jc w:val="center"/>
              <w:rPr>
                <w:rFonts w:ascii="Arial Narrow" w:eastAsiaTheme="majorEastAsia" w:hAnsi="Arial Narrow" w:cstheme="majorBidi"/>
                <w:bCs/>
                <w:sz w:val="20"/>
              </w:rPr>
            </w:pPr>
            <w:r w:rsidRPr="0025567A">
              <w:rPr>
                <w:rFonts w:ascii="Arial Narrow" w:eastAsiaTheme="majorEastAsia" w:hAnsi="Arial Narrow" w:cstheme="majorBidi"/>
                <w:bCs/>
                <w:sz w:val="20"/>
              </w:rPr>
              <w:t>10 mg daily</w:t>
            </w:r>
          </w:p>
        </w:tc>
        <w:tc>
          <w:tcPr>
            <w:tcW w:w="1151" w:type="pct"/>
            <w:tcMar>
              <w:top w:w="0" w:type="dxa"/>
              <w:left w:w="28" w:type="dxa"/>
              <w:bottom w:w="0" w:type="dxa"/>
              <w:right w:w="28" w:type="dxa"/>
            </w:tcMar>
            <w:vAlign w:val="center"/>
            <w:hideMark/>
          </w:tcPr>
          <w:p w14:paraId="1B8ADFF4" w14:textId="77777777" w:rsidR="006E7F3B" w:rsidRPr="0025567A" w:rsidRDefault="006E7F3B" w:rsidP="00584F4A">
            <w:pPr>
              <w:keepNext/>
              <w:jc w:val="center"/>
              <w:rPr>
                <w:rFonts w:ascii="Arial Narrow" w:eastAsiaTheme="majorEastAsia" w:hAnsi="Arial Narrow" w:cstheme="majorBidi"/>
                <w:bCs/>
                <w:sz w:val="20"/>
              </w:rPr>
            </w:pPr>
            <w:r w:rsidRPr="0025567A">
              <w:rPr>
                <w:rFonts w:ascii="Arial Narrow" w:eastAsiaTheme="majorEastAsia" w:hAnsi="Arial Narrow" w:cstheme="majorBidi"/>
                <w:bCs/>
                <w:sz w:val="20"/>
              </w:rPr>
              <w:t>10 mg daily</w:t>
            </w:r>
          </w:p>
        </w:tc>
      </w:tr>
      <w:tr w:rsidR="006E7F3B" w:rsidRPr="00933708" w14:paraId="4653EB08" w14:textId="77777777" w:rsidTr="00584F4A">
        <w:trPr>
          <w:cantSplit/>
          <w:jc w:val="center"/>
        </w:trPr>
        <w:tc>
          <w:tcPr>
            <w:tcW w:w="1098" w:type="pct"/>
            <w:tcMar>
              <w:top w:w="0" w:type="dxa"/>
              <w:left w:w="28" w:type="dxa"/>
              <w:bottom w:w="0" w:type="dxa"/>
              <w:right w:w="28" w:type="dxa"/>
            </w:tcMar>
            <w:vAlign w:val="center"/>
            <w:hideMark/>
          </w:tcPr>
          <w:p w14:paraId="53D21A89" w14:textId="77777777" w:rsidR="006E7F3B" w:rsidRPr="0025567A" w:rsidRDefault="006E7F3B" w:rsidP="00584F4A">
            <w:pPr>
              <w:keepNext/>
              <w:jc w:val="left"/>
              <w:rPr>
                <w:rFonts w:ascii="Arial Narrow" w:eastAsiaTheme="majorEastAsia" w:hAnsi="Arial Narrow" w:cstheme="majorBidi"/>
                <w:bCs/>
                <w:sz w:val="20"/>
              </w:rPr>
            </w:pPr>
            <w:r w:rsidRPr="0025567A">
              <w:rPr>
                <w:rFonts w:ascii="Arial Narrow" w:eastAsiaTheme="majorEastAsia" w:hAnsi="Arial Narrow" w:cstheme="majorBidi"/>
                <w:bCs/>
                <w:sz w:val="20"/>
              </w:rPr>
              <w:t>Cost per pack of 30 tablets (proposed DPMQ)</w:t>
            </w:r>
            <w:r w:rsidRPr="0025567A">
              <w:rPr>
                <w:rFonts w:ascii="Arial Narrow" w:eastAsiaTheme="majorEastAsia" w:hAnsi="Arial Narrow" w:cstheme="majorBidi"/>
                <w:bCs/>
                <w:sz w:val="20"/>
                <w:vertAlign w:val="superscript"/>
              </w:rPr>
              <w:t>a</w:t>
            </w:r>
          </w:p>
        </w:tc>
        <w:tc>
          <w:tcPr>
            <w:tcW w:w="1100" w:type="pct"/>
            <w:tcMar>
              <w:top w:w="0" w:type="dxa"/>
              <w:left w:w="28" w:type="dxa"/>
              <w:bottom w:w="0" w:type="dxa"/>
              <w:right w:w="28" w:type="dxa"/>
            </w:tcMar>
            <w:vAlign w:val="center"/>
            <w:hideMark/>
          </w:tcPr>
          <w:p w14:paraId="3E50D88E" w14:textId="77777777" w:rsidR="006E7F3B" w:rsidRPr="0025567A" w:rsidRDefault="006E7F3B" w:rsidP="00584F4A">
            <w:pPr>
              <w:keepNext/>
              <w:jc w:val="center"/>
              <w:rPr>
                <w:rFonts w:ascii="Arial Narrow" w:eastAsiaTheme="majorEastAsia" w:hAnsi="Arial Narrow" w:cstheme="majorBidi"/>
                <w:bCs/>
                <w:sz w:val="20"/>
              </w:rPr>
            </w:pPr>
            <w:r w:rsidRPr="0025567A">
              <w:rPr>
                <w:rFonts w:ascii="Arial Narrow" w:eastAsiaTheme="majorEastAsia" w:hAnsi="Arial Narrow" w:cstheme="majorBidi"/>
                <w:bCs/>
                <w:sz w:val="20"/>
              </w:rPr>
              <w:t>-</w:t>
            </w:r>
          </w:p>
        </w:tc>
        <w:tc>
          <w:tcPr>
            <w:tcW w:w="1651" w:type="pct"/>
            <w:tcMar>
              <w:top w:w="0" w:type="dxa"/>
              <w:left w:w="28" w:type="dxa"/>
              <w:bottom w:w="0" w:type="dxa"/>
              <w:right w:w="28" w:type="dxa"/>
            </w:tcMar>
            <w:vAlign w:val="center"/>
          </w:tcPr>
          <w:p w14:paraId="3E9090CF" w14:textId="77777777" w:rsidR="006E7F3B" w:rsidRPr="0025567A" w:rsidRDefault="006E7F3B" w:rsidP="00584F4A">
            <w:pPr>
              <w:keepNext/>
              <w:jc w:val="center"/>
              <w:rPr>
                <w:rFonts w:ascii="Arial Narrow" w:eastAsiaTheme="majorEastAsia" w:hAnsi="Arial Narrow" w:cstheme="majorBidi"/>
                <w:bCs/>
                <w:i/>
                <w:iCs/>
                <w:sz w:val="20"/>
              </w:rPr>
            </w:pPr>
            <w:r w:rsidRPr="0025567A">
              <w:rPr>
                <w:rFonts w:ascii="Arial Narrow" w:eastAsiaTheme="majorEastAsia" w:hAnsi="Arial Narrow" w:cstheme="majorBidi"/>
                <w:bCs/>
                <w:sz w:val="20"/>
              </w:rPr>
              <w:t>$61.01</w:t>
            </w:r>
          </w:p>
        </w:tc>
        <w:tc>
          <w:tcPr>
            <w:tcW w:w="1151" w:type="pct"/>
            <w:tcMar>
              <w:top w:w="0" w:type="dxa"/>
              <w:left w:w="28" w:type="dxa"/>
              <w:bottom w:w="0" w:type="dxa"/>
              <w:right w:w="28" w:type="dxa"/>
            </w:tcMar>
            <w:vAlign w:val="center"/>
          </w:tcPr>
          <w:p w14:paraId="4B102B24" w14:textId="77777777" w:rsidR="006E7F3B" w:rsidRPr="0025567A" w:rsidRDefault="006E7F3B" w:rsidP="00584F4A">
            <w:pPr>
              <w:keepNext/>
              <w:jc w:val="center"/>
              <w:rPr>
                <w:rFonts w:ascii="Arial Narrow" w:eastAsiaTheme="majorEastAsia" w:hAnsi="Arial Narrow" w:cstheme="majorBidi"/>
                <w:bCs/>
                <w:sz w:val="20"/>
              </w:rPr>
            </w:pPr>
            <w:r w:rsidRPr="0025567A">
              <w:rPr>
                <w:rFonts w:ascii="Arial Narrow" w:eastAsiaTheme="majorEastAsia" w:hAnsi="Arial Narrow" w:cstheme="majorBidi"/>
                <w:bCs/>
                <w:sz w:val="20"/>
              </w:rPr>
              <w:t>$61.01</w:t>
            </w:r>
          </w:p>
        </w:tc>
      </w:tr>
      <w:tr w:rsidR="006E7F3B" w:rsidRPr="00933708" w14:paraId="0E9AB832" w14:textId="77777777" w:rsidTr="00584F4A">
        <w:trPr>
          <w:cantSplit/>
          <w:jc w:val="center"/>
        </w:trPr>
        <w:tc>
          <w:tcPr>
            <w:tcW w:w="1098" w:type="pct"/>
            <w:tcMar>
              <w:top w:w="0" w:type="dxa"/>
              <w:left w:w="28" w:type="dxa"/>
              <w:bottom w:w="0" w:type="dxa"/>
              <w:right w:w="28" w:type="dxa"/>
            </w:tcMar>
            <w:vAlign w:val="center"/>
          </w:tcPr>
          <w:p w14:paraId="1C6C5B6A" w14:textId="77777777" w:rsidR="006E7F3B" w:rsidRPr="0025567A" w:rsidRDefault="006E7F3B" w:rsidP="00584F4A">
            <w:pPr>
              <w:keepNext/>
              <w:jc w:val="left"/>
              <w:rPr>
                <w:rFonts w:ascii="Arial Narrow" w:eastAsiaTheme="majorEastAsia" w:hAnsi="Arial Narrow" w:cstheme="majorBidi"/>
                <w:bCs/>
                <w:sz w:val="20"/>
              </w:rPr>
            </w:pPr>
            <w:r w:rsidRPr="0025567A">
              <w:rPr>
                <w:rFonts w:ascii="Arial Narrow" w:eastAsiaTheme="majorEastAsia" w:hAnsi="Arial Narrow" w:cstheme="majorBidi"/>
                <w:bCs/>
                <w:sz w:val="20"/>
              </w:rPr>
              <w:t>Adherence</w:t>
            </w:r>
          </w:p>
        </w:tc>
        <w:tc>
          <w:tcPr>
            <w:tcW w:w="1100" w:type="pct"/>
            <w:tcMar>
              <w:top w:w="0" w:type="dxa"/>
              <w:left w:w="28" w:type="dxa"/>
              <w:bottom w:w="0" w:type="dxa"/>
              <w:right w:w="28" w:type="dxa"/>
            </w:tcMar>
            <w:vAlign w:val="center"/>
          </w:tcPr>
          <w:p w14:paraId="03FBAC41" w14:textId="77777777" w:rsidR="006E7F3B" w:rsidRPr="0025567A" w:rsidRDefault="006E7F3B" w:rsidP="00584F4A">
            <w:pPr>
              <w:keepNext/>
              <w:jc w:val="center"/>
              <w:rPr>
                <w:rFonts w:ascii="Arial Narrow" w:eastAsiaTheme="majorEastAsia" w:hAnsi="Arial Narrow" w:cstheme="majorBidi"/>
                <w:bCs/>
                <w:sz w:val="20"/>
              </w:rPr>
            </w:pPr>
          </w:p>
        </w:tc>
        <w:tc>
          <w:tcPr>
            <w:tcW w:w="1651" w:type="pct"/>
            <w:tcMar>
              <w:top w:w="0" w:type="dxa"/>
              <w:left w:w="28" w:type="dxa"/>
              <w:bottom w:w="0" w:type="dxa"/>
              <w:right w:w="28" w:type="dxa"/>
            </w:tcMar>
            <w:vAlign w:val="center"/>
          </w:tcPr>
          <w:p w14:paraId="690BFCAC" w14:textId="77777777" w:rsidR="006E7F3B" w:rsidRPr="0025567A" w:rsidRDefault="006E7F3B" w:rsidP="00584F4A">
            <w:pPr>
              <w:keepNext/>
              <w:jc w:val="center"/>
              <w:rPr>
                <w:rFonts w:ascii="Arial Narrow" w:eastAsiaTheme="majorEastAsia" w:hAnsi="Arial Narrow" w:cstheme="majorBidi"/>
                <w:bCs/>
                <w:sz w:val="20"/>
              </w:rPr>
            </w:pPr>
            <w:r w:rsidRPr="0025567A">
              <w:rPr>
                <w:rFonts w:ascii="Arial Narrow" w:eastAsiaTheme="majorEastAsia" w:hAnsi="Arial Narrow" w:cstheme="majorBidi"/>
                <w:bCs/>
                <w:sz w:val="20"/>
              </w:rPr>
              <w:t>100%</w:t>
            </w:r>
          </w:p>
        </w:tc>
        <w:tc>
          <w:tcPr>
            <w:tcW w:w="1151" w:type="pct"/>
            <w:tcMar>
              <w:top w:w="0" w:type="dxa"/>
              <w:left w:w="28" w:type="dxa"/>
              <w:bottom w:w="0" w:type="dxa"/>
              <w:right w:w="28" w:type="dxa"/>
            </w:tcMar>
            <w:vAlign w:val="center"/>
          </w:tcPr>
          <w:p w14:paraId="0BE94222" w14:textId="77777777" w:rsidR="006E7F3B" w:rsidRPr="0025567A" w:rsidRDefault="006E7F3B" w:rsidP="00584F4A">
            <w:pPr>
              <w:keepNext/>
              <w:jc w:val="center"/>
              <w:rPr>
                <w:rFonts w:ascii="Arial Narrow" w:eastAsiaTheme="majorEastAsia" w:hAnsi="Arial Narrow" w:cstheme="majorBidi"/>
                <w:bCs/>
                <w:sz w:val="20"/>
              </w:rPr>
            </w:pPr>
            <w:r w:rsidRPr="0025567A">
              <w:rPr>
                <w:rFonts w:ascii="Arial Narrow" w:eastAsiaTheme="majorEastAsia" w:hAnsi="Arial Narrow" w:cstheme="majorBidi"/>
                <w:bCs/>
                <w:sz w:val="20"/>
              </w:rPr>
              <w:t>90%</w:t>
            </w:r>
          </w:p>
        </w:tc>
      </w:tr>
      <w:tr w:rsidR="006E7F3B" w:rsidRPr="00933708" w14:paraId="5089E3CA" w14:textId="77777777" w:rsidTr="00584F4A">
        <w:trPr>
          <w:cantSplit/>
          <w:jc w:val="center"/>
        </w:trPr>
        <w:tc>
          <w:tcPr>
            <w:tcW w:w="1098" w:type="pct"/>
            <w:tcMar>
              <w:top w:w="0" w:type="dxa"/>
              <w:left w:w="28" w:type="dxa"/>
              <w:bottom w:w="0" w:type="dxa"/>
              <w:right w:w="28" w:type="dxa"/>
            </w:tcMar>
            <w:vAlign w:val="center"/>
            <w:hideMark/>
          </w:tcPr>
          <w:p w14:paraId="6098FF39" w14:textId="77777777" w:rsidR="006E7F3B" w:rsidRPr="0025567A" w:rsidRDefault="006E7F3B" w:rsidP="00584F4A">
            <w:pPr>
              <w:keepNext/>
              <w:jc w:val="left"/>
              <w:rPr>
                <w:rFonts w:ascii="Arial Narrow" w:eastAsiaTheme="majorEastAsia" w:hAnsi="Arial Narrow" w:cstheme="majorBidi"/>
                <w:bCs/>
                <w:sz w:val="20"/>
              </w:rPr>
            </w:pPr>
            <w:r w:rsidRPr="0025567A">
              <w:rPr>
                <w:rFonts w:ascii="Arial Narrow" w:eastAsiaTheme="majorEastAsia" w:hAnsi="Arial Narrow" w:cstheme="majorBidi"/>
                <w:bCs/>
                <w:sz w:val="20"/>
              </w:rPr>
              <w:t>No. scripts per year</w:t>
            </w:r>
          </w:p>
        </w:tc>
        <w:tc>
          <w:tcPr>
            <w:tcW w:w="1100" w:type="pct"/>
            <w:tcMar>
              <w:top w:w="0" w:type="dxa"/>
              <w:left w:w="28" w:type="dxa"/>
              <w:bottom w:w="0" w:type="dxa"/>
              <w:right w:w="28" w:type="dxa"/>
            </w:tcMar>
            <w:vAlign w:val="center"/>
            <w:hideMark/>
          </w:tcPr>
          <w:p w14:paraId="68841C39" w14:textId="77777777" w:rsidR="006E7F3B" w:rsidRPr="0025567A" w:rsidRDefault="006E7F3B" w:rsidP="00584F4A">
            <w:pPr>
              <w:keepNext/>
              <w:jc w:val="center"/>
              <w:rPr>
                <w:rFonts w:ascii="Arial Narrow" w:eastAsiaTheme="majorEastAsia" w:hAnsi="Arial Narrow" w:cstheme="majorBidi"/>
                <w:bCs/>
                <w:sz w:val="20"/>
              </w:rPr>
            </w:pPr>
            <w:r w:rsidRPr="0025567A">
              <w:rPr>
                <w:rFonts w:ascii="Arial Narrow" w:eastAsiaTheme="majorEastAsia" w:hAnsi="Arial Narrow" w:cstheme="majorBidi"/>
                <w:bCs/>
                <w:sz w:val="20"/>
              </w:rPr>
              <w:t>-</w:t>
            </w:r>
          </w:p>
        </w:tc>
        <w:tc>
          <w:tcPr>
            <w:tcW w:w="1651" w:type="pct"/>
            <w:tcMar>
              <w:top w:w="0" w:type="dxa"/>
              <w:left w:w="28" w:type="dxa"/>
              <w:bottom w:w="0" w:type="dxa"/>
              <w:right w:w="28" w:type="dxa"/>
            </w:tcMar>
            <w:vAlign w:val="center"/>
            <w:hideMark/>
          </w:tcPr>
          <w:p w14:paraId="2F3BB3D7" w14:textId="77777777" w:rsidR="006E7F3B" w:rsidRPr="0025567A" w:rsidRDefault="006E7F3B" w:rsidP="00584F4A">
            <w:pPr>
              <w:keepNext/>
              <w:jc w:val="center"/>
              <w:rPr>
                <w:rFonts w:ascii="Arial Narrow" w:eastAsiaTheme="majorEastAsia" w:hAnsi="Arial Narrow" w:cstheme="majorBidi"/>
                <w:bCs/>
                <w:sz w:val="20"/>
              </w:rPr>
            </w:pPr>
            <w:r w:rsidRPr="0025567A">
              <w:rPr>
                <w:rFonts w:ascii="Arial Narrow" w:eastAsiaTheme="majorEastAsia" w:hAnsi="Arial Narrow" w:cstheme="majorBidi"/>
                <w:bCs/>
                <w:sz w:val="20"/>
              </w:rPr>
              <w:t>12.1750</w:t>
            </w:r>
          </w:p>
          <w:p w14:paraId="206EFF9F" w14:textId="77777777" w:rsidR="006E7F3B" w:rsidRPr="0025567A" w:rsidRDefault="006E7F3B" w:rsidP="00584F4A">
            <w:pPr>
              <w:keepNext/>
              <w:jc w:val="center"/>
              <w:rPr>
                <w:rFonts w:ascii="Arial Narrow" w:eastAsiaTheme="majorEastAsia" w:hAnsi="Arial Narrow" w:cstheme="majorBidi"/>
                <w:bCs/>
                <w:sz w:val="20"/>
              </w:rPr>
            </w:pPr>
            <w:r w:rsidRPr="0025567A">
              <w:rPr>
                <w:rFonts w:ascii="Arial Narrow" w:eastAsiaTheme="majorEastAsia" w:hAnsi="Arial Narrow" w:cstheme="majorBidi"/>
                <w:bCs/>
                <w:sz w:val="20"/>
              </w:rPr>
              <w:t>(=365.25 ÷ 30 × 100%)</w:t>
            </w:r>
          </w:p>
        </w:tc>
        <w:tc>
          <w:tcPr>
            <w:tcW w:w="1151" w:type="pct"/>
            <w:tcMar>
              <w:top w:w="0" w:type="dxa"/>
              <w:left w:w="28" w:type="dxa"/>
              <w:bottom w:w="0" w:type="dxa"/>
              <w:right w:w="28" w:type="dxa"/>
            </w:tcMar>
            <w:vAlign w:val="center"/>
            <w:hideMark/>
          </w:tcPr>
          <w:p w14:paraId="5D51394C" w14:textId="77777777" w:rsidR="006E7F3B" w:rsidRPr="0025567A" w:rsidRDefault="006E7F3B" w:rsidP="00584F4A">
            <w:pPr>
              <w:keepNext/>
              <w:jc w:val="center"/>
              <w:rPr>
                <w:rFonts w:ascii="Arial Narrow" w:eastAsiaTheme="majorEastAsia" w:hAnsi="Arial Narrow" w:cstheme="majorBidi"/>
                <w:bCs/>
                <w:sz w:val="20"/>
              </w:rPr>
            </w:pPr>
            <w:r w:rsidRPr="0025567A">
              <w:rPr>
                <w:rFonts w:ascii="Arial Narrow" w:eastAsiaTheme="majorEastAsia" w:hAnsi="Arial Narrow" w:cstheme="majorBidi"/>
                <w:bCs/>
                <w:sz w:val="20"/>
              </w:rPr>
              <w:t>10.9575</w:t>
            </w:r>
          </w:p>
          <w:p w14:paraId="100FFDD7" w14:textId="77777777" w:rsidR="006E7F3B" w:rsidRPr="0025567A" w:rsidRDefault="006E7F3B" w:rsidP="00584F4A">
            <w:pPr>
              <w:keepNext/>
              <w:jc w:val="center"/>
              <w:rPr>
                <w:rFonts w:ascii="Arial Narrow" w:eastAsiaTheme="majorEastAsia" w:hAnsi="Arial Narrow" w:cstheme="majorBidi"/>
                <w:bCs/>
                <w:sz w:val="20"/>
              </w:rPr>
            </w:pPr>
            <w:r w:rsidRPr="0025567A">
              <w:rPr>
                <w:rFonts w:ascii="Arial Narrow" w:eastAsiaTheme="majorEastAsia" w:hAnsi="Arial Narrow" w:cstheme="majorBidi"/>
                <w:bCs/>
                <w:sz w:val="20"/>
              </w:rPr>
              <w:t>(=365.25 ÷ 30 × 90%)</w:t>
            </w:r>
          </w:p>
        </w:tc>
      </w:tr>
      <w:tr w:rsidR="006E7F3B" w:rsidRPr="00933708" w14:paraId="60703CF4" w14:textId="77777777" w:rsidTr="00584F4A">
        <w:trPr>
          <w:cantSplit/>
          <w:jc w:val="center"/>
        </w:trPr>
        <w:tc>
          <w:tcPr>
            <w:tcW w:w="1098" w:type="pct"/>
            <w:tcMar>
              <w:top w:w="0" w:type="dxa"/>
              <w:left w:w="28" w:type="dxa"/>
              <w:bottom w:w="0" w:type="dxa"/>
              <w:right w:w="28" w:type="dxa"/>
            </w:tcMar>
            <w:vAlign w:val="center"/>
            <w:hideMark/>
          </w:tcPr>
          <w:p w14:paraId="54F4AF8C" w14:textId="77777777" w:rsidR="006E7F3B" w:rsidRPr="0025567A" w:rsidRDefault="006E7F3B" w:rsidP="00584F4A">
            <w:pPr>
              <w:keepNext/>
              <w:jc w:val="left"/>
              <w:rPr>
                <w:rFonts w:ascii="Arial Narrow" w:eastAsiaTheme="majorEastAsia" w:hAnsi="Arial Narrow" w:cstheme="majorBidi"/>
                <w:bCs/>
                <w:sz w:val="20"/>
              </w:rPr>
            </w:pPr>
            <w:r w:rsidRPr="0025567A">
              <w:rPr>
                <w:rFonts w:ascii="Arial Narrow" w:eastAsiaTheme="majorEastAsia" w:hAnsi="Arial Narrow" w:cstheme="majorBidi"/>
                <w:bCs/>
                <w:sz w:val="20"/>
              </w:rPr>
              <w:t>Cost per year</w:t>
            </w:r>
          </w:p>
        </w:tc>
        <w:tc>
          <w:tcPr>
            <w:tcW w:w="1100" w:type="pct"/>
            <w:tcMar>
              <w:top w:w="0" w:type="dxa"/>
              <w:left w:w="28" w:type="dxa"/>
              <w:bottom w:w="0" w:type="dxa"/>
              <w:right w:w="28" w:type="dxa"/>
            </w:tcMar>
            <w:vAlign w:val="center"/>
            <w:hideMark/>
          </w:tcPr>
          <w:p w14:paraId="49FF6EAB" w14:textId="77777777" w:rsidR="006E7F3B" w:rsidRPr="0025567A" w:rsidRDefault="006E7F3B" w:rsidP="00584F4A">
            <w:pPr>
              <w:keepNext/>
              <w:jc w:val="center"/>
              <w:rPr>
                <w:rFonts w:ascii="Arial Narrow" w:eastAsiaTheme="majorEastAsia" w:hAnsi="Arial Narrow" w:cstheme="majorBidi"/>
                <w:bCs/>
                <w:sz w:val="20"/>
              </w:rPr>
            </w:pPr>
            <w:r w:rsidRPr="0025567A">
              <w:rPr>
                <w:rFonts w:ascii="Arial Narrow" w:eastAsiaTheme="majorEastAsia" w:hAnsi="Arial Narrow" w:cstheme="majorBidi"/>
                <w:bCs/>
                <w:sz w:val="20"/>
              </w:rPr>
              <w:t>-</w:t>
            </w:r>
          </w:p>
        </w:tc>
        <w:tc>
          <w:tcPr>
            <w:tcW w:w="1651" w:type="pct"/>
            <w:tcMar>
              <w:top w:w="0" w:type="dxa"/>
              <w:left w:w="28" w:type="dxa"/>
              <w:bottom w:w="0" w:type="dxa"/>
              <w:right w:w="28" w:type="dxa"/>
            </w:tcMar>
            <w:vAlign w:val="center"/>
            <w:hideMark/>
          </w:tcPr>
          <w:p w14:paraId="674563AB" w14:textId="77777777" w:rsidR="006E7F3B" w:rsidRPr="0025567A" w:rsidRDefault="006E7F3B" w:rsidP="00584F4A">
            <w:pPr>
              <w:keepNext/>
              <w:jc w:val="center"/>
              <w:rPr>
                <w:rFonts w:ascii="Arial Narrow" w:eastAsiaTheme="majorEastAsia" w:hAnsi="Arial Narrow" w:cstheme="majorBidi"/>
                <w:bCs/>
                <w:sz w:val="20"/>
              </w:rPr>
            </w:pPr>
            <w:r w:rsidRPr="0025567A">
              <w:rPr>
                <w:rFonts w:ascii="Arial Narrow" w:eastAsiaTheme="majorEastAsia" w:hAnsi="Arial Narrow" w:cstheme="majorBidi"/>
                <w:bCs/>
                <w:sz w:val="20"/>
              </w:rPr>
              <w:t>$742.80</w:t>
            </w:r>
            <w:r w:rsidRPr="0025567A">
              <w:rPr>
                <w:rFonts w:ascii="Arial Narrow" w:eastAsiaTheme="majorEastAsia" w:hAnsi="Arial Narrow" w:cstheme="majorBidi"/>
                <w:bCs/>
                <w:sz w:val="20"/>
                <w:vertAlign w:val="superscript"/>
              </w:rPr>
              <w:t>b</w:t>
            </w:r>
          </w:p>
        </w:tc>
        <w:tc>
          <w:tcPr>
            <w:tcW w:w="1151" w:type="pct"/>
            <w:tcMar>
              <w:top w:w="0" w:type="dxa"/>
              <w:left w:w="28" w:type="dxa"/>
              <w:bottom w:w="0" w:type="dxa"/>
              <w:right w:w="28" w:type="dxa"/>
            </w:tcMar>
            <w:vAlign w:val="center"/>
            <w:hideMark/>
          </w:tcPr>
          <w:p w14:paraId="6C0D973F" w14:textId="77777777" w:rsidR="006E7F3B" w:rsidRPr="0025567A" w:rsidRDefault="006E7F3B" w:rsidP="00584F4A">
            <w:pPr>
              <w:keepNext/>
              <w:jc w:val="center"/>
              <w:rPr>
                <w:rFonts w:ascii="Arial Narrow" w:eastAsiaTheme="majorEastAsia" w:hAnsi="Arial Narrow" w:cstheme="majorBidi"/>
                <w:bCs/>
                <w:sz w:val="20"/>
              </w:rPr>
            </w:pPr>
            <w:r w:rsidRPr="0025567A">
              <w:rPr>
                <w:rFonts w:ascii="Arial Narrow" w:eastAsiaTheme="majorEastAsia" w:hAnsi="Arial Narrow" w:cstheme="majorBidi"/>
                <w:bCs/>
                <w:sz w:val="20"/>
              </w:rPr>
              <w:t>$668.52</w:t>
            </w:r>
            <w:r w:rsidRPr="0025567A">
              <w:rPr>
                <w:rFonts w:ascii="Arial Narrow" w:eastAsiaTheme="majorEastAsia" w:hAnsi="Arial Narrow" w:cstheme="majorBidi"/>
                <w:bCs/>
                <w:sz w:val="20"/>
                <w:vertAlign w:val="superscript"/>
              </w:rPr>
              <w:t>c</w:t>
            </w:r>
          </w:p>
        </w:tc>
      </w:tr>
      <w:tr w:rsidR="006E7F3B" w:rsidRPr="00933708" w14:paraId="56EBE681" w14:textId="77777777" w:rsidTr="00584F4A">
        <w:trPr>
          <w:cantSplit/>
          <w:trHeight w:val="1389"/>
          <w:jc w:val="center"/>
        </w:trPr>
        <w:tc>
          <w:tcPr>
            <w:tcW w:w="1098" w:type="pct"/>
            <w:tcMar>
              <w:top w:w="0" w:type="dxa"/>
              <w:left w:w="28" w:type="dxa"/>
              <w:bottom w:w="0" w:type="dxa"/>
              <w:right w:w="28" w:type="dxa"/>
            </w:tcMar>
            <w:vAlign w:val="center"/>
          </w:tcPr>
          <w:p w14:paraId="4CDF3A3A" w14:textId="77777777" w:rsidR="006E7F3B" w:rsidRPr="0025567A" w:rsidRDefault="006E7F3B" w:rsidP="00584F4A">
            <w:pPr>
              <w:keepNext/>
              <w:jc w:val="left"/>
              <w:rPr>
                <w:rFonts w:ascii="Arial Narrow" w:eastAsiaTheme="majorEastAsia" w:hAnsi="Arial Narrow" w:cstheme="majorBidi"/>
                <w:bCs/>
                <w:sz w:val="20"/>
              </w:rPr>
            </w:pPr>
            <w:r w:rsidRPr="0025567A">
              <w:rPr>
                <w:rFonts w:ascii="Arial Narrow" w:eastAsiaTheme="majorEastAsia" w:hAnsi="Arial Narrow" w:cstheme="majorBidi"/>
                <w:bCs/>
                <w:sz w:val="20"/>
              </w:rPr>
              <w:t>Proportion of patients on treatment (persistence)</w:t>
            </w:r>
          </w:p>
        </w:tc>
        <w:tc>
          <w:tcPr>
            <w:tcW w:w="1100" w:type="pct"/>
            <w:tcMar>
              <w:top w:w="0" w:type="dxa"/>
              <w:left w:w="28" w:type="dxa"/>
              <w:bottom w:w="0" w:type="dxa"/>
              <w:right w:w="28" w:type="dxa"/>
            </w:tcMar>
            <w:vAlign w:val="center"/>
          </w:tcPr>
          <w:p w14:paraId="2AC997E4" w14:textId="77777777" w:rsidR="006E7F3B" w:rsidRPr="0025567A" w:rsidRDefault="006E7F3B" w:rsidP="00584F4A">
            <w:pPr>
              <w:keepNext/>
              <w:jc w:val="center"/>
              <w:rPr>
                <w:rFonts w:ascii="Arial Narrow" w:eastAsiaTheme="majorEastAsia" w:hAnsi="Arial Narrow" w:cstheme="majorBidi"/>
                <w:bCs/>
                <w:sz w:val="20"/>
              </w:rPr>
            </w:pPr>
            <w:r w:rsidRPr="0025567A">
              <w:rPr>
                <w:rFonts w:ascii="Arial Narrow" w:eastAsiaTheme="majorEastAsia" w:hAnsi="Arial Narrow" w:cstheme="majorBidi"/>
                <w:bCs/>
                <w:sz w:val="20"/>
              </w:rPr>
              <w:t>After a mean follow-up of 23.9 months, 74.3% of patients in the empagliflozin arm remained on treatment</w:t>
            </w:r>
          </w:p>
        </w:tc>
        <w:tc>
          <w:tcPr>
            <w:tcW w:w="1651" w:type="pct"/>
            <w:tcMar>
              <w:top w:w="0" w:type="dxa"/>
              <w:left w:w="28" w:type="dxa"/>
              <w:bottom w:w="0" w:type="dxa"/>
              <w:right w:w="28" w:type="dxa"/>
            </w:tcMar>
          </w:tcPr>
          <w:p w14:paraId="12D4D0FC" w14:textId="77777777" w:rsidR="006E7F3B" w:rsidRPr="0025567A" w:rsidRDefault="006E7F3B" w:rsidP="00584F4A">
            <w:pPr>
              <w:keepNext/>
              <w:jc w:val="center"/>
              <w:rPr>
                <w:rFonts w:ascii="Arial Narrow" w:eastAsiaTheme="majorEastAsia" w:hAnsi="Arial Narrow" w:cstheme="majorBidi"/>
                <w:bCs/>
                <w:sz w:val="20"/>
              </w:rPr>
            </w:pPr>
            <w:r w:rsidRPr="0025567A">
              <w:rPr>
                <w:rFonts w:ascii="Arial Narrow" w:eastAsiaTheme="majorEastAsia" w:hAnsi="Arial Narrow" w:cstheme="majorBidi"/>
                <w:bCs/>
                <w:sz w:val="20"/>
              </w:rPr>
              <w:t>Year 1: 88.3%</w:t>
            </w:r>
          </w:p>
          <w:p w14:paraId="09620E25" w14:textId="77777777" w:rsidR="006E7F3B" w:rsidRPr="0025567A" w:rsidRDefault="006E7F3B" w:rsidP="00584F4A">
            <w:pPr>
              <w:keepNext/>
              <w:jc w:val="center"/>
              <w:rPr>
                <w:rFonts w:ascii="Arial Narrow" w:eastAsiaTheme="majorEastAsia" w:hAnsi="Arial Narrow" w:cstheme="majorBidi"/>
                <w:bCs/>
                <w:sz w:val="20"/>
              </w:rPr>
            </w:pPr>
            <w:r w:rsidRPr="0025567A">
              <w:rPr>
                <w:rFonts w:ascii="Arial Narrow" w:eastAsiaTheme="majorEastAsia" w:hAnsi="Arial Narrow" w:cstheme="majorBidi"/>
                <w:bCs/>
                <w:sz w:val="20"/>
              </w:rPr>
              <w:t>Year 2: 78.6%</w:t>
            </w:r>
          </w:p>
          <w:p w14:paraId="11C55692" w14:textId="77777777" w:rsidR="006E7F3B" w:rsidRPr="0025567A" w:rsidRDefault="006E7F3B" w:rsidP="00584F4A">
            <w:pPr>
              <w:keepNext/>
              <w:jc w:val="center"/>
              <w:rPr>
                <w:rFonts w:ascii="Arial Narrow" w:eastAsiaTheme="majorEastAsia" w:hAnsi="Arial Narrow" w:cstheme="majorBidi"/>
                <w:bCs/>
                <w:sz w:val="20"/>
              </w:rPr>
            </w:pPr>
            <w:r w:rsidRPr="0025567A">
              <w:rPr>
                <w:rFonts w:ascii="Arial Narrow" w:eastAsiaTheme="majorEastAsia" w:hAnsi="Arial Narrow" w:cstheme="majorBidi"/>
                <w:bCs/>
                <w:sz w:val="20"/>
              </w:rPr>
              <w:t>Year 3: 69.7%</w:t>
            </w:r>
          </w:p>
          <w:p w14:paraId="5A96CA32" w14:textId="77777777" w:rsidR="006E7F3B" w:rsidRPr="0025567A" w:rsidRDefault="006E7F3B" w:rsidP="00584F4A">
            <w:pPr>
              <w:keepNext/>
              <w:jc w:val="center"/>
              <w:rPr>
                <w:rFonts w:ascii="Arial Narrow" w:eastAsiaTheme="majorEastAsia" w:hAnsi="Arial Narrow" w:cstheme="majorBidi"/>
                <w:bCs/>
                <w:sz w:val="20"/>
              </w:rPr>
            </w:pPr>
            <w:r w:rsidRPr="0025567A">
              <w:rPr>
                <w:rFonts w:ascii="Arial Narrow" w:eastAsiaTheme="majorEastAsia" w:hAnsi="Arial Narrow" w:cstheme="majorBidi"/>
                <w:bCs/>
                <w:sz w:val="20"/>
              </w:rPr>
              <w:t>Year 4: 61.3%</w:t>
            </w:r>
          </w:p>
          <w:p w14:paraId="65D7D1FA" w14:textId="77777777" w:rsidR="006E7F3B" w:rsidRPr="0025567A" w:rsidRDefault="006E7F3B" w:rsidP="00584F4A">
            <w:pPr>
              <w:keepNext/>
              <w:jc w:val="center"/>
              <w:rPr>
                <w:rFonts w:ascii="Arial Narrow" w:eastAsiaTheme="majorEastAsia" w:hAnsi="Arial Narrow" w:cstheme="majorBidi"/>
                <w:bCs/>
                <w:sz w:val="20"/>
              </w:rPr>
            </w:pPr>
            <w:r w:rsidRPr="0025567A">
              <w:rPr>
                <w:rFonts w:ascii="Arial Narrow" w:eastAsiaTheme="majorEastAsia" w:hAnsi="Arial Narrow" w:cstheme="majorBidi"/>
                <w:bCs/>
                <w:sz w:val="20"/>
              </w:rPr>
              <w:t>Year 5: 51.9%</w:t>
            </w:r>
          </w:p>
          <w:p w14:paraId="239F60A7" w14:textId="77777777" w:rsidR="006E7F3B" w:rsidRPr="0025567A" w:rsidRDefault="006E7F3B" w:rsidP="00584F4A">
            <w:pPr>
              <w:keepNext/>
              <w:jc w:val="center"/>
              <w:rPr>
                <w:rFonts w:ascii="Arial Narrow" w:eastAsiaTheme="majorEastAsia" w:hAnsi="Arial Narrow" w:cstheme="majorBidi"/>
                <w:bCs/>
                <w:sz w:val="20"/>
              </w:rPr>
            </w:pPr>
            <w:r w:rsidRPr="0025567A">
              <w:rPr>
                <w:rFonts w:ascii="Arial Narrow" w:eastAsiaTheme="majorEastAsia" w:hAnsi="Arial Narrow" w:cstheme="majorBidi"/>
                <w:bCs/>
                <w:sz w:val="20"/>
              </w:rPr>
              <w:t>Year 6: 43.9%</w:t>
            </w:r>
          </w:p>
        </w:tc>
        <w:tc>
          <w:tcPr>
            <w:tcW w:w="1151" w:type="pct"/>
            <w:tcMar>
              <w:top w:w="0" w:type="dxa"/>
              <w:left w:w="28" w:type="dxa"/>
              <w:bottom w:w="0" w:type="dxa"/>
              <w:right w:w="28" w:type="dxa"/>
            </w:tcMar>
            <w:vAlign w:val="center"/>
          </w:tcPr>
          <w:p w14:paraId="344BB1AC" w14:textId="77777777" w:rsidR="006E7F3B" w:rsidRPr="0025567A" w:rsidRDefault="006E7F3B" w:rsidP="00584F4A">
            <w:pPr>
              <w:keepNext/>
              <w:jc w:val="center"/>
              <w:rPr>
                <w:rFonts w:ascii="Arial Narrow" w:eastAsiaTheme="majorEastAsia" w:hAnsi="Arial Narrow" w:cstheme="majorBidi"/>
                <w:bCs/>
                <w:sz w:val="20"/>
              </w:rPr>
            </w:pPr>
            <w:r w:rsidRPr="0025567A">
              <w:rPr>
                <w:rFonts w:ascii="Arial Narrow" w:eastAsiaTheme="majorEastAsia" w:hAnsi="Arial Narrow" w:cstheme="majorBidi"/>
                <w:bCs/>
                <w:sz w:val="20"/>
              </w:rPr>
              <w:t>100%</w:t>
            </w:r>
          </w:p>
        </w:tc>
      </w:tr>
    </w:tbl>
    <w:p w14:paraId="32F6C698" w14:textId="6934BF50" w:rsidR="006E7F3B" w:rsidRPr="00933708" w:rsidRDefault="006E7F3B" w:rsidP="00973B87">
      <w:pPr>
        <w:pStyle w:val="COMTablefooter"/>
      </w:pPr>
      <w:r w:rsidRPr="00933708">
        <w:t>Source: Table 1.5.14.1.1, p924 of Attachment 16 R1849 HTA analysis; Attachment 12 empagliflozin (Jardiance) CKD CEA economic model; and Attachment 20 empagliflozin (Jardiance) CKD UCM financial implications spreadsheet provided with submission</w:t>
      </w:r>
    </w:p>
    <w:p w14:paraId="402D85FE" w14:textId="77777777" w:rsidR="006E7F3B" w:rsidRPr="00933708" w:rsidRDefault="006E7F3B" w:rsidP="00973B87">
      <w:pPr>
        <w:pStyle w:val="COMTablefooter"/>
      </w:pPr>
      <w:r w:rsidRPr="00933708">
        <w:t>Abbreviations: DPMQ, dispensed price for maximum quantity</w:t>
      </w:r>
    </w:p>
    <w:p w14:paraId="2D7A33C5" w14:textId="77777777" w:rsidR="006E7F3B" w:rsidRPr="0025567A" w:rsidRDefault="006E7F3B" w:rsidP="00973B87">
      <w:pPr>
        <w:pStyle w:val="COMTablefooter"/>
      </w:pPr>
      <w:r w:rsidRPr="00933708">
        <w:rPr>
          <w:vertAlign w:val="superscript"/>
        </w:rPr>
        <w:t xml:space="preserve">a </w:t>
      </w:r>
      <w:r w:rsidRPr="0025567A">
        <w:t>The DPMQ was revised during the evaluation to reflect 30 day dispensing and July 2023 fees and mark-ups. The submission’s DPMQ was based on the assumption that 60 day dispensing would apply to empagliflozin for CKD.</w:t>
      </w:r>
    </w:p>
    <w:p w14:paraId="4420E5E2" w14:textId="1E1D0087" w:rsidR="006E7F3B" w:rsidRPr="0025567A" w:rsidRDefault="006E7F3B" w:rsidP="00973B87">
      <w:pPr>
        <w:pStyle w:val="COMTablefooter"/>
      </w:pPr>
      <w:r w:rsidRPr="0025567A">
        <w:rPr>
          <w:vertAlign w:val="superscript"/>
        </w:rPr>
        <w:t xml:space="preserve">b </w:t>
      </w:r>
      <w:r w:rsidRPr="0025567A">
        <w:t>The submission’s estimated cost per year for the economic model</w:t>
      </w:r>
      <w:r w:rsidR="006311ED" w:rsidRPr="0025567A">
        <w:t xml:space="preserve"> was $658.55</w:t>
      </w:r>
      <w:r w:rsidR="009B7BDC" w:rsidRPr="0025567A">
        <w:t xml:space="preserve"> </w:t>
      </w:r>
      <w:r w:rsidRPr="0025567A">
        <w:t>, based on 60 day dispensing, a DPMQ of $108.18 and 6.0875 (=365.25/60) scripts per year.</w:t>
      </w:r>
    </w:p>
    <w:p w14:paraId="3D1FD65C" w14:textId="5C68DC0A" w:rsidR="006E7F3B" w:rsidRDefault="006E7F3B" w:rsidP="00973B87">
      <w:pPr>
        <w:pStyle w:val="COMTablefooter"/>
      </w:pPr>
      <w:r w:rsidRPr="0025567A">
        <w:rPr>
          <w:vertAlign w:val="superscript"/>
        </w:rPr>
        <w:t xml:space="preserve">c </w:t>
      </w:r>
      <w:r w:rsidRPr="0025567A">
        <w:t>The submission’s estimated cost per year for the financial implications</w:t>
      </w:r>
      <w:r w:rsidR="006311ED" w:rsidRPr="0025567A">
        <w:t xml:space="preserve"> was $592.69</w:t>
      </w:r>
      <w:r w:rsidR="00850D13" w:rsidRPr="0025567A">
        <w:t xml:space="preserve"> </w:t>
      </w:r>
      <w:r w:rsidRPr="0025567A">
        <w:t>, based on 60 day dispensing, a DPMQ of $108.18</w:t>
      </w:r>
      <w:r w:rsidR="00850D13" w:rsidRPr="0025567A">
        <w:t xml:space="preserve"> </w:t>
      </w:r>
      <w:r w:rsidRPr="0025567A">
        <w:t>and 5.47875 (=365.25/60×90%) scripts per year.</w:t>
      </w:r>
    </w:p>
    <w:p w14:paraId="268768EF" w14:textId="3626F292" w:rsidR="00B60939" w:rsidRPr="00933708" w:rsidRDefault="00B60939" w:rsidP="002B05A1">
      <w:pPr>
        <w:pStyle w:val="COMH2-non-numbered"/>
        <w:rPr>
          <w:iCs/>
        </w:rPr>
      </w:pPr>
      <w:bookmarkStart w:id="66" w:name="_Toc22897647"/>
      <w:bookmarkStart w:id="67" w:name="_Toc145496443"/>
      <w:bookmarkEnd w:id="64"/>
      <w:r w:rsidRPr="00933708">
        <w:rPr>
          <w:iCs/>
        </w:rPr>
        <w:t>Estimated PBS usage &amp; financial implications</w:t>
      </w:r>
      <w:bookmarkEnd w:id="66"/>
      <w:bookmarkEnd w:id="67"/>
    </w:p>
    <w:p w14:paraId="5E6EF306" w14:textId="766D01E2" w:rsidR="001178E8" w:rsidRPr="00933708" w:rsidRDefault="001178E8" w:rsidP="007C4C88">
      <w:pPr>
        <w:pStyle w:val="ListParagraph"/>
        <w:numPr>
          <w:ilvl w:val="1"/>
          <w:numId w:val="1"/>
        </w:numPr>
        <w:ind w:left="720" w:hanging="720"/>
      </w:pPr>
      <w:r w:rsidRPr="00933708">
        <w:t xml:space="preserve">This submission was considered by DUSC. </w:t>
      </w:r>
    </w:p>
    <w:p w14:paraId="341A089D" w14:textId="46AFB992" w:rsidR="001178E8" w:rsidRPr="00933708" w:rsidRDefault="001178E8" w:rsidP="007C4C88">
      <w:pPr>
        <w:pStyle w:val="ListParagraph"/>
        <w:numPr>
          <w:ilvl w:val="1"/>
          <w:numId w:val="1"/>
        </w:numPr>
        <w:ind w:left="720" w:hanging="720"/>
      </w:pPr>
      <w:r w:rsidRPr="00933708">
        <w:t>The submission used an epidemiological approach to estimate the utilisation and financial impacts associated with a PBS listing of empagliflozin for the treatment of CKD. The submission’s estimates were based on two subpopulations: those eligible under the existing PBS listing for dapagliflozin (overlap subgroup) and an incremental subgroup of patients who are not currently eligible to receive dapagliflozin on the PBS (incremental subgroup).</w:t>
      </w:r>
    </w:p>
    <w:p w14:paraId="65C93C49" w14:textId="77777777" w:rsidR="001178E8" w:rsidRPr="00933708" w:rsidRDefault="001178E8" w:rsidP="007C4C88">
      <w:pPr>
        <w:pStyle w:val="ListParagraph"/>
        <w:numPr>
          <w:ilvl w:val="1"/>
          <w:numId w:val="1"/>
        </w:numPr>
        <w:ind w:left="720" w:hanging="720"/>
      </w:pPr>
      <w:r w:rsidRPr="00933708">
        <w:t xml:space="preserve">For the incremental subgroup, empagliflozin was positioned as an add-on to standard care which includes an ACE inhibitor or ARB. For the overlap subgroup, empagliflozin (added to standard care) was positioned as a substitute for patients who would be eligible to receive PBS-listed dapagliflozin (added to standard care) for CKD. However, the submission stated that substitution for dapagliflozin was not captured in the utilisation and financial estimates, arguing this was a conservative approach as any savings from switching would not be captured as a cost offset against the cost of empagliflozin. Estimates also include the cost of dapagliflozin in patients who would not switch to empagliflozin. The submission also noted that the uptake rates (and costs) for the overlap subgroup represent the total SGLT2 inhibitor class (i.e. would include use of both empagliflozin and dapagliflozin in practice). </w:t>
      </w:r>
    </w:p>
    <w:p w14:paraId="741AA0C5" w14:textId="77777777" w:rsidR="001178E8" w:rsidRPr="00933708" w:rsidRDefault="001178E8" w:rsidP="007C4C88">
      <w:pPr>
        <w:pStyle w:val="ListParagraph"/>
        <w:numPr>
          <w:ilvl w:val="1"/>
          <w:numId w:val="1"/>
        </w:numPr>
        <w:ind w:left="720" w:hanging="720"/>
      </w:pPr>
      <w:r w:rsidRPr="00933708">
        <w:t>The estimation of eligible patients for both population subgroups used the same parameters (apart from estimates of the proportion of patients within the different eGFR and UACR categories).</w:t>
      </w:r>
    </w:p>
    <w:p w14:paraId="3C96A71E" w14:textId="46B37887" w:rsidR="001178E8" w:rsidRPr="00933708" w:rsidRDefault="001178E8" w:rsidP="007C4C88">
      <w:pPr>
        <w:pStyle w:val="ListParagraph"/>
        <w:numPr>
          <w:ilvl w:val="1"/>
          <w:numId w:val="1"/>
        </w:numPr>
        <w:ind w:left="720" w:hanging="720"/>
        <w:rPr>
          <w:color w:val="0066FF"/>
        </w:rPr>
      </w:pPr>
      <w:r w:rsidRPr="00933708">
        <w:lastRenderedPageBreak/>
        <w:t xml:space="preserve">Key inputs used to derive the financial estimates </w:t>
      </w:r>
      <w:r w:rsidRPr="00933708">
        <w:rPr>
          <w:color w:val="000000" w:themeColor="text1"/>
        </w:rPr>
        <w:t xml:space="preserve">are presented in </w:t>
      </w:r>
      <w:r w:rsidRPr="00933708">
        <w:rPr>
          <w:color w:val="000000" w:themeColor="text1"/>
        </w:rPr>
        <w:fldChar w:fldCharType="begin"/>
      </w:r>
      <w:r w:rsidRPr="00933708">
        <w:rPr>
          <w:color w:val="000000" w:themeColor="text1"/>
        </w:rPr>
        <w:instrText xml:space="preserve"> REF _Ref145324999 \h </w:instrText>
      </w:r>
      <w:r w:rsidRPr="00933708">
        <w:rPr>
          <w:color w:val="000000" w:themeColor="text1"/>
        </w:rPr>
      </w:r>
      <w:r w:rsidRPr="00933708">
        <w:rPr>
          <w:color w:val="000000" w:themeColor="text1"/>
        </w:rPr>
        <w:fldChar w:fldCharType="separate"/>
      </w:r>
      <w:r w:rsidR="00D5135E" w:rsidRPr="00933708">
        <w:t xml:space="preserve">Table </w:t>
      </w:r>
      <w:r w:rsidR="00D5135E">
        <w:rPr>
          <w:noProof/>
        </w:rPr>
        <w:t>16</w:t>
      </w:r>
      <w:r w:rsidRPr="00933708">
        <w:rPr>
          <w:color w:val="000000" w:themeColor="text1"/>
        </w:rPr>
        <w:fldChar w:fldCharType="end"/>
      </w:r>
      <w:r w:rsidRPr="00933708">
        <w:rPr>
          <w:color w:val="000000" w:themeColor="text1"/>
        </w:rPr>
        <w:t>.</w:t>
      </w:r>
    </w:p>
    <w:p w14:paraId="744CEAD1" w14:textId="556012A1" w:rsidR="001178E8" w:rsidRPr="00933708" w:rsidRDefault="001178E8" w:rsidP="00A51AD5">
      <w:pPr>
        <w:pStyle w:val="Caption"/>
        <w:keepNext w:val="0"/>
      </w:pPr>
      <w:bookmarkStart w:id="68" w:name="_Ref145324999"/>
      <w:r w:rsidRPr="00933708">
        <w:t xml:space="preserve">Table </w:t>
      </w:r>
      <w:r w:rsidR="00D5135E">
        <w:fldChar w:fldCharType="begin"/>
      </w:r>
      <w:r w:rsidR="00D5135E">
        <w:instrText xml:space="preserve"> SEQ Table \* ARABIC </w:instrText>
      </w:r>
      <w:r w:rsidR="00D5135E">
        <w:fldChar w:fldCharType="separate"/>
      </w:r>
      <w:r w:rsidR="00D5135E">
        <w:rPr>
          <w:noProof/>
        </w:rPr>
        <w:t>16</w:t>
      </w:r>
      <w:r w:rsidR="00D5135E">
        <w:rPr>
          <w:noProof/>
        </w:rPr>
        <w:fldChar w:fldCharType="end"/>
      </w:r>
      <w:bookmarkEnd w:id="68"/>
      <w:r w:rsidRPr="00933708">
        <w:t>: Data sources and parameter values applied in the utilisation and financial estimates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33"/>
        <w:gridCol w:w="1189"/>
        <w:gridCol w:w="2996"/>
        <w:gridCol w:w="1750"/>
        <w:gridCol w:w="1749"/>
      </w:tblGrid>
      <w:tr w:rsidR="001178E8" w:rsidRPr="00933708" w14:paraId="53830892" w14:textId="77777777" w:rsidTr="00A51AD5">
        <w:trPr>
          <w:tblHeader/>
          <w:jc w:val="center"/>
        </w:trPr>
        <w:tc>
          <w:tcPr>
            <w:tcW w:w="1333" w:type="dxa"/>
            <w:vAlign w:val="center"/>
          </w:tcPr>
          <w:p w14:paraId="45D94465" w14:textId="77777777" w:rsidR="001178E8" w:rsidRPr="00933708" w:rsidRDefault="001178E8" w:rsidP="00A51AD5">
            <w:pPr>
              <w:pStyle w:val="COMTableheadingrow"/>
              <w:keepNext w:val="0"/>
              <w:jc w:val="center"/>
              <w:rPr>
                <w:lang w:val="en-AU"/>
              </w:rPr>
            </w:pPr>
            <w:r w:rsidRPr="00933708">
              <w:rPr>
                <w:lang w:val="en-AU"/>
              </w:rPr>
              <w:t>Data</w:t>
            </w:r>
          </w:p>
        </w:tc>
        <w:tc>
          <w:tcPr>
            <w:tcW w:w="1502" w:type="dxa"/>
            <w:vAlign w:val="center"/>
          </w:tcPr>
          <w:p w14:paraId="3B21A2E5" w14:textId="77777777" w:rsidR="001178E8" w:rsidRPr="00933708" w:rsidRDefault="001178E8" w:rsidP="00A51AD5">
            <w:pPr>
              <w:pStyle w:val="COMTableheadingrow"/>
              <w:keepNext w:val="0"/>
              <w:jc w:val="center"/>
              <w:rPr>
                <w:lang w:val="en-AU"/>
              </w:rPr>
            </w:pPr>
            <w:r w:rsidRPr="00933708">
              <w:rPr>
                <w:lang w:val="en-AU"/>
              </w:rPr>
              <w:t>Value</w:t>
            </w:r>
          </w:p>
        </w:tc>
        <w:tc>
          <w:tcPr>
            <w:tcW w:w="4536" w:type="dxa"/>
            <w:vAlign w:val="center"/>
          </w:tcPr>
          <w:p w14:paraId="1472FA9E" w14:textId="77777777" w:rsidR="001178E8" w:rsidRPr="00933708" w:rsidRDefault="001178E8" w:rsidP="00A51AD5">
            <w:pPr>
              <w:pStyle w:val="COMTableheadingrow"/>
              <w:keepNext w:val="0"/>
              <w:jc w:val="center"/>
              <w:rPr>
                <w:lang w:val="en-AU"/>
              </w:rPr>
            </w:pPr>
            <w:r w:rsidRPr="00933708">
              <w:rPr>
                <w:lang w:val="en-AU"/>
              </w:rPr>
              <w:t>Source</w:t>
            </w:r>
          </w:p>
        </w:tc>
        <w:tc>
          <w:tcPr>
            <w:tcW w:w="1985" w:type="dxa"/>
            <w:vAlign w:val="center"/>
          </w:tcPr>
          <w:p w14:paraId="1A05478F" w14:textId="77777777" w:rsidR="001178E8" w:rsidRPr="00933708" w:rsidRDefault="001178E8" w:rsidP="00A51AD5">
            <w:pPr>
              <w:pStyle w:val="COMTableheadingrow"/>
              <w:keepNext w:val="0"/>
              <w:jc w:val="center"/>
              <w:rPr>
                <w:lang w:val="en-AU"/>
              </w:rPr>
            </w:pPr>
            <w:r w:rsidRPr="00933708">
              <w:rPr>
                <w:lang w:val="en-AU"/>
              </w:rPr>
              <w:t>Commentary on the submission</w:t>
            </w:r>
          </w:p>
        </w:tc>
        <w:tc>
          <w:tcPr>
            <w:tcW w:w="1984" w:type="dxa"/>
            <w:vAlign w:val="center"/>
          </w:tcPr>
          <w:p w14:paraId="5796E95A" w14:textId="77777777" w:rsidR="001178E8" w:rsidRPr="00933708" w:rsidRDefault="001178E8" w:rsidP="00A51AD5">
            <w:pPr>
              <w:pStyle w:val="COMTableheadingrow"/>
              <w:keepNext w:val="0"/>
              <w:jc w:val="center"/>
              <w:rPr>
                <w:lang w:val="en-AU"/>
              </w:rPr>
            </w:pPr>
            <w:r w:rsidRPr="00933708">
              <w:rPr>
                <w:lang w:val="en-AU"/>
              </w:rPr>
              <w:t>DUSC comments</w:t>
            </w:r>
          </w:p>
        </w:tc>
      </w:tr>
      <w:tr w:rsidR="001178E8" w:rsidRPr="00933708" w14:paraId="6773296A" w14:textId="77777777" w:rsidTr="00A51AD5">
        <w:trPr>
          <w:jc w:val="center"/>
        </w:trPr>
        <w:tc>
          <w:tcPr>
            <w:tcW w:w="11340" w:type="dxa"/>
            <w:gridSpan w:val="5"/>
            <w:vAlign w:val="center"/>
          </w:tcPr>
          <w:p w14:paraId="64ECB1F0" w14:textId="77777777" w:rsidR="001178E8" w:rsidRPr="00933708" w:rsidRDefault="001178E8" w:rsidP="00A51AD5">
            <w:pPr>
              <w:pStyle w:val="COMTableheadingrow"/>
              <w:keepNext w:val="0"/>
              <w:rPr>
                <w:lang w:val="en-AU"/>
              </w:rPr>
            </w:pPr>
            <w:r w:rsidRPr="00933708">
              <w:rPr>
                <w:lang w:val="en-AU"/>
              </w:rPr>
              <w:t>Eligible population</w:t>
            </w:r>
          </w:p>
        </w:tc>
      </w:tr>
      <w:tr w:rsidR="001178E8" w:rsidRPr="00933708" w14:paraId="1AE48797" w14:textId="77777777" w:rsidTr="00A51AD5">
        <w:trPr>
          <w:jc w:val="center"/>
        </w:trPr>
        <w:tc>
          <w:tcPr>
            <w:tcW w:w="1333" w:type="dxa"/>
          </w:tcPr>
          <w:p w14:paraId="4808B08F" w14:textId="77777777" w:rsidR="001178E8" w:rsidRPr="00A11280" w:rsidRDefault="001178E8" w:rsidP="00A51AD5">
            <w:pPr>
              <w:pStyle w:val="COMTabletext"/>
              <w:keepNext w:val="0"/>
              <w:rPr>
                <w:szCs w:val="20"/>
              </w:rPr>
            </w:pPr>
            <w:r w:rsidRPr="00A11280">
              <w:rPr>
                <w:szCs w:val="20"/>
              </w:rPr>
              <w:t>Australian population 18+ years</w:t>
            </w:r>
          </w:p>
        </w:tc>
        <w:tc>
          <w:tcPr>
            <w:tcW w:w="1502" w:type="dxa"/>
          </w:tcPr>
          <w:p w14:paraId="106A2AC1" w14:textId="77777777" w:rsidR="001178E8" w:rsidRPr="00A11280" w:rsidRDefault="001178E8" w:rsidP="00A51AD5">
            <w:pPr>
              <w:pStyle w:val="COMTabletext"/>
              <w:keepNext w:val="0"/>
              <w:rPr>
                <w:szCs w:val="20"/>
                <w:lang w:eastAsia="en-US"/>
              </w:rPr>
            </w:pPr>
            <w:r w:rsidRPr="00A11280">
              <w:rPr>
                <w:szCs w:val="20"/>
                <w:lang w:eastAsia="en-US"/>
              </w:rPr>
              <w:t>2024: 21,411,852</w:t>
            </w:r>
          </w:p>
          <w:p w14:paraId="53F6E88E" w14:textId="77777777" w:rsidR="001178E8" w:rsidRPr="00A11280" w:rsidRDefault="001178E8" w:rsidP="00A51AD5">
            <w:pPr>
              <w:pStyle w:val="COMTabletext"/>
              <w:keepNext w:val="0"/>
              <w:rPr>
                <w:szCs w:val="20"/>
                <w:lang w:eastAsia="en-US"/>
              </w:rPr>
            </w:pPr>
            <w:r w:rsidRPr="00A11280">
              <w:rPr>
                <w:szCs w:val="20"/>
                <w:lang w:eastAsia="en-US"/>
              </w:rPr>
              <w:t>2025: 21,744,502</w:t>
            </w:r>
          </w:p>
          <w:p w14:paraId="42448380" w14:textId="77777777" w:rsidR="001178E8" w:rsidRPr="00A11280" w:rsidRDefault="001178E8" w:rsidP="00A51AD5">
            <w:pPr>
              <w:pStyle w:val="COMTabletext"/>
              <w:keepNext w:val="0"/>
              <w:rPr>
                <w:szCs w:val="20"/>
                <w:lang w:eastAsia="en-US"/>
              </w:rPr>
            </w:pPr>
            <w:r w:rsidRPr="00A11280">
              <w:rPr>
                <w:szCs w:val="20"/>
                <w:lang w:eastAsia="en-US"/>
              </w:rPr>
              <w:t>2026: 22,073,220</w:t>
            </w:r>
          </w:p>
          <w:p w14:paraId="59759F43" w14:textId="77777777" w:rsidR="001178E8" w:rsidRPr="00A11280" w:rsidRDefault="001178E8" w:rsidP="00A51AD5">
            <w:pPr>
              <w:pStyle w:val="COMTabletext"/>
              <w:keepNext w:val="0"/>
              <w:rPr>
                <w:szCs w:val="20"/>
                <w:lang w:eastAsia="en-US"/>
              </w:rPr>
            </w:pPr>
            <w:r w:rsidRPr="00A11280">
              <w:rPr>
                <w:szCs w:val="20"/>
                <w:lang w:eastAsia="en-US"/>
              </w:rPr>
              <w:t>2027: 22,393,101</w:t>
            </w:r>
          </w:p>
          <w:p w14:paraId="106BBE69" w14:textId="77777777" w:rsidR="001178E8" w:rsidRPr="00A11280" w:rsidRDefault="001178E8" w:rsidP="00A51AD5">
            <w:pPr>
              <w:pStyle w:val="COMTabletext"/>
              <w:keepNext w:val="0"/>
              <w:rPr>
                <w:szCs w:val="20"/>
                <w:lang w:eastAsia="en-US"/>
              </w:rPr>
            </w:pPr>
            <w:r w:rsidRPr="00A11280">
              <w:rPr>
                <w:szCs w:val="20"/>
                <w:lang w:eastAsia="en-US"/>
              </w:rPr>
              <w:t>2028: 22,714,178</w:t>
            </w:r>
          </w:p>
          <w:p w14:paraId="1074794C" w14:textId="77777777" w:rsidR="001178E8" w:rsidRPr="00A11280" w:rsidRDefault="001178E8" w:rsidP="00A51AD5">
            <w:pPr>
              <w:pStyle w:val="COMTabletext"/>
              <w:keepNext w:val="0"/>
              <w:rPr>
                <w:szCs w:val="20"/>
              </w:rPr>
            </w:pPr>
            <w:r w:rsidRPr="00A11280">
              <w:rPr>
                <w:szCs w:val="20"/>
                <w:lang w:eastAsia="en-US"/>
              </w:rPr>
              <w:t>2029: 23,030,499</w:t>
            </w:r>
          </w:p>
        </w:tc>
        <w:tc>
          <w:tcPr>
            <w:tcW w:w="4536" w:type="dxa"/>
          </w:tcPr>
          <w:p w14:paraId="5F5E0018" w14:textId="77777777" w:rsidR="001178E8" w:rsidRPr="00A11280" w:rsidRDefault="001178E8" w:rsidP="00A51AD5">
            <w:pPr>
              <w:pStyle w:val="COMTabletext"/>
              <w:keepNext w:val="0"/>
              <w:rPr>
                <w:szCs w:val="20"/>
              </w:rPr>
            </w:pPr>
            <w:r w:rsidRPr="00A11280">
              <w:rPr>
                <w:szCs w:val="20"/>
              </w:rPr>
              <w:t>ABS population projections, Series B (ABS 3222.0)</w:t>
            </w:r>
          </w:p>
        </w:tc>
        <w:tc>
          <w:tcPr>
            <w:tcW w:w="1985" w:type="dxa"/>
          </w:tcPr>
          <w:p w14:paraId="34368E5B" w14:textId="77777777" w:rsidR="001178E8" w:rsidRPr="00A11280" w:rsidRDefault="001178E8" w:rsidP="00A51AD5">
            <w:pPr>
              <w:pStyle w:val="COMTabletext"/>
              <w:keepNext w:val="0"/>
              <w:rPr>
                <w:szCs w:val="20"/>
              </w:rPr>
            </w:pPr>
          </w:p>
        </w:tc>
        <w:tc>
          <w:tcPr>
            <w:tcW w:w="1984" w:type="dxa"/>
          </w:tcPr>
          <w:p w14:paraId="2C0019A5" w14:textId="77777777" w:rsidR="001178E8" w:rsidRPr="00A11280" w:rsidRDefault="001178E8" w:rsidP="00A51AD5">
            <w:pPr>
              <w:pStyle w:val="COMTabletext"/>
              <w:keepNext w:val="0"/>
              <w:rPr>
                <w:szCs w:val="20"/>
              </w:rPr>
            </w:pPr>
          </w:p>
        </w:tc>
      </w:tr>
      <w:tr w:rsidR="001178E8" w:rsidRPr="00933708" w14:paraId="030801C5" w14:textId="77777777" w:rsidTr="00A51AD5">
        <w:trPr>
          <w:jc w:val="center"/>
        </w:trPr>
        <w:tc>
          <w:tcPr>
            <w:tcW w:w="1333" w:type="dxa"/>
          </w:tcPr>
          <w:p w14:paraId="4C326B9E" w14:textId="77777777" w:rsidR="001178E8" w:rsidRPr="00A11280" w:rsidRDefault="001178E8" w:rsidP="00A51AD5">
            <w:pPr>
              <w:pStyle w:val="COMTabletext"/>
              <w:keepNext w:val="0"/>
              <w:rPr>
                <w:szCs w:val="20"/>
              </w:rPr>
            </w:pPr>
            <w:r w:rsidRPr="00A11280">
              <w:rPr>
                <w:szCs w:val="20"/>
              </w:rPr>
              <w:t>% Australian adults with CKD</w:t>
            </w:r>
          </w:p>
        </w:tc>
        <w:tc>
          <w:tcPr>
            <w:tcW w:w="1502" w:type="dxa"/>
          </w:tcPr>
          <w:p w14:paraId="45577C57" w14:textId="77777777" w:rsidR="001178E8" w:rsidRPr="00A11280" w:rsidRDefault="001178E8" w:rsidP="00A51AD5">
            <w:pPr>
              <w:pStyle w:val="COMTabletext"/>
              <w:keepNext w:val="0"/>
              <w:rPr>
                <w:szCs w:val="20"/>
              </w:rPr>
            </w:pPr>
            <w:r w:rsidRPr="00A11280">
              <w:rPr>
                <w:szCs w:val="20"/>
              </w:rPr>
              <w:t>11%</w:t>
            </w:r>
          </w:p>
        </w:tc>
        <w:tc>
          <w:tcPr>
            <w:tcW w:w="4536" w:type="dxa"/>
          </w:tcPr>
          <w:p w14:paraId="4849FDAE" w14:textId="77777777" w:rsidR="001178E8" w:rsidRPr="00A11280" w:rsidRDefault="001178E8" w:rsidP="00A51AD5">
            <w:pPr>
              <w:pStyle w:val="COMTabletext"/>
              <w:keepNext w:val="0"/>
              <w:rPr>
                <w:szCs w:val="20"/>
              </w:rPr>
            </w:pPr>
            <w:r w:rsidRPr="00A11280">
              <w:rPr>
                <w:szCs w:val="20"/>
              </w:rPr>
              <w:t>AIHW ‘Chronic Kidney Disease: Australian facts’, updated 23 August 2022. The source was the same as in the July 2021 dapagliflozin submission (measured eGFR and urine albumin-creatinine ratio (UACR) results from the 2011-2012 National Health Measures survey, NHMS), but the estimate used was different. The dapagliflozin submission used 10% (total proportion of adults with biomarkers indicating chronic kidney disease). The submission used a more recent AIHW analysis of these data with prevalence specified as 11% rather than 10%. The AIHW analysis noted that participants with missing or unreliable measurement of eGFR or UACR were excluded from the denominator population, and as a result, numbers may differ from numbers published in other sources. A sensitivity analysis was also presented using the original 10% estimate.</w:t>
            </w:r>
          </w:p>
        </w:tc>
        <w:tc>
          <w:tcPr>
            <w:tcW w:w="1985" w:type="dxa"/>
          </w:tcPr>
          <w:p w14:paraId="5995E183" w14:textId="77777777" w:rsidR="001178E8" w:rsidRPr="00A11280" w:rsidRDefault="001178E8" w:rsidP="00A51AD5">
            <w:pPr>
              <w:pStyle w:val="COMTabletext"/>
              <w:keepNext w:val="0"/>
              <w:rPr>
                <w:szCs w:val="20"/>
              </w:rPr>
            </w:pPr>
            <w:r w:rsidRPr="00A11280">
              <w:rPr>
                <w:szCs w:val="20"/>
              </w:rPr>
              <w:t xml:space="preserve">The submission noted that the assumed prevalence of 10% was considered reasonable by PBAC (Table 23, Dapagliflozin PSD, November 2021 PBAC meeting). </w:t>
            </w:r>
          </w:p>
        </w:tc>
        <w:tc>
          <w:tcPr>
            <w:tcW w:w="1984" w:type="dxa"/>
          </w:tcPr>
          <w:p w14:paraId="65F94E9B" w14:textId="77777777" w:rsidR="001178E8" w:rsidRPr="00A11280" w:rsidRDefault="001178E8" w:rsidP="00A51AD5">
            <w:pPr>
              <w:pStyle w:val="COMTabletext"/>
              <w:keepNext w:val="0"/>
              <w:rPr>
                <w:szCs w:val="20"/>
              </w:rPr>
            </w:pPr>
            <w:r w:rsidRPr="00A11280">
              <w:rPr>
                <w:szCs w:val="20"/>
              </w:rPr>
              <w:t>DUSC considered that there was significant uncertainty in the current prevalence of CKD in the Australian population.</w:t>
            </w:r>
          </w:p>
          <w:p w14:paraId="28497F5B" w14:textId="77777777" w:rsidR="001178E8" w:rsidRPr="00A11280" w:rsidRDefault="001178E8" w:rsidP="00A51AD5">
            <w:pPr>
              <w:pStyle w:val="COMTabletext"/>
              <w:keepNext w:val="0"/>
              <w:rPr>
                <w:szCs w:val="20"/>
              </w:rPr>
            </w:pPr>
          </w:p>
          <w:p w14:paraId="26A780E1" w14:textId="77777777" w:rsidR="001178E8" w:rsidRPr="00A11280" w:rsidRDefault="001178E8" w:rsidP="00A51AD5">
            <w:pPr>
              <w:pStyle w:val="COMTabletext"/>
              <w:keepNext w:val="0"/>
              <w:rPr>
                <w:szCs w:val="20"/>
              </w:rPr>
            </w:pPr>
            <w:r w:rsidRPr="00A11280">
              <w:rPr>
                <w:szCs w:val="20"/>
              </w:rPr>
              <w:t>DUSC noted that, based on a single biological marker, 1 in 3 adults are at risk of developing CKD, 1 in 10 have early signs of CKD, and 1.7 million may have undiagnosed CKD.</w:t>
            </w:r>
          </w:p>
        </w:tc>
      </w:tr>
      <w:tr w:rsidR="001178E8" w:rsidRPr="00933708" w14:paraId="7975A48C" w14:textId="77777777" w:rsidTr="00A51AD5">
        <w:trPr>
          <w:jc w:val="center"/>
        </w:trPr>
        <w:tc>
          <w:tcPr>
            <w:tcW w:w="1333" w:type="dxa"/>
          </w:tcPr>
          <w:p w14:paraId="6538A7B9" w14:textId="77777777" w:rsidR="001178E8" w:rsidRPr="00A11280" w:rsidRDefault="001178E8" w:rsidP="00A51AD5">
            <w:pPr>
              <w:pStyle w:val="COMTabletext"/>
              <w:keepNext w:val="0"/>
              <w:keepLines/>
              <w:rPr>
                <w:szCs w:val="20"/>
              </w:rPr>
            </w:pPr>
            <w:r w:rsidRPr="00A11280">
              <w:rPr>
                <w:szCs w:val="20"/>
              </w:rPr>
              <w:t>Adults likely to be diagnosed with CKD</w:t>
            </w:r>
          </w:p>
        </w:tc>
        <w:tc>
          <w:tcPr>
            <w:tcW w:w="1502" w:type="dxa"/>
          </w:tcPr>
          <w:p w14:paraId="49875726" w14:textId="77777777" w:rsidR="001178E8" w:rsidRPr="00A11280" w:rsidRDefault="001178E8" w:rsidP="00A51AD5">
            <w:pPr>
              <w:pStyle w:val="COMTabletext"/>
              <w:keepNext w:val="0"/>
              <w:keepLines/>
              <w:rPr>
                <w:szCs w:val="20"/>
              </w:rPr>
            </w:pPr>
            <w:r w:rsidRPr="00A11280">
              <w:rPr>
                <w:szCs w:val="20"/>
              </w:rPr>
              <w:t>Yr 1: 60%</w:t>
            </w:r>
          </w:p>
          <w:p w14:paraId="68272FB5" w14:textId="77777777" w:rsidR="001178E8" w:rsidRPr="00A11280" w:rsidRDefault="001178E8" w:rsidP="00A51AD5">
            <w:pPr>
              <w:pStyle w:val="COMTabletext"/>
              <w:keepNext w:val="0"/>
              <w:keepLines/>
              <w:rPr>
                <w:szCs w:val="20"/>
              </w:rPr>
            </w:pPr>
            <w:r w:rsidRPr="00A11280">
              <w:rPr>
                <w:szCs w:val="20"/>
              </w:rPr>
              <w:t>Yr 2: 65%</w:t>
            </w:r>
          </w:p>
          <w:p w14:paraId="425E29F7" w14:textId="77777777" w:rsidR="001178E8" w:rsidRPr="00A11280" w:rsidRDefault="001178E8" w:rsidP="00A51AD5">
            <w:pPr>
              <w:pStyle w:val="COMTabletext"/>
              <w:keepNext w:val="0"/>
              <w:keepLines/>
              <w:rPr>
                <w:szCs w:val="20"/>
              </w:rPr>
            </w:pPr>
            <w:r w:rsidRPr="00A11280">
              <w:rPr>
                <w:szCs w:val="20"/>
              </w:rPr>
              <w:t>Yr 3: 70%</w:t>
            </w:r>
          </w:p>
          <w:p w14:paraId="317CC232" w14:textId="77777777" w:rsidR="001178E8" w:rsidRPr="00A11280" w:rsidRDefault="001178E8" w:rsidP="00A51AD5">
            <w:pPr>
              <w:pStyle w:val="COMTabletext"/>
              <w:keepNext w:val="0"/>
              <w:keepLines/>
              <w:rPr>
                <w:szCs w:val="20"/>
              </w:rPr>
            </w:pPr>
            <w:r w:rsidRPr="00A11280">
              <w:rPr>
                <w:szCs w:val="20"/>
              </w:rPr>
              <w:t>Yr 4: 75%</w:t>
            </w:r>
          </w:p>
          <w:p w14:paraId="1A32CD5C" w14:textId="77777777" w:rsidR="001178E8" w:rsidRPr="00A11280" w:rsidRDefault="001178E8" w:rsidP="00A51AD5">
            <w:pPr>
              <w:pStyle w:val="COMTabletext"/>
              <w:keepNext w:val="0"/>
              <w:keepLines/>
              <w:rPr>
                <w:szCs w:val="20"/>
              </w:rPr>
            </w:pPr>
            <w:r w:rsidRPr="00A11280">
              <w:rPr>
                <w:szCs w:val="20"/>
              </w:rPr>
              <w:t>Yr 5: 80%</w:t>
            </w:r>
          </w:p>
          <w:p w14:paraId="29FD0A0E" w14:textId="77777777" w:rsidR="001178E8" w:rsidRPr="00A11280" w:rsidRDefault="001178E8" w:rsidP="00A51AD5">
            <w:pPr>
              <w:pStyle w:val="COMTabletext"/>
              <w:keepNext w:val="0"/>
              <w:keepLines/>
              <w:rPr>
                <w:szCs w:val="20"/>
              </w:rPr>
            </w:pPr>
            <w:r w:rsidRPr="00A11280">
              <w:rPr>
                <w:szCs w:val="20"/>
              </w:rPr>
              <w:t>Yr 6: 85%</w:t>
            </w:r>
          </w:p>
        </w:tc>
        <w:tc>
          <w:tcPr>
            <w:tcW w:w="4536" w:type="dxa"/>
          </w:tcPr>
          <w:p w14:paraId="6B77876F" w14:textId="77777777" w:rsidR="001178E8" w:rsidRPr="00A11280" w:rsidRDefault="001178E8" w:rsidP="00A51AD5">
            <w:pPr>
              <w:pStyle w:val="COMTabletext"/>
              <w:keepNext w:val="0"/>
              <w:keepLines/>
              <w:rPr>
                <w:szCs w:val="20"/>
              </w:rPr>
            </w:pPr>
            <w:r w:rsidRPr="00A11280">
              <w:rPr>
                <w:szCs w:val="20"/>
              </w:rPr>
              <w:t>PBAC suggested that the diagnosis rate should be 50% in year 1 (2022) of dapagliflozin estimates, increasing by 5% per year (para 15.4, Dapagliflozin PSD, November 2021 PBAC meeting, meaning diagnosis rate would be 60% in year 1 (2024) of empagliflozin estimates.</w:t>
            </w:r>
          </w:p>
        </w:tc>
        <w:tc>
          <w:tcPr>
            <w:tcW w:w="1985" w:type="dxa"/>
          </w:tcPr>
          <w:p w14:paraId="33FBFFCA" w14:textId="77777777" w:rsidR="001178E8" w:rsidRPr="00A11280" w:rsidRDefault="001178E8" w:rsidP="00A51AD5">
            <w:pPr>
              <w:pStyle w:val="COMTabletext"/>
              <w:keepNext w:val="0"/>
              <w:keepLines/>
              <w:rPr>
                <w:szCs w:val="20"/>
                <w:highlight w:val="yellow"/>
              </w:rPr>
            </w:pPr>
            <w:r w:rsidRPr="00A11280">
              <w:rPr>
                <w:szCs w:val="20"/>
              </w:rPr>
              <w:t xml:space="preserve">It is unclear whether the diagnosis rate will continue to increase in a linear fashion. </w:t>
            </w:r>
          </w:p>
        </w:tc>
        <w:tc>
          <w:tcPr>
            <w:tcW w:w="1984" w:type="dxa"/>
          </w:tcPr>
          <w:p w14:paraId="6590A778" w14:textId="77777777" w:rsidR="001178E8" w:rsidRPr="00A11280" w:rsidRDefault="001178E8" w:rsidP="00A51AD5">
            <w:pPr>
              <w:pStyle w:val="COMTabletext"/>
              <w:keepNext w:val="0"/>
              <w:keepLines/>
              <w:rPr>
                <w:szCs w:val="20"/>
                <w:highlight w:val="yellow"/>
              </w:rPr>
            </w:pPr>
            <w:r w:rsidRPr="00A11280">
              <w:rPr>
                <w:szCs w:val="20"/>
              </w:rPr>
              <w:t>DUSC considered that the estimated proportion of adults diagnosed with CKD to be an overestimate and that it was unclear whether the rate of diagnosis would continue to increase in a linear fashion.</w:t>
            </w:r>
          </w:p>
        </w:tc>
      </w:tr>
      <w:tr w:rsidR="001178E8" w:rsidRPr="00933708" w14:paraId="65398C72" w14:textId="77777777" w:rsidTr="00A51AD5">
        <w:trPr>
          <w:cantSplit/>
          <w:jc w:val="center"/>
        </w:trPr>
        <w:tc>
          <w:tcPr>
            <w:tcW w:w="1333" w:type="dxa"/>
          </w:tcPr>
          <w:p w14:paraId="313675AA" w14:textId="77777777" w:rsidR="001178E8" w:rsidRPr="00A11280" w:rsidRDefault="001178E8" w:rsidP="004B5876">
            <w:pPr>
              <w:pStyle w:val="COMTabletext"/>
              <w:keepNext w:val="0"/>
              <w:rPr>
                <w:szCs w:val="20"/>
              </w:rPr>
            </w:pPr>
            <w:r w:rsidRPr="00A11280">
              <w:rPr>
                <w:szCs w:val="20"/>
              </w:rPr>
              <w:lastRenderedPageBreak/>
              <w:t>% Overlap subgroup</w:t>
            </w:r>
          </w:p>
        </w:tc>
        <w:tc>
          <w:tcPr>
            <w:tcW w:w="1502" w:type="dxa"/>
          </w:tcPr>
          <w:p w14:paraId="114CB654" w14:textId="77777777" w:rsidR="001178E8" w:rsidRPr="00A11280" w:rsidRDefault="001178E8" w:rsidP="004B5876">
            <w:pPr>
              <w:pStyle w:val="COMTabletext"/>
              <w:keepNext w:val="0"/>
              <w:rPr>
                <w:szCs w:val="20"/>
              </w:rPr>
            </w:pPr>
            <w:r w:rsidRPr="00A11280">
              <w:rPr>
                <w:szCs w:val="20"/>
              </w:rPr>
              <w:t>7.5%</w:t>
            </w:r>
          </w:p>
        </w:tc>
        <w:tc>
          <w:tcPr>
            <w:tcW w:w="4536" w:type="dxa"/>
          </w:tcPr>
          <w:p w14:paraId="46FB7780" w14:textId="77777777" w:rsidR="001178E8" w:rsidRPr="00A11280" w:rsidRDefault="001178E8" w:rsidP="004B5876">
            <w:pPr>
              <w:pStyle w:val="COMTabletext"/>
              <w:keepNext w:val="0"/>
              <w:rPr>
                <w:szCs w:val="20"/>
              </w:rPr>
            </w:pPr>
            <w:r w:rsidRPr="00A11280">
              <w:rPr>
                <w:szCs w:val="20"/>
              </w:rPr>
              <w:t xml:space="preserve">As estimated by PBAC in consideration of dapagliflozin for CKD (Table 23, Dapagliflozin PSD, November 2021 PBAC Meeting). PBAC considered that 7.5% of the diagnosed population would be eligible based on the UACR criterion in the dapagliflozin restriction and 33% would be eligible based on the eGFR criterion. As the UACR criterion is the more restrictive, this parameter was estimated at 7.5%. </w:t>
            </w:r>
          </w:p>
        </w:tc>
        <w:tc>
          <w:tcPr>
            <w:tcW w:w="1985" w:type="dxa"/>
          </w:tcPr>
          <w:p w14:paraId="3824522D" w14:textId="77777777" w:rsidR="001178E8" w:rsidRPr="00A11280" w:rsidRDefault="001178E8" w:rsidP="004B5876">
            <w:pPr>
              <w:pStyle w:val="COMTabletext"/>
              <w:keepNext w:val="0"/>
              <w:rPr>
                <w:szCs w:val="20"/>
              </w:rPr>
            </w:pPr>
            <w:r w:rsidRPr="00A11280">
              <w:rPr>
                <w:szCs w:val="20"/>
              </w:rPr>
              <w:t>This was reasonable.</w:t>
            </w:r>
          </w:p>
        </w:tc>
        <w:tc>
          <w:tcPr>
            <w:tcW w:w="1984" w:type="dxa"/>
          </w:tcPr>
          <w:p w14:paraId="6B638D88" w14:textId="399F6EF3" w:rsidR="001178E8" w:rsidRPr="006E7618" w:rsidRDefault="001178E8" w:rsidP="00A51AD5">
            <w:pPr>
              <w:jc w:val="left"/>
              <w:rPr>
                <w:szCs w:val="20"/>
              </w:rPr>
            </w:pPr>
            <w:r w:rsidRPr="00F83120">
              <w:rPr>
                <w:rFonts w:ascii="Arial Narrow" w:hAnsi="Arial Narrow"/>
                <w:bCs/>
                <w:sz w:val="20"/>
                <w:szCs w:val="20"/>
              </w:rPr>
              <w:t>DUSC considered that the patient popul</w:t>
            </w:r>
            <w:r w:rsidRPr="00BC1100">
              <w:rPr>
                <w:rFonts w:ascii="Arial Narrow" w:hAnsi="Arial Narrow"/>
                <w:bCs/>
                <w:sz w:val="20"/>
                <w:szCs w:val="20"/>
              </w:rPr>
              <w:t>ation in the overlap subgroup was reasonable.</w:t>
            </w:r>
          </w:p>
        </w:tc>
      </w:tr>
      <w:tr w:rsidR="001178E8" w:rsidRPr="00933708" w14:paraId="78799883" w14:textId="77777777" w:rsidTr="00A51AD5">
        <w:trPr>
          <w:jc w:val="center"/>
        </w:trPr>
        <w:tc>
          <w:tcPr>
            <w:tcW w:w="1333" w:type="dxa"/>
          </w:tcPr>
          <w:p w14:paraId="6BCDDCEF" w14:textId="77777777" w:rsidR="001178E8" w:rsidRPr="00A11280" w:rsidRDefault="001178E8" w:rsidP="004B5876">
            <w:pPr>
              <w:pStyle w:val="COMTabletext"/>
              <w:keepNext w:val="0"/>
              <w:rPr>
                <w:szCs w:val="20"/>
              </w:rPr>
            </w:pPr>
            <w:r w:rsidRPr="00A11280">
              <w:rPr>
                <w:szCs w:val="20"/>
              </w:rPr>
              <w:t>% Incremental subgroup</w:t>
            </w:r>
          </w:p>
        </w:tc>
        <w:tc>
          <w:tcPr>
            <w:tcW w:w="1502" w:type="dxa"/>
          </w:tcPr>
          <w:p w14:paraId="53A1AFC3" w14:textId="77777777" w:rsidR="001178E8" w:rsidRPr="00A11280" w:rsidRDefault="001178E8" w:rsidP="004B5876">
            <w:pPr>
              <w:pStyle w:val="COMTabletext"/>
              <w:keepNext w:val="0"/>
              <w:rPr>
                <w:szCs w:val="20"/>
              </w:rPr>
            </w:pPr>
            <w:r w:rsidRPr="00A11280">
              <w:rPr>
                <w:szCs w:val="20"/>
              </w:rPr>
              <w:t>8.4%</w:t>
            </w:r>
          </w:p>
        </w:tc>
        <w:tc>
          <w:tcPr>
            <w:tcW w:w="4536" w:type="dxa"/>
          </w:tcPr>
          <w:p w14:paraId="7CE0BE40" w14:textId="3E2180BE" w:rsidR="001178E8" w:rsidRPr="00A11280" w:rsidRDefault="001178E8" w:rsidP="004B5876">
            <w:pPr>
              <w:pStyle w:val="COMTabletext"/>
              <w:keepNext w:val="0"/>
              <w:rPr>
                <w:szCs w:val="20"/>
              </w:rPr>
            </w:pPr>
            <w:r w:rsidRPr="00A11280">
              <w:rPr>
                <w:szCs w:val="20"/>
              </w:rPr>
              <w:t xml:space="preserve">Proportion of patients with eligible eGFR levels from 2011-2012 NHMS data (same source as for </w:t>
            </w:r>
            <w:r w:rsidR="00AD3910" w:rsidRPr="00A11280">
              <w:rPr>
                <w:szCs w:val="20"/>
              </w:rPr>
              <w:t>overlap</w:t>
            </w:r>
            <w:r w:rsidRPr="00A11280">
              <w:rPr>
                <w:szCs w:val="20"/>
              </w:rPr>
              <w:t xml:space="preserve"> subgroup above). Patients with Stage 5 CKD were excluded (0.8%) based on the number of patients who received renal replacement therapy from the Australian and New Zealand Dialysis and Transplant Registry (ANZDATA) from 2011.</w:t>
            </w:r>
          </w:p>
          <w:p w14:paraId="54EFAB77" w14:textId="77777777" w:rsidR="001178E8" w:rsidRPr="00A11280" w:rsidRDefault="001178E8" w:rsidP="004B5876">
            <w:pPr>
              <w:pStyle w:val="COMTabletext"/>
              <w:keepNext w:val="0"/>
              <w:rPr>
                <w:szCs w:val="20"/>
              </w:rPr>
            </w:pPr>
          </w:p>
          <w:p w14:paraId="0991C4C8" w14:textId="77777777" w:rsidR="001178E8" w:rsidRPr="00A11280" w:rsidRDefault="001178E8" w:rsidP="004B5876">
            <w:pPr>
              <w:pStyle w:val="COMTabletext"/>
              <w:keepNext w:val="0"/>
              <w:rPr>
                <w:szCs w:val="20"/>
              </w:rPr>
            </w:pPr>
            <w:r w:rsidRPr="00A11280">
              <w:rPr>
                <w:szCs w:val="20"/>
              </w:rPr>
              <w:t>Patients with micro- and macroalbuminuria from the same NHMS dataset (of all patients with albuminuria, 88% had microalbuminuria, and 12% had macroalbuminuria), used in the absence of more granular data, assuming that microalbuminuria was a reasonable proxy for patients with UACR between 30 and 200 mg/g, and macroalbuminuria represented patients with UACR &gt;200 mg/g. The submission assumed that patients were uniformly distributed within each eGFR stage.</w:t>
            </w:r>
          </w:p>
          <w:p w14:paraId="3836EA40" w14:textId="77777777" w:rsidR="001178E8" w:rsidRPr="00A11280" w:rsidRDefault="001178E8" w:rsidP="004B5876">
            <w:pPr>
              <w:pStyle w:val="COMTabletext"/>
              <w:keepNext w:val="0"/>
              <w:rPr>
                <w:szCs w:val="20"/>
              </w:rPr>
            </w:pPr>
          </w:p>
          <w:p w14:paraId="2DC55891" w14:textId="77777777" w:rsidR="001178E8" w:rsidRPr="00A11280" w:rsidRDefault="001178E8" w:rsidP="004B5876">
            <w:pPr>
              <w:pStyle w:val="COMTabletext"/>
              <w:keepNext w:val="0"/>
              <w:rPr>
                <w:szCs w:val="20"/>
                <w:highlight w:val="yellow"/>
              </w:rPr>
            </w:pPr>
            <w:r w:rsidRPr="00A11280">
              <w:rPr>
                <w:szCs w:val="20"/>
              </w:rPr>
              <w:t>The NHMS data did not report the proportion of patients with UACR &gt;5,000 mg/g, so the submission’s base case assumed that no patients would meet this criterion.</w:t>
            </w:r>
          </w:p>
        </w:tc>
        <w:tc>
          <w:tcPr>
            <w:tcW w:w="1985" w:type="dxa"/>
          </w:tcPr>
          <w:p w14:paraId="7DFBCE39" w14:textId="77777777" w:rsidR="009F241D" w:rsidRDefault="001178E8" w:rsidP="004B5876">
            <w:pPr>
              <w:pStyle w:val="COMTabletext"/>
              <w:keepNext w:val="0"/>
              <w:rPr>
                <w:szCs w:val="20"/>
              </w:rPr>
            </w:pPr>
            <w:r w:rsidRPr="00A11280">
              <w:rPr>
                <w:szCs w:val="20"/>
              </w:rPr>
              <w:t>It is unclear whether proportions of patients with micro or macroalbuminuria from the NHMS dataset are representative of proportions with micro or macroalbuminuria or normal albumin levels within each eGFR stage. Distribution of albuminuria is likely to be different within more or less severe kidney disease stages.</w:t>
            </w:r>
            <w:r w:rsidR="00056F3E">
              <w:rPr>
                <w:szCs w:val="20"/>
              </w:rPr>
              <w:t xml:space="preserve"> </w:t>
            </w:r>
          </w:p>
          <w:p w14:paraId="0E80BF73" w14:textId="77777777" w:rsidR="009F241D" w:rsidRDefault="009F241D" w:rsidP="004B5876">
            <w:pPr>
              <w:pStyle w:val="COMTabletext"/>
              <w:keepNext w:val="0"/>
              <w:rPr>
                <w:szCs w:val="20"/>
              </w:rPr>
            </w:pPr>
          </w:p>
          <w:p w14:paraId="30E5E06B" w14:textId="3818123F" w:rsidR="001178E8" w:rsidRPr="00A11280" w:rsidRDefault="001178E8" w:rsidP="004B5876">
            <w:pPr>
              <w:pStyle w:val="COMTabletext"/>
              <w:keepNext w:val="0"/>
              <w:rPr>
                <w:szCs w:val="20"/>
              </w:rPr>
            </w:pPr>
            <w:r w:rsidRPr="00A11280">
              <w:rPr>
                <w:szCs w:val="20"/>
              </w:rPr>
              <w:t xml:space="preserve">This assumption that no patients met the criterion of UACR &gt;5,000 mg/g may have underestimated the size of the eligible incremental subgroup. The submission’s sensitivity analysis included data from </w:t>
            </w:r>
            <w:proofErr w:type="spellStart"/>
            <w:r w:rsidRPr="00A11280">
              <w:rPr>
                <w:szCs w:val="20"/>
              </w:rPr>
              <w:t>Neuen</w:t>
            </w:r>
            <w:proofErr w:type="spellEnd"/>
            <w:r w:rsidRPr="00A11280">
              <w:rPr>
                <w:szCs w:val="20"/>
              </w:rPr>
              <w:t xml:space="preserve"> (2023), in which 1,126 patients met the criteria for eGFR </w:t>
            </w:r>
            <w:r w:rsidRPr="00A11280">
              <w:rPr>
                <w:rFonts w:cs="Calibri"/>
                <w:szCs w:val="20"/>
              </w:rPr>
              <w:t>≥</w:t>
            </w:r>
            <w:r w:rsidRPr="00A11280">
              <w:rPr>
                <w:szCs w:val="20"/>
              </w:rPr>
              <w:t>25 to 75 and UACR &gt;5,000 mg/g.</w:t>
            </w:r>
          </w:p>
        </w:tc>
        <w:tc>
          <w:tcPr>
            <w:tcW w:w="1984" w:type="dxa"/>
          </w:tcPr>
          <w:p w14:paraId="7DDF3ECF" w14:textId="77777777" w:rsidR="001178E8" w:rsidRPr="00A51AD5" w:rsidRDefault="001178E8" w:rsidP="004B5876">
            <w:pPr>
              <w:jc w:val="left"/>
              <w:rPr>
                <w:rFonts w:ascii="Arial Narrow" w:hAnsi="Arial Narrow"/>
                <w:sz w:val="20"/>
                <w:szCs w:val="20"/>
              </w:rPr>
            </w:pPr>
            <w:r w:rsidRPr="00A11280">
              <w:rPr>
                <w:rFonts w:ascii="Arial Narrow" w:hAnsi="Arial Narrow"/>
                <w:bCs/>
                <w:sz w:val="20"/>
                <w:szCs w:val="20"/>
              </w:rPr>
              <w:t>DUSC considered that the patient population in the incremental subgroup was uncertain and potentially an underestimate.</w:t>
            </w:r>
          </w:p>
        </w:tc>
      </w:tr>
      <w:tr w:rsidR="001178E8" w:rsidRPr="00933708" w14:paraId="6F671D75" w14:textId="77777777" w:rsidTr="00A51AD5">
        <w:trPr>
          <w:jc w:val="center"/>
        </w:trPr>
        <w:tc>
          <w:tcPr>
            <w:tcW w:w="1333" w:type="dxa"/>
          </w:tcPr>
          <w:p w14:paraId="6BDCC99B" w14:textId="606C9F10" w:rsidR="001178E8" w:rsidRPr="00A11280" w:rsidRDefault="001178E8" w:rsidP="00A51AD5">
            <w:pPr>
              <w:pStyle w:val="COMTabletext"/>
              <w:keepNext w:val="0"/>
              <w:rPr>
                <w:szCs w:val="20"/>
              </w:rPr>
            </w:pPr>
            <w:r w:rsidRPr="00A11280">
              <w:rPr>
                <w:szCs w:val="20"/>
              </w:rPr>
              <w:t xml:space="preserve">Proportion of patients who are stable on angiotensin-converting enzyme inhibitors (ACEi) or </w:t>
            </w:r>
            <w:r w:rsidR="00933708" w:rsidRPr="00A11280">
              <w:rPr>
                <w:szCs w:val="20"/>
              </w:rPr>
              <w:t>angiotensin</w:t>
            </w:r>
            <w:r w:rsidRPr="00A11280">
              <w:rPr>
                <w:szCs w:val="20"/>
              </w:rPr>
              <w:t xml:space="preserve"> receptor blockers (ARBs)</w:t>
            </w:r>
          </w:p>
        </w:tc>
        <w:tc>
          <w:tcPr>
            <w:tcW w:w="1502" w:type="dxa"/>
          </w:tcPr>
          <w:p w14:paraId="102F2E6E" w14:textId="77777777" w:rsidR="001178E8" w:rsidRPr="00A11280" w:rsidRDefault="001178E8" w:rsidP="00A51AD5">
            <w:pPr>
              <w:pStyle w:val="COMTabletext"/>
              <w:keepNext w:val="0"/>
              <w:rPr>
                <w:szCs w:val="20"/>
              </w:rPr>
            </w:pPr>
            <w:r w:rsidRPr="00A11280">
              <w:rPr>
                <w:szCs w:val="20"/>
              </w:rPr>
              <w:t>80%</w:t>
            </w:r>
          </w:p>
        </w:tc>
        <w:tc>
          <w:tcPr>
            <w:tcW w:w="4536" w:type="dxa"/>
          </w:tcPr>
          <w:p w14:paraId="7D14F3D2" w14:textId="77777777" w:rsidR="001178E8" w:rsidRPr="00A11280" w:rsidRDefault="001178E8" w:rsidP="00A51AD5">
            <w:pPr>
              <w:pStyle w:val="COMTabletext"/>
              <w:keepNext w:val="0"/>
              <w:rPr>
                <w:szCs w:val="20"/>
              </w:rPr>
            </w:pPr>
            <w:r w:rsidRPr="00A11280">
              <w:rPr>
                <w:szCs w:val="20"/>
              </w:rPr>
              <w:t>Suggested by PBAC as an alternative to the dapagliflozin submission’s assumption of 100% of patients (para 14.2, Dapagliflozin PSD, November 2021 PBAC meeting).</w:t>
            </w:r>
          </w:p>
        </w:tc>
        <w:tc>
          <w:tcPr>
            <w:tcW w:w="1985" w:type="dxa"/>
          </w:tcPr>
          <w:p w14:paraId="27DAB288" w14:textId="77777777" w:rsidR="001178E8" w:rsidRPr="00A11280" w:rsidRDefault="001178E8" w:rsidP="00A51AD5">
            <w:pPr>
              <w:pStyle w:val="COMTabletext"/>
              <w:keepNext w:val="0"/>
              <w:rPr>
                <w:szCs w:val="20"/>
                <w:highlight w:val="yellow"/>
              </w:rPr>
            </w:pPr>
            <w:r w:rsidRPr="00A11280">
              <w:rPr>
                <w:szCs w:val="20"/>
              </w:rPr>
              <w:t>This was reasonable.</w:t>
            </w:r>
          </w:p>
        </w:tc>
        <w:tc>
          <w:tcPr>
            <w:tcW w:w="1984" w:type="dxa"/>
          </w:tcPr>
          <w:p w14:paraId="0BFFCCF9" w14:textId="77777777" w:rsidR="001178E8" w:rsidRPr="00A11280" w:rsidRDefault="001178E8" w:rsidP="00A51AD5">
            <w:pPr>
              <w:pStyle w:val="COMTabletext"/>
              <w:keepNext w:val="0"/>
              <w:rPr>
                <w:szCs w:val="20"/>
              </w:rPr>
            </w:pPr>
            <w:r w:rsidRPr="00A11280">
              <w:rPr>
                <w:szCs w:val="20"/>
              </w:rPr>
              <w:t>DUSC noted that it is unclear whether this estimate is reflective of the restriction criteria of maximum tolerated dose.</w:t>
            </w:r>
          </w:p>
        </w:tc>
      </w:tr>
      <w:tr w:rsidR="001178E8" w:rsidRPr="00933708" w14:paraId="0AF668DD" w14:textId="77777777" w:rsidTr="00A51AD5">
        <w:trPr>
          <w:jc w:val="center"/>
        </w:trPr>
        <w:tc>
          <w:tcPr>
            <w:tcW w:w="1333" w:type="dxa"/>
          </w:tcPr>
          <w:p w14:paraId="61E209C3" w14:textId="77777777" w:rsidR="001178E8" w:rsidRPr="00A11280" w:rsidRDefault="001178E8" w:rsidP="00A51AD5">
            <w:pPr>
              <w:pStyle w:val="COMTabletext"/>
              <w:keepNext w:val="0"/>
              <w:rPr>
                <w:szCs w:val="20"/>
              </w:rPr>
            </w:pPr>
            <w:r w:rsidRPr="00A11280">
              <w:rPr>
                <w:szCs w:val="20"/>
              </w:rPr>
              <w:lastRenderedPageBreak/>
              <w:t>% patients without polycystic kidney disease</w:t>
            </w:r>
          </w:p>
        </w:tc>
        <w:tc>
          <w:tcPr>
            <w:tcW w:w="1502" w:type="dxa"/>
          </w:tcPr>
          <w:p w14:paraId="379D6C36" w14:textId="77777777" w:rsidR="001178E8" w:rsidRPr="00A11280" w:rsidRDefault="001178E8" w:rsidP="00A51AD5">
            <w:pPr>
              <w:pStyle w:val="COMTabletext"/>
              <w:keepNext w:val="0"/>
              <w:rPr>
                <w:szCs w:val="20"/>
              </w:rPr>
            </w:pPr>
            <w:r w:rsidRPr="00A11280">
              <w:rPr>
                <w:szCs w:val="20"/>
              </w:rPr>
              <w:t>95.7%</w:t>
            </w:r>
          </w:p>
        </w:tc>
        <w:tc>
          <w:tcPr>
            <w:tcW w:w="4536" w:type="dxa"/>
          </w:tcPr>
          <w:p w14:paraId="2D4D1C73" w14:textId="2BE10BA2" w:rsidR="001178E8" w:rsidRPr="00A11280" w:rsidRDefault="001178E8" w:rsidP="00A51AD5">
            <w:pPr>
              <w:pStyle w:val="COMTabletext"/>
              <w:keepNext w:val="0"/>
              <w:rPr>
                <w:szCs w:val="20"/>
              </w:rPr>
            </w:pPr>
            <w:r w:rsidRPr="00A11280">
              <w:rPr>
                <w:szCs w:val="20"/>
              </w:rPr>
              <w:t>4.3% of patients with CKD were reported to have polycystic kidney disease, based on Queensland registry data (Mallett 2014), the same source used in the dapagliflozin submission (Table 23, Dapagliflozin PSD, November 2021 PBAC meeting). The submission noted that more patients with other renal conditions were excluded from the dapagliflozin estimates (total 5.66%) due to additional renal conditions in the exclusion criteria for the DAPA-CKD trial</w:t>
            </w:r>
            <w:r w:rsidR="00933708" w:rsidRPr="00A11280">
              <w:rPr>
                <w:szCs w:val="20"/>
              </w:rPr>
              <w:t xml:space="preserve">. </w:t>
            </w:r>
          </w:p>
        </w:tc>
        <w:tc>
          <w:tcPr>
            <w:tcW w:w="1985" w:type="dxa"/>
          </w:tcPr>
          <w:p w14:paraId="02493089" w14:textId="77777777" w:rsidR="001178E8" w:rsidRPr="00A11280" w:rsidRDefault="001178E8" w:rsidP="00A51AD5">
            <w:pPr>
              <w:pStyle w:val="COMTabletext"/>
              <w:keepNext w:val="0"/>
              <w:rPr>
                <w:szCs w:val="20"/>
              </w:rPr>
            </w:pPr>
            <w:r w:rsidRPr="00A11280">
              <w:rPr>
                <w:szCs w:val="20"/>
              </w:rPr>
              <w:t>The PBAC previously considered that the applicability of the Queensland data was unknown, and patients with a history of cytotoxic or immunosuppressive therapy for kidney disease, or an organ transplant had not been excluded. However, as the overall impact of further changes was likely to be small, these estimates were reasonable (Table 23, Dapagliflozin PSD, November 2021 PBAC meeting).</w:t>
            </w:r>
          </w:p>
        </w:tc>
        <w:tc>
          <w:tcPr>
            <w:tcW w:w="1984" w:type="dxa"/>
          </w:tcPr>
          <w:p w14:paraId="4CD7B98E" w14:textId="77777777" w:rsidR="001178E8" w:rsidRPr="00A11280" w:rsidRDefault="001178E8" w:rsidP="00A51AD5">
            <w:pPr>
              <w:pStyle w:val="COMTabletext"/>
              <w:keepNext w:val="0"/>
              <w:rPr>
                <w:szCs w:val="20"/>
              </w:rPr>
            </w:pPr>
            <w:r w:rsidRPr="00A11280">
              <w:rPr>
                <w:szCs w:val="20"/>
              </w:rPr>
              <w:t>DUSC noted that patients with a history of cytotoxic or immunosuppressive therapy for kidney disease, or an organ transplant had not been excluded.</w:t>
            </w:r>
          </w:p>
        </w:tc>
      </w:tr>
      <w:tr w:rsidR="001178E8" w:rsidRPr="00933708" w14:paraId="175BF202" w14:textId="77777777" w:rsidTr="00A51AD5">
        <w:trPr>
          <w:cantSplit/>
          <w:jc w:val="center"/>
        </w:trPr>
        <w:tc>
          <w:tcPr>
            <w:tcW w:w="1333" w:type="dxa"/>
          </w:tcPr>
          <w:p w14:paraId="2A219C76" w14:textId="77777777" w:rsidR="001178E8" w:rsidRPr="00A11280" w:rsidRDefault="001178E8" w:rsidP="00A51AD5">
            <w:pPr>
              <w:pStyle w:val="COMTabletext"/>
              <w:keepLines/>
              <w:rPr>
                <w:szCs w:val="20"/>
              </w:rPr>
            </w:pPr>
            <w:r w:rsidRPr="00A11280">
              <w:rPr>
                <w:szCs w:val="20"/>
              </w:rPr>
              <w:lastRenderedPageBreak/>
              <w:t>% patients without type 2 diabetes</w:t>
            </w:r>
          </w:p>
        </w:tc>
        <w:tc>
          <w:tcPr>
            <w:tcW w:w="1502" w:type="dxa"/>
          </w:tcPr>
          <w:p w14:paraId="667C1ADB" w14:textId="77777777" w:rsidR="001178E8" w:rsidRPr="00A11280" w:rsidRDefault="001178E8" w:rsidP="00A51AD5">
            <w:pPr>
              <w:pStyle w:val="COMTabletext"/>
              <w:keepLines/>
              <w:rPr>
                <w:szCs w:val="20"/>
              </w:rPr>
            </w:pPr>
            <w:r w:rsidRPr="00A11280">
              <w:rPr>
                <w:szCs w:val="20"/>
              </w:rPr>
              <w:t>50%</w:t>
            </w:r>
          </w:p>
        </w:tc>
        <w:tc>
          <w:tcPr>
            <w:tcW w:w="4536" w:type="dxa"/>
          </w:tcPr>
          <w:p w14:paraId="421F220B" w14:textId="77777777" w:rsidR="001178E8" w:rsidRPr="00A11280" w:rsidRDefault="001178E8" w:rsidP="00A51AD5">
            <w:pPr>
              <w:pStyle w:val="COMTabletext"/>
              <w:keepLines/>
              <w:rPr>
                <w:szCs w:val="20"/>
              </w:rPr>
            </w:pPr>
            <w:r w:rsidRPr="00A11280">
              <w:rPr>
                <w:szCs w:val="20"/>
              </w:rPr>
              <w:t>Suggested by PBAC as an alternative estimate (Table 23, Dapagliflozin PSD, November 2021 PBAC meeting). Based on 2019 ANZDATA registry data, in which close to 50% of patients had type 2 diabetes on initiation of renal replacement therapy. PBAC further noted that in the DAPA-CKD trial, 67.6% of patients had type 2 diabetes at baseline (32.4% without type 2 diabetes). Approximately 55% of patients in the EMPA-KIDNEY trial did not have type 2 diabetes.</w:t>
            </w:r>
          </w:p>
          <w:p w14:paraId="3F69DBB5" w14:textId="77777777" w:rsidR="001178E8" w:rsidRPr="00A11280" w:rsidRDefault="001178E8" w:rsidP="00A51AD5">
            <w:pPr>
              <w:pStyle w:val="COMTabletext"/>
              <w:keepLines/>
              <w:rPr>
                <w:szCs w:val="20"/>
              </w:rPr>
            </w:pPr>
            <w:r w:rsidRPr="00A11280">
              <w:rPr>
                <w:szCs w:val="20"/>
              </w:rPr>
              <w:t>An alternative estimate of 57.4% without type 2 diabetes was derived from an Australian study of patients who would meet the eligibility criteria of the EMPA-KIDNEY trial, presented in the submission as a sensitivity analysis (see Section 4.6).</w:t>
            </w:r>
          </w:p>
        </w:tc>
        <w:tc>
          <w:tcPr>
            <w:tcW w:w="1985" w:type="dxa"/>
            <w:vMerge w:val="restart"/>
          </w:tcPr>
          <w:p w14:paraId="5B1E952E" w14:textId="77777777" w:rsidR="001178E8" w:rsidRPr="00A11280" w:rsidRDefault="001178E8" w:rsidP="00A51AD5">
            <w:pPr>
              <w:pStyle w:val="COMTabletext"/>
              <w:keepLines/>
              <w:rPr>
                <w:szCs w:val="20"/>
              </w:rPr>
            </w:pPr>
            <w:r w:rsidRPr="00A11280">
              <w:rPr>
                <w:szCs w:val="20"/>
              </w:rPr>
              <w:t xml:space="preserve">The 50% estimate was suggested by PBAC in the dapagliflozin November 2021 submission to represent the total proportion of patients who are not eligible for SGLT2 inhibitor treatment for type 2 diabetes (i.e., inclusive of those without type 2 diabetes, </w:t>
            </w:r>
            <w:r w:rsidRPr="00A11280">
              <w:rPr>
                <w:b/>
                <w:bCs w:val="0"/>
                <w:szCs w:val="20"/>
              </w:rPr>
              <w:t>and</w:t>
            </w:r>
            <w:r w:rsidRPr="00A11280">
              <w:rPr>
                <w:szCs w:val="20"/>
              </w:rPr>
              <w:t xml:space="preserve"> those with type 2 diabetes but with HbA1c ≤7%). This estimate was proposed by PBAC in November 2021, whereas the current submission’s argument was based on a quote from the July 2021 PBAC meeting.</w:t>
            </w:r>
          </w:p>
          <w:p w14:paraId="3F4DEB2A" w14:textId="77777777" w:rsidR="001178E8" w:rsidRPr="00A11280" w:rsidRDefault="001178E8" w:rsidP="00A51AD5">
            <w:pPr>
              <w:pStyle w:val="COMTabletext"/>
              <w:keepLines/>
              <w:rPr>
                <w:szCs w:val="20"/>
              </w:rPr>
            </w:pPr>
          </w:p>
          <w:p w14:paraId="2B4381DA" w14:textId="77777777" w:rsidR="001178E8" w:rsidRPr="00A11280" w:rsidRDefault="001178E8" w:rsidP="00A51AD5">
            <w:pPr>
              <w:pStyle w:val="COMTabletext"/>
              <w:keepLines/>
              <w:rPr>
                <w:szCs w:val="20"/>
                <w:highlight w:val="yellow"/>
              </w:rPr>
            </w:pPr>
            <w:r w:rsidRPr="00A11280">
              <w:rPr>
                <w:szCs w:val="20"/>
              </w:rPr>
              <w:t>Adding an additional 27.9% of type 2 diabetes patients may have overestimated the total number of CKD patients who are not eligible for SGLT2 inhibitor therapy for diabetes.</w:t>
            </w:r>
          </w:p>
        </w:tc>
        <w:tc>
          <w:tcPr>
            <w:tcW w:w="1984" w:type="dxa"/>
          </w:tcPr>
          <w:p w14:paraId="57D948A2" w14:textId="77777777" w:rsidR="001178E8" w:rsidRPr="00A11280" w:rsidRDefault="001178E8" w:rsidP="00A51AD5">
            <w:pPr>
              <w:pStyle w:val="COMTabletext"/>
              <w:keepLines/>
              <w:rPr>
                <w:szCs w:val="20"/>
              </w:rPr>
            </w:pPr>
            <w:r w:rsidRPr="00A11280">
              <w:rPr>
                <w:szCs w:val="20"/>
              </w:rPr>
              <w:t>DUSC noted that the estimated proportion of patients without T2DM of 50% suggested by PBAC in the November 2021 public summary document for dapagliflozin was inclusive of those with diabetes with a HbA1C of ≤7%.</w:t>
            </w:r>
          </w:p>
          <w:p w14:paraId="45C450C8" w14:textId="77777777" w:rsidR="001178E8" w:rsidRPr="00A11280" w:rsidRDefault="001178E8" w:rsidP="00A51AD5">
            <w:pPr>
              <w:pStyle w:val="COMTabletext"/>
              <w:keepLines/>
              <w:rPr>
                <w:szCs w:val="20"/>
              </w:rPr>
            </w:pPr>
          </w:p>
        </w:tc>
      </w:tr>
      <w:tr w:rsidR="001178E8" w:rsidRPr="00933708" w14:paraId="083306C5" w14:textId="77777777" w:rsidTr="00A51AD5">
        <w:trPr>
          <w:cantSplit/>
          <w:jc w:val="center"/>
        </w:trPr>
        <w:tc>
          <w:tcPr>
            <w:tcW w:w="1333" w:type="dxa"/>
          </w:tcPr>
          <w:p w14:paraId="3D5FF90A" w14:textId="77777777" w:rsidR="001178E8" w:rsidRPr="00A11280" w:rsidRDefault="001178E8" w:rsidP="00A51AD5">
            <w:pPr>
              <w:pStyle w:val="COMTabletext"/>
              <w:keepLines/>
              <w:rPr>
                <w:szCs w:val="20"/>
              </w:rPr>
            </w:pPr>
            <w:r w:rsidRPr="00A11280">
              <w:rPr>
                <w:szCs w:val="20"/>
              </w:rPr>
              <w:t>% patients with type 2 diabetes who are not eligible for SGLT2 inhibitors due to HbA1c ≤7%</w:t>
            </w:r>
          </w:p>
        </w:tc>
        <w:tc>
          <w:tcPr>
            <w:tcW w:w="1502" w:type="dxa"/>
          </w:tcPr>
          <w:p w14:paraId="25E1C4F5" w14:textId="77777777" w:rsidR="001178E8" w:rsidRPr="00A11280" w:rsidRDefault="001178E8" w:rsidP="00A51AD5">
            <w:pPr>
              <w:pStyle w:val="COMTabletext"/>
              <w:keepLines/>
              <w:rPr>
                <w:szCs w:val="20"/>
              </w:rPr>
            </w:pPr>
            <w:r w:rsidRPr="00A11280">
              <w:rPr>
                <w:szCs w:val="20"/>
              </w:rPr>
              <w:t>27.9%</w:t>
            </w:r>
          </w:p>
        </w:tc>
        <w:tc>
          <w:tcPr>
            <w:tcW w:w="4536" w:type="dxa"/>
          </w:tcPr>
          <w:p w14:paraId="614DBA0D" w14:textId="77777777" w:rsidR="001178E8" w:rsidRPr="00A11280" w:rsidRDefault="001178E8" w:rsidP="00A51AD5">
            <w:pPr>
              <w:pStyle w:val="COMTabletext"/>
              <w:keepLines/>
              <w:rPr>
                <w:szCs w:val="20"/>
              </w:rPr>
            </w:pPr>
            <w:r w:rsidRPr="00A11280">
              <w:rPr>
                <w:szCs w:val="20"/>
              </w:rPr>
              <w:t>The submission quoted the July 2021 Dapagliflozin PSD (para 6.61, Dapagliflozin PSD, July 2021 PBAC meeting), stating that the estimate of CKD patients with type 2 diabetes ‘did not explicitly account for [SGLT2] eligibility according to existing and proposed PBS restrictions, and argued that in practice, it is likely that not all CKD patients with type 2 diabetes would meet the type 2 diabetes restriction requirements for SGLT2 inhibitors.</w:t>
            </w:r>
          </w:p>
          <w:p w14:paraId="7DE776C3" w14:textId="77777777" w:rsidR="001178E8" w:rsidRPr="00A11280" w:rsidRDefault="001178E8" w:rsidP="00A51AD5">
            <w:pPr>
              <w:pStyle w:val="COMTabletext"/>
              <w:keepLines/>
              <w:rPr>
                <w:szCs w:val="20"/>
              </w:rPr>
            </w:pPr>
          </w:p>
          <w:p w14:paraId="33C40237" w14:textId="77777777" w:rsidR="001178E8" w:rsidRPr="00A11280" w:rsidRDefault="001178E8" w:rsidP="00A51AD5">
            <w:pPr>
              <w:pStyle w:val="COMTabletext"/>
              <w:keepLines/>
              <w:rPr>
                <w:szCs w:val="20"/>
              </w:rPr>
            </w:pPr>
            <w:r w:rsidRPr="00A11280">
              <w:rPr>
                <w:szCs w:val="20"/>
              </w:rPr>
              <w:t>The submission therefore estimated the proportion of type 2 diabetes patients not eligible for PBS-listed SGLT2 inhibitor treatment based on a cross-sectional study of patients with type 2 diabetes and cardiovascular disease using the MedicineInsight primary care database (Marson 2021), in which 55.8% of patients had HbA1c of ≤7%. This proportion was applied to the proportion of CKD patients with type 2 diabetes (55.8% x 50%) to reach the submission’s estimate of 27.9% of CKD patients with type 2 diabetes who are not eligible for PBS-listed SGLT2 therapy.</w:t>
            </w:r>
          </w:p>
        </w:tc>
        <w:tc>
          <w:tcPr>
            <w:tcW w:w="1985" w:type="dxa"/>
            <w:vMerge/>
          </w:tcPr>
          <w:p w14:paraId="0195B6B3" w14:textId="77777777" w:rsidR="001178E8" w:rsidRPr="00A11280" w:rsidRDefault="001178E8" w:rsidP="00A51AD5">
            <w:pPr>
              <w:pStyle w:val="COMTabletext"/>
              <w:keepLines/>
              <w:rPr>
                <w:szCs w:val="20"/>
                <w:highlight w:val="yellow"/>
              </w:rPr>
            </w:pPr>
          </w:p>
        </w:tc>
        <w:tc>
          <w:tcPr>
            <w:tcW w:w="1984" w:type="dxa"/>
          </w:tcPr>
          <w:p w14:paraId="667A9856" w14:textId="77777777" w:rsidR="001178E8" w:rsidRPr="00A11280" w:rsidRDefault="001178E8" w:rsidP="00A51AD5">
            <w:pPr>
              <w:pStyle w:val="COMTabletext"/>
              <w:keepLines/>
              <w:rPr>
                <w:szCs w:val="20"/>
                <w:highlight w:val="yellow"/>
              </w:rPr>
            </w:pPr>
            <w:r w:rsidRPr="00A11280">
              <w:rPr>
                <w:szCs w:val="20"/>
              </w:rPr>
              <w:t>DUSC considered that the proportion of patients with T2DM who are not eligible for SGLT2 inhibitor are already accounted for in the 50% estimate of patients with CKD but without T2DM.</w:t>
            </w:r>
          </w:p>
        </w:tc>
      </w:tr>
      <w:tr w:rsidR="001178E8" w:rsidRPr="00933708" w14:paraId="66F82BBF" w14:textId="77777777" w:rsidTr="00A51AD5">
        <w:trPr>
          <w:cantSplit/>
          <w:jc w:val="center"/>
        </w:trPr>
        <w:tc>
          <w:tcPr>
            <w:tcW w:w="1333" w:type="dxa"/>
          </w:tcPr>
          <w:p w14:paraId="289759C8" w14:textId="77777777" w:rsidR="001178E8" w:rsidRPr="00A11280" w:rsidRDefault="001178E8" w:rsidP="00A51AD5">
            <w:pPr>
              <w:pStyle w:val="COMTabletext"/>
              <w:keepNext w:val="0"/>
              <w:rPr>
                <w:szCs w:val="20"/>
              </w:rPr>
            </w:pPr>
            <w:r w:rsidRPr="00A11280">
              <w:rPr>
                <w:szCs w:val="20"/>
              </w:rPr>
              <w:lastRenderedPageBreak/>
              <w:t>% patients with CKD who do not have heart failure</w:t>
            </w:r>
          </w:p>
        </w:tc>
        <w:tc>
          <w:tcPr>
            <w:tcW w:w="1502" w:type="dxa"/>
          </w:tcPr>
          <w:p w14:paraId="515C198F" w14:textId="77777777" w:rsidR="001178E8" w:rsidRPr="00A11280" w:rsidRDefault="001178E8" w:rsidP="00A51AD5">
            <w:pPr>
              <w:pStyle w:val="COMTabletext"/>
              <w:keepNext w:val="0"/>
              <w:rPr>
                <w:szCs w:val="20"/>
              </w:rPr>
            </w:pPr>
            <w:r w:rsidRPr="00A11280">
              <w:rPr>
                <w:szCs w:val="20"/>
              </w:rPr>
              <w:t>90%</w:t>
            </w:r>
          </w:p>
        </w:tc>
        <w:tc>
          <w:tcPr>
            <w:tcW w:w="4536" w:type="dxa"/>
          </w:tcPr>
          <w:p w14:paraId="554D5CDD" w14:textId="77777777" w:rsidR="001178E8" w:rsidRPr="00A11280" w:rsidRDefault="001178E8" w:rsidP="00A51AD5">
            <w:pPr>
              <w:pStyle w:val="COMTabletext"/>
              <w:keepNext w:val="0"/>
              <w:rPr>
                <w:szCs w:val="20"/>
              </w:rPr>
            </w:pPr>
            <w:r w:rsidRPr="00A11280">
              <w:rPr>
                <w:szCs w:val="20"/>
              </w:rPr>
              <w:t>Proportion of patients in EMPA-KIDNEY trial who did not have heart failure, which is consistent with the estimate used in the dapagliflozin submission (Table 23, Dapagliflozin PSD, November 2021 PBAC meeting).</w:t>
            </w:r>
          </w:p>
        </w:tc>
        <w:tc>
          <w:tcPr>
            <w:tcW w:w="1985" w:type="dxa"/>
          </w:tcPr>
          <w:p w14:paraId="13F062EE" w14:textId="77777777" w:rsidR="001178E8" w:rsidRPr="00A11280" w:rsidRDefault="001178E8" w:rsidP="00A51AD5">
            <w:pPr>
              <w:pStyle w:val="COMTabletext"/>
              <w:keepNext w:val="0"/>
              <w:rPr>
                <w:szCs w:val="20"/>
              </w:rPr>
            </w:pPr>
            <w:r w:rsidRPr="00A11280">
              <w:rPr>
                <w:szCs w:val="20"/>
              </w:rPr>
              <w:t>This was appropriate.</w:t>
            </w:r>
          </w:p>
        </w:tc>
        <w:tc>
          <w:tcPr>
            <w:tcW w:w="1984" w:type="dxa"/>
          </w:tcPr>
          <w:p w14:paraId="080FF35F" w14:textId="53DA305D" w:rsidR="001178E8" w:rsidRPr="00A11280" w:rsidRDefault="001178E8" w:rsidP="00A51AD5">
            <w:pPr>
              <w:pStyle w:val="COMTabletext"/>
              <w:keepNext w:val="0"/>
              <w:rPr>
                <w:szCs w:val="20"/>
              </w:rPr>
            </w:pPr>
            <w:r w:rsidRPr="00A11280">
              <w:rPr>
                <w:szCs w:val="20"/>
              </w:rPr>
              <w:t xml:space="preserve">DUSC considered this </w:t>
            </w:r>
            <w:r w:rsidR="00DF204A" w:rsidRPr="00A11280">
              <w:rPr>
                <w:szCs w:val="20"/>
              </w:rPr>
              <w:t xml:space="preserve">was </w:t>
            </w:r>
            <w:r w:rsidRPr="00A11280">
              <w:rPr>
                <w:szCs w:val="20"/>
              </w:rPr>
              <w:t>appropriate.</w:t>
            </w:r>
          </w:p>
        </w:tc>
      </w:tr>
      <w:tr w:rsidR="001178E8" w:rsidRPr="00933708" w14:paraId="76065FC8" w14:textId="77777777" w:rsidTr="00A51AD5">
        <w:trPr>
          <w:jc w:val="center"/>
        </w:trPr>
        <w:tc>
          <w:tcPr>
            <w:tcW w:w="1333" w:type="dxa"/>
          </w:tcPr>
          <w:p w14:paraId="59B32CFB" w14:textId="77777777" w:rsidR="001178E8" w:rsidRPr="00A11280" w:rsidRDefault="001178E8" w:rsidP="00A51AD5">
            <w:pPr>
              <w:pStyle w:val="COMTabletext"/>
              <w:keepNext w:val="0"/>
              <w:rPr>
                <w:szCs w:val="20"/>
              </w:rPr>
            </w:pPr>
            <w:r w:rsidRPr="00A11280">
              <w:rPr>
                <w:szCs w:val="20"/>
              </w:rPr>
              <w:t>% patients with kidney failure who do not initiate renal replacement therapy (RRT)</w:t>
            </w:r>
          </w:p>
        </w:tc>
        <w:tc>
          <w:tcPr>
            <w:tcW w:w="1502" w:type="dxa"/>
          </w:tcPr>
          <w:p w14:paraId="49D176EB" w14:textId="77777777" w:rsidR="001178E8" w:rsidRPr="00A11280" w:rsidRDefault="001178E8" w:rsidP="00A51AD5">
            <w:pPr>
              <w:pStyle w:val="COMTabletext"/>
              <w:keepNext w:val="0"/>
              <w:rPr>
                <w:szCs w:val="20"/>
              </w:rPr>
            </w:pPr>
            <w:r w:rsidRPr="00A11280">
              <w:rPr>
                <w:szCs w:val="20"/>
              </w:rPr>
              <w:t>99.2%</w:t>
            </w:r>
          </w:p>
        </w:tc>
        <w:tc>
          <w:tcPr>
            <w:tcW w:w="4536" w:type="dxa"/>
          </w:tcPr>
          <w:p w14:paraId="03CBF821" w14:textId="77777777" w:rsidR="001178E8" w:rsidRPr="00A11280" w:rsidRDefault="001178E8" w:rsidP="00A51AD5">
            <w:pPr>
              <w:pStyle w:val="COMTabletext"/>
              <w:keepNext w:val="0"/>
              <w:rPr>
                <w:szCs w:val="20"/>
              </w:rPr>
            </w:pPr>
            <w:r w:rsidRPr="00A11280">
              <w:rPr>
                <w:szCs w:val="20"/>
              </w:rPr>
              <w:t>Estimated to exclude patients who have progressed to end stage kidney disease. Based on 0.8% of patients who initiated RRT in 2011 (ANZDATA Annual report 2021).</w:t>
            </w:r>
          </w:p>
        </w:tc>
        <w:tc>
          <w:tcPr>
            <w:tcW w:w="1985" w:type="dxa"/>
          </w:tcPr>
          <w:p w14:paraId="42FACCE6" w14:textId="77777777" w:rsidR="001178E8" w:rsidRPr="00A11280" w:rsidRDefault="001178E8" w:rsidP="00A51AD5">
            <w:pPr>
              <w:pStyle w:val="COMTabletext"/>
              <w:keepNext w:val="0"/>
              <w:rPr>
                <w:szCs w:val="20"/>
                <w:highlight w:val="yellow"/>
              </w:rPr>
            </w:pPr>
            <w:r w:rsidRPr="00A11280">
              <w:rPr>
                <w:szCs w:val="20"/>
              </w:rPr>
              <w:t>This proportion has not been appropriately applied. Patients with end stage kidney disease have already been excluded from the eligible patient populations based on eGFR criteria. This estimate should have been applied as a proportion of patients discontinuing treatment throughout each year rather than as part of estimating the eligible patient populations.</w:t>
            </w:r>
          </w:p>
        </w:tc>
        <w:tc>
          <w:tcPr>
            <w:tcW w:w="1984" w:type="dxa"/>
          </w:tcPr>
          <w:p w14:paraId="2A937543" w14:textId="77777777" w:rsidR="001178E8" w:rsidRPr="00A11280" w:rsidRDefault="001178E8" w:rsidP="00A51AD5">
            <w:pPr>
              <w:pStyle w:val="COMTabletext"/>
              <w:keepNext w:val="0"/>
              <w:rPr>
                <w:szCs w:val="20"/>
              </w:rPr>
            </w:pPr>
            <w:r w:rsidRPr="00A11280">
              <w:rPr>
                <w:szCs w:val="20"/>
              </w:rPr>
              <w:t>DUSC noted that these patients are excluded from the eligible population and as the sponsor has used a prevalent pool this has already been accounted for.</w:t>
            </w:r>
          </w:p>
        </w:tc>
      </w:tr>
      <w:tr w:rsidR="001178E8" w:rsidRPr="00933708" w14:paraId="19112C04" w14:textId="77777777" w:rsidTr="00A51AD5">
        <w:trPr>
          <w:jc w:val="center"/>
        </w:trPr>
        <w:tc>
          <w:tcPr>
            <w:tcW w:w="11340" w:type="dxa"/>
            <w:gridSpan w:val="5"/>
            <w:vAlign w:val="center"/>
          </w:tcPr>
          <w:p w14:paraId="6D9570B1" w14:textId="77777777" w:rsidR="001178E8" w:rsidRPr="00A11280" w:rsidRDefault="001178E8" w:rsidP="00A51AD5">
            <w:pPr>
              <w:pStyle w:val="COMTabletext"/>
              <w:keepNext w:val="0"/>
              <w:rPr>
                <w:b/>
                <w:szCs w:val="20"/>
              </w:rPr>
            </w:pPr>
            <w:r w:rsidRPr="00A11280">
              <w:rPr>
                <w:b/>
                <w:szCs w:val="20"/>
              </w:rPr>
              <w:t>Treatment utilisation</w:t>
            </w:r>
          </w:p>
        </w:tc>
      </w:tr>
      <w:tr w:rsidR="001178E8" w:rsidRPr="00933708" w14:paraId="0996C653" w14:textId="77777777" w:rsidTr="00A51AD5">
        <w:trPr>
          <w:jc w:val="center"/>
        </w:trPr>
        <w:tc>
          <w:tcPr>
            <w:tcW w:w="1333" w:type="dxa"/>
            <w:vAlign w:val="center"/>
          </w:tcPr>
          <w:p w14:paraId="42D256B7" w14:textId="1E80A197" w:rsidR="001178E8" w:rsidRPr="00A11280" w:rsidRDefault="001178E8" w:rsidP="00A51AD5">
            <w:pPr>
              <w:pStyle w:val="COMTabletext"/>
              <w:keepNext w:val="0"/>
              <w:rPr>
                <w:szCs w:val="20"/>
              </w:rPr>
            </w:pPr>
            <w:r w:rsidRPr="00A11280">
              <w:rPr>
                <w:szCs w:val="20"/>
              </w:rPr>
              <w:t xml:space="preserve">Uptake rate – </w:t>
            </w:r>
            <w:r w:rsidR="00AD3910" w:rsidRPr="00A11280">
              <w:rPr>
                <w:szCs w:val="20"/>
              </w:rPr>
              <w:t>overlap</w:t>
            </w:r>
            <w:r w:rsidRPr="00A11280">
              <w:rPr>
                <w:szCs w:val="20"/>
              </w:rPr>
              <w:t xml:space="preserve"> subgroup</w:t>
            </w:r>
          </w:p>
        </w:tc>
        <w:tc>
          <w:tcPr>
            <w:tcW w:w="1502" w:type="dxa"/>
            <w:vAlign w:val="center"/>
          </w:tcPr>
          <w:p w14:paraId="1A558C57" w14:textId="678D4C78" w:rsidR="001178E8" w:rsidRPr="00A51AD5" w:rsidRDefault="001178E8" w:rsidP="00A51AD5">
            <w:pPr>
              <w:pStyle w:val="COMTabletext"/>
              <w:keepNext w:val="0"/>
              <w:rPr>
                <w:szCs w:val="20"/>
              </w:rPr>
            </w:pPr>
            <w:r w:rsidRPr="00A51AD5">
              <w:rPr>
                <w:szCs w:val="20"/>
              </w:rPr>
              <w:t xml:space="preserve">Yr 1: </w:t>
            </w:r>
            <w:r w:rsidR="00AD44F3">
              <w:rPr>
                <w:szCs w:val="20"/>
              </w:rPr>
              <w:t xml:space="preserve"> </w:t>
            </w:r>
            <w:r w:rsidR="00AD44F3" w:rsidRPr="00AD44F3">
              <w:rPr>
                <w:color w:val="000000"/>
                <w:spacing w:val="53"/>
                <w:szCs w:val="20"/>
                <w:shd w:val="solid" w:color="000000" w:fill="000000"/>
                <w:fitText w:val="330" w:id="-1026285312"/>
                <w14:textFill>
                  <w14:solidFill>
                    <w14:srgbClr w14:val="000000">
                      <w14:alpha w14:val="100000"/>
                    </w14:srgbClr>
                  </w14:solidFill>
                </w14:textFill>
              </w:rPr>
              <w:t>|||</w:t>
            </w:r>
            <w:r w:rsidR="00AD44F3" w:rsidRPr="00AD44F3">
              <w:rPr>
                <w:color w:val="000000"/>
                <w:spacing w:val="1"/>
                <w:szCs w:val="20"/>
                <w:shd w:val="solid" w:color="000000" w:fill="000000"/>
                <w:fitText w:val="330" w:id="-1026285312"/>
                <w14:textFill>
                  <w14:solidFill>
                    <w14:srgbClr w14:val="000000">
                      <w14:alpha w14:val="100000"/>
                    </w14:srgbClr>
                  </w14:solidFill>
                </w14:textFill>
              </w:rPr>
              <w:t>|</w:t>
            </w:r>
            <w:r w:rsidRPr="00A51AD5">
              <w:rPr>
                <w:szCs w:val="20"/>
              </w:rPr>
              <w:t>%</w:t>
            </w:r>
          </w:p>
          <w:p w14:paraId="5EF5A19F" w14:textId="3C270AE4" w:rsidR="001178E8" w:rsidRPr="00A51AD5" w:rsidRDefault="001178E8" w:rsidP="00A51AD5">
            <w:pPr>
              <w:pStyle w:val="COMTabletext"/>
              <w:keepNext w:val="0"/>
              <w:rPr>
                <w:szCs w:val="20"/>
              </w:rPr>
            </w:pPr>
            <w:r w:rsidRPr="00A51AD5">
              <w:rPr>
                <w:szCs w:val="20"/>
              </w:rPr>
              <w:t xml:space="preserve">Yr 2: </w:t>
            </w:r>
            <w:r w:rsidR="00AD44F3">
              <w:rPr>
                <w:szCs w:val="20"/>
              </w:rPr>
              <w:t xml:space="preserve"> </w:t>
            </w:r>
            <w:r w:rsidR="00AD44F3" w:rsidRPr="00AD44F3">
              <w:rPr>
                <w:color w:val="000000"/>
                <w:spacing w:val="52"/>
                <w:szCs w:val="20"/>
                <w:shd w:val="solid" w:color="000000" w:fill="000000"/>
                <w:fitText w:val="330" w:id="-1026285311"/>
                <w14:textFill>
                  <w14:solidFill>
                    <w14:srgbClr w14:val="000000">
                      <w14:alpha w14:val="100000"/>
                    </w14:srgbClr>
                  </w14:solidFill>
                </w14:textFill>
              </w:rPr>
              <w:t>|||</w:t>
            </w:r>
            <w:r w:rsidR="00AD44F3" w:rsidRPr="00AD44F3">
              <w:rPr>
                <w:color w:val="000000"/>
                <w:spacing w:val="2"/>
                <w:szCs w:val="20"/>
                <w:shd w:val="solid" w:color="000000" w:fill="000000"/>
                <w:fitText w:val="330" w:id="-1026285311"/>
                <w14:textFill>
                  <w14:solidFill>
                    <w14:srgbClr w14:val="000000">
                      <w14:alpha w14:val="100000"/>
                    </w14:srgbClr>
                  </w14:solidFill>
                </w14:textFill>
              </w:rPr>
              <w:t>|</w:t>
            </w:r>
            <w:r w:rsidRPr="00A51AD5">
              <w:rPr>
                <w:szCs w:val="20"/>
              </w:rPr>
              <w:t>%</w:t>
            </w:r>
          </w:p>
          <w:p w14:paraId="10463D90" w14:textId="07A0FE9D" w:rsidR="001178E8" w:rsidRPr="00A51AD5" w:rsidRDefault="001178E8" w:rsidP="00A51AD5">
            <w:pPr>
              <w:pStyle w:val="COMTabletext"/>
              <w:keepNext w:val="0"/>
              <w:rPr>
                <w:szCs w:val="20"/>
              </w:rPr>
            </w:pPr>
            <w:r w:rsidRPr="00A51AD5">
              <w:rPr>
                <w:szCs w:val="20"/>
              </w:rPr>
              <w:t xml:space="preserve">Yr 3: </w:t>
            </w:r>
            <w:r w:rsidR="00AD44F3">
              <w:rPr>
                <w:szCs w:val="20"/>
              </w:rPr>
              <w:t xml:space="preserve"> </w:t>
            </w:r>
            <w:r w:rsidR="00AD44F3" w:rsidRPr="00AD44F3">
              <w:rPr>
                <w:color w:val="000000"/>
                <w:spacing w:val="52"/>
                <w:szCs w:val="20"/>
                <w:shd w:val="solid" w:color="000000" w:fill="000000"/>
                <w:fitText w:val="330" w:id="-1026285310"/>
                <w14:textFill>
                  <w14:solidFill>
                    <w14:srgbClr w14:val="000000">
                      <w14:alpha w14:val="100000"/>
                    </w14:srgbClr>
                  </w14:solidFill>
                </w14:textFill>
              </w:rPr>
              <w:t>|||</w:t>
            </w:r>
            <w:r w:rsidR="00AD44F3" w:rsidRPr="00AD44F3">
              <w:rPr>
                <w:color w:val="000000"/>
                <w:spacing w:val="2"/>
                <w:szCs w:val="20"/>
                <w:shd w:val="solid" w:color="000000" w:fill="000000"/>
                <w:fitText w:val="330" w:id="-1026285310"/>
                <w14:textFill>
                  <w14:solidFill>
                    <w14:srgbClr w14:val="000000">
                      <w14:alpha w14:val="100000"/>
                    </w14:srgbClr>
                  </w14:solidFill>
                </w14:textFill>
              </w:rPr>
              <w:t>|</w:t>
            </w:r>
            <w:r w:rsidRPr="00A51AD5">
              <w:rPr>
                <w:szCs w:val="20"/>
              </w:rPr>
              <w:t>%</w:t>
            </w:r>
          </w:p>
          <w:p w14:paraId="71B466E5" w14:textId="66EB7735" w:rsidR="001178E8" w:rsidRPr="00A51AD5" w:rsidRDefault="001178E8" w:rsidP="00A51AD5">
            <w:pPr>
              <w:pStyle w:val="COMTabletext"/>
              <w:keepNext w:val="0"/>
              <w:rPr>
                <w:szCs w:val="20"/>
              </w:rPr>
            </w:pPr>
            <w:r w:rsidRPr="00A51AD5">
              <w:rPr>
                <w:szCs w:val="20"/>
              </w:rPr>
              <w:t xml:space="preserve">Yr 4: </w:t>
            </w:r>
            <w:r w:rsidR="00AD44F3">
              <w:rPr>
                <w:szCs w:val="20"/>
              </w:rPr>
              <w:t xml:space="preserve"> </w:t>
            </w:r>
            <w:r w:rsidR="00AD44F3" w:rsidRPr="00AD44F3">
              <w:rPr>
                <w:color w:val="000000"/>
                <w:spacing w:val="52"/>
                <w:szCs w:val="20"/>
                <w:shd w:val="solid" w:color="000000" w:fill="000000"/>
                <w:fitText w:val="330" w:id="-1026285309"/>
                <w14:textFill>
                  <w14:solidFill>
                    <w14:srgbClr w14:val="000000">
                      <w14:alpha w14:val="100000"/>
                    </w14:srgbClr>
                  </w14:solidFill>
                </w14:textFill>
              </w:rPr>
              <w:t>|||</w:t>
            </w:r>
            <w:r w:rsidR="00AD44F3" w:rsidRPr="00AD44F3">
              <w:rPr>
                <w:color w:val="000000"/>
                <w:spacing w:val="2"/>
                <w:szCs w:val="20"/>
                <w:shd w:val="solid" w:color="000000" w:fill="000000"/>
                <w:fitText w:val="330" w:id="-1026285309"/>
                <w14:textFill>
                  <w14:solidFill>
                    <w14:srgbClr w14:val="000000">
                      <w14:alpha w14:val="100000"/>
                    </w14:srgbClr>
                  </w14:solidFill>
                </w14:textFill>
              </w:rPr>
              <w:t>|</w:t>
            </w:r>
            <w:r w:rsidRPr="00A51AD5">
              <w:rPr>
                <w:szCs w:val="20"/>
              </w:rPr>
              <w:t>%</w:t>
            </w:r>
          </w:p>
          <w:p w14:paraId="30DC5820" w14:textId="6181C0F3" w:rsidR="001178E8" w:rsidRPr="00A51AD5" w:rsidRDefault="001178E8" w:rsidP="00A51AD5">
            <w:pPr>
              <w:pStyle w:val="COMTabletext"/>
              <w:keepNext w:val="0"/>
              <w:rPr>
                <w:szCs w:val="20"/>
              </w:rPr>
            </w:pPr>
            <w:r w:rsidRPr="00A51AD5">
              <w:rPr>
                <w:szCs w:val="20"/>
              </w:rPr>
              <w:t xml:space="preserve">Yr 5: </w:t>
            </w:r>
            <w:r w:rsidR="00AD44F3">
              <w:rPr>
                <w:szCs w:val="20"/>
              </w:rPr>
              <w:t xml:space="preserve"> </w:t>
            </w:r>
            <w:r w:rsidR="00AD44F3" w:rsidRPr="00AD44F3">
              <w:rPr>
                <w:color w:val="000000"/>
                <w:spacing w:val="52"/>
                <w:szCs w:val="20"/>
                <w:shd w:val="solid" w:color="000000" w:fill="000000"/>
                <w:fitText w:val="330" w:id="-1026285308"/>
                <w14:textFill>
                  <w14:solidFill>
                    <w14:srgbClr w14:val="000000">
                      <w14:alpha w14:val="100000"/>
                    </w14:srgbClr>
                  </w14:solidFill>
                </w14:textFill>
              </w:rPr>
              <w:t>|||</w:t>
            </w:r>
            <w:r w:rsidR="00AD44F3" w:rsidRPr="00AD44F3">
              <w:rPr>
                <w:color w:val="000000"/>
                <w:spacing w:val="2"/>
                <w:szCs w:val="20"/>
                <w:shd w:val="solid" w:color="000000" w:fill="000000"/>
                <w:fitText w:val="330" w:id="-1026285308"/>
                <w14:textFill>
                  <w14:solidFill>
                    <w14:srgbClr w14:val="000000">
                      <w14:alpha w14:val="100000"/>
                    </w14:srgbClr>
                  </w14:solidFill>
                </w14:textFill>
              </w:rPr>
              <w:t>|</w:t>
            </w:r>
            <w:r w:rsidRPr="00A51AD5">
              <w:rPr>
                <w:szCs w:val="20"/>
              </w:rPr>
              <w:t>%</w:t>
            </w:r>
          </w:p>
          <w:p w14:paraId="102DA410" w14:textId="553DCFA1" w:rsidR="001178E8" w:rsidRPr="00A51AD5" w:rsidRDefault="001178E8" w:rsidP="00A51AD5">
            <w:pPr>
              <w:pStyle w:val="COMTabletext"/>
              <w:keepNext w:val="0"/>
              <w:rPr>
                <w:szCs w:val="20"/>
              </w:rPr>
            </w:pPr>
            <w:r w:rsidRPr="00A51AD5">
              <w:rPr>
                <w:szCs w:val="20"/>
              </w:rPr>
              <w:t xml:space="preserve">Yr 6: </w:t>
            </w:r>
            <w:r w:rsidR="00AD44F3">
              <w:rPr>
                <w:szCs w:val="20"/>
              </w:rPr>
              <w:t xml:space="preserve"> </w:t>
            </w:r>
            <w:r w:rsidR="00AD44F3" w:rsidRPr="00AD44F3">
              <w:rPr>
                <w:color w:val="000000"/>
                <w:spacing w:val="52"/>
                <w:szCs w:val="20"/>
                <w:shd w:val="solid" w:color="000000" w:fill="000000"/>
                <w:fitText w:val="330" w:id="-1026285307"/>
                <w14:textFill>
                  <w14:solidFill>
                    <w14:srgbClr w14:val="000000">
                      <w14:alpha w14:val="100000"/>
                    </w14:srgbClr>
                  </w14:solidFill>
                </w14:textFill>
              </w:rPr>
              <w:t>|||</w:t>
            </w:r>
            <w:r w:rsidR="00AD44F3" w:rsidRPr="00AD44F3">
              <w:rPr>
                <w:color w:val="000000"/>
                <w:spacing w:val="2"/>
                <w:szCs w:val="20"/>
                <w:shd w:val="solid" w:color="000000" w:fill="000000"/>
                <w:fitText w:val="330" w:id="-1026285307"/>
                <w14:textFill>
                  <w14:solidFill>
                    <w14:srgbClr w14:val="000000">
                      <w14:alpha w14:val="100000"/>
                    </w14:srgbClr>
                  </w14:solidFill>
                </w14:textFill>
              </w:rPr>
              <w:t>|</w:t>
            </w:r>
            <w:r w:rsidRPr="00A51AD5">
              <w:rPr>
                <w:szCs w:val="20"/>
              </w:rPr>
              <w:t>%</w:t>
            </w:r>
          </w:p>
        </w:tc>
        <w:tc>
          <w:tcPr>
            <w:tcW w:w="4536" w:type="dxa"/>
            <w:vAlign w:val="center"/>
          </w:tcPr>
          <w:p w14:paraId="41FBA486" w14:textId="77777777" w:rsidR="001178E8" w:rsidRPr="00A11280" w:rsidRDefault="001178E8" w:rsidP="00A51AD5">
            <w:pPr>
              <w:pStyle w:val="COMTabletext"/>
              <w:keepNext w:val="0"/>
              <w:rPr>
                <w:szCs w:val="20"/>
              </w:rPr>
            </w:pPr>
            <w:r w:rsidRPr="00A11280">
              <w:rPr>
                <w:szCs w:val="20"/>
              </w:rPr>
              <w:t>Sponsor assumption. Represents overall uptake of the SGLT2 inhibitors (i.e. either empagliflozin or dapagliflozin).</w:t>
            </w:r>
          </w:p>
        </w:tc>
        <w:tc>
          <w:tcPr>
            <w:tcW w:w="1985" w:type="dxa"/>
            <w:vAlign w:val="center"/>
          </w:tcPr>
          <w:p w14:paraId="6DE370AF" w14:textId="77777777" w:rsidR="001178E8" w:rsidRPr="00A11280" w:rsidRDefault="001178E8" w:rsidP="00A51AD5">
            <w:pPr>
              <w:pStyle w:val="COMTabletext"/>
              <w:keepNext w:val="0"/>
              <w:rPr>
                <w:szCs w:val="20"/>
              </w:rPr>
            </w:pPr>
            <w:r w:rsidRPr="00A11280">
              <w:rPr>
                <w:szCs w:val="20"/>
              </w:rPr>
              <w:t>Assumed uptake rates are uncertain.</w:t>
            </w:r>
          </w:p>
        </w:tc>
        <w:tc>
          <w:tcPr>
            <w:tcW w:w="1984" w:type="dxa"/>
          </w:tcPr>
          <w:p w14:paraId="4966D8C4" w14:textId="77777777" w:rsidR="001178E8" w:rsidRPr="00A11280" w:rsidRDefault="001178E8" w:rsidP="00A51AD5">
            <w:pPr>
              <w:pStyle w:val="COMTabletext"/>
              <w:keepNext w:val="0"/>
              <w:rPr>
                <w:szCs w:val="20"/>
              </w:rPr>
            </w:pPr>
            <w:r w:rsidRPr="00A11280">
              <w:rPr>
                <w:szCs w:val="20"/>
              </w:rPr>
              <w:t>DUSC considered this to be an overestimate.</w:t>
            </w:r>
          </w:p>
        </w:tc>
      </w:tr>
      <w:tr w:rsidR="001178E8" w:rsidRPr="00933708" w14:paraId="4025A6FE" w14:textId="77777777" w:rsidTr="00A51AD5">
        <w:trPr>
          <w:jc w:val="center"/>
        </w:trPr>
        <w:tc>
          <w:tcPr>
            <w:tcW w:w="1333" w:type="dxa"/>
            <w:vAlign w:val="center"/>
          </w:tcPr>
          <w:p w14:paraId="78431FF0" w14:textId="77777777" w:rsidR="001178E8" w:rsidRPr="00A11280" w:rsidRDefault="001178E8" w:rsidP="00A51AD5">
            <w:pPr>
              <w:pStyle w:val="COMTabletext"/>
              <w:keepNext w:val="0"/>
              <w:rPr>
                <w:szCs w:val="20"/>
              </w:rPr>
            </w:pPr>
            <w:r w:rsidRPr="00A11280">
              <w:rPr>
                <w:szCs w:val="20"/>
              </w:rPr>
              <w:t>Uptake rate – incremental subgroup</w:t>
            </w:r>
          </w:p>
        </w:tc>
        <w:tc>
          <w:tcPr>
            <w:tcW w:w="1502" w:type="dxa"/>
            <w:vAlign w:val="center"/>
          </w:tcPr>
          <w:p w14:paraId="422D2676" w14:textId="10D87A28" w:rsidR="001178E8" w:rsidRPr="00A51AD5" w:rsidRDefault="001178E8" w:rsidP="00A51AD5">
            <w:pPr>
              <w:pStyle w:val="COMTabletext"/>
              <w:keepNext w:val="0"/>
              <w:rPr>
                <w:szCs w:val="20"/>
              </w:rPr>
            </w:pPr>
            <w:r w:rsidRPr="00A51AD5">
              <w:rPr>
                <w:szCs w:val="20"/>
              </w:rPr>
              <w:t xml:space="preserve">Yr 1: </w:t>
            </w:r>
            <w:r w:rsidR="00AD44F3">
              <w:rPr>
                <w:szCs w:val="20"/>
              </w:rPr>
              <w:t xml:space="preserve"> </w:t>
            </w:r>
            <w:r w:rsidR="00AD44F3" w:rsidRPr="00AD44F3">
              <w:rPr>
                <w:color w:val="000000"/>
                <w:spacing w:val="52"/>
                <w:szCs w:val="20"/>
                <w:shd w:val="solid" w:color="000000" w:fill="000000"/>
                <w:fitText w:val="330" w:id="-1026285306"/>
                <w14:textFill>
                  <w14:solidFill>
                    <w14:srgbClr w14:val="000000">
                      <w14:alpha w14:val="100000"/>
                    </w14:srgbClr>
                  </w14:solidFill>
                </w14:textFill>
              </w:rPr>
              <w:t>|||</w:t>
            </w:r>
            <w:r w:rsidR="00AD44F3" w:rsidRPr="00AD44F3">
              <w:rPr>
                <w:color w:val="000000"/>
                <w:spacing w:val="2"/>
                <w:szCs w:val="20"/>
                <w:shd w:val="solid" w:color="000000" w:fill="000000"/>
                <w:fitText w:val="330" w:id="-1026285306"/>
                <w14:textFill>
                  <w14:solidFill>
                    <w14:srgbClr w14:val="000000">
                      <w14:alpha w14:val="100000"/>
                    </w14:srgbClr>
                  </w14:solidFill>
                </w14:textFill>
              </w:rPr>
              <w:t>|</w:t>
            </w:r>
            <w:r w:rsidRPr="00A51AD5">
              <w:rPr>
                <w:szCs w:val="20"/>
              </w:rPr>
              <w:t>%</w:t>
            </w:r>
          </w:p>
          <w:p w14:paraId="59294279" w14:textId="4B42030F" w:rsidR="001178E8" w:rsidRPr="00A51AD5" w:rsidRDefault="001178E8" w:rsidP="00A51AD5">
            <w:pPr>
              <w:pStyle w:val="COMTabletext"/>
              <w:keepNext w:val="0"/>
              <w:rPr>
                <w:szCs w:val="20"/>
              </w:rPr>
            </w:pPr>
            <w:r w:rsidRPr="00A51AD5">
              <w:rPr>
                <w:szCs w:val="20"/>
              </w:rPr>
              <w:t xml:space="preserve">Yr 2: </w:t>
            </w:r>
            <w:r w:rsidR="00AD44F3">
              <w:rPr>
                <w:szCs w:val="20"/>
              </w:rPr>
              <w:t xml:space="preserve"> </w:t>
            </w:r>
            <w:r w:rsidR="00AD44F3" w:rsidRPr="00AD44F3">
              <w:rPr>
                <w:color w:val="000000"/>
                <w:spacing w:val="52"/>
                <w:szCs w:val="20"/>
                <w:shd w:val="solid" w:color="000000" w:fill="000000"/>
                <w:fitText w:val="330" w:id="-1026285305"/>
                <w14:textFill>
                  <w14:solidFill>
                    <w14:srgbClr w14:val="000000">
                      <w14:alpha w14:val="100000"/>
                    </w14:srgbClr>
                  </w14:solidFill>
                </w14:textFill>
              </w:rPr>
              <w:t>|||</w:t>
            </w:r>
            <w:r w:rsidR="00AD44F3" w:rsidRPr="00AD44F3">
              <w:rPr>
                <w:color w:val="000000"/>
                <w:spacing w:val="2"/>
                <w:szCs w:val="20"/>
                <w:shd w:val="solid" w:color="000000" w:fill="000000"/>
                <w:fitText w:val="330" w:id="-1026285305"/>
                <w14:textFill>
                  <w14:solidFill>
                    <w14:srgbClr w14:val="000000">
                      <w14:alpha w14:val="100000"/>
                    </w14:srgbClr>
                  </w14:solidFill>
                </w14:textFill>
              </w:rPr>
              <w:t>|</w:t>
            </w:r>
            <w:r w:rsidRPr="00A51AD5">
              <w:rPr>
                <w:szCs w:val="20"/>
              </w:rPr>
              <w:t>%</w:t>
            </w:r>
          </w:p>
          <w:p w14:paraId="1EE81259" w14:textId="64C5B835" w:rsidR="001178E8" w:rsidRPr="00A51AD5" w:rsidRDefault="001178E8" w:rsidP="00A51AD5">
            <w:pPr>
              <w:pStyle w:val="COMTabletext"/>
              <w:keepNext w:val="0"/>
              <w:rPr>
                <w:szCs w:val="20"/>
              </w:rPr>
            </w:pPr>
            <w:r w:rsidRPr="00A51AD5">
              <w:rPr>
                <w:szCs w:val="20"/>
              </w:rPr>
              <w:t xml:space="preserve">Yr 3: </w:t>
            </w:r>
            <w:r w:rsidR="00AD44F3">
              <w:rPr>
                <w:szCs w:val="20"/>
              </w:rPr>
              <w:t xml:space="preserve"> </w:t>
            </w:r>
            <w:r w:rsidR="00AD44F3" w:rsidRPr="00AD44F3">
              <w:rPr>
                <w:color w:val="000000"/>
                <w:spacing w:val="52"/>
                <w:szCs w:val="20"/>
                <w:shd w:val="solid" w:color="000000" w:fill="000000"/>
                <w:fitText w:val="330" w:id="-1026285304"/>
                <w14:textFill>
                  <w14:solidFill>
                    <w14:srgbClr w14:val="000000">
                      <w14:alpha w14:val="100000"/>
                    </w14:srgbClr>
                  </w14:solidFill>
                </w14:textFill>
              </w:rPr>
              <w:t>|||</w:t>
            </w:r>
            <w:r w:rsidR="00AD44F3" w:rsidRPr="00AD44F3">
              <w:rPr>
                <w:color w:val="000000"/>
                <w:spacing w:val="2"/>
                <w:szCs w:val="20"/>
                <w:shd w:val="solid" w:color="000000" w:fill="000000"/>
                <w:fitText w:val="330" w:id="-1026285304"/>
                <w14:textFill>
                  <w14:solidFill>
                    <w14:srgbClr w14:val="000000">
                      <w14:alpha w14:val="100000"/>
                    </w14:srgbClr>
                  </w14:solidFill>
                </w14:textFill>
              </w:rPr>
              <w:t>|</w:t>
            </w:r>
            <w:r w:rsidRPr="00A51AD5">
              <w:rPr>
                <w:szCs w:val="20"/>
              </w:rPr>
              <w:t>%</w:t>
            </w:r>
          </w:p>
          <w:p w14:paraId="48149382" w14:textId="4342D9E5" w:rsidR="001178E8" w:rsidRPr="00A51AD5" w:rsidRDefault="001178E8" w:rsidP="00A51AD5">
            <w:pPr>
              <w:pStyle w:val="COMTabletext"/>
              <w:keepNext w:val="0"/>
              <w:rPr>
                <w:szCs w:val="20"/>
              </w:rPr>
            </w:pPr>
            <w:r w:rsidRPr="00A51AD5">
              <w:rPr>
                <w:szCs w:val="20"/>
              </w:rPr>
              <w:t xml:space="preserve">Yr 4: </w:t>
            </w:r>
            <w:r w:rsidR="00AD44F3">
              <w:rPr>
                <w:szCs w:val="20"/>
              </w:rPr>
              <w:t xml:space="preserve"> </w:t>
            </w:r>
            <w:r w:rsidR="00AD44F3" w:rsidRPr="00AD44F3">
              <w:rPr>
                <w:color w:val="000000"/>
                <w:spacing w:val="52"/>
                <w:szCs w:val="20"/>
                <w:shd w:val="solid" w:color="000000" w:fill="000000"/>
                <w:fitText w:val="330" w:id="-1026285303"/>
                <w14:textFill>
                  <w14:solidFill>
                    <w14:srgbClr w14:val="000000">
                      <w14:alpha w14:val="100000"/>
                    </w14:srgbClr>
                  </w14:solidFill>
                </w14:textFill>
              </w:rPr>
              <w:t>|||</w:t>
            </w:r>
            <w:r w:rsidR="00AD44F3" w:rsidRPr="00AD44F3">
              <w:rPr>
                <w:color w:val="000000"/>
                <w:spacing w:val="2"/>
                <w:szCs w:val="20"/>
                <w:shd w:val="solid" w:color="000000" w:fill="000000"/>
                <w:fitText w:val="330" w:id="-1026285303"/>
                <w14:textFill>
                  <w14:solidFill>
                    <w14:srgbClr w14:val="000000">
                      <w14:alpha w14:val="100000"/>
                    </w14:srgbClr>
                  </w14:solidFill>
                </w14:textFill>
              </w:rPr>
              <w:t>|</w:t>
            </w:r>
            <w:r w:rsidRPr="00A51AD5">
              <w:rPr>
                <w:szCs w:val="20"/>
              </w:rPr>
              <w:t>%</w:t>
            </w:r>
          </w:p>
          <w:p w14:paraId="586BBE63" w14:textId="38EB3B5B" w:rsidR="001178E8" w:rsidRPr="00A51AD5" w:rsidRDefault="001178E8" w:rsidP="00A51AD5">
            <w:pPr>
              <w:pStyle w:val="COMTabletext"/>
              <w:keepNext w:val="0"/>
              <w:rPr>
                <w:szCs w:val="20"/>
              </w:rPr>
            </w:pPr>
            <w:r w:rsidRPr="00A51AD5">
              <w:rPr>
                <w:szCs w:val="20"/>
              </w:rPr>
              <w:t xml:space="preserve">Yr 5: </w:t>
            </w:r>
            <w:r w:rsidR="00AD44F3">
              <w:rPr>
                <w:szCs w:val="20"/>
              </w:rPr>
              <w:t xml:space="preserve"> </w:t>
            </w:r>
            <w:r w:rsidR="00AD44F3" w:rsidRPr="00AD44F3">
              <w:rPr>
                <w:color w:val="000000"/>
                <w:spacing w:val="52"/>
                <w:szCs w:val="20"/>
                <w:shd w:val="solid" w:color="000000" w:fill="000000"/>
                <w:fitText w:val="330" w:id="-1026285302"/>
                <w14:textFill>
                  <w14:solidFill>
                    <w14:srgbClr w14:val="000000">
                      <w14:alpha w14:val="100000"/>
                    </w14:srgbClr>
                  </w14:solidFill>
                </w14:textFill>
              </w:rPr>
              <w:t>|||</w:t>
            </w:r>
            <w:r w:rsidR="00AD44F3" w:rsidRPr="00AD44F3">
              <w:rPr>
                <w:color w:val="000000"/>
                <w:spacing w:val="2"/>
                <w:szCs w:val="20"/>
                <w:shd w:val="solid" w:color="000000" w:fill="000000"/>
                <w:fitText w:val="330" w:id="-1026285302"/>
                <w14:textFill>
                  <w14:solidFill>
                    <w14:srgbClr w14:val="000000">
                      <w14:alpha w14:val="100000"/>
                    </w14:srgbClr>
                  </w14:solidFill>
                </w14:textFill>
              </w:rPr>
              <w:t>|</w:t>
            </w:r>
            <w:r w:rsidRPr="00A51AD5">
              <w:rPr>
                <w:szCs w:val="20"/>
              </w:rPr>
              <w:t>%</w:t>
            </w:r>
          </w:p>
          <w:p w14:paraId="3873C5D7" w14:textId="182C0194" w:rsidR="001178E8" w:rsidRPr="00A51AD5" w:rsidRDefault="001178E8" w:rsidP="00A51AD5">
            <w:pPr>
              <w:pStyle w:val="COMTabletext"/>
              <w:keepNext w:val="0"/>
              <w:rPr>
                <w:szCs w:val="20"/>
              </w:rPr>
            </w:pPr>
            <w:r w:rsidRPr="00A51AD5">
              <w:rPr>
                <w:szCs w:val="20"/>
              </w:rPr>
              <w:t xml:space="preserve">Yr 6: </w:t>
            </w:r>
            <w:r w:rsidR="00AD44F3">
              <w:rPr>
                <w:szCs w:val="20"/>
              </w:rPr>
              <w:t xml:space="preserve"> </w:t>
            </w:r>
            <w:r w:rsidR="00AD44F3" w:rsidRPr="00AD44F3">
              <w:rPr>
                <w:color w:val="000000"/>
                <w:spacing w:val="52"/>
                <w:szCs w:val="20"/>
                <w:shd w:val="solid" w:color="000000" w:fill="000000"/>
                <w:fitText w:val="330" w:id="-1026285301"/>
                <w14:textFill>
                  <w14:solidFill>
                    <w14:srgbClr w14:val="000000">
                      <w14:alpha w14:val="100000"/>
                    </w14:srgbClr>
                  </w14:solidFill>
                </w14:textFill>
              </w:rPr>
              <w:t>|||</w:t>
            </w:r>
            <w:r w:rsidR="00AD44F3" w:rsidRPr="00AD44F3">
              <w:rPr>
                <w:color w:val="000000"/>
                <w:spacing w:val="2"/>
                <w:szCs w:val="20"/>
                <w:shd w:val="solid" w:color="000000" w:fill="000000"/>
                <w:fitText w:val="330" w:id="-1026285301"/>
                <w14:textFill>
                  <w14:solidFill>
                    <w14:srgbClr w14:val="000000">
                      <w14:alpha w14:val="100000"/>
                    </w14:srgbClr>
                  </w14:solidFill>
                </w14:textFill>
              </w:rPr>
              <w:t>|</w:t>
            </w:r>
            <w:r w:rsidRPr="00A51AD5">
              <w:rPr>
                <w:szCs w:val="20"/>
              </w:rPr>
              <w:t>%</w:t>
            </w:r>
          </w:p>
        </w:tc>
        <w:tc>
          <w:tcPr>
            <w:tcW w:w="4536" w:type="dxa"/>
            <w:vAlign w:val="center"/>
          </w:tcPr>
          <w:p w14:paraId="4C7995D5" w14:textId="77777777" w:rsidR="001178E8" w:rsidRPr="00A11280" w:rsidRDefault="001178E8" w:rsidP="00A51AD5">
            <w:pPr>
              <w:pStyle w:val="COMTabletext"/>
              <w:keepNext w:val="0"/>
              <w:rPr>
                <w:szCs w:val="20"/>
              </w:rPr>
            </w:pPr>
            <w:r w:rsidRPr="00A11280">
              <w:rPr>
                <w:szCs w:val="20"/>
              </w:rPr>
              <w:t>Sponsor assumption. The submission assumed a more rapid uptake in the incremental subgroup given the lack of targeted PBS-listed treatment options for these patients.</w:t>
            </w:r>
          </w:p>
        </w:tc>
        <w:tc>
          <w:tcPr>
            <w:tcW w:w="1985" w:type="dxa"/>
            <w:vAlign w:val="center"/>
          </w:tcPr>
          <w:p w14:paraId="6F75E637" w14:textId="77777777" w:rsidR="001178E8" w:rsidRPr="00A11280" w:rsidRDefault="001178E8" w:rsidP="00A51AD5">
            <w:pPr>
              <w:pStyle w:val="COMTabletext"/>
              <w:keepNext w:val="0"/>
              <w:rPr>
                <w:szCs w:val="20"/>
                <w:highlight w:val="yellow"/>
              </w:rPr>
            </w:pPr>
            <w:r w:rsidRPr="00A11280">
              <w:rPr>
                <w:szCs w:val="20"/>
              </w:rPr>
              <w:t>Assumed uptake rates are uncertain.</w:t>
            </w:r>
          </w:p>
        </w:tc>
        <w:tc>
          <w:tcPr>
            <w:tcW w:w="1984" w:type="dxa"/>
          </w:tcPr>
          <w:p w14:paraId="190DC405" w14:textId="77777777" w:rsidR="001178E8" w:rsidRPr="00A11280" w:rsidRDefault="001178E8" w:rsidP="00A51AD5">
            <w:pPr>
              <w:pStyle w:val="COMTabletext"/>
              <w:keepNext w:val="0"/>
              <w:rPr>
                <w:szCs w:val="20"/>
              </w:rPr>
            </w:pPr>
            <w:r w:rsidRPr="00A11280">
              <w:rPr>
                <w:szCs w:val="20"/>
              </w:rPr>
              <w:t>DUSC considered this to be an underestimate.</w:t>
            </w:r>
          </w:p>
        </w:tc>
      </w:tr>
      <w:tr w:rsidR="001178E8" w:rsidRPr="00933708" w14:paraId="2FEBAE0D" w14:textId="77777777" w:rsidTr="00A51AD5">
        <w:trPr>
          <w:cantSplit/>
          <w:jc w:val="center"/>
        </w:trPr>
        <w:tc>
          <w:tcPr>
            <w:tcW w:w="1333" w:type="dxa"/>
          </w:tcPr>
          <w:p w14:paraId="7F843A6F" w14:textId="77777777" w:rsidR="001178E8" w:rsidRPr="00A11280" w:rsidRDefault="001178E8" w:rsidP="00A51AD5">
            <w:pPr>
              <w:pStyle w:val="COMTabletext"/>
              <w:keepNext w:val="0"/>
              <w:rPr>
                <w:szCs w:val="20"/>
              </w:rPr>
            </w:pPr>
            <w:r w:rsidRPr="00A11280">
              <w:rPr>
                <w:szCs w:val="20"/>
              </w:rPr>
              <w:lastRenderedPageBreak/>
              <w:t>Treatment compliance</w:t>
            </w:r>
          </w:p>
        </w:tc>
        <w:tc>
          <w:tcPr>
            <w:tcW w:w="1502" w:type="dxa"/>
          </w:tcPr>
          <w:p w14:paraId="0EC29E34" w14:textId="77777777" w:rsidR="001178E8" w:rsidRPr="00A11280" w:rsidRDefault="001178E8" w:rsidP="00A51AD5">
            <w:pPr>
              <w:pStyle w:val="COMTabletext"/>
              <w:keepNext w:val="0"/>
              <w:rPr>
                <w:szCs w:val="20"/>
              </w:rPr>
            </w:pPr>
            <w:r w:rsidRPr="00A11280">
              <w:rPr>
                <w:szCs w:val="20"/>
              </w:rPr>
              <w:t>90%</w:t>
            </w:r>
          </w:p>
        </w:tc>
        <w:tc>
          <w:tcPr>
            <w:tcW w:w="4536" w:type="dxa"/>
          </w:tcPr>
          <w:p w14:paraId="5B3BD754" w14:textId="77777777" w:rsidR="001178E8" w:rsidRPr="00A11280" w:rsidRDefault="001178E8" w:rsidP="00A51AD5">
            <w:pPr>
              <w:pStyle w:val="COMTabletext"/>
              <w:keepNext w:val="0"/>
              <w:rPr>
                <w:szCs w:val="20"/>
              </w:rPr>
            </w:pPr>
            <w:r w:rsidRPr="00A11280">
              <w:rPr>
                <w:szCs w:val="20"/>
              </w:rPr>
              <w:t>As proposed for empagliflozin for heart failure in a pre-PBAC response (Table 14, Empagliflozin PSD, November 2022 PBAC meeting), and incorporated into revised financial estimates in a submission considered and recommended by the PBAC in December 2022.</w:t>
            </w:r>
          </w:p>
        </w:tc>
        <w:tc>
          <w:tcPr>
            <w:tcW w:w="1985" w:type="dxa"/>
          </w:tcPr>
          <w:p w14:paraId="21C09253" w14:textId="77777777" w:rsidR="001178E8" w:rsidRPr="00A11280" w:rsidRDefault="001178E8" w:rsidP="00A51AD5">
            <w:pPr>
              <w:pStyle w:val="COMTabletext"/>
              <w:keepNext w:val="0"/>
              <w:rPr>
                <w:szCs w:val="20"/>
                <w:highlight w:val="yellow"/>
              </w:rPr>
            </w:pPr>
            <w:r w:rsidRPr="00A11280">
              <w:rPr>
                <w:szCs w:val="20"/>
              </w:rPr>
              <w:t>In its consideration of the dapagliflozin CKD submission, the PBAC noted that the DAPA-HF (heart failure) trial adherence was 96.7% but the HFrEF resubmission applied 85% adherence in financial estimates. The PBAC considered there was no reason to expect that adherence for CKD would be higher and recommended that the treatment adherence be reduced to 85% (Table 19, p41, and para 11.8, Dapagliflozin PSD, September 2021 PBAC meeting).</w:t>
            </w:r>
          </w:p>
        </w:tc>
        <w:tc>
          <w:tcPr>
            <w:tcW w:w="1984" w:type="dxa"/>
          </w:tcPr>
          <w:p w14:paraId="3E892F63" w14:textId="7A30F805" w:rsidR="001178E8" w:rsidRPr="00A11280" w:rsidRDefault="001178E8" w:rsidP="00A51AD5">
            <w:pPr>
              <w:pStyle w:val="COMTabletext"/>
              <w:keepNext w:val="0"/>
              <w:rPr>
                <w:szCs w:val="20"/>
              </w:rPr>
            </w:pPr>
            <w:r w:rsidRPr="00A11280">
              <w:rPr>
                <w:szCs w:val="20"/>
              </w:rPr>
              <w:t>DUSC considered this to be an underestimate, however the estimate was not required for the prevalence-based approach, except that there is a stopping rule (end stage kidney disease/transplant) but this represents only a small proportion and these patients are already excluded from the eligible population.</w:t>
            </w:r>
          </w:p>
        </w:tc>
      </w:tr>
      <w:tr w:rsidR="001178E8" w:rsidRPr="00933708" w14:paraId="104402E8" w14:textId="77777777" w:rsidTr="00A51AD5">
        <w:trPr>
          <w:jc w:val="center"/>
        </w:trPr>
        <w:tc>
          <w:tcPr>
            <w:tcW w:w="11340" w:type="dxa"/>
            <w:gridSpan w:val="5"/>
            <w:vAlign w:val="center"/>
          </w:tcPr>
          <w:p w14:paraId="7F80EE54" w14:textId="77777777" w:rsidR="001178E8" w:rsidRPr="00A11280" w:rsidRDefault="001178E8" w:rsidP="00A51AD5">
            <w:pPr>
              <w:pStyle w:val="COMTabletext"/>
              <w:keepNext w:val="0"/>
              <w:rPr>
                <w:b/>
                <w:szCs w:val="20"/>
              </w:rPr>
            </w:pPr>
            <w:r w:rsidRPr="00A11280">
              <w:rPr>
                <w:b/>
                <w:szCs w:val="20"/>
              </w:rPr>
              <w:t>Costs</w:t>
            </w:r>
          </w:p>
        </w:tc>
      </w:tr>
      <w:tr w:rsidR="001178E8" w:rsidRPr="0026035F" w14:paraId="3B0DDBDF" w14:textId="77777777" w:rsidTr="00A51AD5">
        <w:trPr>
          <w:jc w:val="center"/>
        </w:trPr>
        <w:tc>
          <w:tcPr>
            <w:tcW w:w="1333" w:type="dxa"/>
          </w:tcPr>
          <w:p w14:paraId="1C303176" w14:textId="77777777" w:rsidR="001178E8" w:rsidRPr="00A11280" w:rsidRDefault="001178E8" w:rsidP="00A51AD5">
            <w:pPr>
              <w:pStyle w:val="COMTabletext"/>
              <w:keepNext w:val="0"/>
              <w:rPr>
                <w:szCs w:val="20"/>
              </w:rPr>
            </w:pPr>
            <w:r w:rsidRPr="00A11280">
              <w:rPr>
                <w:szCs w:val="20"/>
              </w:rPr>
              <w:t>Empagliflozin 30 x 10 mg tablets</w:t>
            </w:r>
          </w:p>
        </w:tc>
        <w:tc>
          <w:tcPr>
            <w:tcW w:w="1502" w:type="dxa"/>
          </w:tcPr>
          <w:p w14:paraId="7FE631AA" w14:textId="67270B28" w:rsidR="001178E8" w:rsidRPr="00A11280" w:rsidRDefault="001178E8" w:rsidP="00A51AD5">
            <w:pPr>
              <w:pStyle w:val="COMTabletext"/>
              <w:keepNext w:val="0"/>
              <w:rPr>
                <w:szCs w:val="20"/>
              </w:rPr>
            </w:pPr>
            <w:r w:rsidRPr="00A11280">
              <w:rPr>
                <w:szCs w:val="20"/>
              </w:rPr>
              <w:t>$44.66</w:t>
            </w:r>
            <w:r w:rsidR="00850D13" w:rsidRPr="00A11280">
              <w:rPr>
                <w:szCs w:val="20"/>
              </w:rPr>
              <w:t xml:space="preserve"> </w:t>
            </w:r>
            <w:r w:rsidRPr="00A11280">
              <w:rPr>
                <w:szCs w:val="20"/>
              </w:rPr>
              <w:t>(AEMP)</w:t>
            </w:r>
          </w:p>
        </w:tc>
        <w:tc>
          <w:tcPr>
            <w:tcW w:w="4536" w:type="dxa"/>
          </w:tcPr>
          <w:p w14:paraId="3D0C30A2" w14:textId="43F51BBC" w:rsidR="001178E8" w:rsidRPr="00A11280" w:rsidRDefault="001178E8" w:rsidP="00A51AD5">
            <w:pPr>
              <w:pStyle w:val="COMTabletext"/>
              <w:keepNext w:val="0"/>
              <w:rPr>
                <w:szCs w:val="20"/>
              </w:rPr>
            </w:pPr>
            <w:r w:rsidRPr="00A11280">
              <w:rPr>
                <w:szCs w:val="20"/>
              </w:rPr>
              <w:t>Requested price. The submission’s calculated DPMQ was $108.18 based on 60 day dispensing (calculated as $109.03</w:t>
            </w:r>
            <w:r w:rsidR="00850D13" w:rsidRPr="00A11280">
              <w:rPr>
                <w:szCs w:val="20"/>
              </w:rPr>
              <w:t xml:space="preserve"> </w:t>
            </w:r>
            <w:r w:rsidRPr="00A11280">
              <w:rPr>
                <w:szCs w:val="20"/>
              </w:rPr>
              <w:t xml:space="preserve">using 1 July 2023 markups). </w:t>
            </w:r>
          </w:p>
        </w:tc>
        <w:tc>
          <w:tcPr>
            <w:tcW w:w="1985" w:type="dxa"/>
          </w:tcPr>
          <w:p w14:paraId="17B283A8" w14:textId="04303D8C" w:rsidR="001178E8" w:rsidRPr="00A11280" w:rsidRDefault="001178E8" w:rsidP="00A51AD5">
            <w:pPr>
              <w:pStyle w:val="COMTabletext"/>
              <w:keepNext w:val="0"/>
              <w:rPr>
                <w:szCs w:val="20"/>
              </w:rPr>
            </w:pPr>
            <w:r w:rsidRPr="00A11280">
              <w:rPr>
                <w:szCs w:val="20"/>
              </w:rPr>
              <w:t>This was corrected during the evaluation. Based on 30 day dispensing (and 1 July 2023 markups), the DPMQ was $61.01</w:t>
            </w:r>
            <w:r w:rsidR="00850D13" w:rsidRPr="00A11280">
              <w:rPr>
                <w:szCs w:val="20"/>
              </w:rPr>
              <w:t xml:space="preserve"> </w:t>
            </w:r>
          </w:p>
        </w:tc>
        <w:tc>
          <w:tcPr>
            <w:tcW w:w="1984" w:type="dxa"/>
          </w:tcPr>
          <w:p w14:paraId="36717E7A" w14:textId="77777777" w:rsidR="001178E8" w:rsidRPr="00A11280" w:rsidRDefault="001178E8" w:rsidP="00A51AD5">
            <w:pPr>
              <w:pStyle w:val="COMTabletext"/>
              <w:keepNext w:val="0"/>
              <w:rPr>
                <w:szCs w:val="20"/>
              </w:rPr>
            </w:pPr>
          </w:p>
        </w:tc>
      </w:tr>
      <w:tr w:rsidR="001178E8" w:rsidRPr="0026035F" w14:paraId="2CD1EAEC" w14:textId="77777777" w:rsidTr="00A51AD5">
        <w:trPr>
          <w:jc w:val="center"/>
        </w:trPr>
        <w:tc>
          <w:tcPr>
            <w:tcW w:w="1333" w:type="dxa"/>
          </w:tcPr>
          <w:p w14:paraId="1DB8D3C7" w14:textId="326D7829" w:rsidR="001178E8" w:rsidRPr="00A11280" w:rsidRDefault="001178E8" w:rsidP="00A51AD5">
            <w:pPr>
              <w:pStyle w:val="COMTabletext"/>
              <w:keepNext w:val="0"/>
              <w:rPr>
                <w:szCs w:val="20"/>
              </w:rPr>
            </w:pPr>
            <w:r w:rsidRPr="00A11280">
              <w:rPr>
                <w:szCs w:val="20"/>
              </w:rPr>
              <w:t xml:space="preserve">Weighted average patient </w:t>
            </w:r>
            <w:r w:rsidR="004837F0" w:rsidRPr="00A11280">
              <w:rPr>
                <w:szCs w:val="20"/>
              </w:rPr>
              <w:t>co-payment</w:t>
            </w:r>
          </w:p>
        </w:tc>
        <w:tc>
          <w:tcPr>
            <w:tcW w:w="1502" w:type="dxa"/>
          </w:tcPr>
          <w:p w14:paraId="56A143FF" w14:textId="77777777" w:rsidR="001178E8" w:rsidRPr="00A11280" w:rsidRDefault="001178E8" w:rsidP="00A51AD5">
            <w:pPr>
              <w:pStyle w:val="COMTabletext"/>
              <w:keepNext w:val="0"/>
              <w:rPr>
                <w:szCs w:val="20"/>
              </w:rPr>
            </w:pPr>
            <w:r w:rsidRPr="00A11280">
              <w:rPr>
                <w:szCs w:val="20"/>
              </w:rPr>
              <w:t>$12.97</w:t>
            </w:r>
          </w:p>
        </w:tc>
        <w:tc>
          <w:tcPr>
            <w:tcW w:w="4536" w:type="dxa"/>
          </w:tcPr>
          <w:p w14:paraId="03BA6B27" w14:textId="77777777" w:rsidR="001178E8" w:rsidRPr="00A11280" w:rsidRDefault="001178E8" w:rsidP="00A51AD5">
            <w:pPr>
              <w:pStyle w:val="COMTabletext"/>
              <w:keepNext w:val="0"/>
              <w:rPr>
                <w:szCs w:val="20"/>
              </w:rPr>
            </w:pPr>
            <w:r w:rsidRPr="00A11280">
              <w:rPr>
                <w:szCs w:val="20"/>
              </w:rPr>
              <w:t>Based on beneficiary distribution for dapagliflozin for treatment of CKD from September 2022 to April 2023 (PBS: 97.93%; RPBS: 2.07%)</w:t>
            </w:r>
          </w:p>
        </w:tc>
        <w:tc>
          <w:tcPr>
            <w:tcW w:w="1985" w:type="dxa"/>
          </w:tcPr>
          <w:p w14:paraId="21AD5EA8" w14:textId="77777777" w:rsidR="001178E8" w:rsidRPr="00A11280" w:rsidRDefault="001178E8" w:rsidP="00A51AD5">
            <w:pPr>
              <w:pStyle w:val="COMTabletext"/>
              <w:keepNext w:val="0"/>
              <w:rPr>
                <w:szCs w:val="20"/>
              </w:rPr>
            </w:pPr>
            <w:r w:rsidRPr="00A11280">
              <w:rPr>
                <w:szCs w:val="20"/>
              </w:rPr>
              <w:t>This was reasonable.</w:t>
            </w:r>
          </w:p>
        </w:tc>
        <w:tc>
          <w:tcPr>
            <w:tcW w:w="1984" w:type="dxa"/>
          </w:tcPr>
          <w:p w14:paraId="1315224F" w14:textId="77777777" w:rsidR="001178E8" w:rsidRPr="00A11280" w:rsidRDefault="001178E8" w:rsidP="00A51AD5">
            <w:pPr>
              <w:pStyle w:val="COMTabletext"/>
              <w:keepNext w:val="0"/>
              <w:rPr>
                <w:szCs w:val="20"/>
              </w:rPr>
            </w:pPr>
          </w:p>
        </w:tc>
      </w:tr>
    </w:tbl>
    <w:p w14:paraId="0C2E1862" w14:textId="77777777" w:rsidR="001178E8" w:rsidRPr="00933708" w:rsidRDefault="001178E8" w:rsidP="00A51AD5">
      <w:pPr>
        <w:rPr>
          <w:rFonts w:ascii="Arial Narrow" w:hAnsi="Arial Narrow"/>
          <w:sz w:val="18"/>
          <w:szCs w:val="18"/>
        </w:rPr>
      </w:pPr>
      <w:r w:rsidRPr="00933708">
        <w:rPr>
          <w:rFonts w:ascii="Arial Narrow" w:hAnsi="Arial Narrow"/>
          <w:sz w:val="18"/>
          <w:szCs w:val="18"/>
        </w:rPr>
        <w:t>Source: Table 4.1.1, Attachment 4, pp199-203 of the commentary.</w:t>
      </w:r>
    </w:p>
    <w:p w14:paraId="2707E0EF" w14:textId="49B5DAA2" w:rsidR="001178E8" w:rsidRPr="00933708" w:rsidRDefault="001178E8" w:rsidP="00A51AD5">
      <w:pPr>
        <w:rPr>
          <w:rFonts w:ascii="Arial Narrow" w:hAnsi="Arial Narrow"/>
          <w:sz w:val="18"/>
          <w:szCs w:val="18"/>
        </w:rPr>
      </w:pPr>
      <w:r w:rsidRPr="00933708">
        <w:rPr>
          <w:rFonts w:ascii="Arial Narrow" w:hAnsi="Arial Narrow"/>
          <w:sz w:val="18"/>
          <w:szCs w:val="18"/>
        </w:rPr>
        <w:t xml:space="preserve">Abbreviations: ABS, Australian Bureau of Statistics; AEMP, approved ex-manufacturer price; AIHW, Australian Institute of Health and Welfare; CKD, chronic kidney disease; DPMQ, dispensed price for maximum quantity; HFrEF, heart failure with reduced ejection fraction; PSD, Public Summary Document; </w:t>
      </w:r>
      <w:r w:rsidR="004837F0" w:rsidRPr="00933708">
        <w:rPr>
          <w:rFonts w:ascii="Arial Narrow" w:hAnsi="Arial Narrow"/>
          <w:sz w:val="18"/>
          <w:szCs w:val="18"/>
        </w:rPr>
        <w:t>SGLT2</w:t>
      </w:r>
      <w:r w:rsidRPr="00933708">
        <w:rPr>
          <w:rFonts w:ascii="Arial Narrow" w:hAnsi="Arial Narrow"/>
          <w:sz w:val="18"/>
          <w:szCs w:val="18"/>
        </w:rPr>
        <w:t>-2, sodium glucose cotransport-2; RRT, renal replacement therapy; UACR, urine albumin-creatinine ratio.</w:t>
      </w:r>
    </w:p>
    <w:p w14:paraId="15B96443" w14:textId="7092F888" w:rsidR="001178E8" w:rsidRPr="00933708" w:rsidRDefault="001178E8" w:rsidP="00C947A0">
      <w:pPr>
        <w:pStyle w:val="ListParagraph"/>
        <w:numPr>
          <w:ilvl w:val="1"/>
          <w:numId w:val="1"/>
        </w:numPr>
        <w:spacing w:before="120"/>
        <w:ind w:left="720" w:hanging="720"/>
        <w:rPr>
          <w:color w:val="000000" w:themeColor="text1"/>
        </w:rPr>
      </w:pPr>
      <w:r w:rsidRPr="00933708">
        <w:rPr>
          <w:color w:val="000000" w:themeColor="text1"/>
        </w:rPr>
        <w:fldChar w:fldCharType="begin"/>
      </w:r>
      <w:r w:rsidRPr="00933708">
        <w:rPr>
          <w:color w:val="000000" w:themeColor="text1"/>
        </w:rPr>
        <w:instrText xml:space="preserve"> REF _Ref144890176 \h </w:instrText>
      </w:r>
      <w:r w:rsidRPr="00933708">
        <w:rPr>
          <w:color w:val="000000" w:themeColor="text1"/>
        </w:rPr>
      </w:r>
      <w:r w:rsidRPr="00933708">
        <w:rPr>
          <w:color w:val="000000" w:themeColor="text1"/>
        </w:rPr>
        <w:fldChar w:fldCharType="separate"/>
      </w:r>
      <w:r w:rsidR="00D5135E" w:rsidRPr="00933708">
        <w:t xml:space="preserve">Table </w:t>
      </w:r>
      <w:r w:rsidR="00D5135E">
        <w:rPr>
          <w:noProof/>
        </w:rPr>
        <w:t>17</w:t>
      </w:r>
      <w:r w:rsidRPr="00933708">
        <w:rPr>
          <w:color w:val="000000" w:themeColor="text1"/>
        </w:rPr>
        <w:fldChar w:fldCharType="end"/>
      </w:r>
      <w:r w:rsidRPr="00933708">
        <w:rPr>
          <w:color w:val="000000" w:themeColor="text1"/>
        </w:rPr>
        <w:t xml:space="preserve"> summarises the estimated patients treated, scripts dispensed, and net cost to the PBS/</w:t>
      </w:r>
      <w:r w:rsidRPr="00933708">
        <w:t>RPBS</w:t>
      </w:r>
      <w:r w:rsidRPr="00933708">
        <w:rPr>
          <w:color w:val="000000" w:themeColor="text1"/>
        </w:rPr>
        <w:t xml:space="preserve"> of listing empagliflozin for the treatment of CKD for the overlap and incremental subgroups and for the total population.</w:t>
      </w:r>
    </w:p>
    <w:p w14:paraId="044825C0" w14:textId="7E55D79B" w:rsidR="001178E8" w:rsidRPr="00933708" w:rsidRDefault="001178E8" w:rsidP="001178E8">
      <w:pPr>
        <w:pStyle w:val="COMTableheadingrow"/>
        <w:rPr>
          <w:lang w:val="en-AU"/>
        </w:rPr>
      </w:pPr>
      <w:bookmarkStart w:id="69" w:name="_Ref144890176"/>
      <w:bookmarkStart w:id="70" w:name="_Ref144890171"/>
      <w:r w:rsidRPr="00933708">
        <w:rPr>
          <w:lang w:val="en-AU"/>
        </w:rPr>
        <w:lastRenderedPageBreak/>
        <w:t xml:space="preserve">Table </w:t>
      </w:r>
      <w:r w:rsidRPr="00251484">
        <w:rPr>
          <w:lang w:val="en-AU"/>
        </w:rPr>
        <w:fldChar w:fldCharType="begin"/>
      </w:r>
      <w:r w:rsidRPr="00933708">
        <w:rPr>
          <w:lang w:val="en-AU"/>
        </w:rPr>
        <w:instrText xml:space="preserve"> SEQ Table \* ARABIC </w:instrText>
      </w:r>
      <w:r w:rsidRPr="00251484">
        <w:rPr>
          <w:lang w:val="en-AU"/>
        </w:rPr>
        <w:fldChar w:fldCharType="separate"/>
      </w:r>
      <w:r w:rsidR="00D5135E">
        <w:rPr>
          <w:noProof/>
          <w:lang w:val="en-AU"/>
        </w:rPr>
        <w:t>17</w:t>
      </w:r>
      <w:r w:rsidRPr="00251484">
        <w:rPr>
          <w:lang w:val="en-AU"/>
        </w:rPr>
        <w:fldChar w:fldCharType="end"/>
      </w:r>
      <w:bookmarkEnd w:id="69"/>
      <w:r w:rsidRPr="00933708">
        <w:rPr>
          <w:lang w:val="en-AU"/>
        </w:rPr>
        <w:t>: Estimated use and financial implications</w:t>
      </w:r>
      <w:bookmarkEnd w:id="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1178E8" w:rsidRPr="00933708" w14:paraId="3F961717" w14:textId="77777777" w:rsidTr="002A1C31">
        <w:trPr>
          <w:tblHeader/>
        </w:trPr>
        <w:tc>
          <w:tcPr>
            <w:tcW w:w="1334" w:type="pct"/>
            <w:shd w:val="clear" w:color="auto" w:fill="auto"/>
            <w:vAlign w:val="center"/>
          </w:tcPr>
          <w:p w14:paraId="5EDCEE32" w14:textId="77777777" w:rsidR="001178E8" w:rsidRPr="00933708" w:rsidRDefault="001178E8" w:rsidP="002A1C31">
            <w:pPr>
              <w:pStyle w:val="COMTableheadingrow"/>
              <w:jc w:val="center"/>
              <w:rPr>
                <w:szCs w:val="20"/>
                <w:lang w:val="en-AU"/>
              </w:rPr>
            </w:pPr>
          </w:p>
        </w:tc>
        <w:tc>
          <w:tcPr>
            <w:tcW w:w="611" w:type="pct"/>
            <w:shd w:val="clear" w:color="auto" w:fill="auto"/>
            <w:vAlign w:val="center"/>
          </w:tcPr>
          <w:p w14:paraId="5CAADDE3" w14:textId="77777777" w:rsidR="001178E8" w:rsidRPr="00933708" w:rsidRDefault="001178E8" w:rsidP="002A1C31">
            <w:pPr>
              <w:pStyle w:val="COMTableheadingrow"/>
              <w:jc w:val="center"/>
              <w:rPr>
                <w:szCs w:val="20"/>
                <w:lang w:val="en-AU"/>
              </w:rPr>
            </w:pPr>
            <w:r w:rsidRPr="00933708">
              <w:rPr>
                <w:szCs w:val="20"/>
                <w:lang w:val="en-AU"/>
              </w:rPr>
              <w:t>Year 1</w:t>
            </w:r>
          </w:p>
        </w:tc>
        <w:tc>
          <w:tcPr>
            <w:tcW w:w="611" w:type="pct"/>
            <w:shd w:val="clear" w:color="auto" w:fill="auto"/>
            <w:vAlign w:val="center"/>
          </w:tcPr>
          <w:p w14:paraId="220F329F" w14:textId="77777777" w:rsidR="001178E8" w:rsidRPr="00933708" w:rsidRDefault="001178E8" w:rsidP="002A1C31">
            <w:pPr>
              <w:pStyle w:val="COMTableheadingrow"/>
              <w:jc w:val="center"/>
              <w:rPr>
                <w:szCs w:val="20"/>
                <w:lang w:val="en-AU"/>
              </w:rPr>
            </w:pPr>
            <w:r w:rsidRPr="00933708">
              <w:rPr>
                <w:szCs w:val="20"/>
                <w:lang w:val="en-AU"/>
              </w:rPr>
              <w:t>Year 2</w:t>
            </w:r>
          </w:p>
        </w:tc>
        <w:tc>
          <w:tcPr>
            <w:tcW w:w="611" w:type="pct"/>
            <w:shd w:val="clear" w:color="auto" w:fill="auto"/>
            <w:vAlign w:val="center"/>
          </w:tcPr>
          <w:p w14:paraId="3C15B97B" w14:textId="77777777" w:rsidR="001178E8" w:rsidRPr="00933708" w:rsidRDefault="001178E8" w:rsidP="002A1C31">
            <w:pPr>
              <w:pStyle w:val="COMTableheadingrow"/>
              <w:jc w:val="center"/>
              <w:rPr>
                <w:szCs w:val="20"/>
                <w:lang w:val="en-AU"/>
              </w:rPr>
            </w:pPr>
            <w:r w:rsidRPr="00933708">
              <w:rPr>
                <w:szCs w:val="20"/>
                <w:lang w:val="en-AU"/>
              </w:rPr>
              <w:t>Year 3</w:t>
            </w:r>
          </w:p>
        </w:tc>
        <w:tc>
          <w:tcPr>
            <w:tcW w:w="611" w:type="pct"/>
            <w:shd w:val="clear" w:color="auto" w:fill="auto"/>
            <w:vAlign w:val="center"/>
          </w:tcPr>
          <w:p w14:paraId="2879749C" w14:textId="77777777" w:rsidR="001178E8" w:rsidRPr="00933708" w:rsidRDefault="001178E8" w:rsidP="002A1C31">
            <w:pPr>
              <w:pStyle w:val="COMTableheadingrow"/>
              <w:jc w:val="center"/>
              <w:rPr>
                <w:szCs w:val="20"/>
                <w:lang w:val="en-AU"/>
              </w:rPr>
            </w:pPr>
            <w:r w:rsidRPr="00933708">
              <w:rPr>
                <w:szCs w:val="20"/>
                <w:lang w:val="en-AU"/>
              </w:rPr>
              <w:t>Year 4</w:t>
            </w:r>
          </w:p>
        </w:tc>
        <w:tc>
          <w:tcPr>
            <w:tcW w:w="611" w:type="pct"/>
            <w:shd w:val="clear" w:color="auto" w:fill="auto"/>
            <w:vAlign w:val="center"/>
          </w:tcPr>
          <w:p w14:paraId="567B3EBE" w14:textId="77777777" w:rsidR="001178E8" w:rsidRPr="00933708" w:rsidRDefault="001178E8" w:rsidP="002A1C31">
            <w:pPr>
              <w:pStyle w:val="COMTableheadingrow"/>
              <w:jc w:val="center"/>
              <w:rPr>
                <w:szCs w:val="20"/>
                <w:lang w:val="en-AU"/>
              </w:rPr>
            </w:pPr>
            <w:r w:rsidRPr="00933708">
              <w:rPr>
                <w:szCs w:val="20"/>
                <w:lang w:val="en-AU"/>
              </w:rPr>
              <w:t>Year 5</w:t>
            </w:r>
          </w:p>
        </w:tc>
        <w:tc>
          <w:tcPr>
            <w:tcW w:w="611" w:type="pct"/>
          </w:tcPr>
          <w:p w14:paraId="5122D018" w14:textId="77777777" w:rsidR="001178E8" w:rsidRPr="00933708" w:rsidRDefault="001178E8" w:rsidP="002A1C31">
            <w:pPr>
              <w:pStyle w:val="COMTableheadingrow"/>
              <w:jc w:val="center"/>
              <w:rPr>
                <w:szCs w:val="20"/>
                <w:lang w:val="en-AU"/>
              </w:rPr>
            </w:pPr>
            <w:r w:rsidRPr="00933708">
              <w:rPr>
                <w:szCs w:val="20"/>
                <w:lang w:val="en-AU"/>
              </w:rPr>
              <w:t>Year 6</w:t>
            </w:r>
          </w:p>
        </w:tc>
      </w:tr>
      <w:tr w:rsidR="001178E8" w:rsidRPr="00933708" w14:paraId="3D8E7831" w14:textId="77777777" w:rsidTr="002A1C31">
        <w:tc>
          <w:tcPr>
            <w:tcW w:w="5000" w:type="pct"/>
            <w:gridSpan w:val="7"/>
            <w:shd w:val="clear" w:color="auto" w:fill="auto"/>
            <w:vAlign w:val="center"/>
          </w:tcPr>
          <w:p w14:paraId="7C00962F" w14:textId="77777777" w:rsidR="001178E8" w:rsidRPr="00933708" w:rsidRDefault="001178E8" w:rsidP="002A1C31">
            <w:pPr>
              <w:pStyle w:val="COMTableheadingrow"/>
              <w:rPr>
                <w:bCs/>
                <w:color w:val="000000"/>
                <w:szCs w:val="20"/>
                <w:vertAlign w:val="superscript"/>
                <w:lang w:val="en-AU"/>
              </w:rPr>
            </w:pPr>
            <w:r w:rsidRPr="00933708">
              <w:rPr>
                <w:bCs/>
                <w:color w:val="000000"/>
                <w:szCs w:val="20"/>
                <w:lang w:val="en-AU"/>
              </w:rPr>
              <w:t xml:space="preserve">Overlap subgroup </w:t>
            </w:r>
            <w:r w:rsidRPr="00933708">
              <w:rPr>
                <w:bCs/>
                <w:color w:val="000000"/>
                <w:szCs w:val="20"/>
                <w:vertAlign w:val="superscript"/>
                <w:lang w:val="en-AU"/>
              </w:rPr>
              <w:t>a</w:t>
            </w:r>
          </w:p>
        </w:tc>
      </w:tr>
      <w:tr w:rsidR="001178E8" w:rsidRPr="00933708" w14:paraId="5A25DC9D" w14:textId="77777777" w:rsidTr="00A51AD5">
        <w:tc>
          <w:tcPr>
            <w:tcW w:w="1334" w:type="pct"/>
            <w:shd w:val="clear" w:color="auto" w:fill="auto"/>
            <w:vAlign w:val="center"/>
          </w:tcPr>
          <w:p w14:paraId="1DA5D807" w14:textId="77777777" w:rsidR="001178E8" w:rsidRPr="00933708" w:rsidRDefault="001178E8" w:rsidP="002A1C31">
            <w:pPr>
              <w:pStyle w:val="COMTabletext"/>
              <w:rPr>
                <w:szCs w:val="20"/>
              </w:rPr>
            </w:pPr>
            <w:r w:rsidRPr="00933708">
              <w:rPr>
                <w:szCs w:val="20"/>
              </w:rPr>
              <w:t>Number of patients treated</w:t>
            </w:r>
          </w:p>
        </w:tc>
        <w:tc>
          <w:tcPr>
            <w:tcW w:w="611" w:type="pct"/>
            <w:shd w:val="clear" w:color="auto" w:fill="auto"/>
            <w:vAlign w:val="center"/>
          </w:tcPr>
          <w:p w14:paraId="7E5D516A" w14:textId="113630C9" w:rsidR="001178E8" w:rsidRPr="00A51AD5" w:rsidRDefault="00056F3E" w:rsidP="00A51AD5">
            <w:pPr>
              <w:pStyle w:val="COMTabletext"/>
              <w:jc w:val="center"/>
              <w:rPr>
                <w:color w:val="000000"/>
                <w:szCs w:val="20"/>
                <w:highlight w:val="darkGray"/>
              </w:rPr>
            </w:pPr>
            <w:r>
              <w:rPr>
                <w:szCs w:val="20"/>
              </w:rPr>
              <w:t xml:space="preserve"> </w:t>
            </w:r>
            <w:r w:rsidRPr="00AD44F3">
              <w:rPr>
                <w:rFonts w:hint="eastAsia"/>
                <w:color w:val="000000"/>
                <w:w w:val="15"/>
                <w:szCs w:val="20"/>
                <w:shd w:val="solid" w:color="000000" w:fill="000000"/>
                <w:fitText w:val="70" w:id="-1032105726"/>
                <w14:textFill>
                  <w14:solidFill>
                    <w14:srgbClr w14:val="000000">
                      <w14:alpha w14:val="100000"/>
                    </w14:srgbClr>
                  </w14:solidFill>
                </w14:textFill>
              </w:rPr>
              <w:t xml:space="preserve">　</w:t>
            </w:r>
            <w:r w:rsidRPr="00AD44F3">
              <w:rPr>
                <w:color w:val="000000"/>
                <w:w w:val="15"/>
                <w:szCs w:val="20"/>
                <w:shd w:val="solid" w:color="000000" w:fill="000000"/>
                <w:fitText w:val="70" w:id="-1032105726"/>
                <w14:textFill>
                  <w14:solidFill>
                    <w14:srgbClr w14:val="000000">
                      <w14:alpha w14:val="100000"/>
                    </w14:srgbClr>
                  </w14:solidFill>
                </w14:textFill>
              </w:rPr>
              <w:t>|</w:t>
            </w:r>
            <w:r w:rsidRPr="00AD44F3">
              <w:rPr>
                <w:rFonts w:hint="eastAsia"/>
                <w:color w:val="000000"/>
                <w:spacing w:val="4"/>
                <w:w w:val="15"/>
                <w:szCs w:val="20"/>
                <w:shd w:val="solid" w:color="000000" w:fill="000000"/>
                <w:fitText w:val="70" w:id="-1032105726"/>
                <w14:textFill>
                  <w14:solidFill>
                    <w14:srgbClr w14:val="000000">
                      <w14:alpha w14:val="100000"/>
                    </w14:srgbClr>
                  </w14:solidFill>
                </w14:textFill>
              </w:rPr>
              <w:t xml:space="preserve">　</w:t>
            </w:r>
            <w:r w:rsidR="00DF0F96" w:rsidRPr="00A51AD5">
              <w:rPr>
                <w:szCs w:val="20"/>
                <w:vertAlign w:val="superscript"/>
              </w:rPr>
              <w:t>1</w:t>
            </w:r>
          </w:p>
        </w:tc>
        <w:tc>
          <w:tcPr>
            <w:tcW w:w="611" w:type="pct"/>
            <w:shd w:val="clear" w:color="auto" w:fill="auto"/>
            <w:vAlign w:val="center"/>
          </w:tcPr>
          <w:p w14:paraId="5D095DA5" w14:textId="4EA699E5" w:rsidR="001178E8" w:rsidRPr="00A51AD5" w:rsidRDefault="00056F3E" w:rsidP="00A51AD5">
            <w:pPr>
              <w:pStyle w:val="COMTabletext"/>
              <w:jc w:val="center"/>
              <w:rPr>
                <w:color w:val="000000"/>
                <w:szCs w:val="20"/>
                <w:highlight w:val="darkGray"/>
              </w:rPr>
            </w:pPr>
            <w:r>
              <w:rPr>
                <w:szCs w:val="20"/>
              </w:rPr>
              <w:t xml:space="preserve"> </w:t>
            </w:r>
            <w:r w:rsidRPr="00AD44F3">
              <w:rPr>
                <w:rFonts w:hint="eastAsia"/>
                <w:color w:val="000000"/>
                <w:w w:val="15"/>
                <w:szCs w:val="20"/>
                <w:shd w:val="solid" w:color="000000" w:fill="000000"/>
                <w:fitText w:val="70" w:id="-1032105725"/>
                <w14:textFill>
                  <w14:solidFill>
                    <w14:srgbClr w14:val="000000">
                      <w14:alpha w14:val="100000"/>
                    </w14:srgbClr>
                  </w14:solidFill>
                </w14:textFill>
              </w:rPr>
              <w:t xml:space="preserve">　</w:t>
            </w:r>
            <w:r w:rsidRPr="00AD44F3">
              <w:rPr>
                <w:color w:val="000000"/>
                <w:w w:val="15"/>
                <w:szCs w:val="20"/>
                <w:shd w:val="solid" w:color="000000" w:fill="000000"/>
                <w:fitText w:val="70" w:id="-1032105725"/>
                <w14:textFill>
                  <w14:solidFill>
                    <w14:srgbClr w14:val="000000">
                      <w14:alpha w14:val="100000"/>
                    </w14:srgbClr>
                  </w14:solidFill>
                </w14:textFill>
              </w:rPr>
              <w:t>|</w:t>
            </w:r>
            <w:r w:rsidRPr="00AD44F3">
              <w:rPr>
                <w:rFonts w:hint="eastAsia"/>
                <w:color w:val="000000"/>
                <w:spacing w:val="4"/>
                <w:w w:val="15"/>
                <w:szCs w:val="20"/>
                <w:shd w:val="solid" w:color="000000" w:fill="000000"/>
                <w:fitText w:val="70" w:id="-1032105725"/>
                <w14:textFill>
                  <w14:solidFill>
                    <w14:srgbClr w14:val="000000">
                      <w14:alpha w14:val="100000"/>
                    </w14:srgbClr>
                  </w14:solidFill>
                </w14:textFill>
              </w:rPr>
              <w:t xml:space="preserve">　</w:t>
            </w:r>
            <w:r w:rsidR="00DF0F96" w:rsidRPr="00A51AD5">
              <w:rPr>
                <w:szCs w:val="20"/>
                <w:vertAlign w:val="superscript"/>
              </w:rPr>
              <w:t>2</w:t>
            </w:r>
          </w:p>
        </w:tc>
        <w:tc>
          <w:tcPr>
            <w:tcW w:w="611" w:type="pct"/>
            <w:shd w:val="clear" w:color="auto" w:fill="auto"/>
            <w:vAlign w:val="center"/>
          </w:tcPr>
          <w:p w14:paraId="4B5A72CF" w14:textId="2C13289C" w:rsidR="001178E8" w:rsidRPr="00A51AD5" w:rsidRDefault="00056F3E" w:rsidP="00A51AD5">
            <w:pPr>
              <w:pStyle w:val="COMTabletext"/>
              <w:jc w:val="center"/>
              <w:rPr>
                <w:color w:val="000000"/>
                <w:szCs w:val="20"/>
                <w:highlight w:val="darkGray"/>
              </w:rPr>
            </w:pPr>
            <w:r>
              <w:rPr>
                <w:szCs w:val="20"/>
              </w:rPr>
              <w:t xml:space="preserve"> </w:t>
            </w:r>
            <w:r w:rsidRPr="00056F3E">
              <w:rPr>
                <w:rFonts w:hint="eastAsia"/>
                <w:color w:val="000000"/>
                <w:w w:val="20"/>
                <w:szCs w:val="20"/>
                <w:shd w:val="solid" w:color="000000" w:fill="000000"/>
                <w:fitText w:val="90" w:id="-1032105724"/>
                <w14:textFill>
                  <w14:solidFill>
                    <w14:srgbClr w14:val="000000">
                      <w14:alpha w14:val="100000"/>
                    </w14:srgbClr>
                  </w14:solidFill>
                </w14:textFill>
              </w:rPr>
              <w:t xml:space="preserve">　</w:t>
            </w:r>
            <w:r w:rsidRPr="00056F3E">
              <w:rPr>
                <w:color w:val="000000"/>
                <w:w w:val="20"/>
                <w:szCs w:val="20"/>
                <w:shd w:val="solid" w:color="000000" w:fill="000000"/>
                <w:fitText w:val="90" w:id="-1032105724"/>
                <w14:textFill>
                  <w14:solidFill>
                    <w14:srgbClr w14:val="000000">
                      <w14:alpha w14:val="100000"/>
                    </w14:srgbClr>
                  </w14:solidFill>
                </w14:textFill>
              </w:rPr>
              <w:t>|</w:t>
            </w:r>
            <w:r w:rsidRPr="00056F3E">
              <w:rPr>
                <w:rFonts w:hint="eastAsia"/>
                <w:color w:val="000000"/>
                <w:spacing w:val="3"/>
                <w:w w:val="20"/>
                <w:szCs w:val="20"/>
                <w:shd w:val="solid" w:color="000000" w:fill="000000"/>
                <w:fitText w:val="90" w:id="-1032105724"/>
                <w14:textFill>
                  <w14:solidFill>
                    <w14:srgbClr w14:val="000000">
                      <w14:alpha w14:val="100000"/>
                    </w14:srgbClr>
                  </w14:solidFill>
                </w14:textFill>
              </w:rPr>
              <w:t xml:space="preserve">　</w:t>
            </w:r>
            <w:r w:rsidR="008E59DC">
              <w:rPr>
                <w:szCs w:val="20"/>
                <w:vertAlign w:val="superscript"/>
              </w:rPr>
              <w:t xml:space="preserve"> 3</w:t>
            </w:r>
          </w:p>
        </w:tc>
        <w:tc>
          <w:tcPr>
            <w:tcW w:w="611" w:type="pct"/>
            <w:shd w:val="clear" w:color="auto" w:fill="auto"/>
            <w:vAlign w:val="center"/>
          </w:tcPr>
          <w:p w14:paraId="67F3504E" w14:textId="574522E5" w:rsidR="001178E8" w:rsidRPr="00A51AD5" w:rsidRDefault="00056F3E" w:rsidP="00A51AD5">
            <w:pPr>
              <w:pStyle w:val="COMTabletext"/>
              <w:jc w:val="center"/>
              <w:rPr>
                <w:color w:val="000000"/>
                <w:szCs w:val="20"/>
                <w:highlight w:val="darkGray"/>
              </w:rPr>
            </w:pPr>
            <w:r>
              <w:rPr>
                <w:szCs w:val="20"/>
              </w:rPr>
              <w:t xml:space="preserve"> </w:t>
            </w:r>
            <w:r w:rsidRPr="00AD44F3">
              <w:rPr>
                <w:rFonts w:hint="eastAsia"/>
                <w:color w:val="000000"/>
                <w:w w:val="15"/>
                <w:szCs w:val="20"/>
                <w:shd w:val="solid" w:color="000000" w:fill="000000"/>
                <w:fitText w:val="70" w:id="-1032105723"/>
                <w14:textFill>
                  <w14:solidFill>
                    <w14:srgbClr w14:val="000000">
                      <w14:alpha w14:val="100000"/>
                    </w14:srgbClr>
                  </w14:solidFill>
                </w14:textFill>
              </w:rPr>
              <w:t xml:space="preserve">　</w:t>
            </w:r>
            <w:r w:rsidRPr="00AD44F3">
              <w:rPr>
                <w:color w:val="000000"/>
                <w:w w:val="15"/>
                <w:szCs w:val="20"/>
                <w:shd w:val="solid" w:color="000000" w:fill="000000"/>
                <w:fitText w:val="70" w:id="-1032105723"/>
                <w14:textFill>
                  <w14:solidFill>
                    <w14:srgbClr w14:val="000000">
                      <w14:alpha w14:val="100000"/>
                    </w14:srgbClr>
                  </w14:solidFill>
                </w14:textFill>
              </w:rPr>
              <w:t>|</w:t>
            </w:r>
            <w:r w:rsidRPr="00AD44F3">
              <w:rPr>
                <w:rFonts w:hint="eastAsia"/>
                <w:color w:val="000000"/>
                <w:spacing w:val="4"/>
                <w:w w:val="15"/>
                <w:szCs w:val="20"/>
                <w:shd w:val="solid" w:color="000000" w:fill="000000"/>
                <w:fitText w:val="70" w:id="-1032105723"/>
                <w14:textFill>
                  <w14:solidFill>
                    <w14:srgbClr w14:val="000000">
                      <w14:alpha w14:val="100000"/>
                    </w14:srgbClr>
                  </w14:solidFill>
                </w14:textFill>
              </w:rPr>
              <w:t xml:space="preserve">　</w:t>
            </w:r>
            <w:r w:rsidR="008E59DC">
              <w:rPr>
                <w:szCs w:val="20"/>
                <w:vertAlign w:val="superscript"/>
              </w:rPr>
              <w:t>3</w:t>
            </w:r>
          </w:p>
        </w:tc>
        <w:tc>
          <w:tcPr>
            <w:tcW w:w="611" w:type="pct"/>
            <w:shd w:val="clear" w:color="auto" w:fill="auto"/>
            <w:vAlign w:val="center"/>
          </w:tcPr>
          <w:p w14:paraId="7C5CA9C2" w14:textId="1243BAA2" w:rsidR="001178E8" w:rsidRPr="00A51AD5" w:rsidRDefault="00056F3E" w:rsidP="00A51AD5">
            <w:pPr>
              <w:pStyle w:val="COMTabletext"/>
              <w:jc w:val="center"/>
              <w:rPr>
                <w:color w:val="000000"/>
                <w:szCs w:val="20"/>
                <w:highlight w:val="darkGray"/>
              </w:rPr>
            </w:pPr>
            <w:r>
              <w:rPr>
                <w:szCs w:val="20"/>
              </w:rPr>
              <w:t xml:space="preserve"> </w:t>
            </w:r>
            <w:r w:rsidRPr="00AD44F3">
              <w:rPr>
                <w:rFonts w:hint="eastAsia"/>
                <w:color w:val="000000"/>
                <w:w w:val="15"/>
                <w:szCs w:val="20"/>
                <w:shd w:val="solid" w:color="000000" w:fill="000000"/>
                <w:fitText w:val="70" w:id="-1032105722"/>
                <w14:textFill>
                  <w14:solidFill>
                    <w14:srgbClr w14:val="000000">
                      <w14:alpha w14:val="100000"/>
                    </w14:srgbClr>
                  </w14:solidFill>
                </w14:textFill>
              </w:rPr>
              <w:t xml:space="preserve">　</w:t>
            </w:r>
            <w:r w:rsidRPr="00AD44F3">
              <w:rPr>
                <w:color w:val="000000"/>
                <w:w w:val="15"/>
                <w:szCs w:val="20"/>
                <w:shd w:val="solid" w:color="000000" w:fill="000000"/>
                <w:fitText w:val="70" w:id="-1032105722"/>
                <w14:textFill>
                  <w14:solidFill>
                    <w14:srgbClr w14:val="000000">
                      <w14:alpha w14:val="100000"/>
                    </w14:srgbClr>
                  </w14:solidFill>
                </w14:textFill>
              </w:rPr>
              <w:t>|</w:t>
            </w:r>
            <w:r w:rsidRPr="00AD44F3">
              <w:rPr>
                <w:rFonts w:hint="eastAsia"/>
                <w:color w:val="000000"/>
                <w:spacing w:val="4"/>
                <w:w w:val="15"/>
                <w:szCs w:val="20"/>
                <w:shd w:val="solid" w:color="000000" w:fill="000000"/>
                <w:fitText w:val="70" w:id="-1032105722"/>
                <w14:textFill>
                  <w14:solidFill>
                    <w14:srgbClr w14:val="000000">
                      <w14:alpha w14:val="100000"/>
                    </w14:srgbClr>
                  </w14:solidFill>
                </w14:textFill>
              </w:rPr>
              <w:t xml:space="preserve">　</w:t>
            </w:r>
            <w:r w:rsidR="008E59DC" w:rsidRPr="00A51AD5">
              <w:rPr>
                <w:szCs w:val="20"/>
                <w:vertAlign w:val="superscript"/>
              </w:rPr>
              <w:t>4</w:t>
            </w:r>
          </w:p>
        </w:tc>
        <w:tc>
          <w:tcPr>
            <w:tcW w:w="611" w:type="pct"/>
            <w:vAlign w:val="center"/>
          </w:tcPr>
          <w:p w14:paraId="09E96720" w14:textId="0145B9E2" w:rsidR="001178E8" w:rsidRPr="00A51AD5" w:rsidRDefault="00056F3E" w:rsidP="00A51AD5">
            <w:pPr>
              <w:pStyle w:val="COMTabletext"/>
              <w:jc w:val="center"/>
              <w:rPr>
                <w:color w:val="000000"/>
                <w:szCs w:val="20"/>
                <w:highlight w:val="darkGray"/>
              </w:rPr>
            </w:pPr>
            <w:r>
              <w:rPr>
                <w:szCs w:val="20"/>
              </w:rPr>
              <w:t xml:space="preserve"> </w:t>
            </w:r>
            <w:r w:rsidRPr="00AD44F3">
              <w:rPr>
                <w:rFonts w:hint="eastAsia"/>
                <w:color w:val="000000"/>
                <w:w w:val="15"/>
                <w:szCs w:val="20"/>
                <w:shd w:val="solid" w:color="000000" w:fill="000000"/>
                <w:fitText w:val="70" w:id="-1032105721"/>
                <w14:textFill>
                  <w14:solidFill>
                    <w14:srgbClr w14:val="000000">
                      <w14:alpha w14:val="100000"/>
                    </w14:srgbClr>
                  </w14:solidFill>
                </w14:textFill>
              </w:rPr>
              <w:t xml:space="preserve">　</w:t>
            </w:r>
            <w:r w:rsidRPr="00AD44F3">
              <w:rPr>
                <w:color w:val="000000"/>
                <w:w w:val="15"/>
                <w:szCs w:val="20"/>
                <w:shd w:val="solid" w:color="000000" w:fill="000000"/>
                <w:fitText w:val="70" w:id="-1032105721"/>
                <w14:textFill>
                  <w14:solidFill>
                    <w14:srgbClr w14:val="000000">
                      <w14:alpha w14:val="100000"/>
                    </w14:srgbClr>
                  </w14:solidFill>
                </w14:textFill>
              </w:rPr>
              <w:t>|</w:t>
            </w:r>
            <w:r w:rsidRPr="00AD44F3">
              <w:rPr>
                <w:rFonts w:hint="eastAsia"/>
                <w:color w:val="000000"/>
                <w:spacing w:val="4"/>
                <w:w w:val="15"/>
                <w:szCs w:val="20"/>
                <w:shd w:val="solid" w:color="000000" w:fill="000000"/>
                <w:fitText w:val="70" w:id="-1032105721"/>
                <w14:textFill>
                  <w14:solidFill>
                    <w14:srgbClr w14:val="000000">
                      <w14:alpha w14:val="100000"/>
                    </w14:srgbClr>
                  </w14:solidFill>
                </w14:textFill>
              </w:rPr>
              <w:t xml:space="preserve">　</w:t>
            </w:r>
            <w:r w:rsidR="008E59DC">
              <w:rPr>
                <w:szCs w:val="20"/>
                <w:vertAlign w:val="superscript"/>
              </w:rPr>
              <w:t>5</w:t>
            </w:r>
          </w:p>
        </w:tc>
      </w:tr>
      <w:tr w:rsidR="001178E8" w:rsidRPr="00933708" w14:paraId="4D879E13" w14:textId="77777777" w:rsidTr="00A51AD5">
        <w:tc>
          <w:tcPr>
            <w:tcW w:w="1334" w:type="pct"/>
            <w:shd w:val="clear" w:color="auto" w:fill="auto"/>
            <w:vAlign w:val="center"/>
          </w:tcPr>
          <w:p w14:paraId="798D5065" w14:textId="77777777" w:rsidR="001178E8" w:rsidRPr="00933708" w:rsidRDefault="001178E8" w:rsidP="002A1C31">
            <w:pPr>
              <w:pStyle w:val="COMTabletext"/>
              <w:rPr>
                <w:szCs w:val="20"/>
              </w:rPr>
            </w:pPr>
            <w:r w:rsidRPr="00933708">
              <w:rPr>
                <w:szCs w:val="20"/>
              </w:rPr>
              <w:t>Number of scripts dispensed</w:t>
            </w:r>
            <w:r w:rsidRPr="00933708">
              <w:rPr>
                <w:szCs w:val="20"/>
                <w:vertAlign w:val="superscript"/>
              </w:rPr>
              <w:t>b</w:t>
            </w:r>
          </w:p>
        </w:tc>
        <w:tc>
          <w:tcPr>
            <w:tcW w:w="611" w:type="pct"/>
            <w:shd w:val="clear" w:color="auto" w:fill="auto"/>
            <w:vAlign w:val="center"/>
          </w:tcPr>
          <w:p w14:paraId="3D5218F8" w14:textId="67C6C6B4" w:rsidR="001178E8" w:rsidRPr="00A51AD5" w:rsidRDefault="00056F3E" w:rsidP="00A51AD5">
            <w:pPr>
              <w:pStyle w:val="COMTabletext"/>
              <w:jc w:val="center"/>
              <w:rPr>
                <w:color w:val="000000"/>
                <w:szCs w:val="20"/>
                <w:highlight w:val="darkGray"/>
              </w:rPr>
            </w:pPr>
            <w:r>
              <w:rPr>
                <w:szCs w:val="20"/>
              </w:rPr>
              <w:t xml:space="preserve"> </w:t>
            </w:r>
            <w:r w:rsidRPr="00AD44F3">
              <w:rPr>
                <w:rFonts w:hint="eastAsia"/>
                <w:color w:val="000000"/>
                <w:w w:val="15"/>
                <w:szCs w:val="20"/>
                <w:shd w:val="solid" w:color="000000" w:fill="000000"/>
                <w:fitText w:val="70" w:id="-1032105720"/>
                <w14:textFill>
                  <w14:solidFill>
                    <w14:srgbClr w14:val="000000">
                      <w14:alpha w14:val="100000"/>
                    </w14:srgbClr>
                  </w14:solidFill>
                </w14:textFill>
              </w:rPr>
              <w:t xml:space="preserve">　</w:t>
            </w:r>
            <w:r w:rsidRPr="00AD44F3">
              <w:rPr>
                <w:color w:val="000000"/>
                <w:w w:val="15"/>
                <w:szCs w:val="20"/>
                <w:shd w:val="solid" w:color="000000" w:fill="000000"/>
                <w:fitText w:val="70" w:id="-1032105720"/>
                <w14:textFill>
                  <w14:solidFill>
                    <w14:srgbClr w14:val="000000">
                      <w14:alpha w14:val="100000"/>
                    </w14:srgbClr>
                  </w14:solidFill>
                </w14:textFill>
              </w:rPr>
              <w:t>|</w:t>
            </w:r>
            <w:r w:rsidRPr="00AD44F3">
              <w:rPr>
                <w:rFonts w:hint="eastAsia"/>
                <w:color w:val="000000"/>
                <w:spacing w:val="4"/>
                <w:w w:val="15"/>
                <w:szCs w:val="20"/>
                <w:shd w:val="solid" w:color="000000" w:fill="000000"/>
                <w:fitText w:val="70" w:id="-1032105720"/>
                <w14:textFill>
                  <w14:solidFill>
                    <w14:srgbClr w14:val="000000">
                      <w14:alpha w14:val="100000"/>
                    </w14:srgbClr>
                  </w14:solidFill>
                </w14:textFill>
              </w:rPr>
              <w:t xml:space="preserve">　</w:t>
            </w:r>
            <w:r w:rsidR="004A7F35" w:rsidRPr="00A51AD5">
              <w:rPr>
                <w:szCs w:val="20"/>
                <w:vertAlign w:val="superscript"/>
              </w:rPr>
              <w:t>6</w:t>
            </w:r>
          </w:p>
        </w:tc>
        <w:tc>
          <w:tcPr>
            <w:tcW w:w="611" w:type="pct"/>
            <w:shd w:val="clear" w:color="auto" w:fill="auto"/>
            <w:vAlign w:val="center"/>
          </w:tcPr>
          <w:p w14:paraId="1194B9B0" w14:textId="486D0421" w:rsidR="001178E8" w:rsidRPr="00A51AD5" w:rsidRDefault="00056F3E" w:rsidP="00A51AD5">
            <w:pPr>
              <w:pStyle w:val="COMTabletext"/>
              <w:jc w:val="center"/>
              <w:rPr>
                <w:color w:val="000000"/>
                <w:szCs w:val="20"/>
                <w:highlight w:val="darkGray"/>
              </w:rPr>
            </w:pPr>
            <w:r>
              <w:rPr>
                <w:szCs w:val="20"/>
              </w:rPr>
              <w:t xml:space="preserve"> </w:t>
            </w:r>
            <w:r w:rsidRPr="00AD44F3">
              <w:rPr>
                <w:rFonts w:hint="eastAsia"/>
                <w:color w:val="000000"/>
                <w:w w:val="15"/>
                <w:szCs w:val="20"/>
                <w:shd w:val="solid" w:color="000000" w:fill="000000"/>
                <w:fitText w:val="70" w:id="-1032105719"/>
                <w14:textFill>
                  <w14:solidFill>
                    <w14:srgbClr w14:val="000000">
                      <w14:alpha w14:val="100000"/>
                    </w14:srgbClr>
                  </w14:solidFill>
                </w14:textFill>
              </w:rPr>
              <w:t xml:space="preserve">　</w:t>
            </w:r>
            <w:r w:rsidRPr="00AD44F3">
              <w:rPr>
                <w:color w:val="000000"/>
                <w:w w:val="15"/>
                <w:szCs w:val="20"/>
                <w:shd w:val="solid" w:color="000000" w:fill="000000"/>
                <w:fitText w:val="70" w:id="-1032105719"/>
                <w14:textFill>
                  <w14:solidFill>
                    <w14:srgbClr w14:val="000000">
                      <w14:alpha w14:val="100000"/>
                    </w14:srgbClr>
                  </w14:solidFill>
                </w14:textFill>
              </w:rPr>
              <w:t>|</w:t>
            </w:r>
            <w:r w:rsidRPr="00AD44F3">
              <w:rPr>
                <w:rFonts w:hint="eastAsia"/>
                <w:color w:val="000000"/>
                <w:spacing w:val="4"/>
                <w:w w:val="15"/>
                <w:szCs w:val="20"/>
                <w:shd w:val="solid" w:color="000000" w:fill="000000"/>
                <w:fitText w:val="70" w:id="-1032105719"/>
                <w14:textFill>
                  <w14:solidFill>
                    <w14:srgbClr w14:val="000000">
                      <w14:alpha w14:val="100000"/>
                    </w14:srgbClr>
                  </w14:solidFill>
                </w14:textFill>
              </w:rPr>
              <w:t xml:space="preserve">　</w:t>
            </w:r>
            <w:r w:rsidR="004A7F35" w:rsidRPr="00A51AD5">
              <w:rPr>
                <w:szCs w:val="20"/>
                <w:vertAlign w:val="superscript"/>
              </w:rPr>
              <w:t>7</w:t>
            </w:r>
          </w:p>
        </w:tc>
        <w:tc>
          <w:tcPr>
            <w:tcW w:w="611" w:type="pct"/>
            <w:shd w:val="clear" w:color="auto" w:fill="auto"/>
            <w:vAlign w:val="center"/>
          </w:tcPr>
          <w:p w14:paraId="11A45561" w14:textId="0F9F482D" w:rsidR="001178E8" w:rsidRPr="00A51AD5" w:rsidRDefault="00056F3E" w:rsidP="00A51AD5">
            <w:pPr>
              <w:pStyle w:val="COMTabletext"/>
              <w:jc w:val="center"/>
              <w:rPr>
                <w:color w:val="000000"/>
                <w:szCs w:val="20"/>
                <w:highlight w:val="darkGray"/>
              </w:rPr>
            </w:pPr>
            <w:r>
              <w:rPr>
                <w:szCs w:val="20"/>
              </w:rPr>
              <w:t xml:space="preserve"> </w:t>
            </w:r>
            <w:r w:rsidRPr="00AD44F3">
              <w:rPr>
                <w:rFonts w:hint="eastAsia"/>
                <w:color w:val="000000"/>
                <w:w w:val="15"/>
                <w:szCs w:val="20"/>
                <w:shd w:val="solid" w:color="000000" w:fill="000000"/>
                <w:fitText w:val="70" w:id="-1032105718"/>
                <w14:textFill>
                  <w14:solidFill>
                    <w14:srgbClr w14:val="000000">
                      <w14:alpha w14:val="100000"/>
                    </w14:srgbClr>
                  </w14:solidFill>
                </w14:textFill>
              </w:rPr>
              <w:t xml:space="preserve">　</w:t>
            </w:r>
            <w:r w:rsidRPr="00AD44F3">
              <w:rPr>
                <w:color w:val="000000"/>
                <w:w w:val="15"/>
                <w:szCs w:val="20"/>
                <w:shd w:val="solid" w:color="000000" w:fill="000000"/>
                <w:fitText w:val="70" w:id="-1032105718"/>
                <w14:textFill>
                  <w14:solidFill>
                    <w14:srgbClr w14:val="000000">
                      <w14:alpha w14:val="100000"/>
                    </w14:srgbClr>
                  </w14:solidFill>
                </w14:textFill>
              </w:rPr>
              <w:t>|</w:t>
            </w:r>
            <w:r w:rsidRPr="00AD44F3">
              <w:rPr>
                <w:rFonts w:hint="eastAsia"/>
                <w:color w:val="000000"/>
                <w:spacing w:val="4"/>
                <w:w w:val="15"/>
                <w:szCs w:val="20"/>
                <w:shd w:val="solid" w:color="000000" w:fill="000000"/>
                <w:fitText w:val="70" w:id="-1032105718"/>
                <w14:textFill>
                  <w14:solidFill>
                    <w14:srgbClr w14:val="000000">
                      <w14:alpha w14:val="100000"/>
                    </w14:srgbClr>
                  </w14:solidFill>
                </w14:textFill>
              </w:rPr>
              <w:t xml:space="preserve">　</w:t>
            </w:r>
            <w:r w:rsidR="004A7F35" w:rsidRPr="00A51AD5">
              <w:rPr>
                <w:szCs w:val="20"/>
                <w:vertAlign w:val="superscript"/>
              </w:rPr>
              <w:t>8</w:t>
            </w:r>
          </w:p>
        </w:tc>
        <w:tc>
          <w:tcPr>
            <w:tcW w:w="611" w:type="pct"/>
            <w:shd w:val="clear" w:color="auto" w:fill="auto"/>
            <w:vAlign w:val="center"/>
          </w:tcPr>
          <w:p w14:paraId="686C25CE" w14:textId="24B6FC0F" w:rsidR="001178E8" w:rsidRPr="00A51AD5" w:rsidRDefault="00056F3E" w:rsidP="00A51AD5">
            <w:pPr>
              <w:pStyle w:val="COMTabletext"/>
              <w:jc w:val="center"/>
              <w:rPr>
                <w:color w:val="000000"/>
                <w:szCs w:val="20"/>
                <w:highlight w:val="darkGray"/>
              </w:rPr>
            </w:pPr>
            <w:r>
              <w:rPr>
                <w:szCs w:val="20"/>
              </w:rPr>
              <w:t xml:space="preserve"> </w:t>
            </w:r>
            <w:r w:rsidRPr="00056F3E">
              <w:rPr>
                <w:rFonts w:hint="eastAsia"/>
                <w:color w:val="000000"/>
                <w:w w:val="20"/>
                <w:szCs w:val="20"/>
                <w:shd w:val="solid" w:color="000000" w:fill="000000"/>
                <w:fitText w:val="90" w:id="-1032105717"/>
                <w14:textFill>
                  <w14:solidFill>
                    <w14:srgbClr w14:val="000000">
                      <w14:alpha w14:val="100000"/>
                    </w14:srgbClr>
                  </w14:solidFill>
                </w14:textFill>
              </w:rPr>
              <w:t xml:space="preserve">　</w:t>
            </w:r>
            <w:r w:rsidRPr="00056F3E">
              <w:rPr>
                <w:color w:val="000000"/>
                <w:w w:val="20"/>
                <w:szCs w:val="20"/>
                <w:shd w:val="solid" w:color="000000" w:fill="000000"/>
                <w:fitText w:val="90" w:id="-1032105717"/>
                <w14:textFill>
                  <w14:solidFill>
                    <w14:srgbClr w14:val="000000">
                      <w14:alpha w14:val="100000"/>
                    </w14:srgbClr>
                  </w14:solidFill>
                </w14:textFill>
              </w:rPr>
              <w:t>|</w:t>
            </w:r>
            <w:r w:rsidRPr="00056F3E">
              <w:rPr>
                <w:rFonts w:hint="eastAsia"/>
                <w:color w:val="000000"/>
                <w:spacing w:val="3"/>
                <w:w w:val="20"/>
                <w:szCs w:val="20"/>
                <w:shd w:val="solid" w:color="000000" w:fill="000000"/>
                <w:fitText w:val="90" w:id="-1032105717"/>
                <w14:textFill>
                  <w14:solidFill>
                    <w14:srgbClr w14:val="000000">
                      <w14:alpha w14:val="100000"/>
                    </w14:srgbClr>
                  </w14:solidFill>
                </w14:textFill>
              </w:rPr>
              <w:t xml:space="preserve">　</w:t>
            </w:r>
            <w:r w:rsidR="004A7F35">
              <w:rPr>
                <w:szCs w:val="20"/>
                <w:vertAlign w:val="superscript"/>
              </w:rPr>
              <w:t xml:space="preserve"> 9</w:t>
            </w:r>
          </w:p>
        </w:tc>
        <w:tc>
          <w:tcPr>
            <w:tcW w:w="611" w:type="pct"/>
            <w:shd w:val="clear" w:color="auto" w:fill="auto"/>
            <w:vAlign w:val="center"/>
          </w:tcPr>
          <w:p w14:paraId="17F33930" w14:textId="2F1239DB" w:rsidR="001178E8" w:rsidRPr="00A51AD5" w:rsidRDefault="00056F3E" w:rsidP="00A51AD5">
            <w:pPr>
              <w:pStyle w:val="COMTabletext"/>
              <w:jc w:val="center"/>
              <w:rPr>
                <w:color w:val="000000"/>
                <w:szCs w:val="20"/>
                <w:highlight w:val="darkGray"/>
              </w:rPr>
            </w:pPr>
            <w:r>
              <w:rPr>
                <w:szCs w:val="20"/>
              </w:rPr>
              <w:t xml:space="preserve"> </w:t>
            </w:r>
            <w:r w:rsidRPr="00056F3E">
              <w:rPr>
                <w:rFonts w:hint="eastAsia"/>
                <w:color w:val="000000"/>
                <w:w w:val="24"/>
                <w:szCs w:val="20"/>
                <w:shd w:val="solid" w:color="000000" w:fill="000000"/>
                <w:fitText w:val="110" w:id="-1032105716"/>
                <w14:textFill>
                  <w14:solidFill>
                    <w14:srgbClr w14:val="000000">
                      <w14:alpha w14:val="100000"/>
                    </w14:srgbClr>
                  </w14:solidFill>
                </w14:textFill>
              </w:rPr>
              <w:t xml:space="preserve">　</w:t>
            </w:r>
            <w:r w:rsidRPr="00056F3E">
              <w:rPr>
                <w:color w:val="000000"/>
                <w:w w:val="24"/>
                <w:szCs w:val="20"/>
                <w:shd w:val="solid" w:color="000000" w:fill="000000"/>
                <w:fitText w:val="110" w:id="-1032105716"/>
                <w14:textFill>
                  <w14:solidFill>
                    <w14:srgbClr w14:val="000000">
                      <w14:alpha w14:val="100000"/>
                    </w14:srgbClr>
                  </w14:solidFill>
                </w14:textFill>
              </w:rPr>
              <w:t>|</w:t>
            </w:r>
            <w:r w:rsidRPr="00056F3E">
              <w:rPr>
                <w:rFonts w:hint="eastAsia"/>
                <w:color w:val="000000"/>
                <w:spacing w:val="6"/>
                <w:w w:val="24"/>
                <w:szCs w:val="20"/>
                <w:shd w:val="solid" w:color="000000" w:fill="000000"/>
                <w:fitText w:val="110" w:id="-1032105716"/>
                <w14:textFill>
                  <w14:solidFill>
                    <w14:srgbClr w14:val="000000">
                      <w14:alpha w14:val="100000"/>
                    </w14:srgbClr>
                  </w14:solidFill>
                </w14:textFill>
              </w:rPr>
              <w:t xml:space="preserve">　</w:t>
            </w:r>
            <w:r w:rsidR="004A7F35">
              <w:rPr>
                <w:szCs w:val="20"/>
                <w:vertAlign w:val="superscript"/>
              </w:rPr>
              <w:t>10</w:t>
            </w:r>
          </w:p>
        </w:tc>
        <w:tc>
          <w:tcPr>
            <w:tcW w:w="611" w:type="pct"/>
            <w:vAlign w:val="center"/>
          </w:tcPr>
          <w:p w14:paraId="68E5A8BF" w14:textId="0CF8D2E1" w:rsidR="001178E8" w:rsidRPr="00A51AD5" w:rsidRDefault="00056F3E" w:rsidP="00A51AD5">
            <w:pPr>
              <w:pStyle w:val="COMTabletext"/>
              <w:jc w:val="center"/>
              <w:rPr>
                <w:color w:val="000000"/>
                <w:szCs w:val="20"/>
                <w:highlight w:val="darkGray"/>
              </w:rPr>
            </w:pPr>
            <w:r>
              <w:rPr>
                <w:szCs w:val="20"/>
              </w:rPr>
              <w:t xml:space="preserve"> </w:t>
            </w:r>
            <w:r w:rsidRPr="00056F3E">
              <w:rPr>
                <w:rFonts w:hint="eastAsia"/>
                <w:color w:val="000000"/>
                <w:w w:val="24"/>
                <w:szCs w:val="20"/>
                <w:shd w:val="solid" w:color="000000" w:fill="000000"/>
                <w:fitText w:val="110" w:id="-1032105715"/>
                <w14:textFill>
                  <w14:solidFill>
                    <w14:srgbClr w14:val="000000">
                      <w14:alpha w14:val="100000"/>
                    </w14:srgbClr>
                  </w14:solidFill>
                </w14:textFill>
              </w:rPr>
              <w:t xml:space="preserve">　</w:t>
            </w:r>
            <w:r w:rsidRPr="00056F3E">
              <w:rPr>
                <w:color w:val="000000"/>
                <w:w w:val="24"/>
                <w:szCs w:val="20"/>
                <w:shd w:val="solid" w:color="000000" w:fill="000000"/>
                <w:fitText w:val="110" w:id="-1032105715"/>
                <w14:textFill>
                  <w14:solidFill>
                    <w14:srgbClr w14:val="000000">
                      <w14:alpha w14:val="100000"/>
                    </w14:srgbClr>
                  </w14:solidFill>
                </w14:textFill>
              </w:rPr>
              <w:t>|</w:t>
            </w:r>
            <w:r w:rsidRPr="00056F3E">
              <w:rPr>
                <w:rFonts w:hint="eastAsia"/>
                <w:color w:val="000000"/>
                <w:spacing w:val="6"/>
                <w:w w:val="24"/>
                <w:szCs w:val="20"/>
                <w:shd w:val="solid" w:color="000000" w:fill="000000"/>
                <w:fitText w:val="110" w:id="-1032105715"/>
                <w14:textFill>
                  <w14:solidFill>
                    <w14:srgbClr w14:val="000000">
                      <w14:alpha w14:val="100000"/>
                    </w14:srgbClr>
                  </w14:solidFill>
                </w14:textFill>
              </w:rPr>
              <w:t xml:space="preserve">　</w:t>
            </w:r>
            <w:r w:rsidR="004A7F35">
              <w:rPr>
                <w:szCs w:val="20"/>
                <w:vertAlign w:val="superscript"/>
              </w:rPr>
              <w:t>11</w:t>
            </w:r>
          </w:p>
        </w:tc>
      </w:tr>
      <w:tr w:rsidR="001178E8" w:rsidRPr="00933708" w14:paraId="1C2B9211" w14:textId="77777777" w:rsidTr="00A51AD5">
        <w:tc>
          <w:tcPr>
            <w:tcW w:w="1334" w:type="pct"/>
            <w:shd w:val="clear" w:color="auto" w:fill="auto"/>
            <w:vAlign w:val="center"/>
          </w:tcPr>
          <w:p w14:paraId="66C80DF3" w14:textId="212EE937" w:rsidR="001178E8" w:rsidRPr="00933708" w:rsidRDefault="001178E8" w:rsidP="002A1C31">
            <w:pPr>
              <w:pStyle w:val="COMTabletext"/>
              <w:rPr>
                <w:szCs w:val="20"/>
              </w:rPr>
            </w:pPr>
            <w:r w:rsidRPr="00933708">
              <w:rPr>
                <w:szCs w:val="20"/>
              </w:rPr>
              <w:t xml:space="preserve">Cost to PBS/RPBS less </w:t>
            </w:r>
            <w:r w:rsidR="004837F0" w:rsidRPr="00933708">
              <w:rPr>
                <w:szCs w:val="20"/>
              </w:rPr>
              <w:t>co-payments</w:t>
            </w:r>
          </w:p>
        </w:tc>
        <w:tc>
          <w:tcPr>
            <w:tcW w:w="611" w:type="pct"/>
            <w:shd w:val="clear" w:color="auto" w:fill="auto"/>
            <w:vAlign w:val="center"/>
          </w:tcPr>
          <w:p w14:paraId="23CC1552" w14:textId="2112841B" w:rsidR="001178E8" w:rsidRPr="00A51AD5" w:rsidRDefault="00056F3E" w:rsidP="00A51AD5">
            <w:pPr>
              <w:pStyle w:val="COMTabletext"/>
              <w:jc w:val="center"/>
              <w:rPr>
                <w:szCs w:val="20"/>
                <w:highlight w:val="darkGray"/>
                <w:vertAlign w:val="superscript"/>
              </w:rPr>
            </w:pPr>
            <w:r>
              <w:rPr>
                <w:szCs w:val="20"/>
              </w:rPr>
              <w:t xml:space="preserve"> </w:t>
            </w:r>
            <w:r w:rsidRPr="00056F3E">
              <w:rPr>
                <w:rFonts w:hint="eastAsia"/>
                <w:color w:val="000000"/>
                <w:w w:val="24"/>
                <w:szCs w:val="20"/>
                <w:shd w:val="solid" w:color="000000" w:fill="000000"/>
                <w:fitText w:val="110" w:id="-1032105714"/>
                <w14:textFill>
                  <w14:solidFill>
                    <w14:srgbClr w14:val="000000">
                      <w14:alpha w14:val="100000"/>
                    </w14:srgbClr>
                  </w14:solidFill>
                </w14:textFill>
              </w:rPr>
              <w:t xml:space="preserve">　</w:t>
            </w:r>
            <w:r w:rsidRPr="00056F3E">
              <w:rPr>
                <w:color w:val="000000"/>
                <w:w w:val="24"/>
                <w:szCs w:val="20"/>
                <w:shd w:val="solid" w:color="000000" w:fill="000000"/>
                <w:fitText w:val="110" w:id="-1032105714"/>
                <w14:textFill>
                  <w14:solidFill>
                    <w14:srgbClr w14:val="000000">
                      <w14:alpha w14:val="100000"/>
                    </w14:srgbClr>
                  </w14:solidFill>
                </w14:textFill>
              </w:rPr>
              <w:t>|</w:t>
            </w:r>
            <w:r w:rsidRPr="00056F3E">
              <w:rPr>
                <w:rFonts w:hint="eastAsia"/>
                <w:color w:val="000000"/>
                <w:spacing w:val="6"/>
                <w:w w:val="24"/>
                <w:szCs w:val="20"/>
                <w:shd w:val="solid" w:color="000000" w:fill="000000"/>
                <w:fitText w:val="110" w:id="-1032105714"/>
                <w14:textFill>
                  <w14:solidFill>
                    <w14:srgbClr w14:val="000000">
                      <w14:alpha w14:val="100000"/>
                    </w14:srgbClr>
                  </w14:solidFill>
                </w14:textFill>
              </w:rPr>
              <w:t xml:space="preserve">　</w:t>
            </w:r>
            <w:r w:rsidR="004A7F35">
              <w:rPr>
                <w:szCs w:val="20"/>
                <w:vertAlign w:val="superscript"/>
              </w:rPr>
              <w:t>12</w:t>
            </w:r>
          </w:p>
        </w:tc>
        <w:tc>
          <w:tcPr>
            <w:tcW w:w="611" w:type="pct"/>
            <w:shd w:val="clear" w:color="auto" w:fill="auto"/>
            <w:vAlign w:val="center"/>
          </w:tcPr>
          <w:p w14:paraId="675AAFCC" w14:textId="5CCDE61B" w:rsidR="001178E8" w:rsidRPr="00A51AD5" w:rsidRDefault="00056F3E" w:rsidP="00A51AD5">
            <w:pPr>
              <w:pStyle w:val="COMTabletext"/>
              <w:jc w:val="center"/>
              <w:rPr>
                <w:szCs w:val="20"/>
                <w:highlight w:val="darkGray"/>
              </w:rPr>
            </w:pPr>
            <w:r>
              <w:rPr>
                <w:szCs w:val="20"/>
              </w:rPr>
              <w:t xml:space="preserve"> </w:t>
            </w:r>
            <w:r w:rsidRPr="00056F3E">
              <w:rPr>
                <w:rFonts w:hint="eastAsia"/>
                <w:color w:val="000000"/>
                <w:w w:val="24"/>
                <w:szCs w:val="20"/>
                <w:shd w:val="solid" w:color="000000" w:fill="000000"/>
                <w:fitText w:val="110" w:id="-1032105713"/>
                <w14:textFill>
                  <w14:solidFill>
                    <w14:srgbClr w14:val="000000">
                      <w14:alpha w14:val="100000"/>
                    </w14:srgbClr>
                  </w14:solidFill>
                </w14:textFill>
              </w:rPr>
              <w:t xml:space="preserve">　</w:t>
            </w:r>
            <w:r w:rsidRPr="00056F3E">
              <w:rPr>
                <w:color w:val="000000"/>
                <w:w w:val="24"/>
                <w:szCs w:val="20"/>
                <w:shd w:val="solid" w:color="000000" w:fill="000000"/>
                <w:fitText w:val="110" w:id="-1032105713"/>
                <w14:textFill>
                  <w14:solidFill>
                    <w14:srgbClr w14:val="000000">
                      <w14:alpha w14:val="100000"/>
                    </w14:srgbClr>
                  </w14:solidFill>
                </w14:textFill>
              </w:rPr>
              <w:t>|</w:t>
            </w:r>
            <w:r w:rsidRPr="00056F3E">
              <w:rPr>
                <w:rFonts w:hint="eastAsia"/>
                <w:color w:val="000000"/>
                <w:spacing w:val="6"/>
                <w:w w:val="24"/>
                <w:szCs w:val="20"/>
                <w:shd w:val="solid" w:color="000000" w:fill="000000"/>
                <w:fitText w:val="110" w:id="-1032105713"/>
                <w14:textFill>
                  <w14:solidFill>
                    <w14:srgbClr w14:val="000000">
                      <w14:alpha w14:val="100000"/>
                    </w14:srgbClr>
                  </w14:solidFill>
                </w14:textFill>
              </w:rPr>
              <w:t xml:space="preserve">　</w:t>
            </w:r>
            <w:r w:rsidR="004A7F35">
              <w:rPr>
                <w:szCs w:val="20"/>
                <w:vertAlign w:val="superscript"/>
              </w:rPr>
              <w:t>12</w:t>
            </w:r>
          </w:p>
        </w:tc>
        <w:tc>
          <w:tcPr>
            <w:tcW w:w="611" w:type="pct"/>
            <w:shd w:val="clear" w:color="auto" w:fill="auto"/>
            <w:vAlign w:val="center"/>
          </w:tcPr>
          <w:p w14:paraId="1D170A1D" w14:textId="19F7E2CA" w:rsidR="001178E8" w:rsidRPr="00A51AD5" w:rsidRDefault="00056F3E" w:rsidP="00A51AD5">
            <w:pPr>
              <w:pStyle w:val="COMTabletext"/>
              <w:jc w:val="center"/>
              <w:rPr>
                <w:szCs w:val="20"/>
                <w:highlight w:val="darkGray"/>
              </w:rPr>
            </w:pPr>
            <w:r>
              <w:rPr>
                <w:szCs w:val="20"/>
              </w:rPr>
              <w:t xml:space="preserve"> </w:t>
            </w:r>
            <w:r w:rsidRPr="00056F3E">
              <w:rPr>
                <w:rFonts w:hint="eastAsia"/>
                <w:color w:val="000000"/>
                <w:w w:val="24"/>
                <w:szCs w:val="20"/>
                <w:shd w:val="solid" w:color="000000" w:fill="000000"/>
                <w:fitText w:val="110" w:id="-1032105712"/>
                <w14:textFill>
                  <w14:solidFill>
                    <w14:srgbClr w14:val="000000">
                      <w14:alpha w14:val="100000"/>
                    </w14:srgbClr>
                  </w14:solidFill>
                </w14:textFill>
              </w:rPr>
              <w:t xml:space="preserve">　</w:t>
            </w:r>
            <w:r w:rsidRPr="00056F3E">
              <w:rPr>
                <w:color w:val="000000"/>
                <w:w w:val="24"/>
                <w:szCs w:val="20"/>
                <w:shd w:val="solid" w:color="000000" w:fill="000000"/>
                <w:fitText w:val="110" w:id="-1032105712"/>
                <w14:textFill>
                  <w14:solidFill>
                    <w14:srgbClr w14:val="000000">
                      <w14:alpha w14:val="100000"/>
                    </w14:srgbClr>
                  </w14:solidFill>
                </w14:textFill>
              </w:rPr>
              <w:t>|</w:t>
            </w:r>
            <w:r w:rsidRPr="00056F3E">
              <w:rPr>
                <w:rFonts w:hint="eastAsia"/>
                <w:color w:val="000000"/>
                <w:spacing w:val="6"/>
                <w:w w:val="24"/>
                <w:szCs w:val="20"/>
                <w:shd w:val="solid" w:color="000000" w:fill="000000"/>
                <w:fitText w:val="110" w:id="-1032105712"/>
                <w14:textFill>
                  <w14:solidFill>
                    <w14:srgbClr w14:val="000000">
                      <w14:alpha w14:val="100000"/>
                    </w14:srgbClr>
                  </w14:solidFill>
                </w14:textFill>
              </w:rPr>
              <w:t xml:space="preserve">　</w:t>
            </w:r>
            <w:r w:rsidR="00F12B26">
              <w:rPr>
                <w:szCs w:val="20"/>
                <w:vertAlign w:val="superscript"/>
              </w:rPr>
              <w:t>13</w:t>
            </w:r>
          </w:p>
        </w:tc>
        <w:tc>
          <w:tcPr>
            <w:tcW w:w="611" w:type="pct"/>
            <w:shd w:val="clear" w:color="auto" w:fill="auto"/>
            <w:vAlign w:val="center"/>
          </w:tcPr>
          <w:p w14:paraId="17EBCEAF" w14:textId="552B2F4C" w:rsidR="001178E8" w:rsidRPr="00A51AD5" w:rsidRDefault="00056F3E" w:rsidP="00A51AD5">
            <w:pPr>
              <w:pStyle w:val="COMTabletext"/>
              <w:jc w:val="center"/>
              <w:rPr>
                <w:szCs w:val="20"/>
                <w:highlight w:val="darkGray"/>
              </w:rPr>
            </w:pPr>
            <w:r>
              <w:rPr>
                <w:szCs w:val="20"/>
              </w:rPr>
              <w:t xml:space="preserve"> </w:t>
            </w:r>
            <w:r w:rsidRPr="00056F3E">
              <w:rPr>
                <w:rFonts w:hint="eastAsia"/>
                <w:color w:val="000000"/>
                <w:w w:val="24"/>
                <w:szCs w:val="20"/>
                <w:shd w:val="solid" w:color="000000" w:fill="000000"/>
                <w:fitText w:val="110" w:id="-1032105728"/>
                <w14:textFill>
                  <w14:solidFill>
                    <w14:srgbClr w14:val="000000">
                      <w14:alpha w14:val="100000"/>
                    </w14:srgbClr>
                  </w14:solidFill>
                </w14:textFill>
              </w:rPr>
              <w:t xml:space="preserve">　</w:t>
            </w:r>
            <w:r w:rsidRPr="00056F3E">
              <w:rPr>
                <w:color w:val="000000"/>
                <w:w w:val="24"/>
                <w:szCs w:val="20"/>
                <w:shd w:val="solid" w:color="000000" w:fill="000000"/>
                <w:fitText w:val="110" w:id="-1032105728"/>
                <w14:textFill>
                  <w14:solidFill>
                    <w14:srgbClr w14:val="000000">
                      <w14:alpha w14:val="100000"/>
                    </w14:srgbClr>
                  </w14:solidFill>
                </w14:textFill>
              </w:rPr>
              <w:t>|</w:t>
            </w:r>
            <w:r w:rsidRPr="00056F3E">
              <w:rPr>
                <w:rFonts w:hint="eastAsia"/>
                <w:color w:val="000000"/>
                <w:spacing w:val="6"/>
                <w:w w:val="24"/>
                <w:szCs w:val="20"/>
                <w:shd w:val="solid" w:color="000000" w:fill="000000"/>
                <w:fitText w:val="110" w:id="-1032105728"/>
                <w14:textFill>
                  <w14:solidFill>
                    <w14:srgbClr w14:val="000000">
                      <w14:alpha w14:val="100000"/>
                    </w14:srgbClr>
                  </w14:solidFill>
                </w14:textFill>
              </w:rPr>
              <w:t xml:space="preserve">　</w:t>
            </w:r>
            <w:r w:rsidR="00981298">
              <w:rPr>
                <w:szCs w:val="20"/>
                <w:vertAlign w:val="superscript"/>
              </w:rPr>
              <w:t>14</w:t>
            </w:r>
          </w:p>
        </w:tc>
        <w:tc>
          <w:tcPr>
            <w:tcW w:w="611" w:type="pct"/>
            <w:shd w:val="clear" w:color="auto" w:fill="auto"/>
            <w:vAlign w:val="center"/>
          </w:tcPr>
          <w:p w14:paraId="4C64C260" w14:textId="1301D90D" w:rsidR="001178E8" w:rsidRPr="00A51AD5" w:rsidRDefault="00056F3E" w:rsidP="00A51AD5">
            <w:pPr>
              <w:pStyle w:val="COMTabletext"/>
              <w:jc w:val="center"/>
              <w:rPr>
                <w:szCs w:val="20"/>
                <w:highlight w:val="darkGray"/>
              </w:rPr>
            </w:pPr>
            <w:r>
              <w:rPr>
                <w:szCs w:val="20"/>
              </w:rPr>
              <w:t xml:space="preserve"> </w:t>
            </w:r>
            <w:r w:rsidRPr="00056F3E">
              <w:rPr>
                <w:rFonts w:hint="eastAsia"/>
                <w:color w:val="000000"/>
                <w:w w:val="24"/>
                <w:szCs w:val="20"/>
                <w:shd w:val="solid" w:color="000000" w:fill="000000"/>
                <w:fitText w:val="110" w:id="-1032105727"/>
                <w14:textFill>
                  <w14:solidFill>
                    <w14:srgbClr w14:val="000000">
                      <w14:alpha w14:val="100000"/>
                    </w14:srgbClr>
                  </w14:solidFill>
                </w14:textFill>
              </w:rPr>
              <w:t xml:space="preserve">　</w:t>
            </w:r>
            <w:r w:rsidRPr="00056F3E">
              <w:rPr>
                <w:color w:val="000000"/>
                <w:w w:val="24"/>
                <w:szCs w:val="20"/>
                <w:shd w:val="solid" w:color="000000" w:fill="000000"/>
                <w:fitText w:val="110" w:id="-1032105727"/>
                <w14:textFill>
                  <w14:solidFill>
                    <w14:srgbClr w14:val="000000">
                      <w14:alpha w14:val="100000"/>
                    </w14:srgbClr>
                  </w14:solidFill>
                </w14:textFill>
              </w:rPr>
              <w:t>|</w:t>
            </w:r>
            <w:r w:rsidRPr="00056F3E">
              <w:rPr>
                <w:rFonts w:hint="eastAsia"/>
                <w:color w:val="000000"/>
                <w:spacing w:val="6"/>
                <w:w w:val="24"/>
                <w:szCs w:val="20"/>
                <w:shd w:val="solid" w:color="000000" w:fill="000000"/>
                <w:fitText w:val="110" w:id="-1032105727"/>
                <w14:textFill>
                  <w14:solidFill>
                    <w14:srgbClr w14:val="000000">
                      <w14:alpha w14:val="100000"/>
                    </w14:srgbClr>
                  </w14:solidFill>
                </w14:textFill>
              </w:rPr>
              <w:t xml:space="preserve">　</w:t>
            </w:r>
            <w:r w:rsidR="00F12B26" w:rsidRPr="00A51AD5">
              <w:rPr>
                <w:szCs w:val="20"/>
                <w:vertAlign w:val="superscript"/>
              </w:rPr>
              <w:t>14</w:t>
            </w:r>
          </w:p>
        </w:tc>
        <w:tc>
          <w:tcPr>
            <w:tcW w:w="611" w:type="pct"/>
            <w:vAlign w:val="center"/>
          </w:tcPr>
          <w:p w14:paraId="5081BC8F" w14:textId="4F53DC5D" w:rsidR="001178E8" w:rsidRPr="00A51AD5" w:rsidRDefault="00056F3E" w:rsidP="00A51AD5">
            <w:pPr>
              <w:pStyle w:val="COMTabletext"/>
              <w:jc w:val="center"/>
              <w:rPr>
                <w:szCs w:val="20"/>
                <w:highlight w:val="darkGray"/>
              </w:rPr>
            </w:pPr>
            <w:r>
              <w:rPr>
                <w:szCs w:val="20"/>
              </w:rPr>
              <w:t xml:space="preserve"> </w:t>
            </w:r>
            <w:r w:rsidRPr="00056F3E">
              <w:rPr>
                <w:rFonts w:hint="eastAsia"/>
                <w:color w:val="000000"/>
                <w:w w:val="24"/>
                <w:szCs w:val="20"/>
                <w:shd w:val="solid" w:color="000000" w:fill="000000"/>
                <w:fitText w:val="110" w:id="-1032105726"/>
                <w14:textFill>
                  <w14:solidFill>
                    <w14:srgbClr w14:val="000000">
                      <w14:alpha w14:val="100000"/>
                    </w14:srgbClr>
                  </w14:solidFill>
                </w14:textFill>
              </w:rPr>
              <w:t xml:space="preserve">　</w:t>
            </w:r>
            <w:r w:rsidRPr="00056F3E">
              <w:rPr>
                <w:color w:val="000000"/>
                <w:w w:val="24"/>
                <w:szCs w:val="20"/>
                <w:shd w:val="solid" w:color="000000" w:fill="000000"/>
                <w:fitText w:val="110" w:id="-1032105726"/>
                <w14:textFill>
                  <w14:solidFill>
                    <w14:srgbClr w14:val="000000">
                      <w14:alpha w14:val="100000"/>
                    </w14:srgbClr>
                  </w14:solidFill>
                </w14:textFill>
              </w:rPr>
              <w:t>|</w:t>
            </w:r>
            <w:r w:rsidRPr="00056F3E">
              <w:rPr>
                <w:rFonts w:hint="eastAsia"/>
                <w:color w:val="000000"/>
                <w:spacing w:val="6"/>
                <w:w w:val="24"/>
                <w:szCs w:val="20"/>
                <w:shd w:val="solid" w:color="000000" w:fill="000000"/>
                <w:fitText w:val="110" w:id="-1032105726"/>
                <w14:textFill>
                  <w14:solidFill>
                    <w14:srgbClr w14:val="000000">
                      <w14:alpha w14:val="100000"/>
                    </w14:srgbClr>
                  </w14:solidFill>
                </w14:textFill>
              </w:rPr>
              <w:t xml:space="preserve">　</w:t>
            </w:r>
            <w:r w:rsidR="00F12B26">
              <w:rPr>
                <w:szCs w:val="20"/>
                <w:vertAlign w:val="superscript"/>
              </w:rPr>
              <w:t>15</w:t>
            </w:r>
          </w:p>
        </w:tc>
      </w:tr>
      <w:tr w:rsidR="001178E8" w:rsidRPr="00933708" w14:paraId="6D8A34FD" w14:textId="77777777" w:rsidTr="002A1C31">
        <w:tc>
          <w:tcPr>
            <w:tcW w:w="5000" w:type="pct"/>
            <w:gridSpan w:val="7"/>
            <w:shd w:val="clear" w:color="auto" w:fill="auto"/>
            <w:vAlign w:val="center"/>
          </w:tcPr>
          <w:p w14:paraId="4E8F6107" w14:textId="77777777" w:rsidR="001178E8" w:rsidRPr="00933708" w:rsidRDefault="001178E8" w:rsidP="002A1C31">
            <w:pPr>
              <w:pStyle w:val="COMTableheadingrow"/>
              <w:rPr>
                <w:bCs/>
                <w:color w:val="000000"/>
                <w:szCs w:val="20"/>
                <w:lang w:val="en-AU"/>
              </w:rPr>
            </w:pPr>
            <w:r w:rsidRPr="00933708">
              <w:rPr>
                <w:bCs/>
                <w:color w:val="000000"/>
                <w:szCs w:val="20"/>
                <w:lang w:val="en-AU"/>
              </w:rPr>
              <w:t>Incremental subgroup</w:t>
            </w:r>
          </w:p>
        </w:tc>
      </w:tr>
      <w:tr w:rsidR="001178E8" w:rsidRPr="00933708" w14:paraId="3FC03B7C" w14:textId="77777777" w:rsidTr="00A51AD5">
        <w:tc>
          <w:tcPr>
            <w:tcW w:w="1334" w:type="pct"/>
            <w:shd w:val="clear" w:color="auto" w:fill="auto"/>
            <w:vAlign w:val="center"/>
          </w:tcPr>
          <w:p w14:paraId="6A1FB9E1" w14:textId="77777777" w:rsidR="001178E8" w:rsidRPr="00933708" w:rsidRDefault="001178E8" w:rsidP="002A1C31">
            <w:pPr>
              <w:pStyle w:val="COMTabletext"/>
              <w:rPr>
                <w:szCs w:val="20"/>
              </w:rPr>
            </w:pPr>
            <w:r w:rsidRPr="00933708">
              <w:rPr>
                <w:szCs w:val="20"/>
              </w:rPr>
              <w:t>Number of patients treated</w:t>
            </w:r>
          </w:p>
        </w:tc>
        <w:tc>
          <w:tcPr>
            <w:tcW w:w="611" w:type="pct"/>
            <w:shd w:val="clear" w:color="auto" w:fill="auto"/>
            <w:vAlign w:val="center"/>
          </w:tcPr>
          <w:p w14:paraId="5E2AE333" w14:textId="4EB827D6" w:rsidR="001178E8" w:rsidRPr="00A51AD5" w:rsidRDefault="00056F3E" w:rsidP="00A51AD5">
            <w:pPr>
              <w:pStyle w:val="COMTabletext"/>
              <w:jc w:val="center"/>
              <w:rPr>
                <w:color w:val="000000"/>
                <w:szCs w:val="20"/>
                <w:highlight w:val="darkGray"/>
              </w:rPr>
            </w:pPr>
            <w:r>
              <w:rPr>
                <w:szCs w:val="20"/>
              </w:rPr>
              <w:t xml:space="preserve"> </w:t>
            </w:r>
            <w:r w:rsidRPr="00AD44F3">
              <w:rPr>
                <w:rFonts w:hint="eastAsia"/>
                <w:color w:val="000000"/>
                <w:w w:val="15"/>
                <w:szCs w:val="20"/>
                <w:shd w:val="solid" w:color="000000" w:fill="000000"/>
                <w:fitText w:val="70" w:id="-1032105725"/>
                <w14:textFill>
                  <w14:solidFill>
                    <w14:srgbClr w14:val="000000">
                      <w14:alpha w14:val="100000"/>
                    </w14:srgbClr>
                  </w14:solidFill>
                </w14:textFill>
              </w:rPr>
              <w:t xml:space="preserve">　</w:t>
            </w:r>
            <w:r w:rsidRPr="00AD44F3">
              <w:rPr>
                <w:color w:val="000000"/>
                <w:w w:val="15"/>
                <w:szCs w:val="20"/>
                <w:shd w:val="solid" w:color="000000" w:fill="000000"/>
                <w:fitText w:val="70" w:id="-1032105725"/>
                <w14:textFill>
                  <w14:solidFill>
                    <w14:srgbClr w14:val="000000">
                      <w14:alpha w14:val="100000"/>
                    </w14:srgbClr>
                  </w14:solidFill>
                </w14:textFill>
              </w:rPr>
              <w:t>|</w:t>
            </w:r>
            <w:r w:rsidRPr="00AD44F3">
              <w:rPr>
                <w:rFonts w:hint="eastAsia"/>
                <w:color w:val="000000"/>
                <w:spacing w:val="4"/>
                <w:w w:val="15"/>
                <w:szCs w:val="20"/>
                <w:shd w:val="solid" w:color="000000" w:fill="000000"/>
                <w:fitText w:val="70" w:id="-1032105725"/>
                <w14:textFill>
                  <w14:solidFill>
                    <w14:srgbClr w14:val="000000">
                      <w14:alpha w14:val="100000"/>
                    </w14:srgbClr>
                  </w14:solidFill>
                </w14:textFill>
              </w:rPr>
              <w:t xml:space="preserve">　</w:t>
            </w:r>
            <w:r w:rsidR="00DF0F96" w:rsidRPr="00061143">
              <w:rPr>
                <w:szCs w:val="20"/>
                <w:vertAlign w:val="superscript"/>
              </w:rPr>
              <w:t>2</w:t>
            </w:r>
          </w:p>
        </w:tc>
        <w:tc>
          <w:tcPr>
            <w:tcW w:w="611" w:type="pct"/>
            <w:shd w:val="clear" w:color="auto" w:fill="auto"/>
            <w:vAlign w:val="center"/>
          </w:tcPr>
          <w:p w14:paraId="2E5AFC09" w14:textId="74542F83" w:rsidR="001178E8" w:rsidRPr="00A51AD5" w:rsidRDefault="00056F3E" w:rsidP="00A51AD5">
            <w:pPr>
              <w:pStyle w:val="COMTabletext"/>
              <w:jc w:val="center"/>
              <w:rPr>
                <w:color w:val="000000"/>
                <w:szCs w:val="20"/>
                <w:highlight w:val="darkGray"/>
              </w:rPr>
            </w:pPr>
            <w:r>
              <w:rPr>
                <w:szCs w:val="20"/>
              </w:rPr>
              <w:t xml:space="preserve"> </w:t>
            </w:r>
            <w:r w:rsidRPr="00056F3E">
              <w:rPr>
                <w:rFonts w:hint="eastAsia"/>
                <w:color w:val="000000"/>
                <w:w w:val="24"/>
                <w:szCs w:val="20"/>
                <w:shd w:val="solid" w:color="000000" w:fill="000000"/>
                <w:fitText w:val="110" w:id="-1032105724"/>
                <w14:textFill>
                  <w14:solidFill>
                    <w14:srgbClr w14:val="000000">
                      <w14:alpha w14:val="100000"/>
                    </w14:srgbClr>
                  </w14:solidFill>
                </w14:textFill>
              </w:rPr>
              <w:t xml:space="preserve">　</w:t>
            </w:r>
            <w:r w:rsidRPr="00056F3E">
              <w:rPr>
                <w:color w:val="000000"/>
                <w:w w:val="24"/>
                <w:szCs w:val="20"/>
                <w:shd w:val="solid" w:color="000000" w:fill="000000"/>
                <w:fitText w:val="110" w:id="-1032105724"/>
                <w14:textFill>
                  <w14:solidFill>
                    <w14:srgbClr w14:val="000000">
                      <w14:alpha w14:val="100000"/>
                    </w14:srgbClr>
                  </w14:solidFill>
                </w14:textFill>
              </w:rPr>
              <w:t>|</w:t>
            </w:r>
            <w:r w:rsidRPr="00056F3E">
              <w:rPr>
                <w:rFonts w:hint="eastAsia"/>
                <w:color w:val="000000"/>
                <w:spacing w:val="6"/>
                <w:w w:val="24"/>
                <w:szCs w:val="20"/>
                <w:shd w:val="solid" w:color="000000" w:fill="000000"/>
                <w:fitText w:val="110" w:id="-1032105724"/>
                <w14:textFill>
                  <w14:solidFill>
                    <w14:srgbClr w14:val="000000">
                      <w14:alpha w14:val="100000"/>
                    </w14:srgbClr>
                  </w14:solidFill>
                </w14:textFill>
              </w:rPr>
              <w:t xml:space="preserve">　</w:t>
            </w:r>
            <w:r w:rsidR="00981298" w:rsidRPr="00A51AD5">
              <w:rPr>
                <w:szCs w:val="20"/>
                <w:vertAlign w:val="superscript"/>
              </w:rPr>
              <w:t>16</w:t>
            </w:r>
          </w:p>
        </w:tc>
        <w:tc>
          <w:tcPr>
            <w:tcW w:w="611" w:type="pct"/>
            <w:shd w:val="clear" w:color="auto" w:fill="auto"/>
            <w:vAlign w:val="center"/>
          </w:tcPr>
          <w:p w14:paraId="7383BD4F" w14:textId="4A36B099" w:rsidR="001178E8" w:rsidRPr="00A51AD5" w:rsidRDefault="00056F3E" w:rsidP="00A51AD5">
            <w:pPr>
              <w:pStyle w:val="COMTabletext"/>
              <w:jc w:val="center"/>
              <w:rPr>
                <w:color w:val="000000"/>
                <w:szCs w:val="20"/>
                <w:highlight w:val="darkGray"/>
              </w:rPr>
            </w:pPr>
            <w:r>
              <w:rPr>
                <w:szCs w:val="20"/>
              </w:rPr>
              <w:t xml:space="preserve"> </w:t>
            </w:r>
            <w:r w:rsidRPr="00AD44F3">
              <w:rPr>
                <w:rFonts w:hint="eastAsia"/>
                <w:color w:val="000000"/>
                <w:w w:val="15"/>
                <w:szCs w:val="20"/>
                <w:shd w:val="solid" w:color="000000" w:fill="000000"/>
                <w:fitText w:val="70" w:id="-1032105723"/>
                <w14:textFill>
                  <w14:solidFill>
                    <w14:srgbClr w14:val="000000">
                      <w14:alpha w14:val="100000"/>
                    </w14:srgbClr>
                  </w14:solidFill>
                </w14:textFill>
              </w:rPr>
              <w:t xml:space="preserve">　</w:t>
            </w:r>
            <w:r w:rsidRPr="00AD44F3">
              <w:rPr>
                <w:color w:val="000000"/>
                <w:w w:val="15"/>
                <w:szCs w:val="20"/>
                <w:shd w:val="solid" w:color="000000" w:fill="000000"/>
                <w:fitText w:val="70" w:id="-1032105723"/>
                <w14:textFill>
                  <w14:solidFill>
                    <w14:srgbClr w14:val="000000">
                      <w14:alpha w14:val="100000"/>
                    </w14:srgbClr>
                  </w14:solidFill>
                </w14:textFill>
              </w:rPr>
              <w:t>|</w:t>
            </w:r>
            <w:r w:rsidRPr="00AD44F3">
              <w:rPr>
                <w:rFonts w:hint="eastAsia"/>
                <w:color w:val="000000"/>
                <w:spacing w:val="4"/>
                <w:w w:val="15"/>
                <w:szCs w:val="20"/>
                <w:shd w:val="solid" w:color="000000" w:fill="000000"/>
                <w:fitText w:val="70" w:id="-1032105723"/>
                <w14:textFill>
                  <w14:solidFill>
                    <w14:srgbClr w14:val="000000">
                      <w14:alpha w14:val="100000"/>
                    </w14:srgbClr>
                  </w14:solidFill>
                </w14:textFill>
              </w:rPr>
              <w:t xml:space="preserve">　</w:t>
            </w:r>
            <w:r w:rsidR="008E59DC">
              <w:rPr>
                <w:szCs w:val="20"/>
                <w:vertAlign w:val="superscript"/>
              </w:rPr>
              <w:t>3</w:t>
            </w:r>
          </w:p>
        </w:tc>
        <w:tc>
          <w:tcPr>
            <w:tcW w:w="611" w:type="pct"/>
            <w:shd w:val="clear" w:color="auto" w:fill="auto"/>
            <w:vAlign w:val="center"/>
          </w:tcPr>
          <w:p w14:paraId="200269F3" w14:textId="6E08CA64" w:rsidR="001178E8" w:rsidRPr="00A51AD5" w:rsidRDefault="00056F3E" w:rsidP="00A51AD5">
            <w:pPr>
              <w:pStyle w:val="COMTabletext"/>
              <w:jc w:val="center"/>
              <w:rPr>
                <w:color w:val="000000"/>
                <w:szCs w:val="20"/>
                <w:highlight w:val="darkGray"/>
              </w:rPr>
            </w:pPr>
            <w:r>
              <w:rPr>
                <w:szCs w:val="20"/>
              </w:rPr>
              <w:t xml:space="preserve"> </w:t>
            </w:r>
            <w:r w:rsidRPr="00AD44F3">
              <w:rPr>
                <w:rFonts w:hint="eastAsia"/>
                <w:color w:val="000000"/>
                <w:w w:val="15"/>
                <w:szCs w:val="20"/>
                <w:shd w:val="solid" w:color="000000" w:fill="000000"/>
                <w:fitText w:val="70" w:id="-1032105722"/>
                <w14:textFill>
                  <w14:solidFill>
                    <w14:srgbClr w14:val="000000">
                      <w14:alpha w14:val="100000"/>
                    </w14:srgbClr>
                  </w14:solidFill>
                </w14:textFill>
              </w:rPr>
              <w:t xml:space="preserve">　</w:t>
            </w:r>
            <w:r w:rsidRPr="00AD44F3">
              <w:rPr>
                <w:color w:val="000000"/>
                <w:w w:val="15"/>
                <w:szCs w:val="20"/>
                <w:shd w:val="solid" w:color="000000" w:fill="000000"/>
                <w:fitText w:val="70" w:id="-1032105722"/>
                <w14:textFill>
                  <w14:solidFill>
                    <w14:srgbClr w14:val="000000">
                      <w14:alpha w14:val="100000"/>
                    </w14:srgbClr>
                  </w14:solidFill>
                </w14:textFill>
              </w:rPr>
              <w:t>|</w:t>
            </w:r>
            <w:r w:rsidRPr="00AD44F3">
              <w:rPr>
                <w:rFonts w:hint="eastAsia"/>
                <w:color w:val="000000"/>
                <w:spacing w:val="4"/>
                <w:w w:val="15"/>
                <w:szCs w:val="20"/>
                <w:shd w:val="solid" w:color="000000" w:fill="000000"/>
                <w:fitText w:val="70" w:id="-1032105722"/>
                <w14:textFill>
                  <w14:solidFill>
                    <w14:srgbClr w14:val="000000">
                      <w14:alpha w14:val="100000"/>
                    </w14:srgbClr>
                  </w14:solidFill>
                </w14:textFill>
              </w:rPr>
              <w:t xml:space="preserve">　</w:t>
            </w:r>
            <w:r w:rsidR="00824F0E" w:rsidRPr="00A51AD5">
              <w:rPr>
                <w:szCs w:val="20"/>
                <w:vertAlign w:val="superscript"/>
              </w:rPr>
              <w:t>4</w:t>
            </w:r>
          </w:p>
        </w:tc>
        <w:tc>
          <w:tcPr>
            <w:tcW w:w="611" w:type="pct"/>
            <w:shd w:val="clear" w:color="auto" w:fill="auto"/>
            <w:vAlign w:val="center"/>
          </w:tcPr>
          <w:p w14:paraId="17A758A3" w14:textId="1B9381CB" w:rsidR="001178E8" w:rsidRPr="00A51AD5" w:rsidRDefault="00056F3E" w:rsidP="00A51AD5">
            <w:pPr>
              <w:pStyle w:val="COMTabletext"/>
              <w:jc w:val="center"/>
              <w:rPr>
                <w:color w:val="000000"/>
                <w:szCs w:val="20"/>
                <w:highlight w:val="darkGray"/>
              </w:rPr>
            </w:pPr>
            <w:r>
              <w:rPr>
                <w:szCs w:val="20"/>
              </w:rPr>
              <w:t xml:space="preserve"> </w:t>
            </w:r>
            <w:r w:rsidRPr="00AD44F3">
              <w:rPr>
                <w:rFonts w:hint="eastAsia"/>
                <w:color w:val="000000"/>
                <w:w w:val="15"/>
                <w:szCs w:val="20"/>
                <w:shd w:val="solid" w:color="000000" w:fill="000000"/>
                <w:fitText w:val="70" w:id="-1032105721"/>
                <w14:textFill>
                  <w14:solidFill>
                    <w14:srgbClr w14:val="000000">
                      <w14:alpha w14:val="100000"/>
                    </w14:srgbClr>
                  </w14:solidFill>
                </w14:textFill>
              </w:rPr>
              <w:t xml:space="preserve">　</w:t>
            </w:r>
            <w:r w:rsidRPr="00AD44F3">
              <w:rPr>
                <w:color w:val="000000"/>
                <w:w w:val="15"/>
                <w:szCs w:val="20"/>
                <w:shd w:val="solid" w:color="000000" w:fill="000000"/>
                <w:fitText w:val="70" w:id="-1032105721"/>
                <w14:textFill>
                  <w14:solidFill>
                    <w14:srgbClr w14:val="000000">
                      <w14:alpha w14:val="100000"/>
                    </w14:srgbClr>
                  </w14:solidFill>
                </w14:textFill>
              </w:rPr>
              <w:t>|</w:t>
            </w:r>
            <w:r w:rsidRPr="00AD44F3">
              <w:rPr>
                <w:rFonts w:hint="eastAsia"/>
                <w:color w:val="000000"/>
                <w:spacing w:val="4"/>
                <w:w w:val="15"/>
                <w:szCs w:val="20"/>
                <w:shd w:val="solid" w:color="000000" w:fill="000000"/>
                <w:fitText w:val="70" w:id="-1032105721"/>
                <w14:textFill>
                  <w14:solidFill>
                    <w14:srgbClr w14:val="000000">
                      <w14:alpha w14:val="100000"/>
                    </w14:srgbClr>
                  </w14:solidFill>
                </w14:textFill>
              </w:rPr>
              <w:t xml:space="preserve">　</w:t>
            </w:r>
            <w:r w:rsidR="00824F0E" w:rsidRPr="00A51AD5">
              <w:rPr>
                <w:szCs w:val="20"/>
                <w:vertAlign w:val="superscript"/>
              </w:rPr>
              <w:t>5</w:t>
            </w:r>
          </w:p>
        </w:tc>
        <w:tc>
          <w:tcPr>
            <w:tcW w:w="611" w:type="pct"/>
            <w:vAlign w:val="center"/>
          </w:tcPr>
          <w:p w14:paraId="0A001207" w14:textId="6C04BB3D" w:rsidR="001178E8" w:rsidRPr="00A51AD5" w:rsidRDefault="00056F3E" w:rsidP="00A51AD5">
            <w:pPr>
              <w:pStyle w:val="COMTabletext"/>
              <w:jc w:val="center"/>
              <w:rPr>
                <w:color w:val="000000"/>
                <w:szCs w:val="20"/>
                <w:highlight w:val="darkGray"/>
              </w:rPr>
            </w:pPr>
            <w:r>
              <w:rPr>
                <w:szCs w:val="20"/>
              </w:rPr>
              <w:t xml:space="preserve"> </w:t>
            </w:r>
            <w:r w:rsidRPr="00056F3E">
              <w:rPr>
                <w:rFonts w:hint="eastAsia"/>
                <w:color w:val="000000"/>
                <w:w w:val="24"/>
                <w:szCs w:val="20"/>
                <w:shd w:val="solid" w:color="000000" w:fill="000000"/>
                <w:fitText w:val="110" w:id="-1032105720"/>
                <w14:textFill>
                  <w14:solidFill>
                    <w14:srgbClr w14:val="000000">
                      <w14:alpha w14:val="100000"/>
                    </w14:srgbClr>
                  </w14:solidFill>
                </w14:textFill>
              </w:rPr>
              <w:t xml:space="preserve">　</w:t>
            </w:r>
            <w:r w:rsidRPr="00056F3E">
              <w:rPr>
                <w:color w:val="000000"/>
                <w:w w:val="24"/>
                <w:szCs w:val="20"/>
                <w:shd w:val="solid" w:color="000000" w:fill="000000"/>
                <w:fitText w:val="110" w:id="-1032105720"/>
                <w14:textFill>
                  <w14:solidFill>
                    <w14:srgbClr w14:val="000000">
                      <w14:alpha w14:val="100000"/>
                    </w14:srgbClr>
                  </w14:solidFill>
                </w14:textFill>
              </w:rPr>
              <w:t>|</w:t>
            </w:r>
            <w:r w:rsidRPr="00056F3E">
              <w:rPr>
                <w:rFonts w:hint="eastAsia"/>
                <w:color w:val="000000"/>
                <w:spacing w:val="6"/>
                <w:w w:val="24"/>
                <w:szCs w:val="20"/>
                <w:shd w:val="solid" w:color="000000" w:fill="000000"/>
                <w:fitText w:val="110" w:id="-1032105720"/>
                <w14:textFill>
                  <w14:solidFill>
                    <w14:srgbClr w14:val="000000">
                      <w14:alpha w14:val="100000"/>
                    </w14:srgbClr>
                  </w14:solidFill>
                </w14:textFill>
              </w:rPr>
              <w:t xml:space="preserve">　</w:t>
            </w:r>
            <w:r w:rsidR="00F12B26">
              <w:rPr>
                <w:szCs w:val="20"/>
                <w:vertAlign w:val="superscript"/>
              </w:rPr>
              <w:t>17</w:t>
            </w:r>
          </w:p>
        </w:tc>
      </w:tr>
      <w:tr w:rsidR="001178E8" w:rsidRPr="00933708" w14:paraId="24C464CB" w14:textId="77777777" w:rsidTr="00A51AD5">
        <w:tc>
          <w:tcPr>
            <w:tcW w:w="1334" w:type="pct"/>
            <w:shd w:val="clear" w:color="auto" w:fill="auto"/>
            <w:vAlign w:val="center"/>
          </w:tcPr>
          <w:p w14:paraId="4CB6CC94" w14:textId="77777777" w:rsidR="001178E8" w:rsidRPr="00933708" w:rsidRDefault="001178E8" w:rsidP="002A1C31">
            <w:pPr>
              <w:pStyle w:val="COMTabletext"/>
              <w:rPr>
                <w:szCs w:val="20"/>
              </w:rPr>
            </w:pPr>
            <w:r w:rsidRPr="00933708">
              <w:rPr>
                <w:szCs w:val="20"/>
              </w:rPr>
              <w:t>Number of scripts dispensed</w:t>
            </w:r>
            <w:r w:rsidRPr="00933708">
              <w:rPr>
                <w:szCs w:val="20"/>
                <w:vertAlign w:val="superscript"/>
              </w:rPr>
              <w:t>b</w:t>
            </w:r>
          </w:p>
        </w:tc>
        <w:tc>
          <w:tcPr>
            <w:tcW w:w="611" w:type="pct"/>
            <w:shd w:val="clear" w:color="auto" w:fill="auto"/>
            <w:vAlign w:val="center"/>
          </w:tcPr>
          <w:p w14:paraId="1BD31D03" w14:textId="54EFD85D" w:rsidR="001178E8" w:rsidRPr="00A51AD5" w:rsidRDefault="00056F3E" w:rsidP="00A51AD5">
            <w:pPr>
              <w:pStyle w:val="COMTabletext"/>
              <w:jc w:val="center"/>
              <w:rPr>
                <w:color w:val="000000"/>
                <w:szCs w:val="20"/>
                <w:highlight w:val="darkGray"/>
              </w:rPr>
            </w:pPr>
            <w:r>
              <w:rPr>
                <w:szCs w:val="20"/>
              </w:rPr>
              <w:t xml:space="preserve"> </w:t>
            </w:r>
            <w:r w:rsidRPr="00AD44F3">
              <w:rPr>
                <w:rFonts w:hint="eastAsia"/>
                <w:color w:val="000000"/>
                <w:w w:val="15"/>
                <w:szCs w:val="20"/>
                <w:shd w:val="solid" w:color="000000" w:fill="000000"/>
                <w:fitText w:val="70" w:id="-1032105719"/>
                <w14:textFill>
                  <w14:solidFill>
                    <w14:srgbClr w14:val="000000">
                      <w14:alpha w14:val="100000"/>
                    </w14:srgbClr>
                  </w14:solidFill>
                </w14:textFill>
              </w:rPr>
              <w:t xml:space="preserve">　</w:t>
            </w:r>
            <w:r w:rsidRPr="00AD44F3">
              <w:rPr>
                <w:color w:val="000000"/>
                <w:w w:val="15"/>
                <w:szCs w:val="20"/>
                <w:shd w:val="solid" w:color="000000" w:fill="000000"/>
                <w:fitText w:val="70" w:id="-1032105719"/>
                <w14:textFill>
                  <w14:solidFill>
                    <w14:srgbClr w14:val="000000">
                      <w14:alpha w14:val="100000"/>
                    </w14:srgbClr>
                  </w14:solidFill>
                </w14:textFill>
              </w:rPr>
              <w:t>|</w:t>
            </w:r>
            <w:r w:rsidRPr="00AD44F3">
              <w:rPr>
                <w:rFonts w:hint="eastAsia"/>
                <w:color w:val="000000"/>
                <w:spacing w:val="4"/>
                <w:w w:val="15"/>
                <w:szCs w:val="20"/>
                <w:shd w:val="solid" w:color="000000" w:fill="000000"/>
                <w:fitText w:val="70" w:id="-1032105719"/>
                <w14:textFill>
                  <w14:solidFill>
                    <w14:srgbClr w14:val="000000">
                      <w14:alpha w14:val="100000"/>
                    </w14:srgbClr>
                  </w14:solidFill>
                </w14:textFill>
              </w:rPr>
              <w:t xml:space="preserve">　</w:t>
            </w:r>
            <w:r w:rsidR="004A7F35" w:rsidRPr="00A51AD5">
              <w:rPr>
                <w:szCs w:val="20"/>
                <w:vertAlign w:val="superscript"/>
              </w:rPr>
              <w:t>7</w:t>
            </w:r>
          </w:p>
        </w:tc>
        <w:tc>
          <w:tcPr>
            <w:tcW w:w="611" w:type="pct"/>
            <w:shd w:val="clear" w:color="auto" w:fill="auto"/>
            <w:vAlign w:val="center"/>
          </w:tcPr>
          <w:p w14:paraId="0D0CCE5D" w14:textId="4F222F20" w:rsidR="001178E8" w:rsidRPr="00A51AD5" w:rsidRDefault="00056F3E" w:rsidP="00A51AD5">
            <w:pPr>
              <w:pStyle w:val="COMTabletext"/>
              <w:jc w:val="center"/>
              <w:rPr>
                <w:color w:val="000000"/>
                <w:szCs w:val="20"/>
                <w:highlight w:val="darkGray"/>
              </w:rPr>
            </w:pPr>
            <w:r>
              <w:rPr>
                <w:szCs w:val="20"/>
              </w:rPr>
              <w:t xml:space="preserve"> </w:t>
            </w:r>
            <w:r w:rsidRPr="00AD44F3">
              <w:rPr>
                <w:rFonts w:hint="eastAsia"/>
                <w:color w:val="000000"/>
                <w:w w:val="15"/>
                <w:szCs w:val="20"/>
                <w:shd w:val="solid" w:color="000000" w:fill="000000"/>
                <w:fitText w:val="70" w:id="-1032105718"/>
                <w14:textFill>
                  <w14:solidFill>
                    <w14:srgbClr w14:val="000000">
                      <w14:alpha w14:val="100000"/>
                    </w14:srgbClr>
                  </w14:solidFill>
                </w14:textFill>
              </w:rPr>
              <w:t xml:space="preserve">　</w:t>
            </w:r>
            <w:r w:rsidRPr="00AD44F3">
              <w:rPr>
                <w:color w:val="000000"/>
                <w:w w:val="15"/>
                <w:szCs w:val="20"/>
                <w:shd w:val="solid" w:color="000000" w:fill="000000"/>
                <w:fitText w:val="70" w:id="-1032105718"/>
                <w14:textFill>
                  <w14:solidFill>
                    <w14:srgbClr w14:val="000000">
                      <w14:alpha w14:val="100000"/>
                    </w14:srgbClr>
                  </w14:solidFill>
                </w14:textFill>
              </w:rPr>
              <w:t>|</w:t>
            </w:r>
            <w:r w:rsidRPr="00AD44F3">
              <w:rPr>
                <w:rFonts w:hint="eastAsia"/>
                <w:color w:val="000000"/>
                <w:spacing w:val="4"/>
                <w:w w:val="15"/>
                <w:szCs w:val="20"/>
                <w:shd w:val="solid" w:color="000000" w:fill="000000"/>
                <w:fitText w:val="70" w:id="-1032105718"/>
                <w14:textFill>
                  <w14:solidFill>
                    <w14:srgbClr w14:val="000000">
                      <w14:alpha w14:val="100000"/>
                    </w14:srgbClr>
                  </w14:solidFill>
                </w14:textFill>
              </w:rPr>
              <w:t xml:space="preserve">　</w:t>
            </w:r>
            <w:r w:rsidR="00F12B26" w:rsidRPr="00A51AD5">
              <w:rPr>
                <w:szCs w:val="20"/>
                <w:vertAlign w:val="superscript"/>
              </w:rPr>
              <w:t>8</w:t>
            </w:r>
          </w:p>
        </w:tc>
        <w:tc>
          <w:tcPr>
            <w:tcW w:w="611" w:type="pct"/>
            <w:shd w:val="clear" w:color="auto" w:fill="auto"/>
            <w:vAlign w:val="center"/>
          </w:tcPr>
          <w:p w14:paraId="3F558A32" w14:textId="0CC3D0EB" w:rsidR="001178E8" w:rsidRPr="00A51AD5" w:rsidRDefault="00056F3E" w:rsidP="00A51AD5">
            <w:pPr>
              <w:pStyle w:val="COMTabletext"/>
              <w:jc w:val="center"/>
              <w:rPr>
                <w:color w:val="000000"/>
                <w:szCs w:val="20"/>
                <w:highlight w:val="darkGray"/>
              </w:rPr>
            </w:pPr>
            <w:r>
              <w:rPr>
                <w:szCs w:val="20"/>
              </w:rPr>
              <w:t xml:space="preserve"> </w:t>
            </w:r>
            <w:r w:rsidRPr="00AD44F3">
              <w:rPr>
                <w:rFonts w:hint="eastAsia"/>
                <w:color w:val="000000"/>
                <w:w w:val="15"/>
                <w:szCs w:val="20"/>
                <w:shd w:val="solid" w:color="000000" w:fill="000000"/>
                <w:fitText w:val="70" w:id="-1032105717"/>
                <w14:textFill>
                  <w14:solidFill>
                    <w14:srgbClr w14:val="000000">
                      <w14:alpha w14:val="100000"/>
                    </w14:srgbClr>
                  </w14:solidFill>
                </w14:textFill>
              </w:rPr>
              <w:t xml:space="preserve">　</w:t>
            </w:r>
            <w:r w:rsidRPr="00AD44F3">
              <w:rPr>
                <w:color w:val="000000"/>
                <w:w w:val="15"/>
                <w:szCs w:val="20"/>
                <w:shd w:val="solid" w:color="000000" w:fill="000000"/>
                <w:fitText w:val="70" w:id="-1032105717"/>
                <w14:textFill>
                  <w14:solidFill>
                    <w14:srgbClr w14:val="000000">
                      <w14:alpha w14:val="100000"/>
                    </w14:srgbClr>
                  </w14:solidFill>
                </w14:textFill>
              </w:rPr>
              <w:t>|</w:t>
            </w:r>
            <w:r w:rsidRPr="00AD44F3">
              <w:rPr>
                <w:rFonts w:hint="eastAsia"/>
                <w:color w:val="000000"/>
                <w:spacing w:val="4"/>
                <w:w w:val="15"/>
                <w:szCs w:val="20"/>
                <w:shd w:val="solid" w:color="000000" w:fill="000000"/>
                <w:fitText w:val="70" w:id="-1032105717"/>
                <w14:textFill>
                  <w14:solidFill>
                    <w14:srgbClr w14:val="000000">
                      <w14:alpha w14:val="100000"/>
                    </w14:srgbClr>
                  </w14:solidFill>
                </w14:textFill>
              </w:rPr>
              <w:t xml:space="preserve">　</w:t>
            </w:r>
            <w:r w:rsidR="006A3AE9">
              <w:rPr>
                <w:szCs w:val="20"/>
                <w:vertAlign w:val="superscript"/>
              </w:rPr>
              <w:t>9</w:t>
            </w:r>
          </w:p>
        </w:tc>
        <w:tc>
          <w:tcPr>
            <w:tcW w:w="611" w:type="pct"/>
            <w:shd w:val="clear" w:color="auto" w:fill="auto"/>
            <w:vAlign w:val="center"/>
          </w:tcPr>
          <w:p w14:paraId="4FA373C9" w14:textId="5E68735C" w:rsidR="001178E8" w:rsidRPr="00A51AD5" w:rsidRDefault="00056F3E" w:rsidP="00A51AD5">
            <w:pPr>
              <w:pStyle w:val="COMTabletext"/>
              <w:jc w:val="center"/>
              <w:rPr>
                <w:color w:val="000000"/>
                <w:szCs w:val="20"/>
                <w:highlight w:val="darkGray"/>
              </w:rPr>
            </w:pPr>
            <w:r>
              <w:rPr>
                <w:szCs w:val="20"/>
              </w:rPr>
              <w:t xml:space="preserve"> </w:t>
            </w:r>
            <w:r w:rsidRPr="00056F3E">
              <w:rPr>
                <w:rFonts w:hint="eastAsia"/>
                <w:color w:val="000000"/>
                <w:w w:val="24"/>
                <w:szCs w:val="20"/>
                <w:shd w:val="solid" w:color="000000" w:fill="000000"/>
                <w:fitText w:val="110" w:id="-1032105716"/>
                <w14:textFill>
                  <w14:solidFill>
                    <w14:srgbClr w14:val="000000">
                      <w14:alpha w14:val="100000"/>
                    </w14:srgbClr>
                  </w14:solidFill>
                </w14:textFill>
              </w:rPr>
              <w:t xml:space="preserve">　</w:t>
            </w:r>
            <w:r w:rsidRPr="00056F3E">
              <w:rPr>
                <w:color w:val="000000"/>
                <w:w w:val="24"/>
                <w:szCs w:val="20"/>
                <w:shd w:val="solid" w:color="000000" w:fill="000000"/>
                <w:fitText w:val="110" w:id="-1032105716"/>
                <w14:textFill>
                  <w14:solidFill>
                    <w14:srgbClr w14:val="000000">
                      <w14:alpha w14:val="100000"/>
                    </w14:srgbClr>
                  </w14:solidFill>
                </w14:textFill>
              </w:rPr>
              <w:t>|</w:t>
            </w:r>
            <w:r w:rsidRPr="00056F3E">
              <w:rPr>
                <w:rFonts w:hint="eastAsia"/>
                <w:color w:val="000000"/>
                <w:spacing w:val="6"/>
                <w:w w:val="24"/>
                <w:szCs w:val="20"/>
                <w:shd w:val="solid" w:color="000000" w:fill="000000"/>
                <w:fitText w:val="110" w:id="-1032105716"/>
                <w14:textFill>
                  <w14:solidFill>
                    <w14:srgbClr w14:val="000000">
                      <w14:alpha w14:val="100000"/>
                    </w14:srgbClr>
                  </w14:solidFill>
                </w14:textFill>
              </w:rPr>
              <w:t xml:space="preserve">　</w:t>
            </w:r>
            <w:r w:rsidR="004A7F35">
              <w:rPr>
                <w:szCs w:val="20"/>
                <w:vertAlign w:val="superscript"/>
              </w:rPr>
              <w:t>10</w:t>
            </w:r>
          </w:p>
        </w:tc>
        <w:tc>
          <w:tcPr>
            <w:tcW w:w="611" w:type="pct"/>
            <w:shd w:val="clear" w:color="auto" w:fill="auto"/>
            <w:vAlign w:val="center"/>
          </w:tcPr>
          <w:p w14:paraId="4C9DB4C5" w14:textId="12994F6E" w:rsidR="001178E8" w:rsidRPr="00A51AD5" w:rsidRDefault="00056F3E" w:rsidP="00A51AD5">
            <w:pPr>
              <w:pStyle w:val="COMTabletext"/>
              <w:jc w:val="center"/>
              <w:rPr>
                <w:color w:val="000000"/>
                <w:szCs w:val="20"/>
                <w:highlight w:val="darkGray"/>
              </w:rPr>
            </w:pPr>
            <w:r>
              <w:rPr>
                <w:szCs w:val="20"/>
              </w:rPr>
              <w:t xml:space="preserve"> </w:t>
            </w:r>
            <w:r w:rsidRPr="00056F3E">
              <w:rPr>
                <w:rFonts w:hint="eastAsia"/>
                <w:color w:val="000000"/>
                <w:w w:val="24"/>
                <w:szCs w:val="20"/>
                <w:shd w:val="solid" w:color="000000" w:fill="000000"/>
                <w:fitText w:val="110" w:id="-1032105715"/>
                <w14:textFill>
                  <w14:solidFill>
                    <w14:srgbClr w14:val="000000">
                      <w14:alpha w14:val="100000"/>
                    </w14:srgbClr>
                  </w14:solidFill>
                </w14:textFill>
              </w:rPr>
              <w:t xml:space="preserve">　</w:t>
            </w:r>
            <w:r w:rsidRPr="00056F3E">
              <w:rPr>
                <w:color w:val="000000"/>
                <w:w w:val="24"/>
                <w:szCs w:val="20"/>
                <w:shd w:val="solid" w:color="000000" w:fill="000000"/>
                <w:fitText w:val="110" w:id="-1032105715"/>
                <w14:textFill>
                  <w14:solidFill>
                    <w14:srgbClr w14:val="000000">
                      <w14:alpha w14:val="100000"/>
                    </w14:srgbClr>
                  </w14:solidFill>
                </w14:textFill>
              </w:rPr>
              <w:t>|</w:t>
            </w:r>
            <w:r w:rsidRPr="00056F3E">
              <w:rPr>
                <w:rFonts w:hint="eastAsia"/>
                <w:color w:val="000000"/>
                <w:spacing w:val="6"/>
                <w:w w:val="24"/>
                <w:szCs w:val="20"/>
                <w:shd w:val="solid" w:color="000000" w:fill="000000"/>
                <w:fitText w:val="110" w:id="-1032105715"/>
                <w14:textFill>
                  <w14:solidFill>
                    <w14:srgbClr w14:val="000000">
                      <w14:alpha w14:val="100000"/>
                    </w14:srgbClr>
                  </w14:solidFill>
                </w14:textFill>
              </w:rPr>
              <w:t xml:space="preserve">　</w:t>
            </w:r>
            <w:r w:rsidR="004A7F35">
              <w:rPr>
                <w:szCs w:val="20"/>
                <w:vertAlign w:val="superscript"/>
              </w:rPr>
              <w:t>11</w:t>
            </w:r>
          </w:p>
        </w:tc>
        <w:tc>
          <w:tcPr>
            <w:tcW w:w="611" w:type="pct"/>
            <w:vAlign w:val="center"/>
          </w:tcPr>
          <w:p w14:paraId="592CBFBC" w14:textId="77743EC0" w:rsidR="001178E8" w:rsidRPr="00A51AD5" w:rsidRDefault="00056F3E" w:rsidP="00A51AD5">
            <w:pPr>
              <w:pStyle w:val="COMTabletext"/>
              <w:jc w:val="center"/>
              <w:rPr>
                <w:color w:val="000000"/>
                <w:szCs w:val="20"/>
                <w:highlight w:val="darkGray"/>
              </w:rPr>
            </w:pPr>
            <w:r>
              <w:rPr>
                <w:szCs w:val="20"/>
              </w:rPr>
              <w:t xml:space="preserve"> </w:t>
            </w:r>
            <w:r w:rsidRPr="00056F3E">
              <w:rPr>
                <w:rFonts w:hint="eastAsia"/>
                <w:color w:val="000000"/>
                <w:w w:val="24"/>
                <w:szCs w:val="20"/>
                <w:shd w:val="solid" w:color="000000" w:fill="000000"/>
                <w:fitText w:val="110" w:id="-1032105714"/>
                <w14:textFill>
                  <w14:solidFill>
                    <w14:srgbClr w14:val="000000">
                      <w14:alpha w14:val="100000"/>
                    </w14:srgbClr>
                  </w14:solidFill>
                </w14:textFill>
              </w:rPr>
              <w:t xml:space="preserve">　</w:t>
            </w:r>
            <w:r w:rsidRPr="00056F3E">
              <w:rPr>
                <w:color w:val="000000"/>
                <w:w w:val="24"/>
                <w:szCs w:val="20"/>
                <w:shd w:val="solid" w:color="000000" w:fill="000000"/>
                <w:fitText w:val="110" w:id="-1032105714"/>
                <w14:textFill>
                  <w14:solidFill>
                    <w14:srgbClr w14:val="000000">
                      <w14:alpha w14:val="100000"/>
                    </w14:srgbClr>
                  </w14:solidFill>
                </w14:textFill>
              </w:rPr>
              <w:t>|</w:t>
            </w:r>
            <w:r w:rsidRPr="00056F3E">
              <w:rPr>
                <w:rFonts w:hint="eastAsia"/>
                <w:color w:val="000000"/>
                <w:spacing w:val="6"/>
                <w:w w:val="24"/>
                <w:szCs w:val="20"/>
                <w:shd w:val="solid" w:color="000000" w:fill="000000"/>
                <w:fitText w:val="110" w:id="-1032105714"/>
                <w14:textFill>
                  <w14:solidFill>
                    <w14:srgbClr w14:val="000000">
                      <w14:alpha w14:val="100000"/>
                    </w14:srgbClr>
                  </w14:solidFill>
                </w14:textFill>
              </w:rPr>
              <w:t xml:space="preserve">　</w:t>
            </w:r>
            <w:r w:rsidR="00B20F0B">
              <w:rPr>
                <w:szCs w:val="20"/>
                <w:vertAlign w:val="superscript"/>
              </w:rPr>
              <w:t>18</w:t>
            </w:r>
          </w:p>
        </w:tc>
      </w:tr>
      <w:tr w:rsidR="001178E8" w:rsidRPr="00933708" w14:paraId="0B655B51" w14:textId="77777777" w:rsidTr="00A51AD5">
        <w:tc>
          <w:tcPr>
            <w:tcW w:w="1334" w:type="pct"/>
            <w:shd w:val="clear" w:color="auto" w:fill="auto"/>
            <w:vAlign w:val="center"/>
          </w:tcPr>
          <w:p w14:paraId="1D5B7CE4" w14:textId="1FB59C87" w:rsidR="001178E8" w:rsidRPr="00933708" w:rsidRDefault="001178E8" w:rsidP="002A1C31">
            <w:pPr>
              <w:pStyle w:val="COMTabletext"/>
              <w:rPr>
                <w:szCs w:val="20"/>
              </w:rPr>
            </w:pPr>
            <w:r w:rsidRPr="00933708">
              <w:rPr>
                <w:szCs w:val="20"/>
              </w:rPr>
              <w:t xml:space="preserve">Cost to PBS/RPBS less </w:t>
            </w:r>
            <w:r w:rsidR="004837F0" w:rsidRPr="00933708">
              <w:rPr>
                <w:szCs w:val="20"/>
              </w:rPr>
              <w:t>co-payments</w:t>
            </w:r>
          </w:p>
        </w:tc>
        <w:tc>
          <w:tcPr>
            <w:tcW w:w="611" w:type="pct"/>
            <w:shd w:val="clear" w:color="auto" w:fill="auto"/>
            <w:vAlign w:val="center"/>
          </w:tcPr>
          <w:p w14:paraId="59D2F2B2" w14:textId="1860C558" w:rsidR="001178E8" w:rsidRPr="00B40193" w:rsidRDefault="00056F3E" w:rsidP="00A51AD5">
            <w:pPr>
              <w:pStyle w:val="COMTabletext"/>
              <w:jc w:val="center"/>
              <w:rPr>
                <w:szCs w:val="20"/>
              </w:rPr>
            </w:pPr>
            <w:r>
              <w:rPr>
                <w:szCs w:val="20"/>
              </w:rPr>
              <w:t xml:space="preserve"> </w:t>
            </w:r>
            <w:r w:rsidRPr="00056F3E">
              <w:rPr>
                <w:rFonts w:hint="eastAsia"/>
                <w:color w:val="000000"/>
                <w:w w:val="24"/>
                <w:szCs w:val="20"/>
                <w:shd w:val="solid" w:color="000000" w:fill="000000"/>
                <w:fitText w:val="110" w:id="-1032105713"/>
                <w14:textFill>
                  <w14:solidFill>
                    <w14:srgbClr w14:val="000000">
                      <w14:alpha w14:val="100000"/>
                    </w14:srgbClr>
                  </w14:solidFill>
                </w14:textFill>
              </w:rPr>
              <w:t xml:space="preserve">　</w:t>
            </w:r>
            <w:r w:rsidRPr="00056F3E">
              <w:rPr>
                <w:color w:val="000000"/>
                <w:w w:val="24"/>
                <w:szCs w:val="20"/>
                <w:shd w:val="solid" w:color="000000" w:fill="000000"/>
                <w:fitText w:val="110" w:id="-1032105713"/>
                <w14:textFill>
                  <w14:solidFill>
                    <w14:srgbClr w14:val="000000">
                      <w14:alpha w14:val="100000"/>
                    </w14:srgbClr>
                  </w14:solidFill>
                </w14:textFill>
              </w:rPr>
              <w:t>|</w:t>
            </w:r>
            <w:r w:rsidRPr="00056F3E">
              <w:rPr>
                <w:rFonts w:hint="eastAsia"/>
                <w:color w:val="000000"/>
                <w:spacing w:val="6"/>
                <w:w w:val="24"/>
                <w:szCs w:val="20"/>
                <w:shd w:val="solid" w:color="000000" w:fill="000000"/>
                <w:fitText w:val="110" w:id="-1032105713"/>
                <w14:textFill>
                  <w14:solidFill>
                    <w14:srgbClr w14:val="000000">
                      <w14:alpha w14:val="100000"/>
                    </w14:srgbClr>
                  </w14:solidFill>
                </w14:textFill>
              </w:rPr>
              <w:t xml:space="preserve">　</w:t>
            </w:r>
            <w:r w:rsidR="004A7F35" w:rsidRPr="00B40193">
              <w:rPr>
                <w:szCs w:val="20"/>
                <w:vertAlign w:val="superscript"/>
              </w:rPr>
              <w:t>12</w:t>
            </w:r>
          </w:p>
        </w:tc>
        <w:tc>
          <w:tcPr>
            <w:tcW w:w="611" w:type="pct"/>
            <w:shd w:val="clear" w:color="auto" w:fill="auto"/>
            <w:vAlign w:val="center"/>
          </w:tcPr>
          <w:p w14:paraId="0CB57587" w14:textId="02818FBE" w:rsidR="001178E8" w:rsidRPr="00B40193" w:rsidRDefault="00056F3E" w:rsidP="00A51AD5">
            <w:pPr>
              <w:pStyle w:val="COMTabletext"/>
              <w:jc w:val="center"/>
              <w:rPr>
                <w:szCs w:val="20"/>
              </w:rPr>
            </w:pPr>
            <w:r>
              <w:rPr>
                <w:szCs w:val="20"/>
              </w:rPr>
              <w:t xml:space="preserve"> </w:t>
            </w:r>
            <w:r w:rsidRPr="00056F3E">
              <w:rPr>
                <w:rFonts w:hint="eastAsia"/>
                <w:color w:val="000000"/>
                <w:w w:val="24"/>
                <w:szCs w:val="20"/>
                <w:shd w:val="solid" w:color="000000" w:fill="000000"/>
                <w:fitText w:val="110" w:id="-1032105712"/>
                <w14:textFill>
                  <w14:solidFill>
                    <w14:srgbClr w14:val="000000">
                      <w14:alpha w14:val="100000"/>
                    </w14:srgbClr>
                  </w14:solidFill>
                </w14:textFill>
              </w:rPr>
              <w:t xml:space="preserve">　</w:t>
            </w:r>
            <w:r w:rsidRPr="00056F3E">
              <w:rPr>
                <w:color w:val="000000"/>
                <w:w w:val="24"/>
                <w:szCs w:val="20"/>
                <w:shd w:val="solid" w:color="000000" w:fill="000000"/>
                <w:fitText w:val="110" w:id="-1032105712"/>
                <w14:textFill>
                  <w14:solidFill>
                    <w14:srgbClr w14:val="000000">
                      <w14:alpha w14:val="100000"/>
                    </w14:srgbClr>
                  </w14:solidFill>
                </w14:textFill>
              </w:rPr>
              <w:t>|</w:t>
            </w:r>
            <w:r w:rsidRPr="00056F3E">
              <w:rPr>
                <w:rFonts w:hint="eastAsia"/>
                <w:color w:val="000000"/>
                <w:spacing w:val="6"/>
                <w:w w:val="24"/>
                <w:szCs w:val="20"/>
                <w:shd w:val="solid" w:color="000000" w:fill="000000"/>
                <w:fitText w:val="110" w:id="-1032105712"/>
                <w14:textFill>
                  <w14:solidFill>
                    <w14:srgbClr w14:val="000000">
                      <w14:alpha w14:val="100000"/>
                    </w14:srgbClr>
                  </w14:solidFill>
                </w14:textFill>
              </w:rPr>
              <w:t xml:space="preserve">　</w:t>
            </w:r>
            <w:r w:rsidR="00BE7EA5" w:rsidRPr="00B40193">
              <w:rPr>
                <w:szCs w:val="20"/>
                <w:vertAlign w:val="superscript"/>
              </w:rPr>
              <w:t>13</w:t>
            </w:r>
          </w:p>
        </w:tc>
        <w:tc>
          <w:tcPr>
            <w:tcW w:w="611" w:type="pct"/>
            <w:shd w:val="clear" w:color="auto" w:fill="auto"/>
            <w:vAlign w:val="center"/>
          </w:tcPr>
          <w:p w14:paraId="286A6DDF" w14:textId="03428E13" w:rsidR="001178E8" w:rsidRPr="00B40193" w:rsidRDefault="00056F3E" w:rsidP="00A51AD5">
            <w:pPr>
              <w:pStyle w:val="COMTabletext"/>
              <w:jc w:val="center"/>
              <w:rPr>
                <w:szCs w:val="20"/>
              </w:rPr>
            </w:pPr>
            <w:r>
              <w:rPr>
                <w:szCs w:val="20"/>
              </w:rPr>
              <w:t xml:space="preserve"> </w:t>
            </w:r>
            <w:r w:rsidRPr="00056F3E">
              <w:rPr>
                <w:rFonts w:hint="eastAsia"/>
                <w:color w:val="000000"/>
                <w:w w:val="24"/>
                <w:szCs w:val="20"/>
                <w:shd w:val="solid" w:color="000000" w:fill="000000"/>
                <w:fitText w:val="110" w:id="-1032105728"/>
                <w14:textFill>
                  <w14:solidFill>
                    <w14:srgbClr w14:val="000000">
                      <w14:alpha w14:val="100000"/>
                    </w14:srgbClr>
                  </w14:solidFill>
                </w14:textFill>
              </w:rPr>
              <w:t xml:space="preserve">　</w:t>
            </w:r>
            <w:r w:rsidRPr="00056F3E">
              <w:rPr>
                <w:color w:val="000000"/>
                <w:w w:val="24"/>
                <w:szCs w:val="20"/>
                <w:shd w:val="solid" w:color="000000" w:fill="000000"/>
                <w:fitText w:val="110" w:id="-1032105728"/>
                <w14:textFill>
                  <w14:solidFill>
                    <w14:srgbClr w14:val="000000">
                      <w14:alpha w14:val="100000"/>
                    </w14:srgbClr>
                  </w14:solidFill>
                </w14:textFill>
              </w:rPr>
              <w:t>|</w:t>
            </w:r>
            <w:r w:rsidRPr="00056F3E">
              <w:rPr>
                <w:rFonts w:hint="eastAsia"/>
                <w:color w:val="000000"/>
                <w:spacing w:val="6"/>
                <w:w w:val="24"/>
                <w:szCs w:val="20"/>
                <w:shd w:val="solid" w:color="000000" w:fill="000000"/>
                <w:fitText w:val="110" w:id="-1032105728"/>
                <w14:textFill>
                  <w14:solidFill>
                    <w14:srgbClr w14:val="000000">
                      <w14:alpha w14:val="100000"/>
                    </w14:srgbClr>
                  </w14:solidFill>
                </w14:textFill>
              </w:rPr>
              <w:t xml:space="preserve">　</w:t>
            </w:r>
            <w:r w:rsidR="00BE7EA5" w:rsidRPr="00B40193">
              <w:rPr>
                <w:szCs w:val="20"/>
                <w:vertAlign w:val="superscript"/>
              </w:rPr>
              <w:t>13</w:t>
            </w:r>
          </w:p>
        </w:tc>
        <w:tc>
          <w:tcPr>
            <w:tcW w:w="611" w:type="pct"/>
            <w:shd w:val="clear" w:color="auto" w:fill="auto"/>
            <w:vAlign w:val="center"/>
          </w:tcPr>
          <w:p w14:paraId="1605D5D6" w14:textId="1392E728" w:rsidR="001178E8" w:rsidRPr="00BE7EA5" w:rsidRDefault="00056F3E" w:rsidP="00A51AD5">
            <w:pPr>
              <w:pStyle w:val="COMTabletext"/>
              <w:jc w:val="center"/>
              <w:rPr>
                <w:szCs w:val="20"/>
              </w:rPr>
            </w:pPr>
            <w:r>
              <w:rPr>
                <w:szCs w:val="20"/>
              </w:rPr>
              <w:t xml:space="preserve"> </w:t>
            </w:r>
            <w:r w:rsidRPr="00056F3E">
              <w:rPr>
                <w:rFonts w:hint="eastAsia"/>
                <w:color w:val="000000"/>
                <w:w w:val="24"/>
                <w:szCs w:val="20"/>
                <w:shd w:val="solid" w:color="000000" w:fill="000000"/>
                <w:fitText w:val="110" w:id="-1032105727"/>
                <w14:textFill>
                  <w14:solidFill>
                    <w14:srgbClr w14:val="000000">
                      <w14:alpha w14:val="100000"/>
                    </w14:srgbClr>
                  </w14:solidFill>
                </w14:textFill>
              </w:rPr>
              <w:t xml:space="preserve">　</w:t>
            </w:r>
            <w:r w:rsidRPr="00056F3E">
              <w:rPr>
                <w:color w:val="000000"/>
                <w:w w:val="24"/>
                <w:szCs w:val="20"/>
                <w:shd w:val="solid" w:color="000000" w:fill="000000"/>
                <w:fitText w:val="110" w:id="-1032105727"/>
                <w14:textFill>
                  <w14:solidFill>
                    <w14:srgbClr w14:val="000000">
                      <w14:alpha w14:val="100000"/>
                    </w14:srgbClr>
                  </w14:solidFill>
                </w14:textFill>
              </w:rPr>
              <w:t>|</w:t>
            </w:r>
            <w:r w:rsidRPr="00056F3E">
              <w:rPr>
                <w:rFonts w:hint="eastAsia"/>
                <w:color w:val="000000"/>
                <w:spacing w:val="6"/>
                <w:w w:val="24"/>
                <w:szCs w:val="20"/>
                <w:shd w:val="solid" w:color="000000" w:fill="000000"/>
                <w:fitText w:val="110" w:id="-1032105727"/>
                <w14:textFill>
                  <w14:solidFill>
                    <w14:srgbClr w14:val="000000">
                      <w14:alpha w14:val="100000"/>
                    </w14:srgbClr>
                  </w14:solidFill>
                </w14:textFill>
              </w:rPr>
              <w:t xml:space="preserve">　</w:t>
            </w:r>
            <w:r w:rsidR="00B40193" w:rsidRPr="00A51AD5">
              <w:rPr>
                <w:szCs w:val="20"/>
                <w:vertAlign w:val="superscript"/>
              </w:rPr>
              <w:t>14</w:t>
            </w:r>
          </w:p>
        </w:tc>
        <w:tc>
          <w:tcPr>
            <w:tcW w:w="611" w:type="pct"/>
            <w:shd w:val="clear" w:color="auto" w:fill="auto"/>
            <w:vAlign w:val="center"/>
          </w:tcPr>
          <w:p w14:paraId="78E933B4" w14:textId="124C8F3A" w:rsidR="001178E8" w:rsidRPr="00BE7EA5" w:rsidRDefault="00056F3E" w:rsidP="00A51AD5">
            <w:pPr>
              <w:pStyle w:val="COMTabletext"/>
              <w:jc w:val="center"/>
              <w:rPr>
                <w:szCs w:val="20"/>
              </w:rPr>
            </w:pPr>
            <w:r>
              <w:rPr>
                <w:szCs w:val="20"/>
              </w:rPr>
              <w:t xml:space="preserve"> </w:t>
            </w:r>
            <w:r w:rsidRPr="00056F3E">
              <w:rPr>
                <w:rFonts w:hint="eastAsia"/>
                <w:color w:val="000000"/>
                <w:w w:val="24"/>
                <w:szCs w:val="20"/>
                <w:shd w:val="solid" w:color="000000" w:fill="000000"/>
                <w:fitText w:val="110" w:id="-1032105726"/>
                <w14:textFill>
                  <w14:solidFill>
                    <w14:srgbClr w14:val="000000">
                      <w14:alpha w14:val="100000"/>
                    </w14:srgbClr>
                  </w14:solidFill>
                </w14:textFill>
              </w:rPr>
              <w:t xml:space="preserve">　</w:t>
            </w:r>
            <w:r w:rsidRPr="00056F3E">
              <w:rPr>
                <w:color w:val="000000"/>
                <w:w w:val="24"/>
                <w:szCs w:val="20"/>
                <w:shd w:val="solid" w:color="000000" w:fill="000000"/>
                <w:fitText w:val="110" w:id="-1032105726"/>
                <w14:textFill>
                  <w14:solidFill>
                    <w14:srgbClr w14:val="000000">
                      <w14:alpha w14:val="100000"/>
                    </w14:srgbClr>
                  </w14:solidFill>
                </w14:textFill>
              </w:rPr>
              <w:t>|</w:t>
            </w:r>
            <w:r w:rsidRPr="00056F3E">
              <w:rPr>
                <w:rFonts w:hint="eastAsia"/>
                <w:color w:val="000000"/>
                <w:spacing w:val="6"/>
                <w:w w:val="24"/>
                <w:szCs w:val="20"/>
                <w:shd w:val="solid" w:color="000000" w:fill="000000"/>
                <w:fitText w:val="110" w:id="-1032105726"/>
                <w14:textFill>
                  <w14:solidFill>
                    <w14:srgbClr w14:val="000000">
                      <w14:alpha w14:val="100000"/>
                    </w14:srgbClr>
                  </w14:solidFill>
                </w14:textFill>
              </w:rPr>
              <w:t xml:space="preserve">　</w:t>
            </w:r>
            <w:r w:rsidR="00B40193">
              <w:rPr>
                <w:szCs w:val="20"/>
                <w:vertAlign w:val="superscript"/>
              </w:rPr>
              <w:t>14</w:t>
            </w:r>
          </w:p>
        </w:tc>
        <w:tc>
          <w:tcPr>
            <w:tcW w:w="611" w:type="pct"/>
            <w:vAlign w:val="center"/>
          </w:tcPr>
          <w:p w14:paraId="25716CBD" w14:textId="35F78F27" w:rsidR="001178E8" w:rsidRPr="00BE7EA5" w:rsidRDefault="00056F3E" w:rsidP="00A51AD5">
            <w:pPr>
              <w:pStyle w:val="COMTabletext"/>
              <w:jc w:val="center"/>
              <w:rPr>
                <w:szCs w:val="20"/>
              </w:rPr>
            </w:pPr>
            <w:r>
              <w:rPr>
                <w:szCs w:val="20"/>
              </w:rPr>
              <w:t xml:space="preserve"> </w:t>
            </w:r>
            <w:r w:rsidRPr="00056F3E">
              <w:rPr>
                <w:rFonts w:hint="eastAsia"/>
                <w:color w:val="000000"/>
                <w:w w:val="24"/>
                <w:szCs w:val="20"/>
                <w:shd w:val="solid" w:color="000000" w:fill="000000"/>
                <w:fitText w:val="110" w:id="-1032105725"/>
                <w14:textFill>
                  <w14:solidFill>
                    <w14:srgbClr w14:val="000000">
                      <w14:alpha w14:val="100000"/>
                    </w14:srgbClr>
                  </w14:solidFill>
                </w14:textFill>
              </w:rPr>
              <w:t xml:space="preserve">　</w:t>
            </w:r>
            <w:r w:rsidRPr="00056F3E">
              <w:rPr>
                <w:color w:val="000000"/>
                <w:w w:val="24"/>
                <w:szCs w:val="20"/>
                <w:shd w:val="solid" w:color="000000" w:fill="000000"/>
                <w:fitText w:val="110" w:id="-1032105725"/>
                <w14:textFill>
                  <w14:solidFill>
                    <w14:srgbClr w14:val="000000">
                      <w14:alpha w14:val="100000"/>
                    </w14:srgbClr>
                  </w14:solidFill>
                </w14:textFill>
              </w:rPr>
              <w:t>|</w:t>
            </w:r>
            <w:r w:rsidRPr="00056F3E">
              <w:rPr>
                <w:rFonts w:hint="eastAsia"/>
                <w:color w:val="000000"/>
                <w:spacing w:val="6"/>
                <w:w w:val="24"/>
                <w:szCs w:val="20"/>
                <w:shd w:val="solid" w:color="000000" w:fill="000000"/>
                <w:fitText w:val="110" w:id="-1032105725"/>
                <w14:textFill>
                  <w14:solidFill>
                    <w14:srgbClr w14:val="000000">
                      <w14:alpha w14:val="100000"/>
                    </w14:srgbClr>
                  </w14:solidFill>
                </w14:textFill>
              </w:rPr>
              <w:t xml:space="preserve">　</w:t>
            </w:r>
            <w:r w:rsidR="00B40193">
              <w:rPr>
                <w:szCs w:val="20"/>
                <w:vertAlign w:val="superscript"/>
              </w:rPr>
              <w:t>15</w:t>
            </w:r>
          </w:p>
        </w:tc>
      </w:tr>
      <w:tr w:rsidR="001178E8" w:rsidRPr="00933708" w14:paraId="4DB14C9E" w14:textId="77777777" w:rsidTr="002A1C31">
        <w:tc>
          <w:tcPr>
            <w:tcW w:w="5000" w:type="pct"/>
            <w:gridSpan w:val="7"/>
            <w:shd w:val="clear" w:color="auto" w:fill="auto"/>
            <w:vAlign w:val="center"/>
          </w:tcPr>
          <w:p w14:paraId="4A6CDEEF" w14:textId="77777777" w:rsidR="001178E8" w:rsidRPr="00933708" w:rsidRDefault="001178E8" w:rsidP="002A1C31">
            <w:pPr>
              <w:pStyle w:val="COMTableheadingrow"/>
              <w:rPr>
                <w:bCs/>
                <w:color w:val="000000"/>
                <w:szCs w:val="20"/>
                <w:lang w:val="en-AU"/>
              </w:rPr>
            </w:pPr>
            <w:r w:rsidRPr="00933708">
              <w:rPr>
                <w:bCs/>
                <w:color w:val="000000"/>
                <w:szCs w:val="20"/>
                <w:lang w:val="en-AU"/>
              </w:rPr>
              <w:t>Total</w:t>
            </w:r>
          </w:p>
        </w:tc>
      </w:tr>
      <w:tr w:rsidR="001178E8" w:rsidRPr="00933708" w14:paraId="716124FE" w14:textId="77777777" w:rsidTr="00A51AD5">
        <w:tc>
          <w:tcPr>
            <w:tcW w:w="1334" w:type="pct"/>
            <w:shd w:val="clear" w:color="auto" w:fill="auto"/>
            <w:vAlign w:val="center"/>
          </w:tcPr>
          <w:p w14:paraId="25D5226A" w14:textId="77777777" w:rsidR="001178E8" w:rsidRPr="00933708" w:rsidRDefault="001178E8" w:rsidP="002A1C31">
            <w:pPr>
              <w:pStyle w:val="COMTabletext"/>
              <w:rPr>
                <w:szCs w:val="20"/>
              </w:rPr>
            </w:pPr>
            <w:r w:rsidRPr="00933708">
              <w:rPr>
                <w:szCs w:val="20"/>
              </w:rPr>
              <w:t>Number of patients treated</w:t>
            </w:r>
          </w:p>
        </w:tc>
        <w:tc>
          <w:tcPr>
            <w:tcW w:w="611" w:type="pct"/>
            <w:shd w:val="clear" w:color="auto" w:fill="auto"/>
            <w:vAlign w:val="center"/>
          </w:tcPr>
          <w:p w14:paraId="7C960E40" w14:textId="4B8C7587" w:rsidR="001178E8" w:rsidRPr="00A51AD5" w:rsidRDefault="00056F3E" w:rsidP="00A51AD5">
            <w:pPr>
              <w:pStyle w:val="COMTabletext"/>
              <w:jc w:val="center"/>
              <w:rPr>
                <w:color w:val="000000"/>
                <w:szCs w:val="20"/>
                <w:highlight w:val="darkGray"/>
              </w:rPr>
            </w:pPr>
            <w:r>
              <w:rPr>
                <w:szCs w:val="20"/>
              </w:rPr>
              <w:t xml:space="preserve"> </w:t>
            </w:r>
            <w:r w:rsidRPr="00056F3E">
              <w:rPr>
                <w:rFonts w:hint="eastAsia"/>
                <w:color w:val="000000"/>
                <w:w w:val="15"/>
                <w:szCs w:val="20"/>
                <w:shd w:val="solid" w:color="000000" w:fill="000000"/>
                <w:fitText w:val="70" w:id="-1032105724"/>
                <w14:textFill>
                  <w14:solidFill>
                    <w14:srgbClr w14:val="000000">
                      <w14:alpha w14:val="100000"/>
                    </w14:srgbClr>
                  </w14:solidFill>
                </w14:textFill>
              </w:rPr>
              <w:t xml:space="preserve">　</w:t>
            </w:r>
            <w:r w:rsidRPr="00056F3E">
              <w:rPr>
                <w:color w:val="000000"/>
                <w:w w:val="15"/>
                <w:szCs w:val="20"/>
                <w:shd w:val="solid" w:color="000000" w:fill="000000"/>
                <w:fitText w:val="70" w:id="-1032105724"/>
                <w14:textFill>
                  <w14:solidFill>
                    <w14:srgbClr w14:val="000000">
                      <w14:alpha w14:val="100000"/>
                    </w14:srgbClr>
                  </w14:solidFill>
                </w14:textFill>
              </w:rPr>
              <w:t>|</w:t>
            </w:r>
            <w:r w:rsidRPr="00056F3E">
              <w:rPr>
                <w:rFonts w:hint="eastAsia"/>
                <w:color w:val="000000"/>
                <w:spacing w:val="4"/>
                <w:w w:val="15"/>
                <w:szCs w:val="20"/>
                <w:shd w:val="solid" w:color="000000" w:fill="000000"/>
                <w:fitText w:val="70" w:id="-1032105724"/>
                <w14:textFill>
                  <w14:solidFill>
                    <w14:srgbClr w14:val="000000">
                      <w14:alpha w14:val="100000"/>
                    </w14:srgbClr>
                  </w14:solidFill>
                </w14:textFill>
              </w:rPr>
              <w:t xml:space="preserve">　</w:t>
            </w:r>
            <w:r w:rsidR="00B40193" w:rsidRPr="00A51AD5">
              <w:rPr>
                <w:szCs w:val="20"/>
                <w:vertAlign w:val="superscript"/>
              </w:rPr>
              <w:t>4</w:t>
            </w:r>
          </w:p>
        </w:tc>
        <w:tc>
          <w:tcPr>
            <w:tcW w:w="611" w:type="pct"/>
            <w:shd w:val="clear" w:color="auto" w:fill="auto"/>
            <w:vAlign w:val="center"/>
          </w:tcPr>
          <w:p w14:paraId="23ADB3F9" w14:textId="40FCF8CC" w:rsidR="001178E8" w:rsidRPr="00A51AD5" w:rsidRDefault="00056F3E" w:rsidP="00A51AD5">
            <w:pPr>
              <w:pStyle w:val="COMTabletext"/>
              <w:jc w:val="center"/>
              <w:rPr>
                <w:color w:val="000000"/>
                <w:szCs w:val="20"/>
                <w:highlight w:val="darkGray"/>
              </w:rPr>
            </w:pPr>
            <w:r>
              <w:rPr>
                <w:szCs w:val="20"/>
              </w:rPr>
              <w:t xml:space="preserve"> </w:t>
            </w:r>
            <w:r w:rsidRPr="00056F3E">
              <w:rPr>
                <w:rFonts w:hint="eastAsia"/>
                <w:color w:val="000000"/>
                <w:w w:val="24"/>
                <w:szCs w:val="20"/>
                <w:shd w:val="solid" w:color="000000" w:fill="000000"/>
                <w:fitText w:val="110" w:id="-1032105723"/>
                <w14:textFill>
                  <w14:solidFill>
                    <w14:srgbClr w14:val="000000">
                      <w14:alpha w14:val="100000"/>
                    </w14:srgbClr>
                  </w14:solidFill>
                </w14:textFill>
              </w:rPr>
              <w:t xml:space="preserve">　</w:t>
            </w:r>
            <w:r w:rsidRPr="00056F3E">
              <w:rPr>
                <w:color w:val="000000"/>
                <w:w w:val="24"/>
                <w:szCs w:val="20"/>
                <w:shd w:val="solid" w:color="000000" w:fill="000000"/>
                <w:fitText w:val="110" w:id="-1032105723"/>
                <w14:textFill>
                  <w14:solidFill>
                    <w14:srgbClr w14:val="000000">
                      <w14:alpha w14:val="100000"/>
                    </w14:srgbClr>
                  </w14:solidFill>
                </w14:textFill>
              </w:rPr>
              <w:t>|</w:t>
            </w:r>
            <w:r w:rsidRPr="00056F3E">
              <w:rPr>
                <w:rFonts w:hint="eastAsia"/>
                <w:color w:val="000000"/>
                <w:spacing w:val="6"/>
                <w:w w:val="24"/>
                <w:szCs w:val="20"/>
                <w:shd w:val="solid" w:color="000000" w:fill="000000"/>
                <w:fitText w:val="110" w:id="-1032105723"/>
                <w14:textFill>
                  <w14:solidFill>
                    <w14:srgbClr w14:val="000000">
                      <w14:alpha w14:val="100000"/>
                    </w14:srgbClr>
                  </w14:solidFill>
                </w14:textFill>
              </w:rPr>
              <w:t xml:space="preserve">　</w:t>
            </w:r>
            <w:r w:rsidR="00F12B26">
              <w:rPr>
                <w:szCs w:val="20"/>
                <w:vertAlign w:val="superscript"/>
              </w:rPr>
              <w:t>17</w:t>
            </w:r>
          </w:p>
        </w:tc>
        <w:tc>
          <w:tcPr>
            <w:tcW w:w="611" w:type="pct"/>
            <w:shd w:val="clear" w:color="auto" w:fill="auto"/>
            <w:vAlign w:val="center"/>
          </w:tcPr>
          <w:p w14:paraId="59DE21B6" w14:textId="3C1B4DF6" w:rsidR="001178E8" w:rsidRPr="00A51AD5" w:rsidRDefault="00056F3E" w:rsidP="00A51AD5">
            <w:pPr>
              <w:pStyle w:val="COMTabletext"/>
              <w:jc w:val="center"/>
              <w:rPr>
                <w:color w:val="000000"/>
                <w:szCs w:val="20"/>
                <w:highlight w:val="darkGray"/>
              </w:rPr>
            </w:pPr>
            <w:r>
              <w:rPr>
                <w:szCs w:val="20"/>
              </w:rPr>
              <w:t xml:space="preserve"> </w:t>
            </w:r>
            <w:r w:rsidRPr="00056F3E">
              <w:rPr>
                <w:rFonts w:hint="eastAsia"/>
                <w:color w:val="000000"/>
                <w:w w:val="24"/>
                <w:szCs w:val="20"/>
                <w:shd w:val="solid" w:color="000000" w:fill="000000"/>
                <w:fitText w:val="110" w:id="-1032105722"/>
                <w14:textFill>
                  <w14:solidFill>
                    <w14:srgbClr w14:val="000000">
                      <w14:alpha w14:val="100000"/>
                    </w14:srgbClr>
                  </w14:solidFill>
                </w14:textFill>
              </w:rPr>
              <w:t xml:space="preserve">　</w:t>
            </w:r>
            <w:r w:rsidRPr="00056F3E">
              <w:rPr>
                <w:color w:val="000000"/>
                <w:w w:val="24"/>
                <w:szCs w:val="20"/>
                <w:shd w:val="solid" w:color="000000" w:fill="000000"/>
                <w:fitText w:val="110" w:id="-1032105722"/>
                <w14:textFill>
                  <w14:solidFill>
                    <w14:srgbClr w14:val="000000">
                      <w14:alpha w14:val="100000"/>
                    </w14:srgbClr>
                  </w14:solidFill>
                </w14:textFill>
              </w:rPr>
              <w:t>|</w:t>
            </w:r>
            <w:r w:rsidRPr="00056F3E">
              <w:rPr>
                <w:rFonts w:hint="eastAsia"/>
                <w:color w:val="000000"/>
                <w:spacing w:val="6"/>
                <w:w w:val="24"/>
                <w:szCs w:val="20"/>
                <w:shd w:val="solid" w:color="000000" w:fill="000000"/>
                <w:fitText w:val="110" w:id="-1032105722"/>
                <w14:textFill>
                  <w14:solidFill>
                    <w14:srgbClr w14:val="000000">
                      <w14:alpha w14:val="100000"/>
                    </w14:srgbClr>
                  </w14:solidFill>
                </w14:textFill>
              </w:rPr>
              <w:t xml:space="preserve">　</w:t>
            </w:r>
            <w:r w:rsidR="00B40193" w:rsidRPr="00A51AD5">
              <w:rPr>
                <w:szCs w:val="20"/>
                <w:vertAlign w:val="superscript"/>
              </w:rPr>
              <w:t>19</w:t>
            </w:r>
          </w:p>
        </w:tc>
        <w:tc>
          <w:tcPr>
            <w:tcW w:w="611" w:type="pct"/>
            <w:shd w:val="clear" w:color="auto" w:fill="auto"/>
            <w:vAlign w:val="center"/>
          </w:tcPr>
          <w:p w14:paraId="39C01D2F" w14:textId="5EFA32BB" w:rsidR="001178E8" w:rsidRPr="00A51AD5" w:rsidRDefault="00056F3E" w:rsidP="00A51AD5">
            <w:pPr>
              <w:pStyle w:val="COMTabletext"/>
              <w:jc w:val="center"/>
              <w:rPr>
                <w:color w:val="000000"/>
                <w:szCs w:val="20"/>
                <w:highlight w:val="darkGray"/>
              </w:rPr>
            </w:pPr>
            <w:r>
              <w:rPr>
                <w:szCs w:val="20"/>
              </w:rPr>
              <w:t xml:space="preserve"> </w:t>
            </w:r>
            <w:r w:rsidRPr="00056F3E">
              <w:rPr>
                <w:rFonts w:hint="eastAsia"/>
                <w:color w:val="000000"/>
                <w:w w:val="24"/>
                <w:szCs w:val="20"/>
                <w:shd w:val="solid" w:color="000000" w:fill="000000"/>
                <w:fitText w:val="110" w:id="-1032105721"/>
                <w14:textFill>
                  <w14:solidFill>
                    <w14:srgbClr w14:val="000000">
                      <w14:alpha w14:val="100000"/>
                    </w14:srgbClr>
                  </w14:solidFill>
                </w14:textFill>
              </w:rPr>
              <w:t xml:space="preserve">　</w:t>
            </w:r>
            <w:r w:rsidRPr="00056F3E">
              <w:rPr>
                <w:color w:val="000000"/>
                <w:w w:val="24"/>
                <w:szCs w:val="20"/>
                <w:shd w:val="solid" w:color="000000" w:fill="000000"/>
                <w:fitText w:val="110" w:id="-1032105721"/>
                <w14:textFill>
                  <w14:solidFill>
                    <w14:srgbClr w14:val="000000">
                      <w14:alpha w14:val="100000"/>
                    </w14:srgbClr>
                  </w14:solidFill>
                </w14:textFill>
              </w:rPr>
              <w:t>|</w:t>
            </w:r>
            <w:r w:rsidRPr="00056F3E">
              <w:rPr>
                <w:rFonts w:hint="eastAsia"/>
                <w:color w:val="000000"/>
                <w:spacing w:val="6"/>
                <w:w w:val="24"/>
                <w:szCs w:val="20"/>
                <w:shd w:val="solid" w:color="000000" w:fill="000000"/>
                <w:fitText w:val="110" w:id="-1032105721"/>
                <w14:textFill>
                  <w14:solidFill>
                    <w14:srgbClr w14:val="000000">
                      <w14:alpha w14:val="100000"/>
                    </w14:srgbClr>
                  </w14:solidFill>
                </w14:textFill>
              </w:rPr>
              <w:t xml:space="preserve">　</w:t>
            </w:r>
            <w:r w:rsidR="00B40193" w:rsidRPr="00A51AD5">
              <w:rPr>
                <w:szCs w:val="20"/>
                <w:vertAlign w:val="superscript"/>
              </w:rPr>
              <w:t>19</w:t>
            </w:r>
          </w:p>
        </w:tc>
        <w:tc>
          <w:tcPr>
            <w:tcW w:w="611" w:type="pct"/>
            <w:shd w:val="clear" w:color="auto" w:fill="auto"/>
            <w:vAlign w:val="center"/>
          </w:tcPr>
          <w:p w14:paraId="1A2C544A" w14:textId="1FC35233" w:rsidR="001178E8" w:rsidRPr="00A51AD5" w:rsidRDefault="00056F3E" w:rsidP="00A51AD5">
            <w:pPr>
              <w:pStyle w:val="COMTabletext"/>
              <w:jc w:val="center"/>
              <w:rPr>
                <w:color w:val="000000"/>
                <w:szCs w:val="20"/>
                <w:highlight w:val="darkGray"/>
              </w:rPr>
            </w:pPr>
            <w:r>
              <w:rPr>
                <w:szCs w:val="20"/>
              </w:rPr>
              <w:t xml:space="preserve"> </w:t>
            </w:r>
            <w:r w:rsidRPr="00056F3E">
              <w:rPr>
                <w:rFonts w:hint="eastAsia"/>
                <w:color w:val="000000"/>
                <w:w w:val="24"/>
                <w:szCs w:val="20"/>
                <w:shd w:val="solid" w:color="000000" w:fill="000000"/>
                <w:fitText w:val="110" w:id="-1032105720"/>
                <w14:textFill>
                  <w14:solidFill>
                    <w14:srgbClr w14:val="000000">
                      <w14:alpha w14:val="100000"/>
                    </w14:srgbClr>
                  </w14:solidFill>
                </w14:textFill>
              </w:rPr>
              <w:t xml:space="preserve">　</w:t>
            </w:r>
            <w:r w:rsidRPr="00056F3E">
              <w:rPr>
                <w:color w:val="000000"/>
                <w:w w:val="24"/>
                <w:szCs w:val="20"/>
                <w:shd w:val="solid" w:color="000000" w:fill="000000"/>
                <w:fitText w:val="110" w:id="-1032105720"/>
                <w14:textFill>
                  <w14:solidFill>
                    <w14:srgbClr w14:val="000000">
                      <w14:alpha w14:val="100000"/>
                    </w14:srgbClr>
                  </w14:solidFill>
                </w14:textFill>
              </w:rPr>
              <w:t>|</w:t>
            </w:r>
            <w:r w:rsidRPr="00056F3E">
              <w:rPr>
                <w:rFonts w:hint="eastAsia"/>
                <w:color w:val="000000"/>
                <w:spacing w:val="6"/>
                <w:w w:val="24"/>
                <w:szCs w:val="20"/>
                <w:shd w:val="solid" w:color="000000" w:fill="000000"/>
                <w:fitText w:val="110" w:id="-1032105720"/>
                <w14:textFill>
                  <w14:solidFill>
                    <w14:srgbClr w14:val="000000">
                      <w14:alpha w14:val="100000"/>
                    </w14:srgbClr>
                  </w14:solidFill>
                </w14:textFill>
              </w:rPr>
              <w:t xml:space="preserve">　</w:t>
            </w:r>
            <w:r w:rsidR="00B40193" w:rsidRPr="00A51AD5">
              <w:rPr>
                <w:szCs w:val="20"/>
                <w:vertAlign w:val="superscript"/>
              </w:rPr>
              <w:t>19</w:t>
            </w:r>
          </w:p>
        </w:tc>
        <w:tc>
          <w:tcPr>
            <w:tcW w:w="611" w:type="pct"/>
            <w:vAlign w:val="center"/>
          </w:tcPr>
          <w:p w14:paraId="31AA67E9" w14:textId="36165A2F" w:rsidR="001178E8" w:rsidRPr="00A51AD5" w:rsidRDefault="00056F3E" w:rsidP="00A51AD5">
            <w:pPr>
              <w:pStyle w:val="COMTabletext"/>
              <w:jc w:val="center"/>
              <w:rPr>
                <w:color w:val="000000"/>
                <w:szCs w:val="20"/>
                <w:highlight w:val="darkGray"/>
              </w:rPr>
            </w:pPr>
            <w:r>
              <w:rPr>
                <w:szCs w:val="20"/>
              </w:rPr>
              <w:t xml:space="preserve"> </w:t>
            </w:r>
            <w:r w:rsidRPr="00056F3E">
              <w:rPr>
                <w:rFonts w:hint="eastAsia"/>
                <w:color w:val="000000"/>
                <w:w w:val="24"/>
                <w:szCs w:val="20"/>
                <w:shd w:val="solid" w:color="000000" w:fill="000000"/>
                <w:fitText w:val="110" w:id="-1032105719"/>
                <w14:textFill>
                  <w14:solidFill>
                    <w14:srgbClr w14:val="000000">
                      <w14:alpha w14:val="100000"/>
                    </w14:srgbClr>
                  </w14:solidFill>
                </w14:textFill>
              </w:rPr>
              <w:t xml:space="preserve">　</w:t>
            </w:r>
            <w:r w:rsidRPr="00056F3E">
              <w:rPr>
                <w:color w:val="000000"/>
                <w:w w:val="24"/>
                <w:szCs w:val="20"/>
                <w:shd w:val="solid" w:color="000000" w:fill="000000"/>
                <w:fitText w:val="110" w:id="-1032105719"/>
                <w14:textFill>
                  <w14:solidFill>
                    <w14:srgbClr w14:val="000000">
                      <w14:alpha w14:val="100000"/>
                    </w14:srgbClr>
                  </w14:solidFill>
                </w14:textFill>
              </w:rPr>
              <w:t>|</w:t>
            </w:r>
            <w:r w:rsidRPr="00056F3E">
              <w:rPr>
                <w:rFonts w:hint="eastAsia"/>
                <w:color w:val="000000"/>
                <w:spacing w:val="6"/>
                <w:w w:val="24"/>
                <w:szCs w:val="20"/>
                <w:shd w:val="solid" w:color="000000" w:fill="000000"/>
                <w:fitText w:val="110" w:id="-1032105719"/>
                <w14:textFill>
                  <w14:solidFill>
                    <w14:srgbClr w14:val="000000">
                      <w14:alpha w14:val="100000"/>
                    </w14:srgbClr>
                  </w14:solidFill>
                </w14:textFill>
              </w:rPr>
              <w:t xml:space="preserve">　</w:t>
            </w:r>
            <w:r w:rsidR="00B40193" w:rsidRPr="00A51AD5">
              <w:rPr>
                <w:szCs w:val="20"/>
                <w:vertAlign w:val="superscript"/>
              </w:rPr>
              <w:t>19</w:t>
            </w:r>
          </w:p>
        </w:tc>
      </w:tr>
      <w:tr w:rsidR="001178E8" w:rsidRPr="00933708" w14:paraId="65B2162B" w14:textId="77777777" w:rsidTr="00A51AD5">
        <w:tc>
          <w:tcPr>
            <w:tcW w:w="1334" w:type="pct"/>
            <w:shd w:val="clear" w:color="auto" w:fill="auto"/>
            <w:vAlign w:val="center"/>
          </w:tcPr>
          <w:p w14:paraId="36D50BD3" w14:textId="77777777" w:rsidR="001178E8" w:rsidRPr="00933708" w:rsidRDefault="001178E8" w:rsidP="002A1C31">
            <w:pPr>
              <w:pStyle w:val="COMTabletext"/>
              <w:rPr>
                <w:szCs w:val="20"/>
              </w:rPr>
            </w:pPr>
            <w:r w:rsidRPr="00933708">
              <w:rPr>
                <w:szCs w:val="20"/>
              </w:rPr>
              <w:t>Number of scripts dispensed</w:t>
            </w:r>
            <w:r w:rsidRPr="00933708">
              <w:rPr>
                <w:szCs w:val="20"/>
                <w:vertAlign w:val="superscript"/>
              </w:rPr>
              <w:t>b</w:t>
            </w:r>
          </w:p>
        </w:tc>
        <w:tc>
          <w:tcPr>
            <w:tcW w:w="611" w:type="pct"/>
            <w:shd w:val="clear" w:color="auto" w:fill="auto"/>
            <w:vAlign w:val="center"/>
          </w:tcPr>
          <w:p w14:paraId="263378B1" w14:textId="4D93049A" w:rsidR="001178E8" w:rsidRPr="00A51AD5" w:rsidRDefault="00056F3E" w:rsidP="00A51AD5">
            <w:pPr>
              <w:pStyle w:val="COMTabletext"/>
              <w:jc w:val="center"/>
              <w:rPr>
                <w:color w:val="000000"/>
                <w:szCs w:val="20"/>
                <w:highlight w:val="darkGray"/>
              </w:rPr>
            </w:pPr>
            <w:r>
              <w:rPr>
                <w:szCs w:val="20"/>
              </w:rPr>
              <w:t xml:space="preserve"> </w:t>
            </w:r>
            <w:r w:rsidRPr="00056F3E">
              <w:rPr>
                <w:rFonts w:hint="eastAsia"/>
                <w:color w:val="000000"/>
                <w:w w:val="24"/>
                <w:szCs w:val="20"/>
                <w:shd w:val="solid" w:color="000000" w:fill="000000"/>
                <w:fitText w:val="110" w:id="-1032105718"/>
                <w14:textFill>
                  <w14:solidFill>
                    <w14:srgbClr w14:val="000000">
                      <w14:alpha w14:val="100000"/>
                    </w14:srgbClr>
                  </w14:solidFill>
                </w14:textFill>
              </w:rPr>
              <w:t xml:space="preserve">　</w:t>
            </w:r>
            <w:r w:rsidRPr="00056F3E">
              <w:rPr>
                <w:color w:val="000000"/>
                <w:w w:val="24"/>
                <w:szCs w:val="20"/>
                <w:shd w:val="solid" w:color="000000" w:fill="000000"/>
                <w:fitText w:val="110" w:id="-1032105718"/>
                <w14:textFill>
                  <w14:solidFill>
                    <w14:srgbClr w14:val="000000">
                      <w14:alpha w14:val="100000"/>
                    </w14:srgbClr>
                  </w14:solidFill>
                </w14:textFill>
              </w:rPr>
              <w:t>|</w:t>
            </w:r>
            <w:r w:rsidRPr="00056F3E">
              <w:rPr>
                <w:rFonts w:hint="eastAsia"/>
                <w:color w:val="000000"/>
                <w:spacing w:val="6"/>
                <w:w w:val="24"/>
                <w:szCs w:val="20"/>
                <w:shd w:val="solid" w:color="000000" w:fill="000000"/>
                <w:fitText w:val="110" w:id="-1032105718"/>
                <w14:textFill>
                  <w14:solidFill>
                    <w14:srgbClr w14:val="000000">
                      <w14:alpha w14:val="100000"/>
                    </w14:srgbClr>
                  </w14:solidFill>
                </w14:textFill>
              </w:rPr>
              <w:t xml:space="preserve">　</w:t>
            </w:r>
            <w:r w:rsidR="004A7F35">
              <w:rPr>
                <w:szCs w:val="20"/>
                <w:vertAlign w:val="superscript"/>
              </w:rPr>
              <w:t>10</w:t>
            </w:r>
          </w:p>
        </w:tc>
        <w:tc>
          <w:tcPr>
            <w:tcW w:w="611" w:type="pct"/>
            <w:shd w:val="clear" w:color="auto" w:fill="auto"/>
            <w:vAlign w:val="center"/>
          </w:tcPr>
          <w:p w14:paraId="1FA9EC61" w14:textId="1B369285" w:rsidR="001178E8" w:rsidRPr="00A51AD5" w:rsidRDefault="00056F3E" w:rsidP="00A51AD5">
            <w:pPr>
              <w:pStyle w:val="COMTabletext"/>
              <w:jc w:val="center"/>
              <w:rPr>
                <w:color w:val="000000"/>
                <w:szCs w:val="20"/>
                <w:highlight w:val="darkGray"/>
              </w:rPr>
            </w:pPr>
            <w:r>
              <w:rPr>
                <w:szCs w:val="20"/>
              </w:rPr>
              <w:t xml:space="preserve"> </w:t>
            </w:r>
            <w:r w:rsidRPr="00056F3E">
              <w:rPr>
                <w:rFonts w:hint="eastAsia"/>
                <w:color w:val="000000"/>
                <w:w w:val="24"/>
                <w:szCs w:val="20"/>
                <w:shd w:val="solid" w:color="000000" w:fill="000000"/>
                <w:fitText w:val="110" w:id="-1032105717"/>
                <w14:textFill>
                  <w14:solidFill>
                    <w14:srgbClr w14:val="000000">
                      <w14:alpha w14:val="100000"/>
                    </w14:srgbClr>
                  </w14:solidFill>
                </w14:textFill>
              </w:rPr>
              <w:t xml:space="preserve">　</w:t>
            </w:r>
            <w:r w:rsidRPr="00056F3E">
              <w:rPr>
                <w:color w:val="000000"/>
                <w:w w:val="24"/>
                <w:szCs w:val="20"/>
                <w:shd w:val="solid" w:color="000000" w:fill="000000"/>
                <w:fitText w:val="110" w:id="-1032105717"/>
                <w14:textFill>
                  <w14:solidFill>
                    <w14:srgbClr w14:val="000000">
                      <w14:alpha w14:val="100000"/>
                    </w14:srgbClr>
                  </w14:solidFill>
                </w14:textFill>
              </w:rPr>
              <w:t>|</w:t>
            </w:r>
            <w:r w:rsidRPr="00056F3E">
              <w:rPr>
                <w:rFonts w:hint="eastAsia"/>
                <w:color w:val="000000"/>
                <w:spacing w:val="6"/>
                <w:w w:val="24"/>
                <w:szCs w:val="20"/>
                <w:shd w:val="solid" w:color="000000" w:fill="000000"/>
                <w:fitText w:val="110" w:id="-1032105717"/>
                <w14:textFill>
                  <w14:solidFill>
                    <w14:srgbClr w14:val="000000">
                      <w14:alpha w14:val="100000"/>
                    </w14:srgbClr>
                  </w14:solidFill>
                </w14:textFill>
              </w:rPr>
              <w:t xml:space="preserve">　</w:t>
            </w:r>
            <w:r w:rsidR="00B20F0B">
              <w:rPr>
                <w:szCs w:val="20"/>
                <w:vertAlign w:val="superscript"/>
              </w:rPr>
              <w:t>18</w:t>
            </w:r>
          </w:p>
        </w:tc>
        <w:tc>
          <w:tcPr>
            <w:tcW w:w="611" w:type="pct"/>
            <w:shd w:val="clear" w:color="auto" w:fill="auto"/>
            <w:vAlign w:val="center"/>
          </w:tcPr>
          <w:p w14:paraId="54DE030E" w14:textId="2FC22ECE" w:rsidR="001178E8" w:rsidRPr="00A51AD5" w:rsidRDefault="00056F3E" w:rsidP="00A51AD5">
            <w:pPr>
              <w:pStyle w:val="COMTabletext"/>
              <w:jc w:val="center"/>
              <w:rPr>
                <w:color w:val="000000"/>
                <w:szCs w:val="20"/>
                <w:highlight w:val="darkGray"/>
              </w:rPr>
            </w:pPr>
            <w:r>
              <w:rPr>
                <w:szCs w:val="20"/>
              </w:rPr>
              <w:t xml:space="preserve"> </w:t>
            </w:r>
            <w:r w:rsidRPr="00056F3E">
              <w:rPr>
                <w:rFonts w:hint="eastAsia"/>
                <w:color w:val="000000"/>
                <w:w w:val="24"/>
                <w:szCs w:val="20"/>
                <w:shd w:val="solid" w:color="000000" w:fill="000000"/>
                <w:fitText w:val="110" w:id="-1032105716"/>
                <w14:textFill>
                  <w14:solidFill>
                    <w14:srgbClr w14:val="000000">
                      <w14:alpha w14:val="100000"/>
                    </w14:srgbClr>
                  </w14:solidFill>
                </w14:textFill>
              </w:rPr>
              <w:t xml:space="preserve">　</w:t>
            </w:r>
            <w:r w:rsidRPr="00056F3E">
              <w:rPr>
                <w:color w:val="000000"/>
                <w:w w:val="24"/>
                <w:szCs w:val="20"/>
                <w:shd w:val="solid" w:color="000000" w:fill="000000"/>
                <w:fitText w:val="110" w:id="-1032105716"/>
                <w14:textFill>
                  <w14:solidFill>
                    <w14:srgbClr w14:val="000000">
                      <w14:alpha w14:val="100000"/>
                    </w14:srgbClr>
                  </w14:solidFill>
                </w14:textFill>
              </w:rPr>
              <w:t>|</w:t>
            </w:r>
            <w:r w:rsidRPr="00056F3E">
              <w:rPr>
                <w:rFonts w:hint="eastAsia"/>
                <w:color w:val="000000"/>
                <w:spacing w:val="6"/>
                <w:w w:val="24"/>
                <w:szCs w:val="20"/>
                <w:shd w:val="solid" w:color="000000" w:fill="000000"/>
                <w:fitText w:val="110" w:id="-1032105716"/>
                <w14:textFill>
                  <w14:solidFill>
                    <w14:srgbClr w14:val="000000">
                      <w14:alpha w14:val="100000"/>
                    </w14:srgbClr>
                  </w14:solidFill>
                </w14:textFill>
              </w:rPr>
              <w:t xml:space="preserve">　</w:t>
            </w:r>
            <w:r w:rsidR="00B40193">
              <w:rPr>
                <w:szCs w:val="20"/>
                <w:vertAlign w:val="superscript"/>
              </w:rPr>
              <w:t>20</w:t>
            </w:r>
          </w:p>
        </w:tc>
        <w:tc>
          <w:tcPr>
            <w:tcW w:w="611" w:type="pct"/>
            <w:shd w:val="clear" w:color="auto" w:fill="auto"/>
            <w:vAlign w:val="center"/>
          </w:tcPr>
          <w:p w14:paraId="6428044E" w14:textId="070C9AC1" w:rsidR="001178E8" w:rsidRPr="00A51AD5" w:rsidRDefault="00056F3E" w:rsidP="00A51AD5">
            <w:pPr>
              <w:pStyle w:val="COMTabletext"/>
              <w:jc w:val="center"/>
              <w:rPr>
                <w:color w:val="000000"/>
                <w:szCs w:val="20"/>
                <w:highlight w:val="darkGray"/>
              </w:rPr>
            </w:pPr>
            <w:r>
              <w:rPr>
                <w:szCs w:val="20"/>
              </w:rPr>
              <w:t xml:space="preserve"> </w:t>
            </w:r>
            <w:r w:rsidRPr="00056F3E">
              <w:rPr>
                <w:rFonts w:hint="eastAsia"/>
                <w:color w:val="000000"/>
                <w:w w:val="24"/>
                <w:szCs w:val="20"/>
                <w:shd w:val="solid" w:color="000000" w:fill="000000"/>
                <w:fitText w:val="110" w:id="-1032105715"/>
                <w14:textFill>
                  <w14:solidFill>
                    <w14:srgbClr w14:val="000000">
                      <w14:alpha w14:val="100000"/>
                    </w14:srgbClr>
                  </w14:solidFill>
                </w14:textFill>
              </w:rPr>
              <w:t xml:space="preserve">　</w:t>
            </w:r>
            <w:r w:rsidRPr="00056F3E">
              <w:rPr>
                <w:color w:val="000000"/>
                <w:w w:val="24"/>
                <w:szCs w:val="20"/>
                <w:shd w:val="solid" w:color="000000" w:fill="000000"/>
                <w:fitText w:val="110" w:id="-1032105715"/>
                <w14:textFill>
                  <w14:solidFill>
                    <w14:srgbClr w14:val="000000">
                      <w14:alpha w14:val="100000"/>
                    </w14:srgbClr>
                  </w14:solidFill>
                </w14:textFill>
              </w:rPr>
              <w:t>|</w:t>
            </w:r>
            <w:r w:rsidRPr="00056F3E">
              <w:rPr>
                <w:rFonts w:hint="eastAsia"/>
                <w:color w:val="000000"/>
                <w:spacing w:val="6"/>
                <w:w w:val="24"/>
                <w:szCs w:val="20"/>
                <w:shd w:val="solid" w:color="000000" w:fill="000000"/>
                <w:fitText w:val="110" w:id="-1032105715"/>
                <w14:textFill>
                  <w14:solidFill>
                    <w14:srgbClr w14:val="000000">
                      <w14:alpha w14:val="100000"/>
                    </w14:srgbClr>
                  </w14:solidFill>
                </w14:textFill>
              </w:rPr>
              <w:t xml:space="preserve">　</w:t>
            </w:r>
            <w:r w:rsidR="00B40193">
              <w:rPr>
                <w:szCs w:val="20"/>
                <w:vertAlign w:val="superscript"/>
              </w:rPr>
              <w:t>20</w:t>
            </w:r>
          </w:p>
        </w:tc>
        <w:tc>
          <w:tcPr>
            <w:tcW w:w="611" w:type="pct"/>
            <w:shd w:val="clear" w:color="auto" w:fill="auto"/>
            <w:vAlign w:val="center"/>
          </w:tcPr>
          <w:p w14:paraId="6E3A0477" w14:textId="21A2DA41" w:rsidR="001178E8" w:rsidRPr="00A51AD5" w:rsidRDefault="00056F3E" w:rsidP="00A51AD5">
            <w:pPr>
              <w:pStyle w:val="COMTabletext"/>
              <w:jc w:val="center"/>
              <w:rPr>
                <w:color w:val="000000"/>
                <w:szCs w:val="20"/>
                <w:highlight w:val="darkGray"/>
              </w:rPr>
            </w:pPr>
            <w:r>
              <w:rPr>
                <w:szCs w:val="20"/>
              </w:rPr>
              <w:t xml:space="preserve"> </w:t>
            </w:r>
            <w:r w:rsidRPr="00056F3E">
              <w:rPr>
                <w:rFonts w:hint="eastAsia"/>
                <w:color w:val="000000"/>
                <w:w w:val="24"/>
                <w:szCs w:val="20"/>
                <w:shd w:val="solid" w:color="000000" w:fill="000000"/>
                <w:fitText w:val="110" w:id="-1032105714"/>
                <w14:textFill>
                  <w14:solidFill>
                    <w14:srgbClr w14:val="000000">
                      <w14:alpha w14:val="100000"/>
                    </w14:srgbClr>
                  </w14:solidFill>
                </w14:textFill>
              </w:rPr>
              <w:t xml:space="preserve">　</w:t>
            </w:r>
            <w:r w:rsidRPr="00056F3E">
              <w:rPr>
                <w:color w:val="000000"/>
                <w:w w:val="24"/>
                <w:szCs w:val="20"/>
                <w:shd w:val="solid" w:color="000000" w:fill="000000"/>
                <w:fitText w:val="110" w:id="-1032105714"/>
                <w14:textFill>
                  <w14:solidFill>
                    <w14:srgbClr w14:val="000000">
                      <w14:alpha w14:val="100000"/>
                    </w14:srgbClr>
                  </w14:solidFill>
                </w14:textFill>
              </w:rPr>
              <w:t>|</w:t>
            </w:r>
            <w:r w:rsidRPr="00056F3E">
              <w:rPr>
                <w:rFonts w:hint="eastAsia"/>
                <w:color w:val="000000"/>
                <w:spacing w:val="6"/>
                <w:w w:val="24"/>
                <w:szCs w:val="20"/>
                <w:shd w:val="solid" w:color="000000" w:fill="000000"/>
                <w:fitText w:val="110" w:id="-1032105714"/>
                <w14:textFill>
                  <w14:solidFill>
                    <w14:srgbClr w14:val="000000">
                      <w14:alpha w14:val="100000"/>
                    </w14:srgbClr>
                  </w14:solidFill>
                </w14:textFill>
              </w:rPr>
              <w:t xml:space="preserve">　</w:t>
            </w:r>
            <w:r w:rsidR="00B40193">
              <w:rPr>
                <w:szCs w:val="20"/>
                <w:vertAlign w:val="superscript"/>
              </w:rPr>
              <w:t>20</w:t>
            </w:r>
          </w:p>
        </w:tc>
        <w:tc>
          <w:tcPr>
            <w:tcW w:w="611" w:type="pct"/>
            <w:vAlign w:val="center"/>
          </w:tcPr>
          <w:p w14:paraId="42CA4B28" w14:textId="6840682F" w:rsidR="001178E8" w:rsidRPr="00A51AD5" w:rsidRDefault="00056F3E" w:rsidP="00A51AD5">
            <w:pPr>
              <w:pStyle w:val="COMTabletext"/>
              <w:jc w:val="center"/>
              <w:rPr>
                <w:color w:val="000000"/>
                <w:szCs w:val="20"/>
                <w:highlight w:val="darkGray"/>
              </w:rPr>
            </w:pPr>
            <w:r>
              <w:rPr>
                <w:szCs w:val="20"/>
              </w:rPr>
              <w:t xml:space="preserve"> </w:t>
            </w:r>
            <w:r w:rsidRPr="00056F3E">
              <w:rPr>
                <w:rFonts w:hint="eastAsia"/>
                <w:color w:val="000000"/>
                <w:w w:val="24"/>
                <w:szCs w:val="20"/>
                <w:shd w:val="solid" w:color="000000" w:fill="000000"/>
                <w:fitText w:val="110" w:id="-1032105713"/>
                <w14:textFill>
                  <w14:solidFill>
                    <w14:srgbClr w14:val="000000">
                      <w14:alpha w14:val="100000"/>
                    </w14:srgbClr>
                  </w14:solidFill>
                </w14:textFill>
              </w:rPr>
              <w:t xml:space="preserve">　</w:t>
            </w:r>
            <w:r w:rsidRPr="00056F3E">
              <w:rPr>
                <w:color w:val="000000"/>
                <w:w w:val="24"/>
                <w:szCs w:val="20"/>
                <w:shd w:val="solid" w:color="000000" w:fill="000000"/>
                <w:fitText w:val="110" w:id="-1032105713"/>
                <w14:textFill>
                  <w14:solidFill>
                    <w14:srgbClr w14:val="000000">
                      <w14:alpha w14:val="100000"/>
                    </w14:srgbClr>
                  </w14:solidFill>
                </w14:textFill>
              </w:rPr>
              <w:t>|</w:t>
            </w:r>
            <w:r w:rsidRPr="00056F3E">
              <w:rPr>
                <w:rFonts w:hint="eastAsia"/>
                <w:color w:val="000000"/>
                <w:spacing w:val="6"/>
                <w:w w:val="24"/>
                <w:szCs w:val="20"/>
                <w:shd w:val="solid" w:color="000000" w:fill="000000"/>
                <w:fitText w:val="110" w:id="-1032105713"/>
                <w14:textFill>
                  <w14:solidFill>
                    <w14:srgbClr w14:val="000000">
                      <w14:alpha w14:val="100000"/>
                    </w14:srgbClr>
                  </w14:solidFill>
                </w14:textFill>
              </w:rPr>
              <w:t xml:space="preserve">　</w:t>
            </w:r>
            <w:r w:rsidR="00B40193">
              <w:rPr>
                <w:szCs w:val="20"/>
                <w:vertAlign w:val="superscript"/>
              </w:rPr>
              <w:t>20</w:t>
            </w:r>
          </w:p>
        </w:tc>
      </w:tr>
      <w:tr w:rsidR="001178E8" w:rsidRPr="00933708" w14:paraId="0A628564" w14:textId="77777777" w:rsidTr="00A51AD5">
        <w:tc>
          <w:tcPr>
            <w:tcW w:w="1334" w:type="pct"/>
            <w:shd w:val="clear" w:color="auto" w:fill="auto"/>
            <w:vAlign w:val="center"/>
          </w:tcPr>
          <w:p w14:paraId="7C096B40" w14:textId="1542ADB4" w:rsidR="001178E8" w:rsidRPr="00933708" w:rsidRDefault="001178E8" w:rsidP="002A1C31">
            <w:pPr>
              <w:pStyle w:val="COMTabletext"/>
              <w:rPr>
                <w:b/>
                <w:bCs w:val="0"/>
                <w:szCs w:val="20"/>
              </w:rPr>
            </w:pPr>
            <w:r w:rsidRPr="00933708">
              <w:rPr>
                <w:b/>
                <w:bCs w:val="0"/>
                <w:szCs w:val="20"/>
              </w:rPr>
              <w:t xml:space="preserve">Total cost to PBS/RPBS less </w:t>
            </w:r>
            <w:r w:rsidR="004837F0" w:rsidRPr="00933708">
              <w:rPr>
                <w:b/>
                <w:bCs w:val="0"/>
                <w:szCs w:val="20"/>
              </w:rPr>
              <w:t>co-payments</w:t>
            </w:r>
          </w:p>
        </w:tc>
        <w:tc>
          <w:tcPr>
            <w:tcW w:w="611" w:type="pct"/>
            <w:shd w:val="clear" w:color="auto" w:fill="auto"/>
            <w:vAlign w:val="center"/>
          </w:tcPr>
          <w:p w14:paraId="10646B37" w14:textId="4D2419FD" w:rsidR="001178E8" w:rsidRPr="00A51AD5" w:rsidRDefault="00056F3E" w:rsidP="00A51AD5">
            <w:pPr>
              <w:pStyle w:val="COMTabletext"/>
              <w:jc w:val="center"/>
              <w:rPr>
                <w:szCs w:val="20"/>
                <w:highlight w:val="darkGray"/>
              </w:rPr>
            </w:pPr>
            <w:r>
              <w:rPr>
                <w:b/>
                <w:bCs w:val="0"/>
                <w:szCs w:val="20"/>
              </w:rPr>
              <w:t xml:space="preserve"> </w:t>
            </w:r>
            <w:r w:rsidRPr="00056F3E">
              <w:rPr>
                <w:rFonts w:hint="eastAsia"/>
                <w:b/>
                <w:bCs w:val="0"/>
                <w:color w:val="000000"/>
                <w:w w:val="33"/>
                <w:szCs w:val="20"/>
                <w:shd w:val="solid" w:color="000000" w:fill="000000"/>
                <w:fitText w:val="150" w:id="-1032105712"/>
                <w14:textFill>
                  <w14:solidFill>
                    <w14:srgbClr w14:val="000000">
                      <w14:alpha w14:val="100000"/>
                    </w14:srgbClr>
                  </w14:solidFill>
                </w14:textFill>
              </w:rPr>
              <w:t xml:space="preserve">　</w:t>
            </w:r>
            <w:r w:rsidRPr="00056F3E">
              <w:rPr>
                <w:b/>
                <w:bCs w:val="0"/>
                <w:color w:val="000000"/>
                <w:w w:val="33"/>
                <w:szCs w:val="20"/>
                <w:shd w:val="solid" w:color="000000" w:fill="000000"/>
                <w:fitText w:val="150" w:id="-1032105712"/>
                <w14:textFill>
                  <w14:solidFill>
                    <w14:srgbClr w14:val="000000">
                      <w14:alpha w14:val="100000"/>
                    </w14:srgbClr>
                  </w14:solidFill>
                </w14:textFill>
              </w:rPr>
              <w:t>|</w:t>
            </w:r>
            <w:r w:rsidRPr="00056F3E">
              <w:rPr>
                <w:rFonts w:hint="eastAsia"/>
                <w:b/>
                <w:bCs w:val="0"/>
                <w:color w:val="000000"/>
                <w:spacing w:val="3"/>
                <w:w w:val="33"/>
                <w:szCs w:val="20"/>
                <w:shd w:val="solid" w:color="000000" w:fill="000000"/>
                <w:fitText w:val="150" w:id="-1032105712"/>
                <w14:textFill>
                  <w14:solidFill>
                    <w14:srgbClr w14:val="000000">
                      <w14:alpha w14:val="100000"/>
                    </w14:srgbClr>
                  </w14:solidFill>
                </w14:textFill>
              </w:rPr>
              <w:t xml:space="preserve">　</w:t>
            </w:r>
            <w:r w:rsidR="00BE7EA5">
              <w:rPr>
                <w:szCs w:val="20"/>
                <w:vertAlign w:val="superscript"/>
              </w:rPr>
              <w:t>13</w:t>
            </w:r>
          </w:p>
        </w:tc>
        <w:tc>
          <w:tcPr>
            <w:tcW w:w="611" w:type="pct"/>
            <w:shd w:val="clear" w:color="auto" w:fill="auto"/>
            <w:vAlign w:val="center"/>
          </w:tcPr>
          <w:p w14:paraId="7771E549" w14:textId="3E82F894" w:rsidR="001178E8" w:rsidRPr="00A51AD5" w:rsidRDefault="00056F3E" w:rsidP="00A51AD5">
            <w:pPr>
              <w:pStyle w:val="COMTabletext"/>
              <w:jc w:val="center"/>
              <w:rPr>
                <w:szCs w:val="20"/>
                <w:highlight w:val="darkGray"/>
                <w:vertAlign w:val="superscript"/>
              </w:rPr>
            </w:pPr>
            <w:r>
              <w:rPr>
                <w:b/>
                <w:bCs w:val="0"/>
                <w:szCs w:val="20"/>
              </w:rPr>
              <w:t xml:space="preserve"> </w:t>
            </w:r>
            <w:r w:rsidRPr="00056F3E">
              <w:rPr>
                <w:rFonts w:hint="eastAsia"/>
                <w:b/>
                <w:bCs w:val="0"/>
                <w:color w:val="000000"/>
                <w:w w:val="33"/>
                <w:szCs w:val="20"/>
                <w:shd w:val="solid" w:color="000000" w:fill="000000"/>
                <w:fitText w:val="150" w:id="-1032105728"/>
                <w14:textFill>
                  <w14:solidFill>
                    <w14:srgbClr w14:val="000000">
                      <w14:alpha w14:val="100000"/>
                    </w14:srgbClr>
                  </w14:solidFill>
                </w14:textFill>
              </w:rPr>
              <w:t xml:space="preserve">　</w:t>
            </w:r>
            <w:r w:rsidRPr="00056F3E">
              <w:rPr>
                <w:b/>
                <w:bCs w:val="0"/>
                <w:color w:val="000000"/>
                <w:w w:val="33"/>
                <w:szCs w:val="20"/>
                <w:shd w:val="solid" w:color="000000" w:fill="000000"/>
                <w:fitText w:val="150" w:id="-1032105728"/>
                <w14:textFill>
                  <w14:solidFill>
                    <w14:srgbClr w14:val="000000">
                      <w14:alpha w14:val="100000"/>
                    </w14:srgbClr>
                  </w14:solidFill>
                </w14:textFill>
              </w:rPr>
              <w:t>|</w:t>
            </w:r>
            <w:r w:rsidRPr="00056F3E">
              <w:rPr>
                <w:rFonts w:hint="eastAsia"/>
                <w:b/>
                <w:bCs w:val="0"/>
                <w:color w:val="000000"/>
                <w:spacing w:val="3"/>
                <w:w w:val="33"/>
                <w:szCs w:val="20"/>
                <w:shd w:val="solid" w:color="000000" w:fill="000000"/>
                <w:fitText w:val="150" w:id="-1032105728"/>
                <w14:textFill>
                  <w14:solidFill>
                    <w14:srgbClr w14:val="000000">
                      <w14:alpha w14:val="100000"/>
                    </w14:srgbClr>
                  </w14:solidFill>
                </w14:textFill>
              </w:rPr>
              <w:t xml:space="preserve">　</w:t>
            </w:r>
            <w:r w:rsidR="00BE7EA5">
              <w:rPr>
                <w:b/>
                <w:szCs w:val="20"/>
                <w:vertAlign w:val="superscript"/>
              </w:rPr>
              <w:t>1</w:t>
            </w:r>
            <w:r w:rsidR="00F83120">
              <w:rPr>
                <w:b/>
                <w:szCs w:val="20"/>
                <w:vertAlign w:val="superscript"/>
              </w:rPr>
              <w:t>5</w:t>
            </w:r>
          </w:p>
        </w:tc>
        <w:tc>
          <w:tcPr>
            <w:tcW w:w="611" w:type="pct"/>
            <w:shd w:val="clear" w:color="auto" w:fill="auto"/>
            <w:vAlign w:val="center"/>
          </w:tcPr>
          <w:p w14:paraId="67760639" w14:textId="3BD91220" w:rsidR="001178E8" w:rsidRPr="00A51AD5" w:rsidRDefault="00056F3E" w:rsidP="00A51AD5">
            <w:pPr>
              <w:pStyle w:val="COMTabletext"/>
              <w:jc w:val="center"/>
              <w:rPr>
                <w:szCs w:val="20"/>
                <w:highlight w:val="darkGray"/>
              </w:rPr>
            </w:pPr>
            <w:r>
              <w:rPr>
                <w:b/>
                <w:bCs w:val="0"/>
                <w:szCs w:val="20"/>
              </w:rPr>
              <w:t xml:space="preserve"> </w:t>
            </w:r>
            <w:r w:rsidRPr="00056F3E">
              <w:rPr>
                <w:rFonts w:hint="eastAsia"/>
                <w:b/>
                <w:bCs w:val="0"/>
                <w:color w:val="000000"/>
                <w:w w:val="33"/>
                <w:szCs w:val="20"/>
                <w:shd w:val="solid" w:color="000000" w:fill="000000"/>
                <w:fitText w:val="150" w:id="-1032105727"/>
                <w14:textFill>
                  <w14:solidFill>
                    <w14:srgbClr w14:val="000000">
                      <w14:alpha w14:val="100000"/>
                    </w14:srgbClr>
                  </w14:solidFill>
                </w14:textFill>
              </w:rPr>
              <w:t xml:space="preserve">　</w:t>
            </w:r>
            <w:r w:rsidRPr="00056F3E">
              <w:rPr>
                <w:b/>
                <w:bCs w:val="0"/>
                <w:color w:val="000000"/>
                <w:w w:val="33"/>
                <w:szCs w:val="20"/>
                <w:shd w:val="solid" w:color="000000" w:fill="000000"/>
                <w:fitText w:val="150" w:id="-1032105727"/>
                <w14:textFill>
                  <w14:solidFill>
                    <w14:srgbClr w14:val="000000">
                      <w14:alpha w14:val="100000"/>
                    </w14:srgbClr>
                  </w14:solidFill>
                </w14:textFill>
              </w:rPr>
              <w:t>|</w:t>
            </w:r>
            <w:r w:rsidRPr="00056F3E">
              <w:rPr>
                <w:rFonts w:hint="eastAsia"/>
                <w:b/>
                <w:bCs w:val="0"/>
                <w:color w:val="000000"/>
                <w:spacing w:val="3"/>
                <w:w w:val="33"/>
                <w:szCs w:val="20"/>
                <w:shd w:val="solid" w:color="000000" w:fill="000000"/>
                <w:fitText w:val="150" w:id="-1032105727"/>
                <w14:textFill>
                  <w14:solidFill>
                    <w14:srgbClr w14:val="000000">
                      <w14:alpha w14:val="100000"/>
                    </w14:srgbClr>
                  </w14:solidFill>
                </w14:textFill>
              </w:rPr>
              <w:t xml:space="preserve">　</w:t>
            </w:r>
            <w:r w:rsidR="007641A3">
              <w:rPr>
                <w:szCs w:val="20"/>
                <w:vertAlign w:val="superscript"/>
              </w:rPr>
              <w:t>21</w:t>
            </w:r>
          </w:p>
        </w:tc>
        <w:tc>
          <w:tcPr>
            <w:tcW w:w="611" w:type="pct"/>
            <w:shd w:val="clear" w:color="auto" w:fill="auto"/>
            <w:vAlign w:val="center"/>
          </w:tcPr>
          <w:p w14:paraId="35D99758" w14:textId="61F850A1" w:rsidR="001178E8" w:rsidRPr="00A51AD5" w:rsidRDefault="00056F3E" w:rsidP="00A51AD5">
            <w:pPr>
              <w:pStyle w:val="COMTabletext"/>
              <w:jc w:val="center"/>
              <w:rPr>
                <w:szCs w:val="20"/>
                <w:highlight w:val="darkGray"/>
              </w:rPr>
            </w:pPr>
            <w:r>
              <w:rPr>
                <w:b/>
                <w:bCs w:val="0"/>
                <w:szCs w:val="20"/>
              </w:rPr>
              <w:t xml:space="preserve"> </w:t>
            </w:r>
            <w:r w:rsidRPr="00056F3E">
              <w:rPr>
                <w:rFonts w:hint="eastAsia"/>
                <w:b/>
                <w:bCs w:val="0"/>
                <w:color w:val="000000"/>
                <w:w w:val="33"/>
                <w:szCs w:val="20"/>
                <w:shd w:val="solid" w:color="000000" w:fill="000000"/>
                <w:fitText w:val="150" w:id="-1032105726"/>
                <w14:textFill>
                  <w14:solidFill>
                    <w14:srgbClr w14:val="000000">
                      <w14:alpha w14:val="100000"/>
                    </w14:srgbClr>
                  </w14:solidFill>
                </w14:textFill>
              </w:rPr>
              <w:t xml:space="preserve">　</w:t>
            </w:r>
            <w:r w:rsidRPr="00056F3E">
              <w:rPr>
                <w:b/>
                <w:bCs w:val="0"/>
                <w:color w:val="000000"/>
                <w:w w:val="33"/>
                <w:szCs w:val="20"/>
                <w:shd w:val="solid" w:color="000000" w:fill="000000"/>
                <w:fitText w:val="150" w:id="-1032105726"/>
                <w14:textFill>
                  <w14:solidFill>
                    <w14:srgbClr w14:val="000000">
                      <w14:alpha w14:val="100000"/>
                    </w14:srgbClr>
                  </w14:solidFill>
                </w14:textFill>
              </w:rPr>
              <w:t>|</w:t>
            </w:r>
            <w:r w:rsidRPr="00056F3E">
              <w:rPr>
                <w:rFonts w:hint="eastAsia"/>
                <w:b/>
                <w:bCs w:val="0"/>
                <w:color w:val="000000"/>
                <w:spacing w:val="3"/>
                <w:w w:val="33"/>
                <w:szCs w:val="20"/>
                <w:shd w:val="solid" w:color="000000" w:fill="000000"/>
                <w:fitText w:val="150" w:id="-1032105726"/>
                <w14:textFill>
                  <w14:solidFill>
                    <w14:srgbClr w14:val="000000">
                      <w14:alpha w14:val="100000"/>
                    </w14:srgbClr>
                  </w14:solidFill>
                </w14:textFill>
              </w:rPr>
              <w:t xml:space="preserve">　</w:t>
            </w:r>
            <w:r w:rsidR="007641A3">
              <w:rPr>
                <w:szCs w:val="20"/>
                <w:vertAlign w:val="superscript"/>
              </w:rPr>
              <w:t>22</w:t>
            </w:r>
          </w:p>
        </w:tc>
        <w:tc>
          <w:tcPr>
            <w:tcW w:w="611" w:type="pct"/>
            <w:shd w:val="clear" w:color="auto" w:fill="auto"/>
            <w:vAlign w:val="center"/>
          </w:tcPr>
          <w:p w14:paraId="778FCE40" w14:textId="6B703911" w:rsidR="001178E8" w:rsidRPr="00A51AD5" w:rsidRDefault="00056F3E" w:rsidP="00A51AD5">
            <w:pPr>
              <w:pStyle w:val="COMTabletext"/>
              <w:jc w:val="center"/>
              <w:rPr>
                <w:szCs w:val="20"/>
                <w:highlight w:val="darkGray"/>
              </w:rPr>
            </w:pPr>
            <w:r>
              <w:rPr>
                <w:b/>
                <w:bCs w:val="0"/>
                <w:szCs w:val="20"/>
              </w:rPr>
              <w:t xml:space="preserve"> </w:t>
            </w:r>
            <w:r w:rsidRPr="00056F3E">
              <w:rPr>
                <w:rFonts w:hint="eastAsia"/>
                <w:b/>
                <w:bCs w:val="0"/>
                <w:color w:val="000000"/>
                <w:w w:val="33"/>
                <w:szCs w:val="20"/>
                <w:shd w:val="solid" w:color="000000" w:fill="000000"/>
                <w:fitText w:val="150" w:id="-1032105725"/>
                <w14:textFill>
                  <w14:solidFill>
                    <w14:srgbClr w14:val="000000">
                      <w14:alpha w14:val="100000"/>
                    </w14:srgbClr>
                  </w14:solidFill>
                </w14:textFill>
              </w:rPr>
              <w:t xml:space="preserve">　</w:t>
            </w:r>
            <w:r w:rsidRPr="00056F3E">
              <w:rPr>
                <w:b/>
                <w:bCs w:val="0"/>
                <w:color w:val="000000"/>
                <w:w w:val="33"/>
                <w:szCs w:val="20"/>
                <w:shd w:val="solid" w:color="000000" w:fill="000000"/>
                <w:fitText w:val="150" w:id="-1032105725"/>
                <w14:textFill>
                  <w14:solidFill>
                    <w14:srgbClr w14:val="000000">
                      <w14:alpha w14:val="100000"/>
                    </w14:srgbClr>
                  </w14:solidFill>
                </w14:textFill>
              </w:rPr>
              <w:t>|</w:t>
            </w:r>
            <w:r w:rsidRPr="00056F3E">
              <w:rPr>
                <w:rFonts w:hint="eastAsia"/>
                <w:b/>
                <w:bCs w:val="0"/>
                <w:color w:val="000000"/>
                <w:spacing w:val="3"/>
                <w:w w:val="33"/>
                <w:szCs w:val="20"/>
                <w:shd w:val="solid" w:color="000000" w:fill="000000"/>
                <w:fitText w:val="150" w:id="-1032105725"/>
                <w14:textFill>
                  <w14:solidFill>
                    <w14:srgbClr w14:val="000000">
                      <w14:alpha w14:val="100000"/>
                    </w14:srgbClr>
                  </w14:solidFill>
                </w14:textFill>
              </w:rPr>
              <w:t xml:space="preserve">　</w:t>
            </w:r>
            <w:r w:rsidR="007641A3">
              <w:rPr>
                <w:szCs w:val="20"/>
                <w:vertAlign w:val="superscript"/>
              </w:rPr>
              <w:t>23</w:t>
            </w:r>
          </w:p>
        </w:tc>
        <w:tc>
          <w:tcPr>
            <w:tcW w:w="611" w:type="pct"/>
            <w:vAlign w:val="center"/>
          </w:tcPr>
          <w:p w14:paraId="62E871CC" w14:textId="00977E68" w:rsidR="001178E8" w:rsidRPr="00A51AD5" w:rsidRDefault="00056F3E" w:rsidP="00A51AD5">
            <w:pPr>
              <w:pStyle w:val="COMTabletext"/>
              <w:jc w:val="center"/>
              <w:rPr>
                <w:szCs w:val="20"/>
                <w:highlight w:val="darkGray"/>
              </w:rPr>
            </w:pPr>
            <w:r>
              <w:rPr>
                <w:b/>
                <w:bCs w:val="0"/>
                <w:szCs w:val="20"/>
              </w:rPr>
              <w:t xml:space="preserve"> </w:t>
            </w:r>
            <w:r w:rsidRPr="00056F3E">
              <w:rPr>
                <w:rFonts w:hint="eastAsia"/>
                <w:b/>
                <w:bCs w:val="0"/>
                <w:color w:val="000000"/>
                <w:w w:val="33"/>
                <w:szCs w:val="20"/>
                <w:shd w:val="solid" w:color="000000" w:fill="000000"/>
                <w:fitText w:val="150" w:id="-1032105724"/>
                <w14:textFill>
                  <w14:solidFill>
                    <w14:srgbClr w14:val="000000">
                      <w14:alpha w14:val="100000"/>
                    </w14:srgbClr>
                  </w14:solidFill>
                </w14:textFill>
              </w:rPr>
              <w:t xml:space="preserve">　</w:t>
            </w:r>
            <w:r w:rsidRPr="00056F3E">
              <w:rPr>
                <w:b/>
                <w:bCs w:val="0"/>
                <w:color w:val="000000"/>
                <w:w w:val="33"/>
                <w:szCs w:val="20"/>
                <w:shd w:val="solid" w:color="000000" w:fill="000000"/>
                <w:fitText w:val="150" w:id="-1032105724"/>
                <w14:textFill>
                  <w14:solidFill>
                    <w14:srgbClr w14:val="000000">
                      <w14:alpha w14:val="100000"/>
                    </w14:srgbClr>
                  </w14:solidFill>
                </w14:textFill>
              </w:rPr>
              <w:t>|</w:t>
            </w:r>
            <w:r w:rsidRPr="00056F3E">
              <w:rPr>
                <w:rFonts w:hint="eastAsia"/>
                <w:b/>
                <w:bCs w:val="0"/>
                <w:color w:val="000000"/>
                <w:spacing w:val="3"/>
                <w:w w:val="33"/>
                <w:szCs w:val="20"/>
                <w:shd w:val="solid" w:color="000000" w:fill="000000"/>
                <w:fitText w:val="150" w:id="-1032105724"/>
                <w14:textFill>
                  <w14:solidFill>
                    <w14:srgbClr w14:val="000000">
                      <w14:alpha w14:val="100000"/>
                    </w14:srgbClr>
                  </w14:solidFill>
                </w14:textFill>
              </w:rPr>
              <w:t xml:space="preserve">　</w:t>
            </w:r>
            <w:r w:rsidR="007641A3">
              <w:rPr>
                <w:szCs w:val="20"/>
                <w:vertAlign w:val="superscript"/>
              </w:rPr>
              <w:t>24</w:t>
            </w:r>
          </w:p>
        </w:tc>
      </w:tr>
    </w:tbl>
    <w:p w14:paraId="00A3FE7C" w14:textId="52F0F95B" w:rsidR="001178E8" w:rsidRPr="00933708" w:rsidRDefault="007641A3" w:rsidP="001178E8">
      <w:pPr>
        <w:pStyle w:val="COMTablefooter"/>
      </w:pPr>
      <w:r>
        <w:t xml:space="preserve"> </w:t>
      </w:r>
      <w:r w:rsidR="001178E8" w:rsidRPr="00933708">
        <w:t>Source: Table 4.16, p362; Table 4.17, p363; Table 4.19, p364 of the submission.</w:t>
      </w:r>
    </w:p>
    <w:p w14:paraId="2E669485" w14:textId="77777777" w:rsidR="001178E8" w:rsidRPr="00933708" w:rsidRDefault="001178E8" w:rsidP="001178E8">
      <w:pPr>
        <w:pStyle w:val="COMTablefooter"/>
      </w:pPr>
      <w:r w:rsidRPr="00933708">
        <w:rPr>
          <w:vertAlign w:val="superscript"/>
        </w:rPr>
        <w:t>a</w:t>
      </w:r>
      <w:r w:rsidRPr="00933708">
        <w:t xml:space="preserve"> The submission did not estimate the extent of use and expected change in the use of dapagliflozin, associated with the proposed PBS listing of empagliflozin. Estimates for the overlap subgroup represent the total SGLT2 inhibitor class (i.e. would include use of both empagliflozin and dapagliflozin in practice).</w:t>
      </w:r>
    </w:p>
    <w:p w14:paraId="305C7202" w14:textId="77777777" w:rsidR="001178E8" w:rsidRPr="00933708" w:rsidRDefault="001178E8" w:rsidP="001178E8">
      <w:pPr>
        <w:pStyle w:val="COMTablefooter"/>
      </w:pPr>
      <w:r w:rsidRPr="00933708">
        <w:rPr>
          <w:vertAlign w:val="superscript"/>
        </w:rPr>
        <w:t xml:space="preserve">b </w:t>
      </w:r>
      <w:r w:rsidRPr="00933708">
        <w:t>Assuming 10.96 scripts per year (12.18 scripts/year with assumed adherence of 90%).</w:t>
      </w:r>
    </w:p>
    <w:p w14:paraId="7F634995" w14:textId="77777777" w:rsidR="00AE481F" w:rsidRDefault="001178E8" w:rsidP="00AE481F">
      <w:pPr>
        <w:pStyle w:val="COMTablefooter"/>
        <w:rPr>
          <w:i/>
          <w:szCs w:val="18"/>
        </w:rPr>
      </w:pPr>
      <w:r w:rsidRPr="00933708">
        <w:t>Note: The number of scripts per year and total cost was changed during the evaluation to correspond to current 30 day dispensing, and the total cost was based on a DPMQ of $61.01 incorporating markups at 1 July 2023</w:t>
      </w:r>
      <w:r w:rsidR="00AE481F" w:rsidRPr="00AE481F">
        <w:rPr>
          <w:i/>
          <w:szCs w:val="18"/>
        </w:rPr>
        <w:t xml:space="preserve"> </w:t>
      </w:r>
    </w:p>
    <w:p w14:paraId="07164F5F" w14:textId="73840AFC" w:rsidR="00AE481F" w:rsidRDefault="00AE481F" w:rsidP="00A51AD5">
      <w:pPr>
        <w:pStyle w:val="COMTablefooter"/>
        <w:spacing w:after="0"/>
        <w:rPr>
          <w:i/>
        </w:rPr>
      </w:pPr>
      <w:r w:rsidRPr="00AE481F">
        <w:rPr>
          <w:i/>
        </w:rPr>
        <w:t xml:space="preserve">The redacted values correspond to the following ranges: </w:t>
      </w:r>
    </w:p>
    <w:p w14:paraId="555D20E8" w14:textId="48DEF794" w:rsidR="00AE481F" w:rsidRPr="00A51AD5" w:rsidRDefault="00DF0F96" w:rsidP="00AE481F">
      <w:pPr>
        <w:rPr>
          <w:rFonts w:ascii="Arial Narrow" w:hAnsi="Arial Narrow"/>
          <w:i/>
          <w:iCs/>
          <w:sz w:val="18"/>
          <w:szCs w:val="18"/>
        </w:rPr>
      </w:pPr>
      <w:r w:rsidRPr="00A51AD5">
        <w:rPr>
          <w:rFonts w:ascii="Arial Narrow" w:hAnsi="Arial Narrow"/>
          <w:i/>
          <w:iCs/>
          <w:sz w:val="18"/>
          <w:szCs w:val="18"/>
          <w:vertAlign w:val="superscript"/>
        </w:rPr>
        <w:t>1</w:t>
      </w:r>
      <w:r w:rsidR="00984AF8">
        <w:rPr>
          <w:rFonts w:ascii="Arial Narrow" w:hAnsi="Arial Narrow"/>
          <w:i/>
          <w:iCs/>
          <w:sz w:val="18"/>
          <w:szCs w:val="18"/>
          <w:vertAlign w:val="superscript"/>
        </w:rPr>
        <w:t xml:space="preserve"> </w:t>
      </w:r>
      <w:r w:rsidR="00AE481F" w:rsidRPr="00A51AD5">
        <w:rPr>
          <w:rFonts w:ascii="Arial Narrow" w:hAnsi="Arial Narrow"/>
          <w:i/>
          <w:iCs/>
          <w:sz w:val="18"/>
          <w:szCs w:val="18"/>
        </w:rPr>
        <w:t>20,000 to &lt; 30,000</w:t>
      </w:r>
    </w:p>
    <w:p w14:paraId="2B206E05" w14:textId="2CCCD650" w:rsidR="00CF4E0D" w:rsidRPr="00A51AD5" w:rsidRDefault="005953A4" w:rsidP="00AE481F">
      <w:pPr>
        <w:rPr>
          <w:rFonts w:ascii="Arial Narrow" w:hAnsi="Arial Narrow"/>
          <w:i/>
          <w:iCs/>
          <w:sz w:val="18"/>
          <w:szCs w:val="18"/>
        </w:rPr>
      </w:pPr>
      <w:r w:rsidRPr="00A51AD5">
        <w:rPr>
          <w:rFonts w:ascii="Arial Narrow" w:hAnsi="Arial Narrow"/>
          <w:i/>
          <w:iCs/>
          <w:sz w:val="18"/>
          <w:szCs w:val="18"/>
          <w:vertAlign w:val="superscript"/>
        </w:rPr>
        <w:t>2</w:t>
      </w:r>
      <w:r w:rsidRPr="00A51AD5">
        <w:rPr>
          <w:rFonts w:ascii="Arial Narrow" w:hAnsi="Arial Narrow"/>
          <w:i/>
          <w:iCs/>
          <w:sz w:val="18"/>
          <w:szCs w:val="18"/>
        </w:rPr>
        <w:t xml:space="preserve"> </w:t>
      </w:r>
      <w:r w:rsidR="00AE481F" w:rsidRPr="00A51AD5">
        <w:rPr>
          <w:rFonts w:ascii="Arial Narrow" w:hAnsi="Arial Narrow"/>
          <w:i/>
          <w:iCs/>
          <w:sz w:val="18"/>
          <w:szCs w:val="18"/>
        </w:rPr>
        <w:t>30,000 to &lt; 40,000</w:t>
      </w:r>
    </w:p>
    <w:p w14:paraId="35503A5E" w14:textId="737CB244" w:rsidR="008E59DC" w:rsidRPr="00F83466" w:rsidRDefault="008E59DC" w:rsidP="008E59DC">
      <w:pPr>
        <w:rPr>
          <w:rFonts w:ascii="Arial Narrow" w:hAnsi="Arial Narrow"/>
          <w:i/>
          <w:iCs/>
          <w:sz w:val="18"/>
          <w:szCs w:val="18"/>
        </w:rPr>
      </w:pPr>
      <w:r>
        <w:rPr>
          <w:rFonts w:ascii="Arial Narrow" w:hAnsi="Arial Narrow"/>
          <w:i/>
          <w:iCs/>
          <w:sz w:val="18"/>
          <w:szCs w:val="18"/>
          <w:vertAlign w:val="superscript"/>
        </w:rPr>
        <w:t>3</w:t>
      </w:r>
      <w:r w:rsidRPr="00F83466">
        <w:rPr>
          <w:rFonts w:ascii="Arial Narrow" w:hAnsi="Arial Narrow"/>
          <w:i/>
          <w:iCs/>
          <w:sz w:val="18"/>
          <w:szCs w:val="18"/>
          <w:vertAlign w:val="superscript"/>
        </w:rPr>
        <w:t xml:space="preserve"> </w:t>
      </w:r>
      <w:r w:rsidRPr="00F83466">
        <w:rPr>
          <w:rFonts w:ascii="Arial Narrow" w:hAnsi="Arial Narrow"/>
          <w:i/>
          <w:iCs/>
          <w:sz w:val="18"/>
          <w:szCs w:val="18"/>
        </w:rPr>
        <w:t>50,000 to &lt; 60,000</w:t>
      </w:r>
    </w:p>
    <w:p w14:paraId="61DBEF54" w14:textId="6B8430CB" w:rsidR="008E59DC" w:rsidRPr="00F83466" w:rsidRDefault="008E59DC" w:rsidP="008E59DC">
      <w:pPr>
        <w:rPr>
          <w:rFonts w:ascii="Arial Narrow" w:hAnsi="Arial Narrow"/>
          <w:i/>
          <w:iCs/>
          <w:sz w:val="18"/>
          <w:szCs w:val="18"/>
        </w:rPr>
      </w:pPr>
      <w:r>
        <w:rPr>
          <w:rFonts w:ascii="Arial Narrow" w:hAnsi="Arial Narrow"/>
          <w:i/>
          <w:iCs/>
          <w:sz w:val="18"/>
          <w:szCs w:val="18"/>
          <w:vertAlign w:val="superscript"/>
        </w:rPr>
        <w:t>4</w:t>
      </w:r>
      <w:r w:rsidRPr="00F83466">
        <w:rPr>
          <w:rFonts w:ascii="Arial Narrow" w:hAnsi="Arial Narrow"/>
          <w:i/>
          <w:iCs/>
          <w:sz w:val="18"/>
          <w:szCs w:val="18"/>
        </w:rPr>
        <w:t xml:space="preserve"> 60,000 to &lt; 70,000</w:t>
      </w:r>
    </w:p>
    <w:p w14:paraId="4D7958C9" w14:textId="0420E0C0" w:rsidR="008E59DC" w:rsidRDefault="008E59DC" w:rsidP="008E59DC">
      <w:pPr>
        <w:rPr>
          <w:rFonts w:ascii="Arial Narrow" w:hAnsi="Arial Narrow"/>
          <w:i/>
          <w:iCs/>
          <w:sz w:val="18"/>
          <w:szCs w:val="18"/>
        </w:rPr>
      </w:pPr>
      <w:r>
        <w:rPr>
          <w:rFonts w:ascii="Arial Narrow" w:hAnsi="Arial Narrow"/>
          <w:i/>
          <w:iCs/>
          <w:sz w:val="18"/>
          <w:szCs w:val="18"/>
          <w:vertAlign w:val="superscript"/>
        </w:rPr>
        <w:t>5</w:t>
      </w:r>
      <w:r w:rsidR="00984AF8">
        <w:rPr>
          <w:rFonts w:ascii="Arial Narrow" w:hAnsi="Arial Narrow"/>
          <w:i/>
          <w:iCs/>
          <w:sz w:val="18"/>
          <w:szCs w:val="18"/>
          <w:vertAlign w:val="superscript"/>
        </w:rPr>
        <w:t xml:space="preserve"> </w:t>
      </w:r>
      <w:r w:rsidRPr="00F83466">
        <w:rPr>
          <w:rFonts w:ascii="Arial Narrow" w:hAnsi="Arial Narrow"/>
          <w:i/>
          <w:iCs/>
          <w:sz w:val="18"/>
          <w:szCs w:val="18"/>
        </w:rPr>
        <w:t>70,000 to &lt; 80,000</w:t>
      </w:r>
    </w:p>
    <w:p w14:paraId="7590950E" w14:textId="4E6D91C3" w:rsidR="00981298" w:rsidRDefault="00981298" w:rsidP="00981298">
      <w:pPr>
        <w:rPr>
          <w:rFonts w:ascii="Arial Narrow" w:hAnsi="Arial Narrow"/>
          <w:i/>
          <w:iCs/>
          <w:sz w:val="18"/>
          <w:szCs w:val="18"/>
        </w:rPr>
      </w:pPr>
      <w:r>
        <w:rPr>
          <w:rFonts w:ascii="Arial Narrow" w:hAnsi="Arial Narrow"/>
          <w:i/>
          <w:iCs/>
          <w:sz w:val="18"/>
          <w:szCs w:val="18"/>
          <w:vertAlign w:val="superscript"/>
        </w:rPr>
        <w:t>6</w:t>
      </w:r>
      <w:r w:rsidR="008F73DA">
        <w:rPr>
          <w:rFonts w:ascii="Arial Narrow" w:hAnsi="Arial Narrow"/>
          <w:i/>
          <w:iCs/>
          <w:sz w:val="18"/>
          <w:szCs w:val="18"/>
          <w:vertAlign w:val="superscript"/>
        </w:rPr>
        <w:t xml:space="preserve"> </w:t>
      </w:r>
      <w:r w:rsidRPr="00F83466">
        <w:rPr>
          <w:rFonts w:ascii="Arial Narrow" w:hAnsi="Arial Narrow"/>
          <w:i/>
          <w:iCs/>
          <w:sz w:val="18"/>
          <w:szCs w:val="18"/>
        </w:rPr>
        <w:t>300,000 to &lt; 400,00</w:t>
      </w:r>
    </w:p>
    <w:p w14:paraId="44503E16" w14:textId="76B5CCF6" w:rsidR="00981298" w:rsidRPr="004A7F35" w:rsidRDefault="00981298" w:rsidP="00981298">
      <w:pPr>
        <w:rPr>
          <w:rFonts w:ascii="Arial Narrow" w:hAnsi="Arial Narrow"/>
          <w:i/>
          <w:iCs/>
          <w:sz w:val="18"/>
          <w:szCs w:val="18"/>
        </w:rPr>
      </w:pPr>
      <w:r w:rsidRPr="004A7F35">
        <w:rPr>
          <w:rFonts w:ascii="Arial Narrow" w:hAnsi="Arial Narrow"/>
          <w:i/>
          <w:iCs/>
          <w:sz w:val="18"/>
          <w:szCs w:val="18"/>
          <w:vertAlign w:val="superscript"/>
        </w:rPr>
        <w:t>7</w:t>
      </w:r>
      <w:r w:rsidR="008F73DA">
        <w:rPr>
          <w:rFonts w:ascii="Arial Narrow" w:hAnsi="Arial Narrow"/>
          <w:i/>
          <w:iCs/>
          <w:sz w:val="18"/>
          <w:szCs w:val="18"/>
          <w:vertAlign w:val="superscript"/>
        </w:rPr>
        <w:t xml:space="preserve"> </w:t>
      </w:r>
      <w:r w:rsidRPr="004A7F35">
        <w:rPr>
          <w:rFonts w:ascii="Arial Narrow" w:hAnsi="Arial Narrow"/>
          <w:i/>
          <w:iCs/>
          <w:sz w:val="18"/>
          <w:szCs w:val="18"/>
        </w:rPr>
        <w:t>400,000 to &lt; 500,000</w:t>
      </w:r>
    </w:p>
    <w:p w14:paraId="556AA589" w14:textId="77777777" w:rsidR="00981298" w:rsidRPr="00F83466" w:rsidRDefault="00981298" w:rsidP="00981298">
      <w:pPr>
        <w:rPr>
          <w:rFonts w:ascii="Arial Narrow" w:hAnsi="Arial Narrow"/>
          <w:i/>
          <w:iCs/>
          <w:sz w:val="18"/>
          <w:szCs w:val="18"/>
        </w:rPr>
      </w:pPr>
      <w:r w:rsidRPr="00F83466">
        <w:rPr>
          <w:rFonts w:ascii="Arial Narrow" w:hAnsi="Arial Narrow"/>
          <w:i/>
          <w:iCs/>
          <w:sz w:val="18"/>
          <w:szCs w:val="18"/>
          <w:vertAlign w:val="superscript"/>
        </w:rPr>
        <w:t xml:space="preserve">8 </w:t>
      </w:r>
      <w:r w:rsidRPr="00F83466">
        <w:rPr>
          <w:rFonts w:ascii="Arial Narrow" w:hAnsi="Arial Narrow"/>
          <w:i/>
          <w:iCs/>
          <w:sz w:val="18"/>
          <w:szCs w:val="18"/>
        </w:rPr>
        <w:t>500,000 to &lt; 600,000</w:t>
      </w:r>
    </w:p>
    <w:p w14:paraId="775D66E9" w14:textId="77777777" w:rsidR="00981298" w:rsidRPr="004A7F35" w:rsidRDefault="00981298" w:rsidP="00981298">
      <w:pPr>
        <w:rPr>
          <w:rFonts w:ascii="Arial Narrow" w:hAnsi="Arial Narrow"/>
          <w:i/>
          <w:iCs/>
          <w:sz w:val="18"/>
          <w:szCs w:val="18"/>
        </w:rPr>
      </w:pPr>
      <w:r>
        <w:rPr>
          <w:rFonts w:ascii="Arial Narrow" w:hAnsi="Arial Narrow"/>
          <w:i/>
          <w:iCs/>
          <w:sz w:val="18"/>
          <w:szCs w:val="18"/>
          <w:vertAlign w:val="superscript"/>
        </w:rPr>
        <w:t>9</w:t>
      </w:r>
      <w:r w:rsidRPr="004A7F35">
        <w:rPr>
          <w:rFonts w:ascii="Arial Narrow" w:hAnsi="Arial Narrow"/>
          <w:i/>
          <w:iCs/>
          <w:sz w:val="18"/>
          <w:szCs w:val="18"/>
        </w:rPr>
        <w:t xml:space="preserve"> 600,000 to &lt; 700,000</w:t>
      </w:r>
    </w:p>
    <w:p w14:paraId="5541F94C" w14:textId="77777777" w:rsidR="00981298" w:rsidRPr="004A7F35" w:rsidRDefault="00981298" w:rsidP="00981298">
      <w:pPr>
        <w:rPr>
          <w:rFonts w:ascii="Arial Narrow" w:hAnsi="Arial Narrow"/>
          <w:i/>
          <w:iCs/>
          <w:sz w:val="18"/>
          <w:szCs w:val="18"/>
        </w:rPr>
      </w:pPr>
      <w:r>
        <w:rPr>
          <w:rFonts w:ascii="Arial Narrow" w:hAnsi="Arial Narrow"/>
          <w:i/>
          <w:iCs/>
          <w:sz w:val="18"/>
          <w:szCs w:val="18"/>
          <w:vertAlign w:val="superscript"/>
        </w:rPr>
        <w:t>10</w:t>
      </w:r>
      <w:r w:rsidRPr="004A7F35">
        <w:rPr>
          <w:rFonts w:ascii="Arial Narrow" w:hAnsi="Arial Narrow"/>
          <w:i/>
          <w:iCs/>
          <w:sz w:val="18"/>
          <w:szCs w:val="18"/>
        </w:rPr>
        <w:t xml:space="preserve"> 700,000 to &lt; 800,000</w:t>
      </w:r>
    </w:p>
    <w:p w14:paraId="5F05ADCD" w14:textId="77777777" w:rsidR="00981298" w:rsidRPr="00BE7EA5" w:rsidRDefault="00981298" w:rsidP="00981298">
      <w:pPr>
        <w:rPr>
          <w:rFonts w:ascii="Arial Narrow" w:hAnsi="Arial Narrow"/>
          <w:i/>
          <w:iCs/>
          <w:sz w:val="18"/>
          <w:szCs w:val="18"/>
        </w:rPr>
      </w:pPr>
      <w:r>
        <w:rPr>
          <w:rFonts w:ascii="Arial Narrow" w:hAnsi="Arial Narrow"/>
          <w:i/>
          <w:iCs/>
          <w:sz w:val="18"/>
          <w:szCs w:val="18"/>
          <w:vertAlign w:val="superscript"/>
        </w:rPr>
        <w:t>11</w:t>
      </w:r>
      <w:r w:rsidRPr="00BE7EA5">
        <w:rPr>
          <w:rFonts w:ascii="Arial Narrow" w:hAnsi="Arial Narrow"/>
          <w:i/>
          <w:iCs/>
          <w:sz w:val="18"/>
          <w:szCs w:val="18"/>
        </w:rPr>
        <w:t xml:space="preserve"> 800,000 to &lt; 900,000</w:t>
      </w:r>
    </w:p>
    <w:p w14:paraId="39A4C3AB" w14:textId="77777777" w:rsidR="00981298" w:rsidRDefault="00981298" w:rsidP="00981298">
      <w:pPr>
        <w:rPr>
          <w:rFonts w:ascii="Arial Narrow" w:hAnsi="Arial Narrow"/>
          <w:i/>
          <w:iCs/>
          <w:sz w:val="18"/>
          <w:szCs w:val="18"/>
        </w:rPr>
      </w:pPr>
      <w:r w:rsidRPr="00F83466">
        <w:rPr>
          <w:rFonts w:ascii="Arial Narrow" w:hAnsi="Arial Narrow"/>
          <w:i/>
          <w:iCs/>
          <w:sz w:val="18"/>
          <w:szCs w:val="18"/>
          <w:vertAlign w:val="superscript"/>
        </w:rPr>
        <w:t>1</w:t>
      </w:r>
      <w:r>
        <w:rPr>
          <w:rFonts w:ascii="Arial Narrow" w:hAnsi="Arial Narrow"/>
          <w:i/>
          <w:iCs/>
          <w:sz w:val="18"/>
          <w:szCs w:val="18"/>
          <w:vertAlign w:val="superscript"/>
        </w:rPr>
        <w:t>2</w:t>
      </w:r>
      <w:r>
        <w:rPr>
          <w:rFonts w:ascii="Arial Narrow" w:hAnsi="Arial Narrow"/>
          <w:i/>
          <w:iCs/>
          <w:sz w:val="18"/>
          <w:szCs w:val="18"/>
        </w:rPr>
        <w:t xml:space="preserve"> </w:t>
      </w:r>
      <w:r w:rsidRPr="00F83466">
        <w:rPr>
          <w:rFonts w:ascii="Arial Narrow" w:hAnsi="Arial Narrow"/>
          <w:i/>
          <w:iCs/>
          <w:sz w:val="18"/>
          <w:szCs w:val="18"/>
        </w:rPr>
        <w:t>$10 million to &lt; $20 million</w:t>
      </w:r>
    </w:p>
    <w:p w14:paraId="500003F3" w14:textId="77777777" w:rsidR="00981298" w:rsidRPr="00F83466" w:rsidRDefault="00981298" w:rsidP="00981298">
      <w:pPr>
        <w:rPr>
          <w:rFonts w:ascii="Arial Narrow" w:hAnsi="Arial Narrow"/>
          <w:i/>
          <w:iCs/>
          <w:sz w:val="18"/>
          <w:szCs w:val="18"/>
        </w:rPr>
      </w:pPr>
      <w:r w:rsidRPr="00F83466">
        <w:rPr>
          <w:rFonts w:ascii="Arial Narrow" w:hAnsi="Arial Narrow"/>
          <w:i/>
          <w:iCs/>
          <w:sz w:val="18"/>
          <w:szCs w:val="18"/>
          <w:vertAlign w:val="superscript"/>
        </w:rPr>
        <w:t>1</w:t>
      </w:r>
      <w:r>
        <w:rPr>
          <w:rFonts w:ascii="Arial Narrow" w:hAnsi="Arial Narrow"/>
          <w:i/>
          <w:iCs/>
          <w:sz w:val="18"/>
          <w:szCs w:val="18"/>
          <w:vertAlign w:val="superscript"/>
        </w:rPr>
        <w:t>3</w:t>
      </w:r>
      <w:r>
        <w:rPr>
          <w:rFonts w:ascii="Arial Narrow" w:hAnsi="Arial Narrow"/>
          <w:i/>
          <w:iCs/>
          <w:sz w:val="18"/>
          <w:szCs w:val="18"/>
        </w:rPr>
        <w:t xml:space="preserve"> </w:t>
      </w:r>
      <w:r w:rsidRPr="00F83466">
        <w:rPr>
          <w:rFonts w:ascii="Arial Narrow" w:hAnsi="Arial Narrow"/>
          <w:i/>
          <w:iCs/>
          <w:sz w:val="18"/>
          <w:szCs w:val="18"/>
        </w:rPr>
        <w:t>$20 million to &lt; $30 million</w:t>
      </w:r>
    </w:p>
    <w:p w14:paraId="4BB1D140" w14:textId="77777777" w:rsidR="00981298" w:rsidRPr="00F83466" w:rsidRDefault="00981298" w:rsidP="00981298">
      <w:pPr>
        <w:rPr>
          <w:rFonts w:ascii="Arial Narrow" w:hAnsi="Arial Narrow"/>
          <w:i/>
          <w:iCs/>
          <w:sz w:val="18"/>
          <w:szCs w:val="18"/>
        </w:rPr>
      </w:pPr>
      <w:r>
        <w:rPr>
          <w:rFonts w:ascii="Arial Narrow" w:hAnsi="Arial Narrow"/>
          <w:i/>
          <w:iCs/>
          <w:sz w:val="18"/>
          <w:szCs w:val="18"/>
          <w:vertAlign w:val="superscript"/>
        </w:rPr>
        <w:t>14</w:t>
      </w:r>
      <w:r w:rsidRPr="00F83466">
        <w:rPr>
          <w:rFonts w:ascii="Arial Narrow" w:hAnsi="Arial Narrow"/>
          <w:i/>
          <w:iCs/>
          <w:sz w:val="18"/>
          <w:szCs w:val="18"/>
        </w:rPr>
        <w:t>$30 million to &lt; $40 million</w:t>
      </w:r>
    </w:p>
    <w:p w14:paraId="2E6D05BB" w14:textId="680D5D7A" w:rsidR="00981298" w:rsidRDefault="00981298" w:rsidP="00981298">
      <w:pPr>
        <w:rPr>
          <w:rFonts w:ascii="Arial Narrow" w:hAnsi="Arial Narrow"/>
          <w:i/>
          <w:iCs/>
          <w:sz w:val="18"/>
          <w:szCs w:val="18"/>
        </w:rPr>
      </w:pPr>
      <w:r>
        <w:rPr>
          <w:rFonts w:ascii="Arial Narrow" w:hAnsi="Arial Narrow"/>
          <w:i/>
          <w:iCs/>
          <w:sz w:val="18"/>
          <w:szCs w:val="18"/>
          <w:vertAlign w:val="superscript"/>
        </w:rPr>
        <w:t>15</w:t>
      </w:r>
      <w:r>
        <w:rPr>
          <w:rFonts w:ascii="Arial Narrow" w:hAnsi="Arial Narrow"/>
          <w:i/>
          <w:iCs/>
          <w:sz w:val="18"/>
          <w:szCs w:val="18"/>
        </w:rPr>
        <w:t xml:space="preserve"> </w:t>
      </w:r>
      <w:r w:rsidRPr="00F83466">
        <w:rPr>
          <w:rFonts w:ascii="Arial Narrow" w:hAnsi="Arial Narrow"/>
          <w:i/>
          <w:iCs/>
          <w:sz w:val="18"/>
          <w:szCs w:val="18"/>
        </w:rPr>
        <w:t>$40 million to &lt; $50 million</w:t>
      </w:r>
    </w:p>
    <w:p w14:paraId="2959AB46" w14:textId="3ECA41CE" w:rsidR="00981298" w:rsidRDefault="00981298" w:rsidP="00981298">
      <w:pPr>
        <w:rPr>
          <w:rFonts w:ascii="Arial Narrow" w:hAnsi="Arial Narrow"/>
          <w:i/>
          <w:iCs/>
          <w:sz w:val="18"/>
          <w:szCs w:val="18"/>
        </w:rPr>
      </w:pPr>
      <w:r>
        <w:rPr>
          <w:rFonts w:ascii="Arial Narrow" w:hAnsi="Arial Narrow"/>
          <w:i/>
          <w:iCs/>
          <w:sz w:val="18"/>
          <w:szCs w:val="18"/>
          <w:vertAlign w:val="superscript"/>
        </w:rPr>
        <w:t>16</w:t>
      </w:r>
      <w:r w:rsidRPr="00F83466">
        <w:rPr>
          <w:rFonts w:ascii="Arial Narrow" w:hAnsi="Arial Narrow"/>
          <w:i/>
          <w:iCs/>
          <w:sz w:val="18"/>
          <w:szCs w:val="18"/>
          <w:vertAlign w:val="superscript"/>
        </w:rPr>
        <w:t xml:space="preserve"> </w:t>
      </w:r>
      <w:r w:rsidRPr="00F83466">
        <w:rPr>
          <w:rFonts w:ascii="Arial Narrow" w:hAnsi="Arial Narrow"/>
          <w:i/>
          <w:iCs/>
          <w:sz w:val="18"/>
          <w:szCs w:val="18"/>
        </w:rPr>
        <w:t>40,000 to &lt; 50,000</w:t>
      </w:r>
    </w:p>
    <w:p w14:paraId="3D04614B" w14:textId="3B84CFEE" w:rsidR="00981298" w:rsidRPr="00F83466" w:rsidRDefault="00981298" w:rsidP="00981298">
      <w:pPr>
        <w:rPr>
          <w:rFonts w:ascii="Arial Narrow" w:hAnsi="Arial Narrow"/>
          <w:i/>
          <w:iCs/>
          <w:sz w:val="18"/>
          <w:szCs w:val="18"/>
        </w:rPr>
      </w:pPr>
      <w:r>
        <w:rPr>
          <w:rFonts w:ascii="Arial Narrow" w:hAnsi="Arial Narrow"/>
          <w:i/>
          <w:iCs/>
          <w:sz w:val="18"/>
          <w:szCs w:val="18"/>
          <w:vertAlign w:val="superscript"/>
        </w:rPr>
        <w:t>17</w:t>
      </w:r>
      <w:r w:rsidRPr="00F83466">
        <w:rPr>
          <w:rFonts w:ascii="Arial Narrow" w:hAnsi="Arial Narrow"/>
          <w:i/>
          <w:iCs/>
          <w:sz w:val="18"/>
          <w:szCs w:val="18"/>
        </w:rPr>
        <w:t xml:space="preserve"> 80,000 to &lt; 90,000</w:t>
      </w:r>
    </w:p>
    <w:p w14:paraId="29FA4925" w14:textId="00162451" w:rsidR="00981298" w:rsidRDefault="00981298" w:rsidP="00981298">
      <w:pPr>
        <w:rPr>
          <w:rFonts w:ascii="Arial Narrow" w:hAnsi="Arial Narrow"/>
          <w:i/>
          <w:iCs/>
          <w:sz w:val="18"/>
          <w:szCs w:val="18"/>
        </w:rPr>
      </w:pPr>
      <w:r>
        <w:rPr>
          <w:rFonts w:ascii="Arial Narrow" w:hAnsi="Arial Narrow"/>
          <w:i/>
          <w:iCs/>
          <w:sz w:val="18"/>
          <w:szCs w:val="18"/>
          <w:vertAlign w:val="superscript"/>
        </w:rPr>
        <w:t>18</w:t>
      </w:r>
      <w:r w:rsidRPr="00F83466">
        <w:rPr>
          <w:rFonts w:ascii="Arial Narrow" w:hAnsi="Arial Narrow"/>
          <w:i/>
          <w:iCs/>
          <w:sz w:val="18"/>
          <w:szCs w:val="18"/>
        </w:rPr>
        <w:t xml:space="preserve"> 900,000 to &lt; 1,000,000</w:t>
      </w:r>
    </w:p>
    <w:p w14:paraId="2909A052" w14:textId="027BA776" w:rsidR="00B40193" w:rsidRPr="00F83466" w:rsidRDefault="00B40193" w:rsidP="00B40193">
      <w:pPr>
        <w:rPr>
          <w:rFonts w:ascii="Arial Narrow" w:hAnsi="Arial Narrow"/>
          <w:i/>
          <w:iCs/>
          <w:sz w:val="18"/>
          <w:szCs w:val="18"/>
        </w:rPr>
      </w:pPr>
      <w:r>
        <w:rPr>
          <w:rFonts w:ascii="Arial Narrow" w:hAnsi="Arial Narrow"/>
          <w:i/>
          <w:iCs/>
          <w:sz w:val="18"/>
          <w:szCs w:val="18"/>
          <w:vertAlign w:val="superscript"/>
        </w:rPr>
        <w:t>19</w:t>
      </w:r>
      <w:r w:rsidRPr="00F83466">
        <w:rPr>
          <w:rFonts w:ascii="Arial Narrow" w:hAnsi="Arial Narrow"/>
          <w:i/>
          <w:iCs/>
          <w:sz w:val="18"/>
          <w:szCs w:val="18"/>
          <w:vertAlign w:val="superscript"/>
        </w:rPr>
        <w:t xml:space="preserve"> </w:t>
      </w:r>
      <w:r w:rsidRPr="00F83466">
        <w:rPr>
          <w:rFonts w:ascii="Arial Narrow" w:hAnsi="Arial Narrow"/>
          <w:i/>
          <w:iCs/>
          <w:sz w:val="18"/>
          <w:szCs w:val="18"/>
        </w:rPr>
        <w:t>100,000 to &lt; 200,000</w:t>
      </w:r>
    </w:p>
    <w:p w14:paraId="6285C240" w14:textId="3D4E6E6D" w:rsidR="004903AD" w:rsidRPr="00F3796A" w:rsidRDefault="004903AD" w:rsidP="004903AD">
      <w:pPr>
        <w:rPr>
          <w:rFonts w:ascii="Arial Narrow" w:hAnsi="Arial Narrow"/>
          <w:i/>
          <w:iCs/>
          <w:sz w:val="18"/>
          <w:szCs w:val="18"/>
        </w:rPr>
      </w:pPr>
      <w:r>
        <w:rPr>
          <w:rFonts w:ascii="Arial Narrow" w:hAnsi="Arial Narrow"/>
          <w:i/>
          <w:iCs/>
          <w:sz w:val="18"/>
          <w:szCs w:val="18"/>
          <w:vertAlign w:val="superscript"/>
        </w:rPr>
        <w:t>20</w:t>
      </w:r>
      <w:r w:rsidRPr="00F83466">
        <w:rPr>
          <w:rFonts w:ascii="Arial Narrow" w:hAnsi="Arial Narrow"/>
          <w:i/>
          <w:iCs/>
          <w:sz w:val="18"/>
          <w:szCs w:val="18"/>
        </w:rPr>
        <w:t xml:space="preserve"> </w:t>
      </w:r>
      <w:r w:rsidRPr="00F3796A">
        <w:rPr>
          <w:rFonts w:ascii="Arial Narrow" w:hAnsi="Arial Narrow"/>
          <w:i/>
          <w:iCs/>
          <w:sz w:val="18"/>
          <w:szCs w:val="18"/>
        </w:rPr>
        <w:t>1,000,000 to &lt; 2,000,000</w:t>
      </w:r>
    </w:p>
    <w:p w14:paraId="49FB351C" w14:textId="19E8CBB0" w:rsidR="00AE481F" w:rsidRPr="00A51AD5" w:rsidRDefault="007641A3" w:rsidP="00AE481F">
      <w:pPr>
        <w:rPr>
          <w:rFonts w:ascii="Arial Narrow" w:hAnsi="Arial Narrow"/>
          <w:i/>
          <w:iCs/>
          <w:sz w:val="18"/>
          <w:szCs w:val="18"/>
        </w:rPr>
      </w:pPr>
      <w:r w:rsidRPr="00A51AD5">
        <w:rPr>
          <w:rFonts w:ascii="Arial Narrow" w:hAnsi="Arial Narrow"/>
          <w:i/>
          <w:iCs/>
          <w:sz w:val="18"/>
          <w:szCs w:val="18"/>
          <w:vertAlign w:val="superscript"/>
        </w:rPr>
        <w:t>2</w:t>
      </w:r>
      <w:r w:rsidR="00F3796A">
        <w:rPr>
          <w:rFonts w:ascii="Arial Narrow" w:hAnsi="Arial Narrow"/>
          <w:i/>
          <w:iCs/>
          <w:sz w:val="18"/>
          <w:szCs w:val="18"/>
          <w:vertAlign w:val="superscript"/>
        </w:rPr>
        <w:t>1</w:t>
      </w:r>
      <w:r>
        <w:rPr>
          <w:rFonts w:ascii="Arial Narrow" w:hAnsi="Arial Narrow"/>
          <w:i/>
          <w:iCs/>
          <w:sz w:val="18"/>
          <w:szCs w:val="18"/>
        </w:rPr>
        <w:t xml:space="preserve"> </w:t>
      </w:r>
      <w:r w:rsidR="00AE481F" w:rsidRPr="00A51AD5">
        <w:rPr>
          <w:rFonts w:ascii="Arial Narrow" w:hAnsi="Arial Narrow"/>
          <w:i/>
          <w:iCs/>
          <w:sz w:val="18"/>
          <w:szCs w:val="18"/>
        </w:rPr>
        <w:t>$50 million to &lt; $60 million</w:t>
      </w:r>
    </w:p>
    <w:p w14:paraId="45314299" w14:textId="23836A27" w:rsidR="00AE481F" w:rsidRPr="00A51AD5" w:rsidRDefault="007641A3" w:rsidP="00AE481F">
      <w:pPr>
        <w:rPr>
          <w:rFonts w:ascii="Arial Narrow" w:hAnsi="Arial Narrow"/>
          <w:i/>
          <w:iCs/>
          <w:sz w:val="18"/>
          <w:szCs w:val="18"/>
        </w:rPr>
      </w:pPr>
      <w:r w:rsidRPr="00A51AD5">
        <w:rPr>
          <w:rFonts w:ascii="Arial Narrow" w:hAnsi="Arial Narrow"/>
          <w:i/>
          <w:iCs/>
          <w:sz w:val="18"/>
          <w:szCs w:val="18"/>
          <w:vertAlign w:val="superscript"/>
        </w:rPr>
        <w:t>2</w:t>
      </w:r>
      <w:r w:rsidR="00F3796A">
        <w:rPr>
          <w:rFonts w:ascii="Arial Narrow" w:hAnsi="Arial Narrow"/>
          <w:i/>
          <w:iCs/>
          <w:sz w:val="18"/>
          <w:szCs w:val="18"/>
          <w:vertAlign w:val="superscript"/>
        </w:rPr>
        <w:t>2</w:t>
      </w:r>
      <w:r>
        <w:rPr>
          <w:rFonts w:ascii="Arial Narrow" w:hAnsi="Arial Narrow"/>
          <w:i/>
          <w:iCs/>
          <w:sz w:val="18"/>
          <w:szCs w:val="18"/>
        </w:rPr>
        <w:t xml:space="preserve"> </w:t>
      </w:r>
      <w:r w:rsidR="00AE481F" w:rsidRPr="00A51AD5">
        <w:rPr>
          <w:rFonts w:ascii="Arial Narrow" w:hAnsi="Arial Narrow"/>
          <w:i/>
          <w:iCs/>
          <w:sz w:val="18"/>
          <w:szCs w:val="18"/>
        </w:rPr>
        <w:t>$60 million to &lt; $70 million</w:t>
      </w:r>
    </w:p>
    <w:p w14:paraId="0DD4AFBE" w14:textId="0096AED4" w:rsidR="00AE481F" w:rsidRPr="00A51AD5" w:rsidRDefault="007641A3" w:rsidP="00AE481F">
      <w:pPr>
        <w:rPr>
          <w:rFonts w:ascii="Arial Narrow" w:hAnsi="Arial Narrow"/>
          <w:i/>
          <w:iCs/>
          <w:sz w:val="18"/>
          <w:szCs w:val="18"/>
        </w:rPr>
      </w:pPr>
      <w:r w:rsidRPr="00A51AD5">
        <w:rPr>
          <w:rFonts w:ascii="Arial Narrow" w:hAnsi="Arial Narrow"/>
          <w:i/>
          <w:iCs/>
          <w:sz w:val="18"/>
          <w:szCs w:val="18"/>
          <w:vertAlign w:val="superscript"/>
        </w:rPr>
        <w:t>2</w:t>
      </w:r>
      <w:r w:rsidR="00F3796A">
        <w:rPr>
          <w:rFonts w:ascii="Arial Narrow" w:hAnsi="Arial Narrow"/>
          <w:i/>
          <w:iCs/>
          <w:sz w:val="18"/>
          <w:szCs w:val="18"/>
          <w:vertAlign w:val="superscript"/>
        </w:rPr>
        <w:t xml:space="preserve">3 </w:t>
      </w:r>
      <w:r w:rsidR="00AE481F" w:rsidRPr="00A51AD5">
        <w:rPr>
          <w:rFonts w:ascii="Arial Narrow" w:hAnsi="Arial Narrow"/>
          <w:i/>
          <w:iCs/>
          <w:sz w:val="18"/>
          <w:szCs w:val="18"/>
        </w:rPr>
        <w:t>$70 million to &lt; $80 million</w:t>
      </w:r>
    </w:p>
    <w:p w14:paraId="658E84D6" w14:textId="494683F8" w:rsidR="001178E8" w:rsidRPr="00933708" w:rsidRDefault="007641A3" w:rsidP="00A51AD5">
      <w:pPr>
        <w:spacing w:after="120"/>
      </w:pPr>
      <w:r w:rsidRPr="00A51AD5">
        <w:rPr>
          <w:rFonts w:ascii="Arial Narrow" w:hAnsi="Arial Narrow"/>
          <w:i/>
          <w:iCs/>
          <w:sz w:val="18"/>
          <w:szCs w:val="18"/>
          <w:vertAlign w:val="superscript"/>
        </w:rPr>
        <w:t>2</w:t>
      </w:r>
      <w:r w:rsidR="00F3796A">
        <w:rPr>
          <w:rFonts w:ascii="Arial Narrow" w:hAnsi="Arial Narrow"/>
          <w:i/>
          <w:iCs/>
          <w:sz w:val="18"/>
          <w:szCs w:val="18"/>
          <w:vertAlign w:val="superscript"/>
        </w:rPr>
        <w:t>4</w:t>
      </w:r>
      <w:r w:rsidRPr="00A51AD5">
        <w:rPr>
          <w:rFonts w:ascii="Arial Narrow" w:hAnsi="Arial Narrow"/>
          <w:i/>
          <w:iCs/>
          <w:sz w:val="18"/>
          <w:szCs w:val="18"/>
          <w:vertAlign w:val="superscript"/>
        </w:rPr>
        <w:t xml:space="preserve"> </w:t>
      </w:r>
      <w:r w:rsidR="00AE481F" w:rsidRPr="00A51AD5">
        <w:rPr>
          <w:rFonts w:ascii="Arial Narrow" w:hAnsi="Arial Narrow"/>
          <w:i/>
          <w:iCs/>
          <w:sz w:val="18"/>
          <w:szCs w:val="18"/>
        </w:rPr>
        <w:t>$80 million to &lt; $90 million</w:t>
      </w:r>
    </w:p>
    <w:p w14:paraId="278B0097" w14:textId="373EAEE5" w:rsidR="001178E8" w:rsidRPr="00933708" w:rsidRDefault="001178E8" w:rsidP="007C4C88">
      <w:pPr>
        <w:pStyle w:val="ListParagraph"/>
        <w:numPr>
          <w:ilvl w:val="1"/>
          <w:numId w:val="1"/>
        </w:numPr>
        <w:ind w:left="720" w:hanging="720"/>
      </w:pPr>
      <w:r w:rsidRPr="00933708">
        <w:t>The estimated net cost to the PBS/RPBS (based on 30 day dispensing and 1 July 2023 markups) for the overlap subgroup was $</w:t>
      </w:r>
      <w:r w:rsidR="009E349A" w:rsidRPr="009E349A">
        <w:t>10 million to &lt; $20 </w:t>
      </w:r>
      <w:r w:rsidRPr="00933708">
        <w:t>million in Year 1, increasing to $</w:t>
      </w:r>
      <w:r w:rsidR="009E349A" w:rsidRPr="009E349A">
        <w:t>40 million to &lt; $50</w:t>
      </w:r>
      <w:r w:rsidRPr="00933708">
        <w:t xml:space="preserve"> million in Year 6, an estimated cumulative net cost of $</w:t>
      </w:r>
      <w:r w:rsidR="009E349A" w:rsidRPr="009E349A">
        <w:t>100 million to &lt; $200 </w:t>
      </w:r>
      <w:r w:rsidRPr="00933708">
        <w:t>million in the first six years of listing. The estimated net cost to the PBS/RPBS represents the total SGLT2 inhibitor utilisation in the overlap subgroup.</w:t>
      </w:r>
    </w:p>
    <w:p w14:paraId="1AA25FCC" w14:textId="4A53C94A" w:rsidR="001178E8" w:rsidRPr="00933708" w:rsidRDefault="001178E8" w:rsidP="007C4C88">
      <w:pPr>
        <w:pStyle w:val="ListParagraph"/>
        <w:numPr>
          <w:ilvl w:val="1"/>
          <w:numId w:val="1"/>
        </w:numPr>
        <w:ind w:left="720" w:hanging="720"/>
      </w:pPr>
      <w:r w:rsidRPr="00933708">
        <w:lastRenderedPageBreak/>
        <w:t>The submission estimated that the incremental subgroup will be larger than the CKD population currently eligible for dapagliflozin. The estimated net cost to the PBS/RPBS (based on 30 day dispensing and 1 July 2023 markups) for the incremental subgroup was $</w:t>
      </w:r>
      <w:r w:rsidR="009E349A" w:rsidRPr="009E349A">
        <w:t>10 million to &lt; $20 </w:t>
      </w:r>
      <w:r w:rsidRPr="00933708">
        <w:t>million in Year 1, increasing to $</w:t>
      </w:r>
      <w:r w:rsidR="009E349A" w:rsidRPr="009E349A">
        <w:t>40 million to &lt; $50 </w:t>
      </w:r>
      <w:r w:rsidRPr="00933708">
        <w:t>million in Year 6, an estimated cumulative net cost of $</w:t>
      </w:r>
      <w:r w:rsidR="009E349A" w:rsidRPr="009E349A">
        <w:t>100 million to &lt; $200 </w:t>
      </w:r>
      <w:r w:rsidRPr="00933708">
        <w:t>million in the first six years of listing.</w:t>
      </w:r>
    </w:p>
    <w:p w14:paraId="6241DEC3" w14:textId="329FE4DA" w:rsidR="001178E8" w:rsidRPr="00933708" w:rsidRDefault="001178E8" w:rsidP="007C4C88">
      <w:pPr>
        <w:pStyle w:val="ListParagraph"/>
        <w:numPr>
          <w:ilvl w:val="1"/>
          <w:numId w:val="1"/>
        </w:numPr>
        <w:ind w:left="720" w:hanging="720"/>
      </w:pPr>
      <w:r w:rsidRPr="00933708">
        <w:t>The total estimated net cost to the PBS/RPBS for both populations was $</w:t>
      </w:r>
      <w:r w:rsidR="009E349A" w:rsidRPr="009E349A">
        <w:t>30 million to &lt; $40</w:t>
      </w:r>
      <w:r w:rsidRPr="00933708">
        <w:t xml:space="preserve"> million in Year 1, increasing to $</w:t>
      </w:r>
      <w:r w:rsidR="009E349A" w:rsidRPr="009E349A">
        <w:t>80 million to &lt; $90 </w:t>
      </w:r>
      <w:r w:rsidRPr="00933708">
        <w:t xml:space="preserve">million in </w:t>
      </w:r>
      <w:r w:rsidR="00A60E99" w:rsidRPr="00933708">
        <w:t>Year</w:t>
      </w:r>
      <w:r w:rsidR="00A60E99">
        <w:t> </w:t>
      </w:r>
      <w:r w:rsidRPr="00933708">
        <w:t>6, an estimated cumulative net cost of $</w:t>
      </w:r>
      <w:r w:rsidR="009E349A" w:rsidRPr="009E349A">
        <w:t>300 million to &lt; $400 </w:t>
      </w:r>
      <w:r w:rsidRPr="00933708">
        <w:t>million.</w:t>
      </w:r>
    </w:p>
    <w:p w14:paraId="140BCDE3" w14:textId="77777777" w:rsidR="001178E8" w:rsidRPr="00933708" w:rsidRDefault="001178E8" w:rsidP="007C4C88">
      <w:pPr>
        <w:pStyle w:val="ListParagraph"/>
        <w:numPr>
          <w:ilvl w:val="1"/>
          <w:numId w:val="1"/>
        </w:numPr>
        <w:ind w:left="720" w:hanging="720"/>
        <w:rPr>
          <w:color w:val="000000" w:themeColor="text1"/>
        </w:rPr>
      </w:pPr>
      <w:bookmarkStart w:id="71" w:name="_Ref150866176"/>
      <w:r w:rsidRPr="00933708">
        <w:t>The estimated</w:t>
      </w:r>
      <w:r w:rsidRPr="00933708">
        <w:rPr>
          <w:color w:val="000000" w:themeColor="text1"/>
        </w:rPr>
        <w:t xml:space="preserve"> utilisation and net cost of listing empagliflozin for CKD on the PBS were uncertain for the following reasons:</w:t>
      </w:r>
      <w:bookmarkEnd w:id="71"/>
    </w:p>
    <w:p w14:paraId="23E63849" w14:textId="77777777" w:rsidR="001178E8" w:rsidRPr="00933708" w:rsidRDefault="001178E8" w:rsidP="00A51AD5">
      <w:pPr>
        <w:pStyle w:val="COMexecsummbulletlist"/>
        <w:numPr>
          <w:ilvl w:val="0"/>
          <w:numId w:val="16"/>
        </w:numPr>
      </w:pPr>
      <w:r w:rsidRPr="00933708">
        <w:t>The estimated utilisation of empagliflozin in the overlap subgroup did not incorporate offsets associated with use/substitution of dapagliflozin and only provides an estimate of use and costs of SGLT2 inhibitors as a whole.</w:t>
      </w:r>
    </w:p>
    <w:p w14:paraId="2C62C8A3" w14:textId="77777777" w:rsidR="00E20810" w:rsidRPr="00933708" w:rsidRDefault="001178E8" w:rsidP="00461569">
      <w:pPr>
        <w:pStyle w:val="COMexecsummbulletlist"/>
        <w:numPr>
          <w:ilvl w:val="0"/>
          <w:numId w:val="16"/>
        </w:numPr>
      </w:pPr>
      <w:r w:rsidRPr="00933708">
        <w:t>The inclusion of an additional proportion of patients ineligible for SGLT2 inhibitor therapy for type 2 diabetes to the PBAC’s previous estimates may have overestimated the total number of CKD patients who are not eligible for SGLT2 inhibitor therapy for diabetes (and who would therefore be eligible under the requested CKD restriction).</w:t>
      </w:r>
      <w:r w:rsidR="00E20810" w:rsidRPr="00933708">
        <w:t xml:space="preserve"> </w:t>
      </w:r>
    </w:p>
    <w:p w14:paraId="02272102" w14:textId="3FF82630" w:rsidR="00E20810" w:rsidRPr="00933708" w:rsidRDefault="00E20810" w:rsidP="00461569">
      <w:pPr>
        <w:pStyle w:val="COMexecsummbulletlist"/>
        <w:numPr>
          <w:ilvl w:val="0"/>
          <w:numId w:val="16"/>
        </w:numPr>
      </w:pPr>
      <w:r w:rsidRPr="00933708">
        <w:t>DUSC considered that there was significant uncertainty in the current prevalence of CKD in the Australian population. DUSC noted that based on a single biological marker, 1 in 3 adults are at risk of developing CKD, 1 in 10 have early signs of CKD, and 1.7 million may have undiagnosed CKD.</w:t>
      </w:r>
    </w:p>
    <w:p w14:paraId="3229FF9A" w14:textId="77777777" w:rsidR="00E20810" w:rsidRPr="00933708" w:rsidRDefault="00E20810" w:rsidP="00461569">
      <w:pPr>
        <w:pStyle w:val="COMexecsummbulletlist"/>
        <w:numPr>
          <w:ilvl w:val="0"/>
          <w:numId w:val="16"/>
        </w:numPr>
      </w:pPr>
      <w:r w:rsidRPr="00933708">
        <w:t>DUSC considered that the estimated proportion of adults diagnosed with CKD to be an overestimate and that it was unclear whether the rate of diagnosis would continue to increase in a linear fashion.</w:t>
      </w:r>
    </w:p>
    <w:p w14:paraId="67767061" w14:textId="6EB812E6" w:rsidR="001178E8" w:rsidRPr="00933708" w:rsidRDefault="001178E8" w:rsidP="00461569">
      <w:pPr>
        <w:pStyle w:val="COMexecsummbulletlist"/>
        <w:numPr>
          <w:ilvl w:val="0"/>
          <w:numId w:val="16"/>
        </w:numPr>
      </w:pPr>
      <w:r w:rsidRPr="00933708">
        <w:t>In estimating eligible patients in the incremental subgroup, it is unclear whether proportions of patients with different albuminuria levels from the National Health Measures Survey dataset are representative of the distribution of albuminuria levels within each eGFR stage. Distribution of albuminuria is likely to be different within more or less severe eGFR stages.</w:t>
      </w:r>
    </w:p>
    <w:p w14:paraId="6B388578" w14:textId="77777777" w:rsidR="00E20810" w:rsidRPr="00933708" w:rsidRDefault="00E20810" w:rsidP="00461569">
      <w:pPr>
        <w:pStyle w:val="COMexecsummbulletlist"/>
        <w:numPr>
          <w:ilvl w:val="0"/>
          <w:numId w:val="16"/>
        </w:numPr>
      </w:pPr>
      <w:r w:rsidRPr="00933708">
        <w:t>DUSC noted that the estimated proportion of patients without type 2 diabetes mellitus (T2DM) of 50% represented the total proportion of patients (inclusive of those with HbA1c ≤7%) who are not eligible for sodium-glucose co-transporter 2 (SGLT2) inhibitors treatment for T2DM. As a result, DUSC considered that the proportion of patients with T2DM who are not eligible would, in effect, be an overestimate.</w:t>
      </w:r>
    </w:p>
    <w:p w14:paraId="72655004" w14:textId="77777777" w:rsidR="00E20810" w:rsidRPr="00933708" w:rsidRDefault="00E20810" w:rsidP="00461569">
      <w:pPr>
        <w:pStyle w:val="COMexecsummbulletlist"/>
        <w:numPr>
          <w:ilvl w:val="0"/>
          <w:numId w:val="16"/>
        </w:numPr>
      </w:pPr>
      <w:r w:rsidRPr="00933708">
        <w:t xml:space="preserve">DUSC considered that the proportion of patients with kidney failure who do not initiate renal replacement therapy (RRT) to be inaccurate due to double counting </w:t>
      </w:r>
      <w:r w:rsidRPr="00933708">
        <w:lastRenderedPageBreak/>
        <w:t>of those patients who have progressed to end stage kidney disease. However, DUSC considered the effect on the estimates to be small.</w:t>
      </w:r>
    </w:p>
    <w:p w14:paraId="33BB9A5F" w14:textId="09F6EC48" w:rsidR="00E20810" w:rsidRPr="00933708" w:rsidRDefault="00E20810" w:rsidP="00461569">
      <w:pPr>
        <w:pStyle w:val="COMexecsummbulletlist"/>
        <w:numPr>
          <w:ilvl w:val="0"/>
          <w:numId w:val="16"/>
        </w:numPr>
      </w:pPr>
      <w:r w:rsidRPr="00933708">
        <w:t xml:space="preserve">DUSC considered that the uptake rates for the </w:t>
      </w:r>
      <w:r w:rsidR="00AD3910" w:rsidRPr="00933708">
        <w:t>overlap</w:t>
      </w:r>
      <w:r w:rsidRPr="00933708">
        <w:t xml:space="preserve"> subgroup to be overestimated </w:t>
      </w:r>
      <w:r w:rsidR="000F55EA" w:rsidRPr="00933708">
        <w:t>as it does not account for the current dapagliflozin treated population and assumes that the dapagliflozin market is not already saturated</w:t>
      </w:r>
      <w:r w:rsidR="00933708">
        <w:t xml:space="preserve">. </w:t>
      </w:r>
      <w:r w:rsidR="000F55EA" w:rsidRPr="00933708">
        <w:t xml:space="preserve">DUSC considered that the uptake rate assumption for </w:t>
      </w:r>
      <w:r w:rsidRPr="00933708">
        <w:t xml:space="preserve">the incremental subgroups </w:t>
      </w:r>
      <w:r w:rsidR="000F55EA" w:rsidRPr="00933708">
        <w:t>to be an underestimate as it assumes only a slightly higher uptake in a patient group where no other targeted treatment is currently available.</w:t>
      </w:r>
      <w:r w:rsidR="000F55EA" w:rsidRPr="00933708">
        <w:rPr>
          <w:i/>
          <w:iCs/>
        </w:rPr>
        <w:t xml:space="preserve"> </w:t>
      </w:r>
      <w:r w:rsidRPr="00933708">
        <w:t>.</w:t>
      </w:r>
    </w:p>
    <w:p w14:paraId="26BA044E" w14:textId="1B3AD4E1" w:rsidR="00E20810" w:rsidRPr="00933708" w:rsidRDefault="00E20810" w:rsidP="00461569">
      <w:pPr>
        <w:pStyle w:val="COMexecsummbulletlist"/>
        <w:numPr>
          <w:ilvl w:val="0"/>
          <w:numId w:val="16"/>
        </w:numPr>
      </w:pPr>
      <w:r w:rsidRPr="00933708">
        <w:t>DUSC considered that the overall usage is difficult to estimate due to cofounding effects when the treatment can also be indicated for conditions which often coincide in patients with CKD such as T2DM and heart failure.</w:t>
      </w:r>
    </w:p>
    <w:p w14:paraId="73D9D952" w14:textId="48A7DA35" w:rsidR="00147950" w:rsidRPr="00933708" w:rsidRDefault="00147950" w:rsidP="007C4C88">
      <w:pPr>
        <w:pStyle w:val="ListParagraph"/>
        <w:numPr>
          <w:ilvl w:val="1"/>
          <w:numId w:val="1"/>
        </w:numPr>
        <w:ind w:left="720" w:hanging="720"/>
        <w:rPr>
          <w:iCs/>
        </w:rPr>
      </w:pPr>
      <w:r w:rsidRPr="00933708">
        <w:t>The</w:t>
      </w:r>
      <w:r w:rsidRPr="00933708">
        <w:rPr>
          <w:iCs/>
        </w:rPr>
        <w:t xml:space="preserve"> ESC was concerned that the cost effectiveness of the lowest risk incremental subgroup (eGFR &gt;75 and &lt;90mL/min/1.73m2 and UACR </w:t>
      </w:r>
      <w:r w:rsidRPr="00933708">
        <w:rPr>
          <w:iCs/>
          <w:u w:val="single"/>
        </w:rPr>
        <w:t>&gt;</w:t>
      </w:r>
      <w:r w:rsidRPr="00933708">
        <w:rPr>
          <w:iCs/>
        </w:rPr>
        <w:t>200mg/g) was not established in the cost utility analysis and empagliflozin may be less effective in this subgroup. The inclusion of this group in the financial estimates adds to uncertainty, as the size of this subgroup population may influence the overall cost-effectiveness of the population.</w:t>
      </w:r>
    </w:p>
    <w:p w14:paraId="03E95925" w14:textId="10CF81F9" w:rsidR="00356D8C" w:rsidRPr="00933708" w:rsidRDefault="00356D8C" w:rsidP="00356D8C">
      <w:pPr>
        <w:pStyle w:val="COMexecsumnumberedpara"/>
        <w:numPr>
          <w:ilvl w:val="0"/>
          <w:numId w:val="0"/>
        </w:numPr>
        <w:ind w:left="720"/>
        <w:rPr>
          <w:iCs/>
        </w:rPr>
      </w:pPr>
      <w:r w:rsidRPr="00933708">
        <w:rPr>
          <w:rFonts w:cstheme="minorHAnsi"/>
          <w:i/>
        </w:rPr>
        <w:t>For more detail on PBAC’s view, see section 7 PBAC outcome</w:t>
      </w:r>
    </w:p>
    <w:p w14:paraId="6EDA40B4" w14:textId="77777777" w:rsidR="008C7F75" w:rsidRPr="00933708" w:rsidRDefault="008C7F75" w:rsidP="008C7F75">
      <w:pPr>
        <w:pStyle w:val="COMH2-non-numbered"/>
        <w:rPr>
          <w:iCs/>
        </w:rPr>
      </w:pPr>
      <w:bookmarkStart w:id="72" w:name="_Toc118449725"/>
      <w:bookmarkStart w:id="73" w:name="_Toc145496444"/>
      <w:r w:rsidRPr="00933708">
        <w:rPr>
          <w:iCs/>
        </w:rPr>
        <w:t>Quality Use of Medicines</w:t>
      </w:r>
      <w:bookmarkEnd w:id="72"/>
      <w:bookmarkEnd w:id="73"/>
    </w:p>
    <w:p w14:paraId="7ABFD3AA" w14:textId="2147F60F" w:rsidR="00E20810" w:rsidRPr="00933708" w:rsidRDefault="008C7F75" w:rsidP="007C4C88">
      <w:pPr>
        <w:pStyle w:val="ListParagraph"/>
        <w:numPr>
          <w:ilvl w:val="1"/>
          <w:numId w:val="1"/>
        </w:numPr>
        <w:ind w:left="720" w:hanging="720"/>
      </w:pPr>
      <w:r w:rsidRPr="00933708">
        <w:t>The sponsor proposed awareness and educational activities to address the need for clinician education and support for peri-procedural practice and ketoacidosis, candidiasis and urinary symptoms previously noted by DUSC (6.75, Dapagliflozin PSD, July 2021 PBAC meeting). In addition, the sponsor proposed ongoing engagement and communication with pharmacists to ensure there is no inadvertent co-prescribing of empagliflozin for other indications such as type 2 diabetes and heart failure, as well as concomitant use with other SGLT2 inhibitors. The submission noted that the brand name and trade pack for empagliflozin will be the same across all indications to minimise the risk of patient confusion.</w:t>
      </w:r>
      <w:r w:rsidR="00E20810" w:rsidRPr="00933708">
        <w:t xml:space="preserve"> DUSC considered that there are potential age-related effects in patients with co-morbidities and with potential co-prescribing of empagliflozin (and/or other SGLT2 Inhibitors) in patients with T2DM and heart failure.</w:t>
      </w:r>
    </w:p>
    <w:p w14:paraId="70C66C04" w14:textId="77777777" w:rsidR="00E20810" w:rsidRPr="00933708" w:rsidRDefault="008C7F75" w:rsidP="007C4C88">
      <w:pPr>
        <w:pStyle w:val="ListParagraph"/>
        <w:numPr>
          <w:ilvl w:val="1"/>
          <w:numId w:val="1"/>
        </w:numPr>
        <w:ind w:left="720" w:hanging="720"/>
      </w:pPr>
      <w:r w:rsidRPr="00933708">
        <w:t>The submission noted that the differences in renal dosing recommendations may present some confusion for healthcare professionals, and proposed continued educational support to ensure healthcare professionals understand the contraindications regarding eGFR levels and follow guidance in the Product Information for empagliflozin</w:t>
      </w:r>
      <w:r w:rsidR="007B635A" w:rsidRPr="00933708">
        <w:t xml:space="preserve"> (once TGA-approved)</w:t>
      </w:r>
      <w:r w:rsidRPr="00933708">
        <w:t>.</w:t>
      </w:r>
      <w:r w:rsidR="00E20810" w:rsidRPr="00933708">
        <w:t xml:space="preserve"> DUSC considered that the complexity of empagliflozin’s restriction criteria and the differences it has with dapagliflozin may cause difficulties for prescribers in practice.</w:t>
      </w:r>
    </w:p>
    <w:p w14:paraId="6015A395" w14:textId="2EDB6A4E" w:rsidR="00576972" w:rsidRPr="00933708" w:rsidRDefault="00576972" w:rsidP="00606FBA">
      <w:pPr>
        <w:pStyle w:val="COMH2-non-numbered"/>
        <w:rPr>
          <w:iCs/>
        </w:rPr>
      </w:pPr>
      <w:bookmarkStart w:id="74" w:name="_Toc22897649"/>
      <w:bookmarkStart w:id="75" w:name="_Toc145496445"/>
      <w:r w:rsidRPr="00933708">
        <w:rPr>
          <w:iCs/>
        </w:rPr>
        <w:lastRenderedPageBreak/>
        <w:t>Financial Management – Risk Sharing Arrangements</w:t>
      </w:r>
      <w:bookmarkEnd w:id="74"/>
      <w:bookmarkEnd w:id="75"/>
    </w:p>
    <w:p w14:paraId="484D6221" w14:textId="75B66E1A" w:rsidR="0034462E" w:rsidRPr="00933708" w:rsidRDefault="00906FAF" w:rsidP="007C4C88">
      <w:pPr>
        <w:pStyle w:val="ListParagraph"/>
        <w:numPr>
          <w:ilvl w:val="1"/>
          <w:numId w:val="1"/>
        </w:numPr>
        <w:ind w:left="720" w:hanging="720"/>
        <w:rPr>
          <w:iCs/>
        </w:rPr>
      </w:pPr>
      <w:r w:rsidRPr="00933708">
        <w:t xml:space="preserve">The submission did not propose a </w:t>
      </w:r>
      <w:r w:rsidR="004837F0">
        <w:t>R</w:t>
      </w:r>
      <w:r w:rsidR="004837F0" w:rsidRPr="00933708">
        <w:t>isk</w:t>
      </w:r>
      <w:r w:rsidR="004837F0">
        <w:t xml:space="preserve"> S</w:t>
      </w:r>
      <w:r w:rsidRPr="00933708">
        <w:t xml:space="preserve">haring </w:t>
      </w:r>
      <w:r w:rsidR="004837F0">
        <w:t>A</w:t>
      </w:r>
      <w:r w:rsidR="004837F0" w:rsidRPr="00933708">
        <w:t>rrangement</w:t>
      </w:r>
      <w:r w:rsidRPr="00933708">
        <w:t xml:space="preserve">. A </w:t>
      </w:r>
      <w:r w:rsidR="004837F0">
        <w:t>R</w:t>
      </w:r>
      <w:r w:rsidR="004837F0" w:rsidRPr="00933708">
        <w:t>isk</w:t>
      </w:r>
      <w:r w:rsidR="004837F0">
        <w:t xml:space="preserve"> S</w:t>
      </w:r>
      <w:r w:rsidRPr="00933708">
        <w:t xml:space="preserve">haring </w:t>
      </w:r>
      <w:r w:rsidR="004837F0">
        <w:t>A</w:t>
      </w:r>
      <w:r w:rsidR="004837F0" w:rsidRPr="00933708">
        <w:t xml:space="preserve">rrangement </w:t>
      </w:r>
      <w:r w:rsidRPr="00933708">
        <w:t xml:space="preserve">is currently in place for empagliflozin for heart failure. The PBAC recommended </w:t>
      </w:r>
      <w:r w:rsidR="004837F0">
        <w:t>R</w:t>
      </w:r>
      <w:r w:rsidR="004837F0" w:rsidRPr="00933708">
        <w:t>isk</w:t>
      </w:r>
      <w:r w:rsidR="004837F0">
        <w:t xml:space="preserve"> S</w:t>
      </w:r>
      <w:r w:rsidRPr="00933708">
        <w:t xml:space="preserve">haring </w:t>
      </w:r>
      <w:r w:rsidR="004837F0">
        <w:t>A</w:t>
      </w:r>
      <w:r w:rsidR="004837F0" w:rsidRPr="00933708">
        <w:t xml:space="preserve">rrangements </w:t>
      </w:r>
      <w:r w:rsidRPr="00933708">
        <w:t xml:space="preserve">for dapagliflozin (6.4, Dapagliflozin PSD, March 2022 PBAC meeting) and for finerenone (7.10, Finerenone PSD, March 2023 PBAC meeting) for their </w:t>
      </w:r>
      <w:r w:rsidR="004837F0">
        <w:t>CKD</w:t>
      </w:r>
      <w:r w:rsidRPr="00933708">
        <w:t xml:space="preserve"> listings.</w:t>
      </w:r>
      <w:r w:rsidR="002C62C9" w:rsidRPr="00933708">
        <w:t xml:space="preserve"> </w:t>
      </w:r>
      <w:r w:rsidR="002C62C9" w:rsidRPr="00933708">
        <w:rPr>
          <w:iCs/>
        </w:rPr>
        <w:t xml:space="preserve">The ESC </w:t>
      </w:r>
      <w:r w:rsidR="007B635A" w:rsidRPr="00933708">
        <w:rPr>
          <w:iCs/>
        </w:rPr>
        <w:t>advised</w:t>
      </w:r>
      <w:r w:rsidR="002C62C9" w:rsidRPr="00933708">
        <w:rPr>
          <w:iCs/>
        </w:rPr>
        <w:t xml:space="preserve"> that it would be appropriate for the overlap population to be added to the current dapagliflozin </w:t>
      </w:r>
      <w:r w:rsidR="004837F0">
        <w:rPr>
          <w:iCs/>
        </w:rPr>
        <w:t>R</w:t>
      </w:r>
      <w:r w:rsidR="004837F0" w:rsidRPr="00933708">
        <w:rPr>
          <w:iCs/>
        </w:rPr>
        <w:t xml:space="preserve">isk </w:t>
      </w:r>
      <w:r w:rsidR="004837F0">
        <w:rPr>
          <w:iCs/>
        </w:rPr>
        <w:t>S</w:t>
      </w:r>
      <w:r w:rsidR="004837F0" w:rsidRPr="00933708">
        <w:rPr>
          <w:iCs/>
        </w:rPr>
        <w:t xml:space="preserve">hare </w:t>
      </w:r>
      <w:r w:rsidR="004837F0">
        <w:rPr>
          <w:iCs/>
        </w:rPr>
        <w:t>A</w:t>
      </w:r>
      <w:r w:rsidR="004837F0" w:rsidRPr="00933708">
        <w:rPr>
          <w:iCs/>
        </w:rPr>
        <w:t xml:space="preserve">rrangement </w:t>
      </w:r>
      <w:r w:rsidR="002C62C9" w:rsidRPr="00933708">
        <w:rPr>
          <w:iCs/>
        </w:rPr>
        <w:t xml:space="preserve">for CKD and for the incremental population to be also added with an appropriate increase in the cap to accommodate the increased population. </w:t>
      </w:r>
    </w:p>
    <w:p w14:paraId="3F106AF4" w14:textId="47DE36E4" w:rsidR="005F0BCF" w:rsidRPr="00933708" w:rsidRDefault="005F0BCF" w:rsidP="005F0BCF">
      <w:pPr>
        <w:pStyle w:val="ListParagraph"/>
        <w:numPr>
          <w:ilvl w:val="1"/>
          <w:numId w:val="1"/>
        </w:numPr>
        <w:ind w:left="720" w:hanging="720"/>
      </w:pPr>
      <w:r w:rsidRPr="00933708">
        <w:t>The Pre-PBAC response indicated that the sponsor agreed to join the current R</w:t>
      </w:r>
      <w:r w:rsidR="004837F0">
        <w:t xml:space="preserve">isk </w:t>
      </w:r>
      <w:r w:rsidRPr="00933708">
        <w:t>S</w:t>
      </w:r>
      <w:r w:rsidR="004837F0">
        <w:t xml:space="preserve">hare </w:t>
      </w:r>
      <w:r w:rsidRPr="00933708">
        <w:t>A</w:t>
      </w:r>
      <w:r w:rsidR="004837F0">
        <w:t>rrangement</w:t>
      </w:r>
      <w:r w:rsidRPr="00933708">
        <w:t xml:space="preserve"> for the </w:t>
      </w:r>
      <w:r w:rsidR="00AD3910" w:rsidRPr="00933708">
        <w:t>overlap</w:t>
      </w:r>
      <w:r w:rsidRPr="00933708">
        <w:t xml:space="preserve"> population at no increased cost to the Australian Government.</w:t>
      </w:r>
    </w:p>
    <w:p w14:paraId="1C9EB278" w14:textId="2C7C4271" w:rsidR="00356D8C" w:rsidRPr="00933708" w:rsidRDefault="00356D8C" w:rsidP="00356D8C">
      <w:pPr>
        <w:pStyle w:val="COMexecsumnumberedpara"/>
        <w:numPr>
          <w:ilvl w:val="0"/>
          <w:numId w:val="0"/>
        </w:numPr>
        <w:ind w:left="720" w:hanging="11"/>
      </w:pPr>
      <w:r w:rsidRPr="00933708">
        <w:rPr>
          <w:rFonts w:cstheme="minorHAnsi"/>
          <w:i/>
        </w:rPr>
        <w:t>For more detail on PBAC’s view, see section 7 PBAC outcome</w:t>
      </w:r>
    </w:p>
    <w:p w14:paraId="75460AF5" w14:textId="77777777" w:rsidR="00B013ED" w:rsidRPr="00933708" w:rsidRDefault="00B013ED" w:rsidP="00A51AD5">
      <w:pPr>
        <w:pStyle w:val="PBACHeading1"/>
        <w:numPr>
          <w:ilvl w:val="0"/>
          <w:numId w:val="1"/>
        </w:numPr>
      </w:pPr>
      <w:r w:rsidRPr="00933708">
        <w:t>PBAC Outcome</w:t>
      </w:r>
    </w:p>
    <w:p w14:paraId="22F8BE52" w14:textId="72AAC1F2" w:rsidR="00030B83" w:rsidRPr="00AD44F3" w:rsidRDefault="00030B83" w:rsidP="00AD44F3">
      <w:pPr>
        <w:pStyle w:val="COMH2-non-numbered"/>
        <w:rPr>
          <w:b w:val="0"/>
          <w:szCs w:val="32"/>
        </w:rPr>
      </w:pPr>
      <w:r w:rsidRPr="00AD44F3">
        <w:rPr>
          <w:i w:val="0"/>
          <w:sz w:val="24"/>
          <w:szCs w:val="32"/>
        </w:rPr>
        <w:t xml:space="preserve">Empagliflozin - cost-minimisation </w:t>
      </w:r>
      <w:r w:rsidR="000044ED" w:rsidRPr="00AD44F3">
        <w:rPr>
          <w:i w:val="0"/>
          <w:sz w:val="24"/>
          <w:szCs w:val="32"/>
        </w:rPr>
        <w:t xml:space="preserve">approach </w:t>
      </w:r>
      <w:r w:rsidRPr="00AD44F3">
        <w:rPr>
          <w:i w:val="0"/>
          <w:sz w:val="24"/>
          <w:szCs w:val="32"/>
        </w:rPr>
        <w:t>versus dapagliflozin (overlap population)</w:t>
      </w:r>
    </w:p>
    <w:p w14:paraId="0FB646D8" w14:textId="3B50C686" w:rsidR="002E710B" w:rsidRPr="00933708" w:rsidRDefault="002E710B" w:rsidP="002E710B">
      <w:pPr>
        <w:pStyle w:val="COMexecsumnumberedpara"/>
        <w:ind w:left="720" w:hanging="720"/>
        <w:rPr>
          <w:u w:val="single"/>
        </w:rPr>
      </w:pPr>
      <w:r w:rsidRPr="00C2769E">
        <w:rPr>
          <w:bCs/>
        </w:rPr>
        <w:t xml:space="preserve">The PBAC recommended extending the listing of empagliflozin, on the basis that it should be available as </w:t>
      </w:r>
      <w:r w:rsidR="00445CAA" w:rsidRPr="00933708">
        <w:t>a General Schedule Authority Required (STREAMLINED) listing for the treatment of chronic kidney disease (CKD)</w:t>
      </w:r>
      <w:r w:rsidR="008B6C26" w:rsidRPr="00933708">
        <w:t xml:space="preserve">, as an add-on to standard care, for patients </w:t>
      </w:r>
      <w:r w:rsidR="008B6C26" w:rsidRPr="00933708">
        <w:rPr>
          <w:rFonts w:eastAsia="Cambria" w:cstheme="minorHAnsi"/>
          <w:bCs/>
          <w:szCs w:val="22"/>
        </w:rPr>
        <w:t>with an eGFR of ≥25 to ≤75 mL/min/1.73 m² and a UACR of ≥200 to ≤5,000</w:t>
      </w:r>
      <w:r w:rsidR="000044ED" w:rsidRPr="00933708">
        <w:rPr>
          <w:rFonts w:eastAsia="Cambria" w:cstheme="minorHAnsi"/>
          <w:bCs/>
          <w:szCs w:val="22"/>
        </w:rPr>
        <w:t> </w:t>
      </w:r>
      <w:r w:rsidR="008B6C26" w:rsidRPr="00933708">
        <w:rPr>
          <w:rFonts w:eastAsia="Cambria" w:cstheme="minorHAnsi"/>
          <w:bCs/>
          <w:szCs w:val="22"/>
        </w:rPr>
        <w:t>mg/g</w:t>
      </w:r>
      <w:r w:rsidRPr="00C2769E">
        <w:rPr>
          <w:bCs/>
        </w:rPr>
        <w:t xml:space="preserve">. </w:t>
      </w:r>
      <w:r w:rsidRPr="00933708">
        <w:t>The PBAC’s recommendation for listing was based on its assessment that the cost-effectiveness of empagliflozin would be acceptable if it were cost-minimised against dapagliflozin.</w:t>
      </w:r>
    </w:p>
    <w:p w14:paraId="30C648FE" w14:textId="618535AA" w:rsidR="008B6C26" w:rsidRPr="00933708" w:rsidRDefault="008B6C26" w:rsidP="002E710B">
      <w:pPr>
        <w:pStyle w:val="COMexecsumnumberedpara"/>
        <w:ind w:left="720" w:hanging="720"/>
        <w:rPr>
          <w:u w:val="single"/>
        </w:rPr>
      </w:pPr>
      <w:r w:rsidRPr="00933708">
        <w:t xml:space="preserve">The PBAC considered that the equi-effective doses were empagliflozin 10 mg </w:t>
      </w:r>
      <w:r w:rsidR="000044ED" w:rsidRPr="00933708">
        <w:t xml:space="preserve">once </w:t>
      </w:r>
      <w:r w:rsidRPr="00933708">
        <w:t xml:space="preserve">per day and dapagliflozin 10 mg </w:t>
      </w:r>
      <w:r w:rsidR="000044ED" w:rsidRPr="00933708">
        <w:t xml:space="preserve">once </w:t>
      </w:r>
      <w:r w:rsidRPr="00933708">
        <w:t>per day.</w:t>
      </w:r>
    </w:p>
    <w:p w14:paraId="035D0C80" w14:textId="7191352F" w:rsidR="007E4F00" w:rsidRPr="00933708" w:rsidRDefault="00732238" w:rsidP="007E4F00">
      <w:pPr>
        <w:pStyle w:val="COMexecsumnumberedpara"/>
        <w:ind w:left="720" w:hanging="720"/>
      </w:pPr>
      <w:r w:rsidRPr="00933708">
        <w:t>The PBAC noted the consumer comments from individuals and organisations w</w:t>
      </w:r>
      <w:r w:rsidR="000044ED" w:rsidRPr="00933708">
        <w:t>ere</w:t>
      </w:r>
      <w:r w:rsidRPr="00933708">
        <w:t xml:space="preserve"> generally supportive of an additional SGLT2 inhibitor being available on the PBS for treatment to slow progression of CKD. </w:t>
      </w:r>
    </w:p>
    <w:p w14:paraId="2A2993F3" w14:textId="6F85761B" w:rsidR="00633D5C" w:rsidRPr="00933708" w:rsidRDefault="00633D5C" w:rsidP="00930BA1">
      <w:pPr>
        <w:pStyle w:val="COMexecsumnumberedpara"/>
        <w:ind w:left="720" w:hanging="720"/>
      </w:pPr>
      <w:r w:rsidRPr="00933708">
        <w:t>The PBAC accepted dapagliflozin (add-on to standard care) as the appropriate comparator for the overlap population i.e. patients enrolled in the EMPA-KIDNEY trial who would be eligible for PBS subsidised treatment with dapagliflozin for CKD, based on baseline eGFR and UACR.</w:t>
      </w:r>
    </w:p>
    <w:p w14:paraId="655C11C5" w14:textId="6AB25052" w:rsidR="00A52286" w:rsidRPr="00933708" w:rsidRDefault="00A52286" w:rsidP="00930BA1">
      <w:pPr>
        <w:pStyle w:val="COMexecsumnumberedpara"/>
        <w:ind w:left="720" w:hanging="720"/>
      </w:pPr>
      <w:r w:rsidRPr="00933708">
        <w:t>The PBAC noted the primary clinical evidence supporting empagliflozin in the proposed population</w:t>
      </w:r>
      <w:r w:rsidR="000044ED" w:rsidRPr="00933708">
        <w:t>s</w:t>
      </w:r>
      <w:r w:rsidRPr="00933708">
        <w:t xml:space="preserve"> was the EMPA-KIDNEY trial. The trial demonstrated that empagliflozin when added to standard care provided an improvement in efficacy over standard care alone based on </w:t>
      </w:r>
      <w:r w:rsidRPr="00933708">
        <w:rPr>
          <w:rFonts w:eastAsia="Calibri"/>
          <w:iCs/>
        </w:rPr>
        <w:t>the primary composite outcome (</w:t>
      </w:r>
      <w:r w:rsidR="00E95935" w:rsidRPr="00933708">
        <w:t xml:space="preserve">time to first </w:t>
      </w:r>
      <w:r w:rsidRPr="00933708">
        <w:t xml:space="preserve">CKD progression or </w:t>
      </w:r>
      <w:r w:rsidR="00AA3EEE" w:rsidRPr="00933708">
        <w:t xml:space="preserve">cardiovascular </w:t>
      </w:r>
      <w:r w:rsidRPr="00933708">
        <w:t>death</w:t>
      </w:r>
      <w:r w:rsidR="00E95935" w:rsidRPr="00933708">
        <w:t>, HR 0.72 95% CI 0.64, 0.82</w:t>
      </w:r>
      <w:r w:rsidRPr="00933708">
        <w:rPr>
          <w:rFonts w:eastAsia="Calibri"/>
          <w:iCs/>
        </w:rPr>
        <w:t>)</w:t>
      </w:r>
      <w:r w:rsidR="00E95935" w:rsidRPr="00933708">
        <w:rPr>
          <w:rFonts w:eastAsia="Calibri"/>
          <w:iCs/>
        </w:rPr>
        <w:t xml:space="preserve">, </w:t>
      </w:r>
      <w:r w:rsidR="00E95935" w:rsidRPr="00933708">
        <w:t>over a median duration of follow-up of 24.33 months</w:t>
      </w:r>
      <w:r w:rsidRPr="00933708">
        <w:t xml:space="preserve">. </w:t>
      </w:r>
      <w:r w:rsidR="00E95935" w:rsidRPr="00933708">
        <w:t>The PBAC also noted</w:t>
      </w:r>
      <w:r w:rsidRPr="00933708">
        <w:t xml:space="preserve"> </w:t>
      </w:r>
      <w:r w:rsidR="00E95935" w:rsidRPr="00933708">
        <w:t xml:space="preserve">the statistically significant improvement in the secondary composite outcome of time to first adjudicated </w:t>
      </w:r>
      <w:r w:rsidR="00E95935" w:rsidRPr="00933708">
        <w:lastRenderedPageBreak/>
        <w:t>cardiovascular death or Stage 5 CKD compared to placebo plus standard care (HR 0.73, 95% CI 0.59, 0.89).</w:t>
      </w:r>
    </w:p>
    <w:p w14:paraId="3AB0FBCB" w14:textId="77777777" w:rsidR="00E95935" w:rsidRPr="00933708" w:rsidRDefault="00A52286" w:rsidP="00C94026">
      <w:pPr>
        <w:pStyle w:val="COMexecsumnumberedpara"/>
        <w:ind w:left="720" w:hanging="720"/>
      </w:pPr>
      <w:r w:rsidRPr="00933708">
        <w:t>For the comparison with dapagliflozin</w:t>
      </w:r>
      <w:r w:rsidR="00C94026" w:rsidRPr="00933708">
        <w:t xml:space="preserve"> in the overlap population</w:t>
      </w:r>
      <w:r w:rsidRPr="00933708">
        <w:t xml:space="preserve">, the PBAC noted </w:t>
      </w:r>
      <w:r w:rsidR="00C94026" w:rsidRPr="00933708">
        <w:t xml:space="preserve">the submission relied on an indirect comparison of empagliflozin (EMPA-KIDNEY) to dapagliflozin (DAPA-CKD), with placebo as the common reference. Analyses included indirect comparisons using the EMPA-KIDNEY overall population and </w:t>
      </w:r>
      <w:r w:rsidR="00C94026" w:rsidRPr="00933708">
        <w:rPr>
          <w:i/>
          <w:iCs/>
        </w:rPr>
        <w:t>post hoc</w:t>
      </w:r>
      <w:r w:rsidR="00C94026" w:rsidRPr="00933708">
        <w:t xml:space="preserve"> subgroup analyses of the EMPA-KIDNEY overlap population. </w:t>
      </w:r>
    </w:p>
    <w:p w14:paraId="7F391ED0" w14:textId="4B0F5FC1" w:rsidR="00C94026" w:rsidRPr="00933708" w:rsidRDefault="00C94026" w:rsidP="00C94026">
      <w:pPr>
        <w:pStyle w:val="COMexecsumnumberedpara"/>
        <w:ind w:left="720" w:hanging="720"/>
      </w:pPr>
      <w:r w:rsidRPr="00933708">
        <w:t xml:space="preserve">The </w:t>
      </w:r>
      <w:r w:rsidR="00E95935" w:rsidRPr="00933708">
        <w:t>results</w:t>
      </w:r>
      <w:r w:rsidRPr="00933708">
        <w:t xml:space="preserve"> of the ITC</w:t>
      </w:r>
      <w:r w:rsidR="00E95935" w:rsidRPr="00933708">
        <w:t xml:space="preserve"> </w:t>
      </w:r>
      <w:r w:rsidR="0046656B" w:rsidRPr="00933708">
        <w:t xml:space="preserve">showed no statistically significant difference between treatment with empagliflozin compared to dapagliflozin for the primary composite outcome; however, all the results, as presented in </w:t>
      </w:r>
      <w:r w:rsidR="0046656B" w:rsidRPr="00933708">
        <w:fldChar w:fldCharType="begin"/>
      </w:r>
      <w:r w:rsidR="0046656B" w:rsidRPr="00933708">
        <w:instrText xml:space="preserve"> REF _Ref144732278 \h </w:instrText>
      </w:r>
      <w:r w:rsidR="0046656B" w:rsidRPr="00933708">
        <w:fldChar w:fldCharType="separate"/>
      </w:r>
      <w:r w:rsidR="00D5135E" w:rsidRPr="00933708">
        <w:t xml:space="preserve">Table </w:t>
      </w:r>
      <w:r w:rsidR="00D5135E">
        <w:rPr>
          <w:noProof/>
        </w:rPr>
        <w:t>8</w:t>
      </w:r>
      <w:r w:rsidR="0046656B" w:rsidRPr="00933708">
        <w:fldChar w:fldCharType="end"/>
      </w:r>
      <w:r w:rsidR="0046656B" w:rsidRPr="00933708">
        <w:t>, n</w:t>
      </w:r>
      <w:r w:rsidR="00535AD0" w:rsidRPr="00933708">
        <w:t>umerical</w:t>
      </w:r>
      <w:r w:rsidR="0046656B" w:rsidRPr="00933708">
        <w:t xml:space="preserve">ly </w:t>
      </w:r>
      <w:r w:rsidR="00E95935" w:rsidRPr="00933708">
        <w:t>favoured dapagliflozin.</w:t>
      </w:r>
      <w:r w:rsidR="0046656B" w:rsidRPr="00933708">
        <w:t xml:space="preserve"> The PBAC considered the treatment effects of empagliflozin were likely non-inferior</w:t>
      </w:r>
      <w:r w:rsidR="005235A8" w:rsidRPr="00933708">
        <w:t xml:space="preserve"> to those for dapagliflozin</w:t>
      </w:r>
      <w:r w:rsidR="0046656B" w:rsidRPr="00933708">
        <w:t xml:space="preserve"> given no statistically significant differences </w:t>
      </w:r>
      <w:r w:rsidR="00ED6AB8" w:rsidRPr="00933708">
        <w:t xml:space="preserve">in the </w:t>
      </w:r>
      <w:r w:rsidR="00E43005" w:rsidRPr="00933708">
        <w:t xml:space="preserve">results of the </w:t>
      </w:r>
      <w:r w:rsidR="00ED6AB8" w:rsidRPr="00933708">
        <w:t>ITC,</w:t>
      </w:r>
      <w:r w:rsidR="0046656B" w:rsidRPr="00933708">
        <w:t xml:space="preserve"> the class effect of SGLT2 inhibitors </w:t>
      </w:r>
      <w:r w:rsidR="00E43005" w:rsidRPr="00933708">
        <w:t>ha</w:t>
      </w:r>
      <w:r w:rsidR="00AA3EEE" w:rsidRPr="00933708">
        <w:t>ving</w:t>
      </w:r>
      <w:r w:rsidR="00E43005" w:rsidRPr="00933708">
        <w:t xml:space="preserve"> been </w:t>
      </w:r>
      <w:r w:rsidR="0046656B" w:rsidRPr="00933708">
        <w:t>confirmed in other indications</w:t>
      </w:r>
      <w:r w:rsidR="00ED6AB8" w:rsidRPr="00933708">
        <w:t>,</w:t>
      </w:r>
      <w:r w:rsidR="0046656B" w:rsidRPr="00933708">
        <w:t xml:space="preserve"> and </w:t>
      </w:r>
      <w:r w:rsidR="00ED6AB8" w:rsidRPr="00933708">
        <w:t xml:space="preserve">the recent meta-analysis presented in </w:t>
      </w:r>
      <w:r w:rsidR="0046656B" w:rsidRPr="00933708">
        <w:t>Nuffield et al. 2022 (see paragraph</w:t>
      </w:r>
      <w:r w:rsidR="00ED6AB8" w:rsidRPr="00933708">
        <w:t xml:space="preserve"> </w:t>
      </w:r>
      <w:r w:rsidR="00ED6AB8" w:rsidRPr="00933708">
        <w:fldChar w:fldCharType="begin"/>
      </w:r>
      <w:r w:rsidR="00ED6AB8" w:rsidRPr="00933708">
        <w:instrText xml:space="preserve"> REF _Ref150849245 \r \h </w:instrText>
      </w:r>
      <w:r w:rsidR="00ED6AB8" w:rsidRPr="00933708">
        <w:fldChar w:fldCharType="separate"/>
      </w:r>
      <w:r w:rsidR="00D5135E">
        <w:t>4.11</w:t>
      </w:r>
      <w:r w:rsidR="00ED6AB8" w:rsidRPr="00933708">
        <w:fldChar w:fldCharType="end"/>
      </w:r>
      <w:r w:rsidR="00ED6AB8" w:rsidRPr="00933708">
        <w:t>).</w:t>
      </w:r>
    </w:p>
    <w:p w14:paraId="7380A0BF" w14:textId="57046E77" w:rsidR="00D86ECD" w:rsidRPr="00933708" w:rsidRDefault="00D86ECD" w:rsidP="00D86ECD">
      <w:pPr>
        <w:widowControl w:val="0"/>
        <w:numPr>
          <w:ilvl w:val="1"/>
          <w:numId w:val="1"/>
        </w:numPr>
        <w:spacing w:after="120"/>
        <w:ind w:left="720" w:hanging="720"/>
        <w:rPr>
          <w:rFonts w:asciiTheme="minorHAnsi" w:hAnsiTheme="minorHAnsi"/>
          <w:snapToGrid w:val="0"/>
          <w:szCs w:val="20"/>
        </w:rPr>
      </w:pPr>
      <w:r w:rsidRPr="00933708">
        <w:t xml:space="preserve">The PBAC noted the difficulty in interpreting the indirect comparison of safety outcomes as highlighted in paragraph </w:t>
      </w:r>
      <w:r w:rsidRPr="00933708">
        <w:fldChar w:fldCharType="begin"/>
      </w:r>
      <w:r w:rsidRPr="00933708">
        <w:instrText xml:space="preserve"> REF _Ref150850612 \r \h </w:instrText>
      </w:r>
      <w:r w:rsidRPr="00933708">
        <w:fldChar w:fldCharType="separate"/>
      </w:r>
      <w:r w:rsidR="00D5135E">
        <w:t>6.40</w:t>
      </w:r>
      <w:r w:rsidRPr="00933708">
        <w:fldChar w:fldCharType="end"/>
      </w:r>
      <w:r w:rsidRPr="00933708">
        <w:t xml:space="preserve">. However, the PBAC considered that for the comparison with dapagliflozin, in the </w:t>
      </w:r>
      <w:r w:rsidR="005F0BCF" w:rsidRPr="00933708">
        <w:t>overlap</w:t>
      </w:r>
      <w:r w:rsidRPr="00933708">
        <w:t xml:space="preserve"> population, </w:t>
      </w:r>
      <w:r w:rsidRPr="00933708">
        <w:rPr>
          <w:rFonts w:asciiTheme="minorHAnsi" w:hAnsiTheme="minorHAnsi"/>
          <w:snapToGrid w:val="0"/>
          <w:szCs w:val="20"/>
        </w:rPr>
        <w:t xml:space="preserve">the claim of non-inferior comparative safety was reasonable given this would be consistent with </w:t>
      </w:r>
      <w:r w:rsidR="005235A8" w:rsidRPr="00933708">
        <w:rPr>
          <w:rFonts w:asciiTheme="minorHAnsi" w:hAnsiTheme="minorHAnsi"/>
          <w:snapToGrid w:val="0"/>
          <w:szCs w:val="20"/>
        </w:rPr>
        <w:t xml:space="preserve">substantial </w:t>
      </w:r>
      <w:r w:rsidRPr="00933708">
        <w:rPr>
          <w:rFonts w:asciiTheme="minorHAnsi" w:hAnsiTheme="minorHAnsi"/>
          <w:snapToGrid w:val="0"/>
          <w:szCs w:val="20"/>
        </w:rPr>
        <w:t xml:space="preserve">experience with this class of medicine </w:t>
      </w:r>
      <w:r w:rsidR="005235A8" w:rsidRPr="00933708">
        <w:rPr>
          <w:rFonts w:asciiTheme="minorHAnsi" w:hAnsiTheme="minorHAnsi"/>
          <w:snapToGrid w:val="0"/>
          <w:szCs w:val="20"/>
        </w:rPr>
        <w:t xml:space="preserve">in clinical practice </w:t>
      </w:r>
      <w:r w:rsidRPr="00933708">
        <w:rPr>
          <w:rFonts w:asciiTheme="minorHAnsi" w:hAnsiTheme="minorHAnsi"/>
          <w:snapToGrid w:val="0"/>
          <w:szCs w:val="20"/>
        </w:rPr>
        <w:t>(s</w:t>
      </w:r>
      <w:r w:rsidR="00AA3EEE" w:rsidRPr="00933708">
        <w:rPr>
          <w:rFonts w:asciiTheme="minorHAnsi" w:hAnsiTheme="minorHAnsi"/>
          <w:snapToGrid w:val="0"/>
          <w:szCs w:val="20"/>
        </w:rPr>
        <w:t>e</w:t>
      </w:r>
      <w:r w:rsidRPr="00933708">
        <w:rPr>
          <w:rFonts w:asciiTheme="minorHAnsi" w:hAnsiTheme="minorHAnsi"/>
          <w:snapToGrid w:val="0"/>
          <w:szCs w:val="20"/>
        </w:rPr>
        <w:t xml:space="preserve">e paragraph </w:t>
      </w:r>
      <w:r w:rsidRPr="00933708">
        <w:rPr>
          <w:rFonts w:asciiTheme="minorHAnsi" w:hAnsiTheme="minorHAnsi"/>
          <w:snapToGrid w:val="0"/>
          <w:szCs w:val="20"/>
        </w:rPr>
        <w:fldChar w:fldCharType="begin"/>
      </w:r>
      <w:r w:rsidRPr="00933708">
        <w:rPr>
          <w:rFonts w:asciiTheme="minorHAnsi" w:hAnsiTheme="minorHAnsi"/>
          <w:snapToGrid w:val="0"/>
          <w:szCs w:val="20"/>
        </w:rPr>
        <w:instrText xml:space="preserve"> REF _Ref150850688 \r \h </w:instrText>
      </w:r>
      <w:r w:rsidRPr="00933708">
        <w:rPr>
          <w:rFonts w:asciiTheme="minorHAnsi" w:hAnsiTheme="minorHAnsi"/>
          <w:snapToGrid w:val="0"/>
          <w:szCs w:val="20"/>
        </w:rPr>
      </w:r>
      <w:r w:rsidRPr="00933708">
        <w:rPr>
          <w:rFonts w:asciiTheme="minorHAnsi" w:hAnsiTheme="minorHAnsi"/>
          <w:snapToGrid w:val="0"/>
          <w:szCs w:val="20"/>
        </w:rPr>
        <w:fldChar w:fldCharType="separate"/>
      </w:r>
      <w:r w:rsidR="00D5135E">
        <w:rPr>
          <w:rFonts w:asciiTheme="minorHAnsi" w:hAnsiTheme="minorHAnsi"/>
          <w:snapToGrid w:val="0"/>
          <w:szCs w:val="20"/>
        </w:rPr>
        <w:t>6.42</w:t>
      </w:r>
      <w:r w:rsidRPr="00933708">
        <w:rPr>
          <w:rFonts w:asciiTheme="minorHAnsi" w:hAnsiTheme="minorHAnsi"/>
          <w:snapToGrid w:val="0"/>
          <w:szCs w:val="20"/>
        </w:rPr>
        <w:fldChar w:fldCharType="end"/>
      </w:r>
      <w:r w:rsidRPr="00933708">
        <w:rPr>
          <w:rFonts w:asciiTheme="minorHAnsi" w:hAnsiTheme="minorHAnsi"/>
          <w:snapToGrid w:val="0"/>
          <w:szCs w:val="20"/>
        </w:rPr>
        <w:t>).</w:t>
      </w:r>
    </w:p>
    <w:p w14:paraId="74DB4EF6" w14:textId="4152181B" w:rsidR="00AA3EEE" w:rsidRPr="00933708" w:rsidRDefault="00AA3EEE" w:rsidP="00AA3EEE">
      <w:pPr>
        <w:pStyle w:val="ListParagraph"/>
        <w:numPr>
          <w:ilvl w:val="1"/>
          <w:numId w:val="1"/>
        </w:numPr>
        <w:ind w:left="720" w:hanging="720"/>
      </w:pPr>
      <w:r w:rsidRPr="00933708">
        <w:t>The PBAC noted the cost-minimisation approach</w:t>
      </w:r>
      <w:r w:rsidR="000859E9" w:rsidRPr="00933708">
        <w:t xml:space="preserve"> (CMA)</w:t>
      </w:r>
      <w:r w:rsidRPr="00933708">
        <w:t xml:space="preserve"> for empagliflozin versus dapagliflozin in adult CKD patients with eGFR 25 to 75 mL/min/1.73 m</w:t>
      </w:r>
      <w:r w:rsidRPr="00933708">
        <w:rPr>
          <w:vertAlign w:val="superscript"/>
        </w:rPr>
        <w:t>2</w:t>
      </w:r>
      <w:r w:rsidRPr="00933708">
        <w:t xml:space="preserve"> and UACR 200 to 5,000 mg/g. The PBAC </w:t>
      </w:r>
      <w:r w:rsidR="000859E9" w:rsidRPr="00933708">
        <w:t>consider</w:t>
      </w:r>
      <w:r w:rsidRPr="00933708">
        <w:t xml:space="preserve">ed </w:t>
      </w:r>
      <w:r w:rsidR="000859E9" w:rsidRPr="00933708">
        <w:t>this approach was reasonable based on equi-effective doses of empagliflozin 10 mg once daily and dapagliflozin 10 mg once daily, without the inclusion of any differences in GP visits and no application of 60 day dispensing in the price calculations.</w:t>
      </w:r>
    </w:p>
    <w:p w14:paraId="73836860" w14:textId="56D90BA2" w:rsidR="00AA3EEE" w:rsidRPr="00933708" w:rsidRDefault="000859E9" w:rsidP="002E117A">
      <w:pPr>
        <w:pStyle w:val="ListParagraph"/>
        <w:numPr>
          <w:ilvl w:val="1"/>
          <w:numId w:val="1"/>
        </w:numPr>
        <w:ind w:left="720" w:hanging="720"/>
      </w:pPr>
      <w:r w:rsidRPr="00933708">
        <w:t xml:space="preserve">The PBAC noted the </w:t>
      </w:r>
      <w:r w:rsidR="005F0BCF" w:rsidRPr="00933708">
        <w:t>uptake of empagliflozin in the overlap population was uncertain, and that the estimate</w:t>
      </w:r>
      <w:r w:rsidR="000044ED" w:rsidRPr="00933708">
        <w:t>d</w:t>
      </w:r>
      <w:r w:rsidR="00B96952" w:rsidRPr="00933708">
        <w:t xml:space="preserve"> usage and financial implications</w:t>
      </w:r>
      <w:r w:rsidR="005F0BCF" w:rsidRPr="00933708">
        <w:t xml:space="preserve"> provided in the submission covered the entire SGLT2 inhibitor class.</w:t>
      </w:r>
      <w:r w:rsidRPr="00933708">
        <w:t xml:space="preserve"> The PBAC considered </w:t>
      </w:r>
      <w:r w:rsidR="005F0BCF" w:rsidRPr="00933708">
        <w:t>it was appropriate for the</w:t>
      </w:r>
      <w:r w:rsidRPr="00933708">
        <w:t xml:space="preserve"> current R</w:t>
      </w:r>
      <w:r w:rsidR="005F0BCF" w:rsidRPr="00933708">
        <w:t xml:space="preserve">isk </w:t>
      </w:r>
      <w:r w:rsidRPr="00933708">
        <w:t>S</w:t>
      </w:r>
      <w:r w:rsidR="005F0BCF" w:rsidRPr="00933708">
        <w:t>haring Arrangement</w:t>
      </w:r>
      <w:r w:rsidRPr="00933708">
        <w:t xml:space="preserve"> </w:t>
      </w:r>
      <w:r w:rsidR="005F0BCF" w:rsidRPr="00933708">
        <w:t xml:space="preserve">(RSA) </w:t>
      </w:r>
      <w:r w:rsidRPr="00933708">
        <w:t xml:space="preserve">for dapagliflozin </w:t>
      </w:r>
      <w:r w:rsidR="005F0BCF" w:rsidRPr="00933708">
        <w:t>i</w:t>
      </w:r>
      <w:r w:rsidRPr="00933708">
        <w:t xml:space="preserve">n this indication </w:t>
      </w:r>
      <w:r w:rsidR="005F0BCF" w:rsidRPr="00933708">
        <w:t>to</w:t>
      </w:r>
      <w:r w:rsidRPr="00933708">
        <w:t xml:space="preserve"> form the basis of the estimates</w:t>
      </w:r>
      <w:r w:rsidR="000044ED" w:rsidRPr="00933708">
        <w:t xml:space="preserve"> for this class of medicine</w:t>
      </w:r>
      <w:r w:rsidRPr="00933708">
        <w:t xml:space="preserve">, </w:t>
      </w:r>
      <w:r w:rsidR="005F0BCF" w:rsidRPr="00933708">
        <w:t>and</w:t>
      </w:r>
      <w:r w:rsidRPr="00933708">
        <w:t xml:space="preserve"> that empagliflozin would need to join the current RSA</w:t>
      </w:r>
      <w:r w:rsidR="00B96952" w:rsidRPr="00933708">
        <w:t xml:space="preserve"> with no increase to the caps</w:t>
      </w:r>
      <w:r w:rsidRPr="00933708">
        <w:t>.</w:t>
      </w:r>
      <w:r w:rsidR="005F0BCF" w:rsidRPr="00933708">
        <w:t xml:space="preserve"> The PBAC noted that the pre-PBAC response indicated the sponsor agreed to join the current RSA for the overlap population at no increased cost to the Australian Government.</w:t>
      </w:r>
    </w:p>
    <w:p w14:paraId="15DD73C8" w14:textId="794AC24C" w:rsidR="008B6C26" w:rsidRPr="00933708" w:rsidRDefault="008B6C26" w:rsidP="003A18F7">
      <w:pPr>
        <w:pStyle w:val="COMexecsumnumberedpara"/>
        <w:ind w:left="720" w:hanging="720"/>
        <w:rPr>
          <w:u w:val="single"/>
        </w:rPr>
      </w:pPr>
      <w:r w:rsidRPr="00933708">
        <w:t xml:space="preserve">The PBAC considered that the </w:t>
      </w:r>
      <w:r w:rsidR="00732238" w:rsidRPr="00933708">
        <w:t xml:space="preserve">clinical data supported </w:t>
      </w:r>
      <w:r w:rsidRPr="00933708">
        <w:t xml:space="preserve">PBS listing </w:t>
      </w:r>
      <w:r w:rsidR="00732238" w:rsidRPr="00933708">
        <w:t>for empagliflozin that</w:t>
      </w:r>
      <w:r w:rsidRPr="00933708">
        <w:t xml:space="preserve"> align</w:t>
      </w:r>
      <w:r w:rsidR="00732238" w:rsidRPr="00933708">
        <w:t>s</w:t>
      </w:r>
      <w:r w:rsidRPr="00933708">
        <w:t xml:space="preserve"> with the CKD listing for dapagliflozin (finalised </w:t>
      </w:r>
      <w:r w:rsidR="000044ED" w:rsidRPr="00933708">
        <w:t xml:space="preserve">PBS restriction </w:t>
      </w:r>
      <w:r w:rsidRPr="00933708">
        <w:t>wording shown in Section 8 below). The PBAC noted the pre-PBAC response indicated the sponsor would accept the same restriction wording as the current dapagliflozin CKD listing.</w:t>
      </w:r>
    </w:p>
    <w:p w14:paraId="0FA5007C" w14:textId="440CD8A4" w:rsidR="00D21C6D" w:rsidRPr="00933708" w:rsidRDefault="00D21C6D" w:rsidP="00D21C6D">
      <w:pPr>
        <w:pStyle w:val="COMexecsumnumberedpara"/>
        <w:ind w:left="720" w:hanging="720"/>
      </w:pPr>
      <w:r w:rsidRPr="00933708">
        <w:t>The PBAC advised that empagliflozin is suitable for prescribing by nurse practitioners for continuing therapy only. This would be consistent with recommended arrangements for dapagliflozin for CKD.</w:t>
      </w:r>
    </w:p>
    <w:p w14:paraId="481050EA" w14:textId="4E7A2DD3" w:rsidR="00D21C6D" w:rsidRPr="00933708" w:rsidRDefault="00D21C6D" w:rsidP="00D21C6D">
      <w:pPr>
        <w:pStyle w:val="COMexecsumnumberedpara"/>
        <w:ind w:left="720" w:hanging="720"/>
      </w:pPr>
      <w:r w:rsidRPr="00933708">
        <w:lastRenderedPageBreak/>
        <w:t>The PBAC recommended that the Early Supply Rule should apply, which would be consistent with the recommended arrangements for dapagliflozin for CKD.</w:t>
      </w:r>
    </w:p>
    <w:p w14:paraId="34FCFFDE" w14:textId="7BEBAAB6" w:rsidR="00D21C6D" w:rsidRPr="00933708" w:rsidRDefault="00D21C6D" w:rsidP="00D21C6D">
      <w:pPr>
        <w:pStyle w:val="COMexecsumnumberedpara"/>
        <w:ind w:left="720" w:hanging="720"/>
      </w:pPr>
      <w:r w:rsidRPr="00933708">
        <w:t xml:space="preserve">The PBAC noted that its recommendation was on a cost-minimisation basis and advised that, because empagliflozin is not expected to provide a substantial and clinically relevant improvement in efficacy, or reduction of toxicity, over dapagliflozin, or not expected to address a high and urgent unmet clinical need given the presence of an alternative therapy, the criteria prescribed by the </w:t>
      </w:r>
      <w:r w:rsidRPr="00A51AD5">
        <w:rPr>
          <w:i/>
          <w:iCs/>
        </w:rPr>
        <w:t>National Health (Pharmaceuticals and Vaccines – Cost Recovery) Regulations 20</w:t>
      </w:r>
      <w:r w:rsidR="004E2C6F" w:rsidRPr="00A51AD5">
        <w:rPr>
          <w:i/>
          <w:iCs/>
        </w:rPr>
        <w:t>22</w:t>
      </w:r>
      <w:r w:rsidRPr="00933708">
        <w:t xml:space="preserve"> for Pricing Pathway A were not met.</w:t>
      </w:r>
    </w:p>
    <w:p w14:paraId="65B37514" w14:textId="0D02D7BD" w:rsidR="00D21C6D" w:rsidRPr="00C2769E" w:rsidRDefault="00D21C6D" w:rsidP="00D21C6D">
      <w:pPr>
        <w:pStyle w:val="COMexecsumnumberedpara"/>
        <w:ind w:left="720" w:hanging="720"/>
        <w:rPr>
          <w:bCs/>
        </w:rPr>
      </w:pPr>
      <w:r w:rsidRPr="00933708">
        <w:t>The PBAC noted that this submission is not eligible for an Independent Review as it received a positive recommendation.</w:t>
      </w:r>
    </w:p>
    <w:p w14:paraId="34BA0B7E" w14:textId="77777777" w:rsidR="001719B3" w:rsidRPr="00C2769E" w:rsidRDefault="001719B3" w:rsidP="001719B3">
      <w:pPr>
        <w:rPr>
          <w:rFonts w:asciiTheme="minorHAnsi" w:hAnsiTheme="minorHAnsi"/>
          <w:b/>
          <w:snapToGrid w:val="0"/>
        </w:rPr>
      </w:pPr>
      <w:r w:rsidRPr="00C2769E">
        <w:rPr>
          <w:rFonts w:asciiTheme="minorHAnsi" w:hAnsiTheme="minorHAnsi"/>
          <w:b/>
          <w:snapToGrid w:val="0"/>
        </w:rPr>
        <w:t>Outcome:</w:t>
      </w:r>
    </w:p>
    <w:p w14:paraId="6057A6D4" w14:textId="77777777" w:rsidR="001719B3" w:rsidRPr="00C2769E" w:rsidRDefault="001719B3" w:rsidP="001719B3">
      <w:pPr>
        <w:rPr>
          <w:rFonts w:asciiTheme="minorHAnsi" w:hAnsiTheme="minorHAnsi"/>
          <w:bCs/>
          <w:snapToGrid w:val="0"/>
        </w:rPr>
      </w:pPr>
      <w:r w:rsidRPr="00C2769E">
        <w:rPr>
          <w:rFonts w:asciiTheme="minorHAnsi" w:hAnsiTheme="minorHAnsi"/>
          <w:bCs/>
          <w:snapToGrid w:val="0"/>
        </w:rPr>
        <w:t>Recommended</w:t>
      </w:r>
    </w:p>
    <w:p w14:paraId="4C5D09A5" w14:textId="77777777" w:rsidR="00D21C6D" w:rsidRPr="00AD44F3" w:rsidRDefault="00D21C6D" w:rsidP="00AD44F3">
      <w:pPr>
        <w:rPr>
          <w:szCs w:val="32"/>
        </w:rPr>
      </w:pPr>
    </w:p>
    <w:p w14:paraId="127F7684" w14:textId="77777777" w:rsidR="00E44BA9" w:rsidRPr="00AD44F3" w:rsidRDefault="00030B83" w:rsidP="00AD44F3">
      <w:pPr>
        <w:pStyle w:val="COMH2-non-numbered"/>
        <w:rPr>
          <w:b w:val="0"/>
          <w:szCs w:val="32"/>
        </w:rPr>
      </w:pPr>
      <w:r w:rsidRPr="00AD44F3">
        <w:rPr>
          <w:i w:val="0"/>
          <w:sz w:val="24"/>
          <w:szCs w:val="32"/>
        </w:rPr>
        <w:t>Empagliflozin – cost-effectiveness analysis versus placebo (incremental population)</w:t>
      </w:r>
    </w:p>
    <w:p w14:paraId="4E1D62B9" w14:textId="793F5F24" w:rsidR="00747FCF" w:rsidRPr="00A51AD5" w:rsidRDefault="00E44BA9" w:rsidP="00E44BA9">
      <w:pPr>
        <w:pStyle w:val="COMexecsumnumberedpara"/>
        <w:ind w:left="720" w:hanging="720"/>
        <w:rPr>
          <w:rStyle w:val="3-BodyTextChar"/>
        </w:rPr>
      </w:pPr>
      <w:r w:rsidRPr="00933708">
        <w:t xml:space="preserve">The </w:t>
      </w:r>
      <w:r w:rsidR="00530A2E" w:rsidRPr="00933708">
        <w:t xml:space="preserve">PBAC </w:t>
      </w:r>
      <w:r w:rsidRPr="00C2769E">
        <w:t xml:space="preserve">did not recommend the listing of empagliflozin for the </w:t>
      </w:r>
      <w:r w:rsidR="009B7F4D" w:rsidRPr="00C2769E">
        <w:t xml:space="preserve">proposed </w:t>
      </w:r>
      <w:r w:rsidR="00530A2E" w:rsidRPr="00C2769E">
        <w:t xml:space="preserve">incremental </w:t>
      </w:r>
      <w:r w:rsidR="00236981" w:rsidRPr="00C2769E">
        <w:t xml:space="preserve">CKD </w:t>
      </w:r>
      <w:r w:rsidR="00530A2E" w:rsidRPr="00C2769E">
        <w:t>population</w:t>
      </w:r>
      <w:r w:rsidR="00DF00C7" w:rsidRPr="00C2769E">
        <w:t xml:space="preserve"> which was </w:t>
      </w:r>
      <w:r w:rsidR="00DF00C7" w:rsidRPr="00933708">
        <w:t xml:space="preserve">based </w:t>
      </w:r>
      <w:r w:rsidR="0046634B">
        <w:t>up</w:t>
      </w:r>
      <w:r w:rsidR="00DF00C7" w:rsidRPr="00933708">
        <w:t>on</w:t>
      </w:r>
      <w:r w:rsidR="0046634B">
        <w:t xml:space="preserve"> the</w:t>
      </w:r>
      <w:r w:rsidR="00DF00C7" w:rsidRPr="00933708">
        <w:t xml:space="preserve"> </w:t>
      </w:r>
      <w:r w:rsidR="00DF00C7" w:rsidRPr="00933708">
        <w:rPr>
          <w:i/>
          <w:iCs/>
        </w:rPr>
        <w:t xml:space="preserve">post </w:t>
      </w:r>
      <w:r w:rsidR="00DF00C7" w:rsidRPr="0046634B">
        <w:rPr>
          <w:i/>
          <w:iCs/>
        </w:rPr>
        <w:t>hoc</w:t>
      </w:r>
      <w:r w:rsidR="00DF00C7" w:rsidRPr="0046634B">
        <w:t xml:space="preserve"> </w:t>
      </w:r>
      <w:r w:rsidR="0046634B" w:rsidRPr="00667CC5">
        <w:rPr>
          <w:lang w:eastAsia="en-US"/>
        </w:rPr>
        <w:t xml:space="preserve">sub-group analysis in the EMPA-KIDNEY trial </w:t>
      </w:r>
      <w:r w:rsidR="0046634B" w:rsidRPr="0046634B">
        <w:rPr>
          <w:lang w:eastAsia="en-US"/>
        </w:rPr>
        <w:t>which showed little or no improvement from empaglif</w:t>
      </w:r>
      <w:r w:rsidR="00667CC5">
        <w:rPr>
          <w:lang w:eastAsia="en-US"/>
        </w:rPr>
        <w:t>l</w:t>
      </w:r>
      <w:r w:rsidR="0046634B" w:rsidRPr="0046634B">
        <w:rPr>
          <w:lang w:eastAsia="en-US"/>
        </w:rPr>
        <w:t xml:space="preserve">ozin in patients categorised as low, moderate and high risk (KDIGO staging) or in those patients with UACR &lt; 200mg/g </w:t>
      </w:r>
      <w:r w:rsidR="0046634B" w:rsidRPr="00667CC5">
        <w:rPr>
          <w:lang w:eastAsia="en-US"/>
        </w:rPr>
        <w:t>at baseline.</w:t>
      </w:r>
      <w:r w:rsidR="0046634B" w:rsidRPr="0046634B">
        <w:rPr>
          <w:lang w:eastAsia="en-US"/>
        </w:rPr>
        <w:t xml:space="preserve"> </w:t>
      </w:r>
      <w:r w:rsidR="00236981" w:rsidRPr="0046634B">
        <w:t xml:space="preserve">The PBAC did not consider the </w:t>
      </w:r>
      <w:r w:rsidR="00236981" w:rsidRPr="0046634B">
        <w:rPr>
          <w:i/>
          <w:iCs/>
        </w:rPr>
        <w:t>post hoc</w:t>
      </w:r>
      <w:r w:rsidR="00236981" w:rsidRPr="0046634B">
        <w:t xml:space="preserve"> subgroup analyses of the EMPA-KIDNEY trial adequately demonstrated a benefit</w:t>
      </w:r>
      <w:r w:rsidR="00236981" w:rsidRPr="00C2769E">
        <w:t xml:space="preserve"> in the broadened indication for CKD. The PBAC noted the modelled treatment effects were not representative of the incremental population, and the overall complexity and uncertainty of the cost-effectiveness analysis made it uninformative. </w:t>
      </w:r>
    </w:p>
    <w:p w14:paraId="586138BC" w14:textId="37DF3F07" w:rsidR="00747FCF" w:rsidRPr="00933708" w:rsidRDefault="00747FCF" w:rsidP="00747FCF">
      <w:pPr>
        <w:widowControl w:val="0"/>
        <w:numPr>
          <w:ilvl w:val="1"/>
          <w:numId w:val="1"/>
        </w:numPr>
        <w:spacing w:after="120"/>
        <w:ind w:left="720" w:hanging="720"/>
        <w:rPr>
          <w:rFonts w:asciiTheme="minorHAnsi" w:hAnsiTheme="minorHAnsi"/>
          <w:snapToGrid w:val="0"/>
          <w:lang w:eastAsia="en-US"/>
        </w:rPr>
      </w:pPr>
      <w:r w:rsidRPr="00933708">
        <w:rPr>
          <w:rFonts w:asciiTheme="minorHAnsi" w:hAnsiTheme="minorHAnsi"/>
          <w:snapToGrid w:val="0"/>
          <w:lang w:eastAsia="en-US"/>
        </w:rPr>
        <w:t>The PBAC considered the primary reason for this outcome was due to the comparative clinical evidence provided.</w:t>
      </w:r>
    </w:p>
    <w:p w14:paraId="0A81B874" w14:textId="719AF4CA" w:rsidR="00633D5C" w:rsidRPr="00933708" w:rsidRDefault="00633D5C" w:rsidP="00747FCF">
      <w:pPr>
        <w:widowControl w:val="0"/>
        <w:numPr>
          <w:ilvl w:val="1"/>
          <w:numId w:val="1"/>
        </w:numPr>
        <w:spacing w:after="120"/>
        <w:ind w:left="720" w:hanging="720"/>
        <w:rPr>
          <w:rFonts w:asciiTheme="minorHAnsi" w:hAnsiTheme="minorHAnsi"/>
          <w:snapToGrid w:val="0"/>
          <w:lang w:eastAsia="en-US"/>
        </w:rPr>
      </w:pPr>
      <w:r w:rsidRPr="00933708">
        <w:rPr>
          <w:rFonts w:asciiTheme="minorHAnsi" w:hAnsiTheme="minorHAnsi"/>
          <w:snapToGrid w:val="0"/>
          <w:lang w:eastAsia="en-US"/>
        </w:rPr>
        <w:t xml:space="preserve">The PBAC noted the consumer comments from organisations </w:t>
      </w:r>
      <w:r w:rsidR="007947BA" w:rsidRPr="00933708">
        <w:rPr>
          <w:rFonts w:asciiTheme="minorHAnsi" w:hAnsiTheme="minorHAnsi"/>
          <w:snapToGrid w:val="0"/>
          <w:lang w:eastAsia="en-US"/>
        </w:rPr>
        <w:t xml:space="preserve">supporting </w:t>
      </w:r>
      <w:r w:rsidR="007D1AF9" w:rsidRPr="00933708">
        <w:rPr>
          <w:rFonts w:asciiTheme="minorHAnsi" w:hAnsiTheme="minorHAnsi"/>
          <w:snapToGrid w:val="0"/>
          <w:lang w:eastAsia="en-US"/>
        </w:rPr>
        <w:t>use of empagliflozin in</w:t>
      </w:r>
      <w:r w:rsidRPr="00933708">
        <w:rPr>
          <w:rFonts w:asciiTheme="minorHAnsi" w:hAnsiTheme="minorHAnsi"/>
          <w:snapToGrid w:val="0"/>
          <w:lang w:eastAsia="en-US"/>
        </w:rPr>
        <w:t xml:space="preserve"> </w:t>
      </w:r>
      <w:r w:rsidR="007D1AF9" w:rsidRPr="00933708">
        <w:rPr>
          <w:rFonts w:asciiTheme="minorHAnsi" w:hAnsiTheme="minorHAnsi"/>
          <w:snapToGrid w:val="0"/>
          <w:lang w:eastAsia="en-US"/>
        </w:rPr>
        <w:t>a</w:t>
      </w:r>
      <w:r w:rsidRPr="00933708">
        <w:rPr>
          <w:rFonts w:asciiTheme="minorHAnsi" w:hAnsiTheme="minorHAnsi"/>
          <w:snapToGrid w:val="0"/>
          <w:lang w:eastAsia="en-US"/>
        </w:rPr>
        <w:t xml:space="preserve"> broader population </w:t>
      </w:r>
      <w:r w:rsidR="007D1AF9" w:rsidRPr="00933708">
        <w:rPr>
          <w:rFonts w:asciiTheme="minorHAnsi" w:hAnsiTheme="minorHAnsi"/>
          <w:snapToGrid w:val="0"/>
          <w:lang w:eastAsia="en-US"/>
        </w:rPr>
        <w:t>versus that</w:t>
      </w:r>
      <w:r w:rsidRPr="00933708">
        <w:rPr>
          <w:rFonts w:asciiTheme="minorHAnsi" w:hAnsiTheme="minorHAnsi"/>
          <w:snapToGrid w:val="0"/>
          <w:lang w:eastAsia="en-US"/>
        </w:rPr>
        <w:t xml:space="preserve"> PBS subsidised </w:t>
      </w:r>
      <w:r w:rsidR="007D1AF9" w:rsidRPr="00933708">
        <w:rPr>
          <w:rFonts w:asciiTheme="minorHAnsi" w:hAnsiTheme="minorHAnsi"/>
          <w:snapToGrid w:val="0"/>
          <w:lang w:eastAsia="en-US"/>
        </w:rPr>
        <w:t xml:space="preserve">for </w:t>
      </w:r>
      <w:r w:rsidRPr="00933708">
        <w:rPr>
          <w:rFonts w:asciiTheme="minorHAnsi" w:hAnsiTheme="minorHAnsi"/>
          <w:snapToGrid w:val="0"/>
          <w:lang w:eastAsia="en-US"/>
        </w:rPr>
        <w:t xml:space="preserve">dapagliflozin. The PBAC acknowledged the need for effective therapy in CKD for patients at high risk of disease progression. </w:t>
      </w:r>
    </w:p>
    <w:p w14:paraId="2FD05AF6" w14:textId="432BC613" w:rsidR="00633D5C" w:rsidRPr="00933708" w:rsidRDefault="00633D5C" w:rsidP="00633D5C">
      <w:pPr>
        <w:pStyle w:val="COMexecsumnumberedpara"/>
        <w:ind w:left="720" w:hanging="720"/>
      </w:pPr>
      <w:r w:rsidRPr="00933708">
        <w:t xml:space="preserve">The PBAC accepted placebo (add-on to standard care) as the appropriate comparator for the incremental population (i.e. patients enrolled in the EMPA-KIDNEY trial who would </w:t>
      </w:r>
      <w:r w:rsidR="00D33DDC" w:rsidRPr="00C2769E">
        <w:rPr>
          <w:b/>
          <w:bCs/>
        </w:rPr>
        <w:t>not</w:t>
      </w:r>
      <w:r w:rsidR="00D33DDC" w:rsidRPr="00933708">
        <w:t xml:space="preserve"> </w:t>
      </w:r>
      <w:r w:rsidRPr="00933708">
        <w:t>be eligible for PBS subsidised treatment with dapagliflozin for CKD, based on baseline eGFR and UACR).</w:t>
      </w:r>
    </w:p>
    <w:p w14:paraId="472AED3A" w14:textId="25290313" w:rsidR="000E3F95" w:rsidRPr="00933708" w:rsidRDefault="00420296" w:rsidP="000E3F95">
      <w:pPr>
        <w:pStyle w:val="COMexecsumnumberedpara"/>
        <w:ind w:left="720" w:hanging="720"/>
        <w:rPr>
          <w:lang w:eastAsia="en-US"/>
        </w:rPr>
      </w:pPr>
      <w:r w:rsidRPr="00933708">
        <w:t>The PBAC considered the various subgroup analyses of the EMPA-K</w:t>
      </w:r>
      <w:r w:rsidR="000044ED" w:rsidRPr="00933708">
        <w:t>IDNEY</w:t>
      </w:r>
      <w:r w:rsidRPr="00933708">
        <w:t xml:space="preserve"> trial provided </w:t>
      </w:r>
      <w:r w:rsidRPr="00933708">
        <w:rPr>
          <w:lang w:eastAsia="en-US"/>
        </w:rPr>
        <w:t xml:space="preserve">confirmation of KDIGO staging (based on </w:t>
      </w:r>
      <w:r w:rsidR="007947BA" w:rsidRPr="00933708">
        <w:rPr>
          <w:lang w:eastAsia="en-US"/>
        </w:rPr>
        <w:t>UACR</w:t>
      </w:r>
      <w:r w:rsidRPr="00933708">
        <w:rPr>
          <w:lang w:eastAsia="en-US"/>
        </w:rPr>
        <w:t xml:space="preserve"> and eGFR) to predict prognosis. </w:t>
      </w:r>
      <w:r w:rsidR="000E3F95" w:rsidRPr="00933708">
        <w:rPr>
          <w:lang w:eastAsia="en-US"/>
        </w:rPr>
        <w:t xml:space="preserve">The PBAC noted </w:t>
      </w:r>
      <w:r w:rsidR="000E3F95" w:rsidRPr="00933708">
        <w:t xml:space="preserve">pre-specified subgroup analyses for the primary composite outcome of CKD progression or cardiovascular death in the EMPA-KIDNEY trial showed significant treatment effect interaction by baseline diabetes status (p=0.0598) and </w:t>
      </w:r>
      <w:r w:rsidR="000E3F95" w:rsidRPr="00933708">
        <w:lastRenderedPageBreak/>
        <w:t xml:space="preserve">albuminuria subgroups (UACR&lt;30, 30-300, and &gt;300 mg/g; p=0.0174), with a trend of decreasing treatment effect in patients without diabetes or with a lower baseline UACR (UACR ≤300 mg/g) (see paragraph </w:t>
      </w:r>
      <w:r w:rsidR="000E3F95" w:rsidRPr="00933708">
        <w:fldChar w:fldCharType="begin"/>
      </w:r>
      <w:r w:rsidR="000E3F95" w:rsidRPr="00933708">
        <w:instrText xml:space="preserve"> REF _Ref150858595 \r \h </w:instrText>
      </w:r>
      <w:r w:rsidR="000E3F95" w:rsidRPr="00933708">
        <w:fldChar w:fldCharType="separate"/>
      </w:r>
      <w:r w:rsidR="00D5135E">
        <w:t>6.24</w:t>
      </w:r>
      <w:r w:rsidR="000E3F95" w:rsidRPr="00933708">
        <w:fldChar w:fldCharType="end"/>
      </w:r>
      <w:r w:rsidR="000E3F95" w:rsidRPr="00933708">
        <w:t xml:space="preserve">). The PBAC considered </w:t>
      </w:r>
      <w:r w:rsidRPr="00933708">
        <w:rPr>
          <w:lang w:eastAsia="en-US"/>
        </w:rPr>
        <w:t xml:space="preserve">KDIGO staging is probably </w:t>
      </w:r>
      <w:r w:rsidR="000E3F95" w:rsidRPr="00933708">
        <w:rPr>
          <w:lang w:eastAsia="en-US"/>
        </w:rPr>
        <w:t>both a quantitative and qualitative</w:t>
      </w:r>
      <w:r w:rsidRPr="00933708">
        <w:rPr>
          <w:lang w:eastAsia="en-US"/>
        </w:rPr>
        <w:t xml:space="preserve"> treatment effect modifier with </w:t>
      </w:r>
      <w:r w:rsidR="000E3F95" w:rsidRPr="00933708">
        <w:rPr>
          <w:lang w:eastAsia="en-US"/>
        </w:rPr>
        <w:t>empagliflozin</w:t>
      </w:r>
      <w:r w:rsidRPr="00933708">
        <w:rPr>
          <w:lang w:eastAsia="en-US"/>
        </w:rPr>
        <w:t xml:space="preserve"> </w:t>
      </w:r>
      <w:r w:rsidR="007D1AF9" w:rsidRPr="00933708">
        <w:rPr>
          <w:lang w:eastAsia="en-US"/>
        </w:rPr>
        <w:t xml:space="preserve">resulting in </w:t>
      </w:r>
      <w:r w:rsidRPr="00933708">
        <w:rPr>
          <w:lang w:eastAsia="en-US"/>
        </w:rPr>
        <w:t xml:space="preserve">little or no improvement in patients </w:t>
      </w:r>
      <w:r w:rsidR="000E3F95" w:rsidRPr="00933708">
        <w:rPr>
          <w:lang w:eastAsia="en-US"/>
        </w:rPr>
        <w:t>categorised as</w:t>
      </w:r>
      <w:r w:rsidRPr="00933708">
        <w:rPr>
          <w:lang w:eastAsia="en-US"/>
        </w:rPr>
        <w:t xml:space="preserve"> low, moderate and high risk</w:t>
      </w:r>
      <w:r w:rsidR="000E3F95" w:rsidRPr="00933708">
        <w:rPr>
          <w:lang w:eastAsia="en-US"/>
        </w:rPr>
        <w:t xml:space="preserve"> (see </w:t>
      </w:r>
      <w:r w:rsidR="000E3F95" w:rsidRPr="00933708">
        <w:rPr>
          <w:lang w:eastAsia="en-US"/>
        </w:rPr>
        <w:fldChar w:fldCharType="begin"/>
      </w:r>
      <w:r w:rsidR="000E3F95" w:rsidRPr="00933708">
        <w:rPr>
          <w:lang w:eastAsia="en-US"/>
        </w:rPr>
        <w:instrText xml:space="preserve"> REF _Ref144730464 \h </w:instrText>
      </w:r>
      <w:r w:rsidR="000E3F95" w:rsidRPr="00933708">
        <w:rPr>
          <w:lang w:eastAsia="en-US"/>
        </w:rPr>
      </w:r>
      <w:r w:rsidR="000E3F95" w:rsidRPr="00933708">
        <w:rPr>
          <w:lang w:eastAsia="en-US"/>
        </w:rPr>
        <w:fldChar w:fldCharType="separate"/>
      </w:r>
      <w:r w:rsidR="00D5135E" w:rsidRPr="00933708">
        <w:t xml:space="preserve">Table </w:t>
      </w:r>
      <w:r w:rsidR="00D5135E">
        <w:rPr>
          <w:noProof/>
        </w:rPr>
        <w:t>7</w:t>
      </w:r>
      <w:r w:rsidR="000E3F95" w:rsidRPr="00933708">
        <w:rPr>
          <w:lang w:eastAsia="en-US"/>
        </w:rPr>
        <w:fldChar w:fldCharType="end"/>
      </w:r>
      <w:r w:rsidR="000E3F95" w:rsidRPr="00933708">
        <w:rPr>
          <w:lang w:eastAsia="en-US"/>
        </w:rPr>
        <w:t xml:space="preserve"> and </w:t>
      </w:r>
      <w:r w:rsidR="006836D4" w:rsidRPr="00933708">
        <w:rPr>
          <w:lang w:eastAsia="en-US"/>
        </w:rPr>
        <w:t>paragraph</w:t>
      </w:r>
      <w:r w:rsidR="000E3F95" w:rsidRPr="00933708">
        <w:rPr>
          <w:lang w:eastAsia="en-US"/>
        </w:rPr>
        <w:t xml:space="preserve"> </w:t>
      </w:r>
      <w:r w:rsidR="000E3F95" w:rsidRPr="00933708">
        <w:rPr>
          <w:lang w:eastAsia="en-US"/>
        </w:rPr>
        <w:fldChar w:fldCharType="begin"/>
      </w:r>
      <w:r w:rsidR="000E3F95" w:rsidRPr="00933708">
        <w:rPr>
          <w:lang w:eastAsia="en-US"/>
        </w:rPr>
        <w:instrText xml:space="preserve"> REF _Ref150859085 \r \h </w:instrText>
      </w:r>
      <w:r w:rsidR="000E3F95" w:rsidRPr="00933708">
        <w:rPr>
          <w:lang w:eastAsia="en-US"/>
        </w:rPr>
      </w:r>
      <w:r w:rsidR="000E3F95" w:rsidRPr="00933708">
        <w:rPr>
          <w:lang w:eastAsia="en-US"/>
        </w:rPr>
        <w:fldChar w:fldCharType="separate"/>
      </w:r>
      <w:r w:rsidR="00D5135E">
        <w:rPr>
          <w:lang w:eastAsia="en-US"/>
        </w:rPr>
        <w:t>6.27</w:t>
      </w:r>
      <w:r w:rsidR="000E3F95" w:rsidRPr="00933708">
        <w:rPr>
          <w:lang w:eastAsia="en-US"/>
        </w:rPr>
        <w:fldChar w:fldCharType="end"/>
      </w:r>
      <w:r w:rsidR="000E3F95" w:rsidRPr="00933708">
        <w:rPr>
          <w:lang w:eastAsia="en-US"/>
        </w:rPr>
        <w:t xml:space="preserve">). </w:t>
      </w:r>
      <w:r w:rsidR="000044ED" w:rsidRPr="00933708">
        <w:rPr>
          <w:lang w:eastAsia="en-US"/>
        </w:rPr>
        <w:t>Specifically, t</w:t>
      </w:r>
      <w:r w:rsidR="00807ABA" w:rsidRPr="00C2769E">
        <w:rPr>
          <w:lang w:eastAsia="en-US"/>
        </w:rPr>
        <w:t>he PBAC considered empagliflozin</w:t>
      </w:r>
      <w:r w:rsidR="000E3F95" w:rsidRPr="00C2769E">
        <w:rPr>
          <w:lang w:eastAsia="en-US"/>
        </w:rPr>
        <w:t xml:space="preserve"> </w:t>
      </w:r>
      <w:r w:rsidR="00807ABA" w:rsidRPr="00C2769E">
        <w:rPr>
          <w:lang w:eastAsia="en-US"/>
        </w:rPr>
        <w:t xml:space="preserve">likely </w:t>
      </w:r>
      <w:r w:rsidR="0044760C" w:rsidRPr="00C2769E">
        <w:rPr>
          <w:lang w:eastAsia="en-US"/>
        </w:rPr>
        <w:t xml:space="preserve">resulted in </w:t>
      </w:r>
      <w:r w:rsidR="000E3F95" w:rsidRPr="00C2769E">
        <w:rPr>
          <w:lang w:eastAsia="en-US"/>
        </w:rPr>
        <w:t xml:space="preserve">little or no improvement in patients with CKD outside the range of </w:t>
      </w:r>
      <w:r w:rsidR="00807ABA" w:rsidRPr="00C2769E">
        <w:rPr>
          <w:lang w:eastAsia="en-US"/>
        </w:rPr>
        <w:t>UACR</w:t>
      </w:r>
      <w:r w:rsidR="000E3F95" w:rsidRPr="00C2769E">
        <w:rPr>
          <w:lang w:eastAsia="en-US"/>
        </w:rPr>
        <w:t xml:space="preserve"> specified in the </w:t>
      </w:r>
      <w:r w:rsidR="00807ABA" w:rsidRPr="00C2769E">
        <w:rPr>
          <w:lang w:eastAsia="en-US"/>
        </w:rPr>
        <w:t>dapagliflozin</w:t>
      </w:r>
      <w:r w:rsidR="000E3F95" w:rsidRPr="00C2769E">
        <w:rPr>
          <w:lang w:eastAsia="en-US"/>
        </w:rPr>
        <w:t xml:space="preserve"> restriction</w:t>
      </w:r>
      <w:r w:rsidR="00807ABA" w:rsidRPr="00C2769E">
        <w:rPr>
          <w:lang w:eastAsia="en-US"/>
        </w:rPr>
        <w:t>.</w:t>
      </w:r>
    </w:p>
    <w:p w14:paraId="2034F05F" w14:textId="5CFE0C31" w:rsidR="00420296" w:rsidRPr="00933708" w:rsidRDefault="000152F2" w:rsidP="00420296">
      <w:pPr>
        <w:pStyle w:val="COMexecsumnumberedpara"/>
        <w:ind w:left="720" w:hanging="720"/>
        <w:rPr>
          <w:lang w:eastAsia="en-US"/>
        </w:rPr>
      </w:pPr>
      <w:r w:rsidRPr="00933708">
        <w:rPr>
          <w:lang w:eastAsia="en-US"/>
        </w:rPr>
        <w:t>Overall, the PBAC did not consider the submission adequately demonstrated a benefit in the incremental population.</w:t>
      </w:r>
    </w:p>
    <w:p w14:paraId="2CFE474C" w14:textId="2DC3C72B" w:rsidR="00633D5C" w:rsidRPr="00933708" w:rsidRDefault="000152F2" w:rsidP="00747FCF">
      <w:pPr>
        <w:widowControl w:val="0"/>
        <w:numPr>
          <w:ilvl w:val="1"/>
          <w:numId w:val="1"/>
        </w:numPr>
        <w:spacing w:after="120"/>
        <w:ind w:left="720" w:hanging="720"/>
        <w:rPr>
          <w:rFonts w:asciiTheme="minorHAnsi" w:hAnsiTheme="minorHAnsi"/>
          <w:snapToGrid w:val="0"/>
          <w:lang w:eastAsia="en-US"/>
        </w:rPr>
      </w:pPr>
      <w:bookmarkStart w:id="76" w:name="_Ref150866594"/>
      <w:r w:rsidRPr="00933708">
        <w:rPr>
          <w:rFonts w:asciiTheme="minorHAnsi" w:hAnsiTheme="minorHAnsi"/>
          <w:snapToGrid w:val="0"/>
          <w:lang w:eastAsia="en-US"/>
        </w:rPr>
        <w:t xml:space="preserve">The PBAC </w:t>
      </w:r>
      <w:r w:rsidR="00925ACA" w:rsidRPr="00933708">
        <w:rPr>
          <w:rFonts w:asciiTheme="minorHAnsi" w:hAnsiTheme="minorHAnsi"/>
          <w:snapToGrid w:val="0"/>
          <w:lang w:eastAsia="en-US"/>
        </w:rPr>
        <w:t xml:space="preserve">did not find the economic model informative to support a listing for the incremental population. The PBAC </w:t>
      </w:r>
      <w:r w:rsidRPr="00933708">
        <w:rPr>
          <w:rFonts w:asciiTheme="minorHAnsi" w:hAnsiTheme="minorHAnsi"/>
          <w:snapToGrid w:val="0"/>
          <w:lang w:eastAsia="en-US"/>
        </w:rPr>
        <w:t xml:space="preserve">noted the ESC and the evaluation raised several issues with regards to the economic model (see issues </w:t>
      </w:r>
      <w:r w:rsidR="00925ACA" w:rsidRPr="00933708">
        <w:rPr>
          <w:rFonts w:asciiTheme="minorHAnsi" w:hAnsiTheme="minorHAnsi"/>
          <w:snapToGrid w:val="0"/>
          <w:lang w:eastAsia="en-US"/>
        </w:rPr>
        <w:t xml:space="preserve">summarised </w:t>
      </w:r>
      <w:r w:rsidRPr="00933708">
        <w:rPr>
          <w:rFonts w:asciiTheme="minorHAnsi" w:hAnsiTheme="minorHAnsi"/>
          <w:snapToGrid w:val="0"/>
          <w:lang w:eastAsia="en-US"/>
        </w:rPr>
        <w:t xml:space="preserve">in paragraphs </w:t>
      </w:r>
      <w:r w:rsidRPr="00933708">
        <w:rPr>
          <w:rFonts w:asciiTheme="minorHAnsi" w:hAnsiTheme="minorHAnsi"/>
          <w:snapToGrid w:val="0"/>
          <w:lang w:eastAsia="en-US"/>
        </w:rPr>
        <w:fldChar w:fldCharType="begin"/>
      </w:r>
      <w:r w:rsidRPr="00933708">
        <w:rPr>
          <w:rFonts w:asciiTheme="minorHAnsi" w:hAnsiTheme="minorHAnsi"/>
          <w:snapToGrid w:val="0"/>
          <w:lang w:eastAsia="en-US"/>
        </w:rPr>
        <w:instrText xml:space="preserve"> REF _Ref150863350 \r \h </w:instrText>
      </w:r>
      <w:r w:rsidRPr="00933708">
        <w:rPr>
          <w:rFonts w:asciiTheme="minorHAnsi" w:hAnsiTheme="minorHAnsi"/>
          <w:snapToGrid w:val="0"/>
          <w:lang w:eastAsia="en-US"/>
        </w:rPr>
      </w:r>
      <w:r w:rsidRPr="00933708">
        <w:rPr>
          <w:rFonts w:asciiTheme="minorHAnsi" w:hAnsiTheme="minorHAnsi"/>
          <w:snapToGrid w:val="0"/>
          <w:lang w:eastAsia="en-US"/>
        </w:rPr>
        <w:fldChar w:fldCharType="separate"/>
      </w:r>
      <w:r w:rsidR="00D5135E">
        <w:rPr>
          <w:rFonts w:asciiTheme="minorHAnsi" w:hAnsiTheme="minorHAnsi"/>
          <w:snapToGrid w:val="0"/>
          <w:lang w:eastAsia="en-US"/>
        </w:rPr>
        <w:t>6.69</w:t>
      </w:r>
      <w:r w:rsidRPr="00933708">
        <w:rPr>
          <w:rFonts w:asciiTheme="minorHAnsi" w:hAnsiTheme="minorHAnsi"/>
          <w:snapToGrid w:val="0"/>
          <w:lang w:eastAsia="en-US"/>
        </w:rPr>
        <w:fldChar w:fldCharType="end"/>
      </w:r>
      <w:r w:rsidRPr="00933708">
        <w:rPr>
          <w:rFonts w:asciiTheme="minorHAnsi" w:hAnsiTheme="minorHAnsi"/>
          <w:snapToGrid w:val="0"/>
          <w:lang w:eastAsia="en-US"/>
        </w:rPr>
        <w:t xml:space="preserve"> and </w:t>
      </w:r>
      <w:r w:rsidRPr="00933708">
        <w:rPr>
          <w:rFonts w:asciiTheme="minorHAnsi" w:hAnsiTheme="minorHAnsi"/>
          <w:snapToGrid w:val="0"/>
          <w:lang w:eastAsia="en-US"/>
        </w:rPr>
        <w:fldChar w:fldCharType="begin"/>
      </w:r>
      <w:r w:rsidRPr="00933708">
        <w:rPr>
          <w:rFonts w:asciiTheme="minorHAnsi" w:hAnsiTheme="minorHAnsi"/>
          <w:snapToGrid w:val="0"/>
          <w:lang w:eastAsia="en-US"/>
        </w:rPr>
        <w:instrText xml:space="preserve"> REF _Ref148447142 \r \h </w:instrText>
      </w:r>
      <w:r w:rsidRPr="00933708">
        <w:rPr>
          <w:rFonts w:asciiTheme="minorHAnsi" w:hAnsiTheme="minorHAnsi"/>
          <w:snapToGrid w:val="0"/>
          <w:lang w:eastAsia="en-US"/>
        </w:rPr>
      </w:r>
      <w:r w:rsidRPr="00933708">
        <w:rPr>
          <w:rFonts w:asciiTheme="minorHAnsi" w:hAnsiTheme="minorHAnsi"/>
          <w:snapToGrid w:val="0"/>
          <w:lang w:eastAsia="en-US"/>
        </w:rPr>
        <w:fldChar w:fldCharType="separate"/>
      </w:r>
      <w:r w:rsidR="00D5135E">
        <w:rPr>
          <w:rFonts w:asciiTheme="minorHAnsi" w:hAnsiTheme="minorHAnsi"/>
          <w:snapToGrid w:val="0"/>
          <w:lang w:eastAsia="en-US"/>
        </w:rPr>
        <w:t>6.82</w:t>
      </w:r>
      <w:r w:rsidRPr="00933708">
        <w:rPr>
          <w:rFonts w:asciiTheme="minorHAnsi" w:hAnsiTheme="minorHAnsi"/>
          <w:snapToGrid w:val="0"/>
          <w:lang w:eastAsia="en-US"/>
        </w:rPr>
        <w:fldChar w:fldCharType="end"/>
      </w:r>
      <w:r w:rsidRPr="00933708">
        <w:rPr>
          <w:rFonts w:asciiTheme="minorHAnsi" w:hAnsiTheme="minorHAnsi"/>
          <w:snapToGrid w:val="0"/>
          <w:lang w:eastAsia="en-US"/>
        </w:rPr>
        <w:t>). The PBAC specifically noted the following issues:</w:t>
      </w:r>
      <w:bookmarkEnd w:id="76"/>
    </w:p>
    <w:p w14:paraId="74A9228E" w14:textId="4442A0AD" w:rsidR="006F56E1" w:rsidRPr="00933708" w:rsidRDefault="000152F2" w:rsidP="00A51AD5">
      <w:pPr>
        <w:pStyle w:val="ListParagraph"/>
        <w:widowControl w:val="0"/>
        <w:numPr>
          <w:ilvl w:val="0"/>
          <w:numId w:val="17"/>
        </w:numPr>
        <w:ind w:left="1134"/>
        <w:rPr>
          <w:lang w:eastAsia="en-US"/>
        </w:rPr>
      </w:pPr>
      <w:r w:rsidRPr="00933708">
        <w:rPr>
          <w:lang w:eastAsia="en-US"/>
        </w:rPr>
        <w:t>Modelled treatment effects were not representative of the incremental population</w:t>
      </w:r>
      <w:r w:rsidR="006F56E1" w:rsidRPr="00933708">
        <w:rPr>
          <w:lang w:eastAsia="en-US"/>
        </w:rPr>
        <w:t xml:space="preserve"> as </w:t>
      </w:r>
      <w:r w:rsidR="006F56E1" w:rsidRPr="00933708">
        <w:t>the analysis was based on the treatment effects of empagliflozin in the overall population</w:t>
      </w:r>
    </w:p>
    <w:p w14:paraId="030FA344" w14:textId="77777777" w:rsidR="000152F2" w:rsidRPr="00933708" w:rsidRDefault="000152F2" w:rsidP="00A51AD5">
      <w:pPr>
        <w:pStyle w:val="ListParagraph"/>
        <w:widowControl w:val="0"/>
        <w:numPr>
          <w:ilvl w:val="0"/>
          <w:numId w:val="17"/>
        </w:numPr>
        <w:ind w:left="1134"/>
        <w:rPr>
          <w:lang w:eastAsia="en-US"/>
        </w:rPr>
      </w:pPr>
      <w:r w:rsidRPr="00933708">
        <w:rPr>
          <w:lang w:eastAsia="en-US"/>
        </w:rPr>
        <w:t>Modelled changes in eGFR and UACR did not account for within patient variation and collinearity</w:t>
      </w:r>
    </w:p>
    <w:p w14:paraId="693EF559" w14:textId="32124DA1" w:rsidR="000152F2" w:rsidRPr="00933708" w:rsidRDefault="000152F2" w:rsidP="00A51AD5">
      <w:pPr>
        <w:pStyle w:val="ListParagraph"/>
        <w:widowControl w:val="0"/>
        <w:numPr>
          <w:ilvl w:val="0"/>
          <w:numId w:val="17"/>
        </w:numPr>
        <w:ind w:left="1134"/>
        <w:rPr>
          <w:lang w:eastAsia="en-US"/>
        </w:rPr>
      </w:pPr>
      <w:r w:rsidRPr="00933708">
        <w:rPr>
          <w:lang w:eastAsia="en-US"/>
        </w:rPr>
        <w:t xml:space="preserve">The analysis assumed prognosis/transition probabilities based on </w:t>
      </w:r>
      <w:r w:rsidR="00925ACA" w:rsidRPr="00933708">
        <w:rPr>
          <w:lang w:eastAsia="en-US"/>
        </w:rPr>
        <w:t>the overall trial population</w:t>
      </w:r>
    </w:p>
    <w:p w14:paraId="2F573B6E" w14:textId="163C68B3" w:rsidR="000152F2" w:rsidRPr="00933708" w:rsidRDefault="000152F2" w:rsidP="00A51AD5">
      <w:pPr>
        <w:pStyle w:val="ListParagraph"/>
        <w:widowControl w:val="0"/>
        <w:numPr>
          <w:ilvl w:val="0"/>
          <w:numId w:val="17"/>
        </w:numPr>
        <w:ind w:left="1134"/>
        <w:rPr>
          <w:lang w:eastAsia="en-US"/>
        </w:rPr>
      </w:pPr>
      <w:r w:rsidRPr="00933708">
        <w:rPr>
          <w:lang w:eastAsia="en-US"/>
        </w:rPr>
        <w:t xml:space="preserve">Extrapolated treatment effects </w:t>
      </w:r>
      <w:r w:rsidR="00925ACA" w:rsidRPr="00933708">
        <w:rPr>
          <w:lang w:eastAsia="en-US"/>
        </w:rPr>
        <w:t xml:space="preserve">did </w:t>
      </w:r>
      <w:r w:rsidRPr="00933708">
        <w:rPr>
          <w:lang w:eastAsia="en-US"/>
        </w:rPr>
        <w:t>not account for</w:t>
      </w:r>
      <w:r w:rsidR="0044760C" w:rsidRPr="00933708">
        <w:rPr>
          <w:lang w:eastAsia="en-US"/>
        </w:rPr>
        <w:t xml:space="preserve"> the</w:t>
      </w:r>
      <w:r w:rsidRPr="00933708">
        <w:rPr>
          <w:lang w:eastAsia="en-US"/>
        </w:rPr>
        <w:t xml:space="preserve"> natural history of CKD</w:t>
      </w:r>
    </w:p>
    <w:p w14:paraId="408FA8ED" w14:textId="7BA86E62" w:rsidR="000152F2" w:rsidRPr="00933708" w:rsidRDefault="00925ACA" w:rsidP="00A51AD5">
      <w:pPr>
        <w:pStyle w:val="ListParagraph"/>
        <w:widowControl w:val="0"/>
        <w:numPr>
          <w:ilvl w:val="0"/>
          <w:numId w:val="17"/>
        </w:numPr>
        <w:ind w:left="1134"/>
      </w:pPr>
      <w:r w:rsidRPr="00933708">
        <w:t>The model assumed patients who discontinue empagliflozin or placebo therapy would also stop their background ACE inhibitor/ARB treatment, which was used to justify alternative transition probabilities after treatment discontinuation.</w:t>
      </w:r>
    </w:p>
    <w:p w14:paraId="1E20EE56" w14:textId="43D8DBDB" w:rsidR="000152F2" w:rsidRPr="00933708" w:rsidRDefault="00925ACA" w:rsidP="00A51AD5">
      <w:pPr>
        <w:pStyle w:val="ListParagraph"/>
        <w:widowControl w:val="0"/>
        <w:numPr>
          <w:ilvl w:val="0"/>
          <w:numId w:val="17"/>
        </w:numPr>
        <w:ind w:left="1134"/>
      </w:pPr>
      <w:r w:rsidRPr="00933708">
        <w:t xml:space="preserve">Sensitivity analyses were largely uninformative as they did not assess the robustness of the modelled economic evaluation due to the issues outlined in paragraph </w:t>
      </w:r>
      <w:r w:rsidRPr="00933708">
        <w:fldChar w:fldCharType="begin"/>
      </w:r>
      <w:r w:rsidRPr="00933708">
        <w:instrText xml:space="preserve"> REF _Ref144877978 \r \h </w:instrText>
      </w:r>
      <w:r w:rsidRPr="00933708">
        <w:fldChar w:fldCharType="separate"/>
      </w:r>
      <w:r w:rsidR="00D5135E">
        <w:t>6.69</w:t>
      </w:r>
      <w:r w:rsidRPr="00933708">
        <w:fldChar w:fldCharType="end"/>
      </w:r>
      <w:r w:rsidRPr="00933708">
        <w:t>.</w:t>
      </w:r>
    </w:p>
    <w:p w14:paraId="742CC54B" w14:textId="48C62CE1" w:rsidR="003316CE" w:rsidRPr="00933708" w:rsidRDefault="003316CE" w:rsidP="00925ACA">
      <w:pPr>
        <w:pStyle w:val="ListParagraph"/>
        <w:numPr>
          <w:ilvl w:val="1"/>
          <w:numId w:val="1"/>
        </w:numPr>
        <w:ind w:left="720" w:hanging="720"/>
        <w:rPr>
          <w:lang w:eastAsia="en-US"/>
        </w:rPr>
      </w:pPr>
      <w:r w:rsidRPr="00933708">
        <w:rPr>
          <w:lang w:eastAsia="en-US"/>
        </w:rPr>
        <w:t>The PBAC noted DUSC’s advice</w:t>
      </w:r>
      <w:r w:rsidR="005E5181" w:rsidRPr="00933708">
        <w:rPr>
          <w:lang w:eastAsia="en-US"/>
        </w:rPr>
        <w:t xml:space="preserve"> that the financial estimates are highly sensitive to the projected size of the incremental population as it consists of a broad range of sub populations. The PBAC further noted DUSC’s consideration that the treatment uptake rate for the incremental group was likely underestimated as no other subsidised targeted treatment was available for this group.</w:t>
      </w:r>
    </w:p>
    <w:p w14:paraId="118422F1" w14:textId="29408A09" w:rsidR="006D3C73" w:rsidRPr="00933708" w:rsidRDefault="006D3C73" w:rsidP="006D3C73">
      <w:pPr>
        <w:pStyle w:val="ListParagraph"/>
        <w:numPr>
          <w:ilvl w:val="1"/>
          <w:numId w:val="1"/>
        </w:numPr>
        <w:ind w:left="720" w:hanging="720"/>
        <w:rPr>
          <w:lang w:eastAsia="en-US"/>
        </w:rPr>
      </w:pPr>
      <w:r w:rsidRPr="00933708">
        <w:rPr>
          <w:lang w:eastAsia="en-US"/>
        </w:rPr>
        <w:t>The PBAC considered a</w:t>
      </w:r>
      <w:r w:rsidR="00DC755E" w:rsidRPr="00933708">
        <w:rPr>
          <w:lang w:eastAsia="en-US"/>
        </w:rPr>
        <w:t>ny</w:t>
      </w:r>
      <w:r w:rsidRPr="00933708">
        <w:rPr>
          <w:lang w:eastAsia="en-US"/>
        </w:rPr>
        <w:t xml:space="preserve"> resubmission for empagliflozin for </w:t>
      </w:r>
      <w:r w:rsidR="00DC755E" w:rsidRPr="00933708">
        <w:rPr>
          <w:lang w:eastAsia="en-US"/>
        </w:rPr>
        <w:t>a broader population</w:t>
      </w:r>
      <w:r w:rsidRPr="00933708">
        <w:rPr>
          <w:lang w:eastAsia="en-US"/>
        </w:rPr>
        <w:t xml:space="preserve"> should reconsider which subgroups are nominated and ensure they include significantly high UACR. The economic issues raised in paragraph</w:t>
      </w:r>
      <w:r w:rsidR="00B6027C" w:rsidRPr="00933708">
        <w:rPr>
          <w:lang w:eastAsia="en-US"/>
        </w:rPr>
        <w:t>s</w:t>
      </w:r>
      <w:r w:rsidRPr="00933708">
        <w:rPr>
          <w:lang w:eastAsia="en-US"/>
        </w:rPr>
        <w:t xml:space="preserve"> </w:t>
      </w:r>
      <w:r w:rsidR="00B6027C" w:rsidRPr="00933708">
        <w:rPr>
          <w:lang w:eastAsia="en-US"/>
        </w:rPr>
        <w:fldChar w:fldCharType="begin"/>
      </w:r>
      <w:r w:rsidR="00B6027C" w:rsidRPr="00933708">
        <w:rPr>
          <w:lang w:eastAsia="en-US"/>
        </w:rPr>
        <w:instrText xml:space="preserve"> REF _Ref150863350 \r \h </w:instrText>
      </w:r>
      <w:r w:rsidR="00B6027C" w:rsidRPr="00933708">
        <w:rPr>
          <w:lang w:eastAsia="en-US"/>
        </w:rPr>
      </w:r>
      <w:r w:rsidR="00B6027C" w:rsidRPr="00933708">
        <w:rPr>
          <w:lang w:eastAsia="en-US"/>
        </w:rPr>
        <w:fldChar w:fldCharType="separate"/>
      </w:r>
      <w:r w:rsidR="00D5135E">
        <w:rPr>
          <w:lang w:eastAsia="en-US"/>
        </w:rPr>
        <w:t>6.69</w:t>
      </w:r>
      <w:r w:rsidR="00B6027C" w:rsidRPr="00933708">
        <w:rPr>
          <w:lang w:eastAsia="en-US"/>
        </w:rPr>
        <w:fldChar w:fldCharType="end"/>
      </w:r>
      <w:r w:rsidR="00B6027C" w:rsidRPr="00933708">
        <w:rPr>
          <w:lang w:eastAsia="en-US"/>
        </w:rPr>
        <w:t xml:space="preserve">, </w:t>
      </w:r>
      <w:r w:rsidR="00B6027C" w:rsidRPr="00933708">
        <w:rPr>
          <w:lang w:eastAsia="en-US"/>
        </w:rPr>
        <w:fldChar w:fldCharType="begin"/>
      </w:r>
      <w:r w:rsidR="00B6027C" w:rsidRPr="00933708">
        <w:rPr>
          <w:lang w:eastAsia="en-US"/>
        </w:rPr>
        <w:instrText xml:space="preserve"> REF _Ref148447142 \r \h </w:instrText>
      </w:r>
      <w:r w:rsidR="00B6027C" w:rsidRPr="00933708">
        <w:rPr>
          <w:lang w:eastAsia="en-US"/>
        </w:rPr>
      </w:r>
      <w:r w:rsidR="00B6027C" w:rsidRPr="00933708">
        <w:rPr>
          <w:lang w:eastAsia="en-US"/>
        </w:rPr>
        <w:fldChar w:fldCharType="separate"/>
      </w:r>
      <w:r w:rsidR="00D5135E">
        <w:rPr>
          <w:lang w:eastAsia="en-US"/>
        </w:rPr>
        <w:t>6.82</w:t>
      </w:r>
      <w:r w:rsidR="00B6027C" w:rsidRPr="00933708">
        <w:rPr>
          <w:lang w:eastAsia="en-US"/>
        </w:rPr>
        <w:fldChar w:fldCharType="end"/>
      </w:r>
      <w:r w:rsidR="00B6027C" w:rsidRPr="00933708">
        <w:rPr>
          <w:lang w:eastAsia="en-US"/>
        </w:rPr>
        <w:t xml:space="preserve"> and</w:t>
      </w:r>
      <w:r w:rsidR="004837F0">
        <w:rPr>
          <w:lang w:eastAsia="en-US"/>
        </w:rPr>
        <w:t xml:space="preserve"> </w:t>
      </w:r>
      <w:r w:rsidRPr="00933708">
        <w:rPr>
          <w:lang w:eastAsia="en-US"/>
        </w:rPr>
        <w:fldChar w:fldCharType="begin"/>
      </w:r>
      <w:r w:rsidRPr="00933708">
        <w:rPr>
          <w:lang w:eastAsia="en-US"/>
        </w:rPr>
        <w:instrText xml:space="preserve"> REF _Ref150866594 \r \h </w:instrText>
      </w:r>
      <w:r w:rsidRPr="00933708">
        <w:rPr>
          <w:lang w:eastAsia="en-US"/>
        </w:rPr>
      </w:r>
      <w:r w:rsidRPr="00933708">
        <w:rPr>
          <w:lang w:eastAsia="en-US"/>
        </w:rPr>
        <w:fldChar w:fldCharType="separate"/>
      </w:r>
      <w:r w:rsidR="00D5135E">
        <w:rPr>
          <w:lang w:eastAsia="en-US"/>
        </w:rPr>
        <w:t>7.22</w:t>
      </w:r>
      <w:r w:rsidRPr="00933708">
        <w:rPr>
          <w:lang w:eastAsia="en-US"/>
        </w:rPr>
        <w:fldChar w:fldCharType="end"/>
      </w:r>
      <w:r w:rsidRPr="00933708">
        <w:rPr>
          <w:lang w:eastAsia="en-US"/>
        </w:rPr>
        <w:t xml:space="preserve"> </w:t>
      </w:r>
      <w:r w:rsidR="009A77AC" w:rsidRPr="00933708">
        <w:rPr>
          <w:lang w:eastAsia="en-US"/>
        </w:rPr>
        <w:t xml:space="preserve">and utilisation and financial issues raised in paragraphs 6.94 and 7.23 </w:t>
      </w:r>
      <w:r w:rsidR="00FE5896" w:rsidRPr="00933708">
        <w:rPr>
          <w:lang w:eastAsia="en-US"/>
        </w:rPr>
        <w:t>would</w:t>
      </w:r>
      <w:r w:rsidRPr="00933708">
        <w:rPr>
          <w:lang w:eastAsia="en-US"/>
        </w:rPr>
        <w:t xml:space="preserve"> also need to be addressed.</w:t>
      </w:r>
    </w:p>
    <w:p w14:paraId="616AFCEA" w14:textId="77777777" w:rsidR="001719B3" w:rsidRPr="00933708" w:rsidRDefault="006D3C73" w:rsidP="006D3C73">
      <w:pPr>
        <w:pStyle w:val="ListParagraph"/>
        <w:numPr>
          <w:ilvl w:val="1"/>
          <w:numId w:val="1"/>
        </w:numPr>
        <w:ind w:left="720" w:hanging="720"/>
        <w:rPr>
          <w:lang w:eastAsia="en-US"/>
        </w:rPr>
      </w:pPr>
      <w:r w:rsidRPr="00933708">
        <w:rPr>
          <w:lang w:eastAsia="en-US"/>
        </w:rPr>
        <w:lastRenderedPageBreak/>
        <w:t>The resubmission may be lodged at any future standard due date for PBAC submissions using the standard re-entry pathway.</w:t>
      </w:r>
    </w:p>
    <w:p w14:paraId="15D0A689" w14:textId="77777777" w:rsidR="001719B3" w:rsidRPr="00C2769E" w:rsidRDefault="001719B3" w:rsidP="001719B3">
      <w:pPr>
        <w:rPr>
          <w:rFonts w:asciiTheme="minorHAnsi" w:hAnsiTheme="minorHAnsi"/>
          <w:b/>
          <w:snapToGrid w:val="0"/>
        </w:rPr>
      </w:pPr>
      <w:r w:rsidRPr="00C2769E">
        <w:rPr>
          <w:rFonts w:asciiTheme="minorHAnsi" w:hAnsiTheme="minorHAnsi"/>
          <w:b/>
          <w:snapToGrid w:val="0"/>
        </w:rPr>
        <w:t>Outcome:</w:t>
      </w:r>
    </w:p>
    <w:p w14:paraId="00919BAF" w14:textId="406CD4D3" w:rsidR="001719B3" w:rsidRPr="00C2769E" w:rsidRDefault="001719B3" w:rsidP="001719B3">
      <w:pPr>
        <w:rPr>
          <w:rFonts w:asciiTheme="minorHAnsi" w:hAnsiTheme="minorHAnsi"/>
          <w:bCs/>
          <w:snapToGrid w:val="0"/>
        </w:rPr>
      </w:pPr>
      <w:r w:rsidRPr="00C2769E">
        <w:rPr>
          <w:rFonts w:asciiTheme="minorHAnsi" w:hAnsiTheme="minorHAnsi"/>
          <w:bCs/>
          <w:snapToGrid w:val="0"/>
        </w:rPr>
        <w:t>Not recommended</w:t>
      </w:r>
    </w:p>
    <w:p w14:paraId="5A1CDB51" w14:textId="77777777" w:rsidR="0079784C" w:rsidRPr="00933708" w:rsidRDefault="0079784C" w:rsidP="0079784C">
      <w:pPr>
        <w:pStyle w:val="ListBullet"/>
        <w:numPr>
          <w:ilvl w:val="0"/>
          <w:numId w:val="0"/>
        </w:numPr>
        <w:ind w:left="360" w:hanging="360"/>
        <w:rPr>
          <w:lang w:eastAsia="en-US"/>
        </w:rPr>
      </w:pPr>
    </w:p>
    <w:p w14:paraId="32F3A485" w14:textId="77777777" w:rsidR="00732238" w:rsidRPr="00933708" w:rsidRDefault="00732238" w:rsidP="00732238">
      <w:pPr>
        <w:pStyle w:val="PBACHeading1"/>
        <w:numPr>
          <w:ilvl w:val="0"/>
          <w:numId w:val="1"/>
        </w:numPr>
      </w:pPr>
      <w:r w:rsidRPr="00933708">
        <w:t>Recommended listing</w:t>
      </w:r>
    </w:p>
    <w:p w14:paraId="324D5361" w14:textId="77777777" w:rsidR="00CD1A20" w:rsidRPr="00A51AD5" w:rsidRDefault="00732238" w:rsidP="00A51AD5">
      <w:pPr>
        <w:pStyle w:val="COMexecsumnumberedpara"/>
      </w:pPr>
      <w:r w:rsidRPr="00A51AD5">
        <w:t>Add new item:</w:t>
      </w:r>
    </w:p>
    <w:tbl>
      <w:tblPr>
        <w:tblStyle w:val="TableGrid3"/>
        <w:tblW w:w="5000" w:type="pct"/>
        <w:tblLook w:val="0000" w:firstRow="0" w:lastRow="0" w:firstColumn="0" w:lastColumn="0" w:noHBand="0" w:noVBand="0"/>
      </w:tblPr>
      <w:tblGrid>
        <w:gridCol w:w="3002"/>
        <w:gridCol w:w="1252"/>
        <w:gridCol w:w="1275"/>
        <w:gridCol w:w="992"/>
        <w:gridCol w:w="1134"/>
        <w:gridCol w:w="1362"/>
      </w:tblGrid>
      <w:tr w:rsidR="00CC188B" w:rsidRPr="00933708" w14:paraId="580BC8FA" w14:textId="77777777" w:rsidTr="00700D60">
        <w:trPr>
          <w:trHeight w:val="20"/>
        </w:trPr>
        <w:tc>
          <w:tcPr>
            <w:tcW w:w="1665" w:type="pct"/>
          </w:tcPr>
          <w:p w14:paraId="6C6B7F8A" w14:textId="77777777" w:rsidR="00CC188B" w:rsidRPr="00933708" w:rsidRDefault="00CC188B" w:rsidP="00700D60">
            <w:pPr>
              <w:keepNext/>
              <w:keepLines/>
              <w:rPr>
                <w:rFonts w:ascii="Arial Narrow" w:hAnsi="Arial Narrow"/>
                <w:b/>
                <w:bCs/>
                <w:sz w:val="20"/>
                <w:szCs w:val="20"/>
              </w:rPr>
            </w:pPr>
            <w:r w:rsidRPr="00933708">
              <w:rPr>
                <w:rFonts w:ascii="Arial Narrow" w:hAnsi="Arial Narrow"/>
                <w:b/>
                <w:bCs/>
                <w:sz w:val="20"/>
                <w:szCs w:val="20"/>
              </w:rPr>
              <w:t>MEDICINAL PRODUCT</w:t>
            </w:r>
          </w:p>
          <w:p w14:paraId="7308BF59" w14:textId="77777777" w:rsidR="00CC188B" w:rsidRPr="00933708" w:rsidRDefault="00CC188B" w:rsidP="00700D60">
            <w:pPr>
              <w:keepNext/>
              <w:keepLines/>
              <w:rPr>
                <w:rFonts w:ascii="Arial Narrow" w:hAnsi="Arial Narrow"/>
                <w:b/>
                <w:sz w:val="20"/>
                <w:szCs w:val="20"/>
              </w:rPr>
            </w:pPr>
            <w:r w:rsidRPr="00933708">
              <w:rPr>
                <w:rFonts w:ascii="Arial Narrow" w:hAnsi="Arial Narrow"/>
                <w:b/>
                <w:bCs/>
                <w:sz w:val="20"/>
                <w:szCs w:val="20"/>
              </w:rPr>
              <w:t>medicinal product pack</w:t>
            </w:r>
          </w:p>
        </w:tc>
        <w:tc>
          <w:tcPr>
            <w:tcW w:w="694" w:type="pct"/>
          </w:tcPr>
          <w:p w14:paraId="31A1C107" w14:textId="77777777" w:rsidR="00CC188B" w:rsidRPr="00933708" w:rsidRDefault="00CC188B" w:rsidP="00700D60">
            <w:pPr>
              <w:keepNext/>
              <w:keepLines/>
              <w:jc w:val="center"/>
              <w:rPr>
                <w:rFonts w:ascii="Arial Narrow" w:hAnsi="Arial Narrow"/>
                <w:b/>
                <w:sz w:val="20"/>
                <w:szCs w:val="20"/>
              </w:rPr>
            </w:pPr>
            <w:r w:rsidRPr="00933708">
              <w:rPr>
                <w:rFonts w:ascii="Arial Narrow" w:hAnsi="Arial Narrow"/>
                <w:b/>
                <w:sz w:val="20"/>
                <w:szCs w:val="20"/>
              </w:rPr>
              <w:t>PBS item code</w:t>
            </w:r>
          </w:p>
        </w:tc>
        <w:tc>
          <w:tcPr>
            <w:tcW w:w="707" w:type="pct"/>
          </w:tcPr>
          <w:p w14:paraId="25770196" w14:textId="77777777" w:rsidR="00CC188B" w:rsidRPr="00933708" w:rsidRDefault="00CC188B" w:rsidP="00700D60">
            <w:pPr>
              <w:keepNext/>
              <w:keepLines/>
              <w:jc w:val="center"/>
              <w:rPr>
                <w:rFonts w:ascii="Arial Narrow" w:hAnsi="Arial Narrow"/>
                <w:b/>
                <w:sz w:val="20"/>
                <w:szCs w:val="20"/>
              </w:rPr>
            </w:pPr>
            <w:r w:rsidRPr="00933708">
              <w:rPr>
                <w:rFonts w:ascii="Arial Narrow" w:hAnsi="Arial Narrow"/>
                <w:b/>
                <w:sz w:val="20"/>
                <w:szCs w:val="20"/>
              </w:rPr>
              <w:t>Max. qty packs</w:t>
            </w:r>
          </w:p>
        </w:tc>
        <w:tc>
          <w:tcPr>
            <w:tcW w:w="550" w:type="pct"/>
          </w:tcPr>
          <w:p w14:paraId="61849B60" w14:textId="77777777" w:rsidR="00CC188B" w:rsidRPr="00933708" w:rsidRDefault="00CC188B" w:rsidP="00700D60">
            <w:pPr>
              <w:keepNext/>
              <w:keepLines/>
              <w:jc w:val="center"/>
              <w:rPr>
                <w:rFonts w:ascii="Arial Narrow" w:hAnsi="Arial Narrow"/>
                <w:b/>
                <w:sz w:val="20"/>
                <w:szCs w:val="20"/>
              </w:rPr>
            </w:pPr>
            <w:r w:rsidRPr="00933708">
              <w:rPr>
                <w:rFonts w:ascii="Arial Narrow" w:hAnsi="Arial Narrow"/>
                <w:b/>
                <w:sz w:val="20"/>
                <w:szCs w:val="20"/>
              </w:rPr>
              <w:t>Max. qty units</w:t>
            </w:r>
          </w:p>
        </w:tc>
        <w:tc>
          <w:tcPr>
            <w:tcW w:w="629" w:type="pct"/>
          </w:tcPr>
          <w:p w14:paraId="3749A172" w14:textId="77777777" w:rsidR="00CC188B" w:rsidRPr="00933708" w:rsidRDefault="00CC188B" w:rsidP="00700D60">
            <w:pPr>
              <w:keepNext/>
              <w:keepLines/>
              <w:jc w:val="center"/>
              <w:rPr>
                <w:rFonts w:ascii="Arial Narrow" w:hAnsi="Arial Narrow"/>
                <w:b/>
                <w:sz w:val="20"/>
                <w:szCs w:val="20"/>
              </w:rPr>
            </w:pPr>
            <w:r w:rsidRPr="00933708">
              <w:rPr>
                <w:rFonts w:ascii="Arial Narrow" w:hAnsi="Arial Narrow"/>
                <w:b/>
                <w:sz w:val="20"/>
                <w:szCs w:val="20"/>
              </w:rPr>
              <w:t>№.of</w:t>
            </w:r>
          </w:p>
          <w:p w14:paraId="1EC357A6" w14:textId="77777777" w:rsidR="00CC188B" w:rsidRPr="00933708" w:rsidRDefault="00CC188B" w:rsidP="00700D60">
            <w:pPr>
              <w:keepNext/>
              <w:keepLines/>
              <w:jc w:val="center"/>
              <w:rPr>
                <w:rFonts w:ascii="Arial Narrow" w:hAnsi="Arial Narrow"/>
                <w:b/>
                <w:sz w:val="20"/>
                <w:szCs w:val="20"/>
              </w:rPr>
            </w:pPr>
            <w:r w:rsidRPr="00933708">
              <w:rPr>
                <w:rFonts w:ascii="Arial Narrow" w:hAnsi="Arial Narrow"/>
                <w:b/>
                <w:sz w:val="20"/>
                <w:szCs w:val="20"/>
              </w:rPr>
              <w:t>Rpts</w:t>
            </w:r>
          </w:p>
        </w:tc>
        <w:tc>
          <w:tcPr>
            <w:tcW w:w="755" w:type="pct"/>
          </w:tcPr>
          <w:p w14:paraId="47064EDA" w14:textId="77777777" w:rsidR="00CC188B" w:rsidRPr="00933708" w:rsidRDefault="00CC188B" w:rsidP="00700D60">
            <w:pPr>
              <w:keepNext/>
              <w:keepLines/>
              <w:rPr>
                <w:rFonts w:ascii="Arial Narrow" w:hAnsi="Arial Narrow"/>
                <w:b/>
                <w:sz w:val="20"/>
                <w:szCs w:val="20"/>
              </w:rPr>
            </w:pPr>
            <w:r w:rsidRPr="00933708">
              <w:rPr>
                <w:rFonts w:ascii="Arial Narrow" w:hAnsi="Arial Narrow"/>
                <w:b/>
                <w:sz w:val="20"/>
                <w:szCs w:val="20"/>
              </w:rPr>
              <w:t>Available brands</w:t>
            </w:r>
          </w:p>
        </w:tc>
      </w:tr>
      <w:tr w:rsidR="00CC188B" w:rsidRPr="00933708" w14:paraId="00467C4B" w14:textId="77777777" w:rsidTr="00700D60">
        <w:trPr>
          <w:trHeight w:val="20"/>
        </w:trPr>
        <w:tc>
          <w:tcPr>
            <w:tcW w:w="5000" w:type="pct"/>
            <w:gridSpan w:val="6"/>
          </w:tcPr>
          <w:p w14:paraId="5729F91C" w14:textId="77777777" w:rsidR="00CC188B" w:rsidRPr="00933708" w:rsidRDefault="00CC188B" w:rsidP="00700D60">
            <w:pPr>
              <w:keepNext/>
              <w:keepLines/>
              <w:rPr>
                <w:rFonts w:ascii="Arial Narrow" w:hAnsi="Arial Narrow"/>
                <w:sz w:val="20"/>
                <w:szCs w:val="20"/>
              </w:rPr>
            </w:pPr>
            <w:r w:rsidRPr="00933708">
              <w:rPr>
                <w:rFonts w:ascii="Arial Narrow" w:hAnsi="Arial Narrow"/>
                <w:sz w:val="20"/>
                <w:szCs w:val="20"/>
              </w:rPr>
              <w:t>EMPAGLIFLOZIN</w:t>
            </w:r>
          </w:p>
        </w:tc>
      </w:tr>
      <w:tr w:rsidR="00CC188B" w:rsidRPr="00933708" w14:paraId="7FBDE235" w14:textId="77777777" w:rsidTr="00700D60">
        <w:trPr>
          <w:trHeight w:val="20"/>
        </w:trPr>
        <w:tc>
          <w:tcPr>
            <w:tcW w:w="1665" w:type="pct"/>
          </w:tcPr>
          <w:p w14:paraId="2B1B09E9" w14:textId="77777777" w:rsidR="00CC188B" w:rsidRPr="00933708" w:rsidRDefault="00CC188B" w:rsidP="00700D60">
            <w:pPr>
              <w:keepNext/>
              <w:keepLines/>
              <w:rPr>
                <w:rFonts w:ascii="Arial Narrow" w:hAnsi="Arial Narrow"/>
                <w:sz w:val="20"/>
                <w:szCs w:val="20"/>
              </w:rPr>
            </w:pPr>
            <w:r w:rsidRPr="00933708">
              <w:rPr>
                <w:rFonts w:ascii="Arial Narrow" w:hAnsi="Arial Narrow"/>
                <w:sz w:val="20"/>
                <w:szCs w:val="20"/>
              </w:rPr>
              <w:t xml:space="preserve">empagliflozin 10 mg tablet, 30 </w:t>
            </w:r>
          </w:p>
        </w:tc>
        <w:tc>
          <w:tcPr>
            <w:tcW w:w="694" w:type="pct"/>
          </w:tcPr>
          <w:p w14:paraId="4758001E" w14:textId="77777777" w:rsidR="00CC188B" w:rsidRPr="00933708" w:rsidRDefault="00CC188B" w:rsidP="00700D60">
            <w:pPr>
              <w:keepNext/>
              <w:jc w:val="center"/>
              <w:rPr>
                <w:rFonts w:ascii="Arial Narrow" w:hAnsi="Arial Narrow"/>
                <w:sz w:val="20"/>
                <w:szCs w:val="20"/>
              </w:rPr>
            </w:pPr>
            <w:r w:rsidRPr="00933708">
              <w:rPr>
                <w:rFonts w:ascii="Arial Narrow" w:hAnsi="Arial Narrow"/>
                <w:sz w:val="20"/>
                <w:szCs w:val="20"/>
              </w:rPr>
              <w:t>NEW</w:t>
            </w:r>
          </w:p>
          <w:p w14:paraId="023EBE13" w14:textId="1BDF4D56" w:rsidR="00CC188B" w:rsidRPr="00933708" w:rsidRDefault="00CC188B" w:rsidP="00333308">
            <w:pPr>
              <w:keepNext/>
              <w:jc w:val="center"/>
              <w:rPr>
                <w:rFonts w:ascii="Arial Narrow" w:hAnsi="Arial Narrow"/>
                <w:sz w:val="20"/>
                <w:szCs w:val="20"/>
                <w:highlight w:val="yellow"/>
                <w:vertAlign w:val="subscript"/>
              </w:rPr>
            </w:pPr>
            <w:r w:rsidRPr="00933708">
              <w:rPr>
                <w:rFonts w:ascii="Arial Narrow" w:hAnsi="Arial Narrow"/>
                <w:sz w:val="20"/>
                <w:szCs w:val="20"/>
                <w:vertAlign w:val="subscript"/>
              </w:rPr>
              <w:t>MP  NP</w:t>
            </w:r>
          </w:p>
        </w:tc>
        <w:tc>
          <w:tcPr>
            <w:tcW w:w="707" w:type="pct"/>
          </w:tcPr>
          <w:p w14:paraId="1537EEBF" w14:textId="77777777" w:rsidR="00CC188B" w:rsidRPr="00933708" w:rsidRDefault="00CC188B" w:rsidP="00700D60">
            <w:pPr>
              <w:keepNext/>
              <w:keepLines/>
              <w:jc w:val="center"/>
              <w:rPr>
                <w:rFonts w:ascii="Arial Narrow" w:hAnsi="Arial Narrow"/>
                <w:sz w:val="20"/>
                <w:szCs w:val="20"/>
              </w:rPr>
            </w:pPr>
            <w:r w:rsidRPr="00933708">
              <w:rPr>
                <w:rFonts w:ascii="Arial Narrow" w:hAnsi="Arial Narrow"/>
                <w:sz w:val="20"/>
                <w:szCs w:val="20"/>
              </w:rPr>
              <w:t>1</w:t>
            </w:r>
          </w:p>
          <w:p w14:paraId="1DCEBF59" w14:textId="77777777" w:rsidR="00CC188B" w:rsidRPr="00933708" w:rsidRDefault="00CC188B" w:rsidP="00700D60">
            <w:pPr>
              <w:keepNext/>
              <w:keepLines/>
              <w:jc w:val="center"/>
              <w:rPr>
                <w:rFonts w:ascii="Arial Narrow" w:hAnsi="Arial Narrow"/>
                <w:sz w:val="20"/>
                <w:szCs w:val="20"/>
              </w:rPr>
            </w:pPr>
          </w:p>
        </w:tc>
        <w:tc>
          <w:tcPr>
            <w:tcW w:w="550" w:type="pct"/>
          </w:tcPr>
          <w:p w14:paraId="606FE347" w14:textId="77777777" w:rsidR="00CC188B" w:rsidRPr="00933708" w:rsidRDefault="00CC188B" w:rsidP="00700D60">
            <w:pPr>
              <w:keepNext/>
              <w:keepLines/>
              <w:jc w:val="center"/>
              <w:rPr>
                <w:rFonts w:ascii="Arial Narrow" w:hAnsi="Arial Narrow"/>
                <w:sz w:val="20"/>
                <w:szCs w:val="20"/>
              </w:rPr>
            </w:pPr>
            <w:r w:rsidRPr="00933708">
              <w:rPr>
                <w:rFonts w:ascii="Arial Narrow" w:hAnsi="Arial Narrow"/>
                <w:sz w:val="20"/>
                <w:szCs w:val="20"/>
              </w:rPr>
              <w:t>30</w:t>
            </w:r>
          </w:p>
          <w:p w14:paraId="3F6F062A" w14:textId="77777777" w:rsidR="00CC188B" w:rsidRPr="00933708" w:rsidRDefault="00CC188B" w:rsidP="00700D60">
            <w:pPr>
              <w:keepNext/>
              <w:keepLines/>
              <w:jc w:val="center"/>
              <w:rPr>
                <w:rFonts w:ascii="Arial Narrow" w:hAnsi="Arial Narrow"/>
                <w:sz w:val="20"/>
                <w:szCs w:val="20"/>
              </w:rPr>
            </w:pPr>
          </w:p>
        </w:tc>
        <w:tc>
          <w:tcPr>
            <w:tcW w:w="629" w:type="pct"/>
          </w:tcPr>
          <w:p w14:paraId="214C5E43" w14:textId="77777777" w:rsidR="00CC188B" w:rsidRPr="00933708" w:rsidRDefault="00CC188B" w:rsidP="00700D60">
            <w:pPr>
              <w:keepNext/>
              <w:keepLines/>
              <w:jc w:val="center"/>
              <w:rPr>
                <w:rFonts w:ascii="Arial Narrow" w:hAnsi="Arial Narrow"/>
                <w:sz w:val="20"/>
                <w:szCs w:val="20"/>
              </w:rPr>
            </w:pPr>
            <w:r w:rsidRPr="00933708">
              <w:rPr>
                <w:rFonts w:ascii="Arial Narrow" w:hAnsi="Arial Narrow"/>
                <w:sz w:val="20"/>
                <w:szCs w:val="20"/>
              </w:rPr>
              <w:t>5</w:t>
            </w:r>
          </w:p>
        </w:tc>
        <w:tc>
          <w:tcPr>
            <w:tcW w:w="755" w:type="pct"/>
          </w:tcPr>
          <w:p w14:paraId="09C9047D" w14:textId="77777777" w:rsidR="00CC188B" w:rsidRPr="00933708" w:rsidRDefault="00CC188B" w:rsidP="00700D60">
            <w:pPr>
              <w:keepNext/>
              <w:keepLines/>
              <w:rPr>
                <w:rFonts w:ascii="Arial Narrow" w:hAnsi="Arial Narrow"/>
                <w:sz w:val="20"/>
                <w:szCs w:val="20"/>
              </w:rPr>
            </w:pPr>
            <w:r w:rsidRPr="00933708">
              <w:rPr>
                <w:rFonts w:ascii="Arial Narrow" w:hAnsi="Arial Narrow"/>
                <w:sz w:val="20"/>
                <w:szCs w:val="20"/>
              </w:rPr>
              <w:t>Jardiance</w:t>
            </w:r>
          </w:p>
        </w:tc>
      </w:tr>
      <w:tr w:rsidR="00CC188B" w:rsidRPr="00933708" w14:paraId="28508F2A" w14:textId="77777777" w:rsidTr="00700D60">
        <w:trPr>
          <w:trHeight w:val="20"/>
        </w:trPr>
        <w:tc>
          <w:tcPr>
            <w:tcW w:w="5000" w:type="pct"/>
            <w:gridSpan w:val="6"/>
          </w:tcPr>
          <w:p w14:paraId="329C114D" w14:textId="72BB87B7" w:rsidR="00CC188B" w:rsidRPr="00933708" w:rsidRDefault="00CC188B" w:rsidP="00700D60">
            <w:pPr>
              <w:keepLines/>
              <w:rPr>
                <w:rFonts w:ascii="Arial Narrow" w:hAnsi="Arial Narrow"/>
                <w:b/>
                <w:sz w:val="20"/>
                <w:szCs w:val="20"/>
              </w:rPr>
            </w:pPr>
            <w:r w:rsidRPr="00933708">
              <w:rPr>
                <w:rFonts w:ascii="Arial Narrow" w:hAnsi="Arial Narrow"/>
                <w:b/>
                <w:sz w:val="20"/>
                <w:szCs w:val="20"/>
              </w:rPr>
              <w:t xml:space="preserve">Restriction Summary: </w:t>
            </w:r>
            <w:r w:rsidR="009C1742" w:rsidRPr="00933708">
              <w:rPr>
                <w:rFonts w:ascii="Arial Narrow" w:hAnsi="Arial Narrow"/>
                <w:b/>
                <w:sz w:val="20"/>
                <w:szCs w:val="20"/>
              </w:rPr>
              <w:t>13230</w:t>
            </w:r>
            <w:r w:rsidRPr="00933708">
              <w:rPr>
                <w:rFonts w:ascii="Arial Narrow" w:hAnsi="Arial Narrow"/>
                <w:b/>
                <w:sz w:val="20"/>
                <w:szCs w:val="20"/>
              </w:rPr>
              <w:t xml:space="preserve"> / Treatment of Concept: </w:t>
            </w:r>
            <w:r w:rsidR="009C1742" w:rsidRPr="00933708">
              <w:rPr>
                <w:rFonts w:ascii="Arial Narrow" w:hAnsi="Arial Narrow"/>
                <w:b/>
                <w:sz w:val="20"/>
                <w:szCs w:val="20"/>
              </w:rPr>
              <w:t xml:space="preserve">13230 </w:t>
            </w:r>
            <w:r w:rsidRPr="00933708">
              <w:rPr>
                <w:rFonts w:ascii="Arial Narrow" w:hAnsi="Arial Narrow"/>
                <w:b/>
                <w:sz w:val="20"/>
                <w:szCs w:val="20"/>
              </w:rPr>
              <w:t xml:space="preserve">: </w:t>
            </w:r>
          </w:p>
        </w:tc>
      </w:tr>
      <w:tr w:rsidR="00CC188B" w:rsidRPr="00933708" w14:paraId="1922B698" w14:textId="77777777" w:rsidTr="00700D60">
        <w:trPr>
          <w:trHeight w:val="20"/>
        </w:trPr>
        <w:tc>
          <w:tcPr>
            <w:tcW w:w="5000" w:type="pct"/>
            <w:gridSpan w:val="6"/>
          </w:tcPr>
          <w:p w14:paraId="35911015" w14:textId="77777777" w:rsidR="00CC188B" w:rsidRPr="00933708" w:rsidRDefault="00CC188B" w:rsidP="00700D60">
            <w:pPr>
              <w:keepLines/>
              <w:rPr>
                <w:rFonts w:ascii="Arial Narrow" w:hAnsi="Arial Narrow"/>
                <w:b/>
                <w:sz w:val="20"/>
                <w:szCs w:val="20"/>
              </w:rPr>
            </w:pPr>
            <w:r w:rsidRPr="00933708">
              <w:rPr>
                <w:rFonts w:ascii="Arial Narrow" w:hAnsi="Arial Narrow"/>
                <w:b/>
                <w:sz w:val="20"/>
                <w:szCs w:val="20"/>
              </w:rPr>
              <w:t xml:space="preserve">Category / Program: </w:t>
            </w:r>
            <w:r w:rsidRPr="00933708">
              <w:rPr>
                <w:rFonts w:ascii="Arial Narrow" w:hAnsi="Arial Narrow"/>
                <w:bCs/>
                <w:sz w:val="20"/>
                <w:szCs w:val="20"/>
              </w:rPr>
              <w:t>GENERAL – General Schedule (Code GE)</w:t>
            </w:r>
          </w:p>
        </w:tc>
      </w:tr>
      <w:tr w:rsidR="00CC188B" w:rsidRPr="00933708" w14:paraId="648BB664" w14:textId="77777777" w:rsidTr="00700D60">
        <w:trPr>
          <w:trHeight w:val="20"/>
        </w:trPr>
        <w:tc>
          <w:tcPr>
            <w:tcW w:w="5000" w:type="pct"/>
            <w:gridSpan w:val="6"/>
          </w:tcPr>
          <w:p w14:paraId="63C3AB33" w14:textId="77777777" w:rsidR="00CC188B" w:rsidRPr="00933708" w:rsidRDefault="00CC188B" w:rsidP="00700D60">
            <w:pPr>
              <w:keepLines/>
              <w:rPr>
                <w:rFonts w:ascii="Arial Narrow" w:hAnsi="Arial Narrow"/>
                <w:b/>
                <w:sz w:val="20"/>
                <w:szCs w:val="20"/>
              </w:rPr>
            </w:pPr>
            <w:r w:rsidRPr="00933708">
              <w:rPr>
                <w:rFonts w:ascii="Arial Narrow" w:hAnsi="Arial Narrow"/>
                <w:b/>
                <w:sz w:val="20"/>
                <w:szCs w:val="20"/>
              </w:rPr>
              <w:t xml:space="preserve">Prescriber type: </w:t>
            </w:r>
            <w:r w:rsidRPr="00933708">
              <w:rPr>
                <w:rFonts w:ascii="Arial Narrow" w:hAnsi="Arial Narrow"/>
                <w:sz w:val="20"/>
                <w:szCs w:val="20"/>
              </w:rPr>
              <w:fldChar w:fldCharType="begin">
                <w:ffData>
                  <w:name w:val=""/>
                  <w:enabled/>
                  <w:calcOnExit w:val="0"/>
                  <w:checkBox>
                    <w:sizeAuto/>
                    <w:default w:val="1"/>
                  </w:checkBox>
                </w:ffData>
              </w:fldChar>
            </w:r>
            <w:r w:rsidRPr="00933708">
              <w:rPr>
                <w:rFonts w:ascii="Arial Narrow" w:hAnsi="Arial Narrow"/>
                <w:sz w:val="20"/>
                <w:szCs w:val="20"/>
              </w:rPr>
              <w:instrText xml:space="preserve"> FORMCHECKBOX </w:instrText>
            </w:r>
            <w:r w:rsidR="00D5135E">
              <w:rPr>
                <w:rFonts w:ascii="Arial Narrow" w:hAnsi="Arial Narrow"/>
                <w:sz w:val="20"/>
                <w:szCs w:val="20"/>
              </w:rPr>
            </w:r>
            <w:r w:rsidR="00D5135E">
              <w:rPr>
                <w:rFonts w:ascii="Arial Narrow" w:hAnsi="Arial Narrow"/>
                <w:sz w:val="20"/>
                <w:szCs w:val="20"/>
              </w:rPr>
              <w:fldChar w:fldCharType="separate"/>
            </w:r>
            <w:r w:rsidRPr="00933708">
              <w:rPr>
                <w:rFonts w:ascii="Arial Narrow" w:hAnsi="Arial Narrow"/>
                <w:sz w:val="20"/>
                <w:szCs w:val="20"/>
              </w:rPr>
              <w:fldChar w:fldCharType="end"/>
            </w:r>
            <w:r w:rsidRPr="00933708">
              <w:rPr>
                <w:rFonts w:ascii="Arial Narrow" w:hAnsi="Arial Narrow"/>
                <w:sz w:val="20"/>
                <w:szCs w:val="20"/>
              </w:rPr>
              <w:t xml:space="preserve">Medical Practitioners </w:t>
            </w:r>
            <w:r w:rsidRPr="00933708">
              <w:rPr>
                <w:rFonts w:ascii="Arial Narrow" w:hAnsi="Arial Narrow"/>
                <w:sz w:val="20"/>
                <w:szCs w:val="20"/>
              </w:rPr>
              <w:fldChar w:fldCharType="begin">
                <w:ffData>
                  <w:name w:val="Check3"/>
                  <w:enabled/>
                  <w:calcOnExit w:val="0"/>
                  <w:checkBox>
                    <w:sizeAuto/>
                    <w:default w:val="1"/>
                  </w:checkBox>
                </w:ffData>
              </w:fldChar>
            </w:r>
            <w:r w:rsidRPr="00933708">
              <w:rPr>
                <w:rFonts w:ascii="Arial Narrow" w:hAnsi="Arial Narrow"/>
                <w:sz w:val="20"/>
                <w:szCs w:val="20"/>
              </w:rPr>
              <w:instrText xml:space="preserve"> FORMCHECKBOX </w:instrText>
            </w:r>
            <w:r w:rsidR="00D5135E">
              <w:rPr>
                <w:rFonts w:ascii="Arial Narrow" w:hAnsi="Arial Narrow"/>
                <w:sz w:val="20"/>
                <w:szCs w:val="20"/>
              </w:rPr>
            </w:r>
            <w:r w:rsidR="00D5135E">
              <w:rPr>
                <w:rFonts w:ascii="Arial Narrow" w:hAnsi="Arial Narrow"/>
                <w:sz w:val="20"/>
                <w:szCs w:val="20"/>
              </w:rPr>
              <w:fldChar w:fldCharType="separate"/>
            </w:r>
            <w:r w:rsidRPr="00933708">
              <w:rPr>
                <w:rFonts w:ascii="Arial Narrow" w:hAnsi="Arial Narrow"/>
                <w:sz w:val="20"/>
                <w:szCs w:val="20"/>
              </w:rPr>
              <w:fldChar w:fldCharType="end"/>
            </w:r>
            <w:r w:rsidRPr="00933708">
              <w:rPr>
                <w:rFonts w:ascii="Arial Narrow" w:hAnsi="Arial Narrow"/>
                <w:sz w:val="20"/>
                <w:szCs w:val="20"/>
              </w:rPr>
              <w:t>Nurse practitioners</w:t>
            </w:r>
          </w:p>
        </w:tc>
      </w:tr>
      <w:tr w:rsidR="00CC188B" w:rsidRPr="00933708" w14:paraId="79A1A928" w14:textId="77777777" w:rsidTr="00700D60">
        <w:trPr>
          <w:trHeight w:val="20"/>
        </w:trPr>
        <w:tc>
          <w:tcPr>
            <w:tcW w:w="5000" w:type="pct"/>
            <w:gridSpan w:val="6"/>
          </w:tcPr>
          <w:p w14:paraId="5EE105A0" w14:textId="77777777" w:rsidR="00CC188B" w:rsidRPr="00933708" w:rsidRDefault="00CC188B" w:rsidP="00700D60">
            <w:pPr>
              <w:keepLines/>
              <w:rPr>
                <w:rFonts w:ascii="Arial Narrow" w:hAnsi="Arial Narrow"/>
                <w:b/>
                <w:sz w:val="20"/>
                <w:szCs w:val="20"/>
              </w:rPr>
            </w:pPr>
            <w:r w:rsidRPr="00933708">
              <w:rPr>
                <w:rFonts w:ascii="Arial Narrow" w:hAnsi="Arial Narrow"/>
                <w:b/>
                <w:sz w:val="20"/>
                <w:szCs w:val="20"/>
              </w:rPr>
              <w:t xml:space="preserve">Restriction type: </w:t>
            </w:r>
            <w:r w:rsidRPr="00933708">
              <w:rPr>
                <w:rFonts w:ascii="Arial Narrow" w:hAnsi="Arial Narrow"/>
                <w:sz w:val="20"/>
                <w:szCs w:val="20"/>
              </w:rPr>
              <w:fldChar w:fldCharType="begin">
                <w:ffData>
                  <w:name w:val=""/>
                  <w:enabled/>
                  <w:calcOnExit w:val="0"/>
                  <w:checkBox>
                    <w:sizeAuto/>
                    <w:default w:val="1"/>
                  </w:checkBox>
                </w:ffData>
              </w:fldChar>
            </w:r>
            <w:r w:rsidRPr="00933708">
              <w:rPr>
                <w:rFonts w:ascii="Arial Narrow" w:hAnsi="Arial Narrow"/>
                <w:sz w:val="20"/>
                <w:szCs w:val="20"/>
              </w:rPr>
              <w:instrText xml:space="preserve"> FORMCHECKBOX </w:instrText>
            </w:r>
            <w:r w:rsidR="00D5135E">
              <w:rPr>
                <w:rFonts w:ascii="Arial Narrow" w:hAnsi="Arial Narrow"/>
                <w:sz w:val="20"/>
                <w:szCs w:val="20"/>
              </w:rPr>
            </w:r>
            <w:r w:rsidR="00D5135E">
              <w:rPr>
                <w:rFonts w:ascii="Arial Narrow" w:hAnsi="Arial Narrow"/>
                <w:sz w:val="20"/>
                <w:szCs w:val="20"/>
              </w:rPr>
              <w:fldChar w:fldCharType="separate"/>
            </w:r>
            <w:r w:rsidRPr="00933708">
              <w:rPr>
                <w:rFonts w:ascii="Arial Narrow" w:hAnsi="Arial Narrow"/>
                <w:sz w:val="20"/>
                <w:szCs w:val="20"/>
              </w:rPr>
              <w:fldChar w:fldCharType="end"/>
            </w:r>
            <w:r w:rsidRPr="00933708">
              <w:rPr>
                <w:rFonts w:ascii="Arial Narrow" w:hAnsi="Arial Narrow"/>
                <w:sz w:val="20"/>
                <w:szCs w:val="20"/>
              </w:rPr>
              <w:t>Authority Required (Streamlined) – [</w:t>
            </w:r>
            <w:r w:rsidRPr="00933708">
              <w:rPr>
                <w:rFonts w:ascii="Arial Narrow" w:hAnsi="Arial Narrow"/>
                <w:b/>
                <w:bCs/>
                <w:sz w:val="20"/>
                <w:szCs w:val="20"/>
              </w:rPr>
              <w:t>New 2]</w:t>
            </w:r>
          </w:p>
        </w:tc>
      </w:tr>
    </w:tbl>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690"/>
        <w:gridCol w:w="581"/>
        <w:gridCol w:w="7744"/>
      </w:tblGrid>
      <w:tr w:rsidR="00CC188B" w:rsidRPr="00933708" w14:paraId="64C38BC1" w14:textId="77777777" w:rsidTr="00700D60">
        <w:trPr>
          <w:trHeight w:val="20"/>
        </w:trPr>
        <w:tc>
          <w:tcPr>
            <w:tcW w:w="383" w:type="pct"/>
            <w:vMerge w:val="restart"/>
            <w:textDirection w:val="btLr"/>
            <w:vAlign w:val="center"/>
          </w:tcPr>
          <w:p w14:paraId="49E36229" w14:textId="77777777" w:rsidR="00CC188B" w:rsidRPr="00933708" w:rsidRDefault="00CC188B" w:rsidP="00700D60">
            <w:pPr>
              <w:jc w:val="center"/>
              <w:rPr>
                <w:rFonts w:ascii="Arial Narrow" w:hAnsi="Arial Narrow"/>
                <w:b/>
                <w:bCs/>
                <w:sz w:val="20"/>
                <w:szCs w:val="20"/>
              </w:rPr>
            </w:pPr>
            <w:r w:rsidRPr="00933708">
              <w:rPr>
                <w:rFonts w:ascii="Arial Narrow" w:hAnsi="Arial Narrow"/>
                <w:sz w:val="20"/>
                <w:szCs w:val="20"/>
              </w:rPr>
              <w:t>Prescribing rule level</w:t>
            </w:r>
          </w:p>
        </w:tc>
        <w:tc>
          <w:tcPr>
            <w:tcW w:w="322" w:type="pct"/>
            <w:vAlign w:val="center"/>
          </w:tcPr>
          <w:p w14:paraId="333997D6" w14:textId="60A6AFC9" w:rsidR="00CC188B" w:rsidRPr="00933708" w:rsidRDefault="00CC188B" w:rsidP="00700D60">
            <w:pPr>
              <w:rPr>
                <w:rFonts w:ascii="Arial Narrow" w:hAnsi="Arial Narrow"/>
                <w:b/>
                <w:bCs/>
                <w:sz w:val="20"/>
                <w:szCs w:val="20"/>
              </w:rPr>
            </w:pPr>
          </w:p>
        </w:tc>
        <w:tc>
          <w:tcPr>
            <w:tcW w:w="4295" w:type="pct"/>
            <w:vAlign w:val="center"/>
          </w:tcPr>
          <w:p w14:paraId="4382B785" w14:textId="77777777" w:rsidR="00CC188B" w:rsidRPr="00933708" w:rsidRDefault="00CC188B" w:rsidP="00700D60">
            <w:pPr>
              <w:rPr>
                <w:rFonts w:ascii="Arial Narrow" w:hAnsi="Arial Narrow"/>
                <w:b/>
                <w:bCs/>
                <w:sz w:val="20"/>
                <w:szCs w:val="20"/>
              </w:rPr>
            </w:pPr>
            <w:r w:rsidRPr="00933708">
              <w:rPr>
                <w:rFonts w:ascii="Arial Narrow" w:hAnsi="Arial Narrow"/>
                <w:b/>
                <w:bCs/>
                <w:sz w:val="20"/>
                <w:szCs w:val="20"/>
              </w:rPr>
              <w:t>Administrative Advice:</w:t>
            </w:r>
          </w:p>
          <w:p w14:paraId="08C74DCD" w14:textId="77777777" w:rsidR="00CC188B" w:rsidRPr="00933708" w:rsidRDefault="00CC188B" w:rsidP="00700D60">
            <w:pPr>
              <w:rPr>
                <w:rFonts w:ascii="Arial Narrow" w:hAnsi="Arial Narrow"/>
                <w:b/>
                <w:bCs/>
                <w:sz w:val="20"/>
                <w:szCs w:val="20"/>
              </w:rPr>
            </w:pPr>
            <w:r w:rsidRPr="00933708">
              <w:rPr>
                <w:rFonts w:ascii="Arial Narrow" w:hAnsi="Arial Narrow"/>
                <w:b/>
                <w:bCs/>
                <w:sz w:val="20"/>
                <w:szCs w:val="20"/>
              </w:rPr>
              <w:t>Continuing Therapy Only:</w:t>
            </w:r>
          </w:p>
          <w:p w14:paraId="610054D6" w14:textId="77777777" w:rsidR="00CC188B" w:rsidRPr="00933708" w:rsidRDefault="00CC188B" w:rsidP="00700D60">
            <w:pPr>
              <w:rPr>
                <w:rFonts w:ascii="Arial Narrow" w:hAnsi="Arial Narrow"/>
                <w:sz w:val="20"/>
                <w:szCs w:val="20"/>
              </w:rPr>
            </w:pPr>
            <w:r w:rsidRPr="00933708">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CC188B" w:rsidRPr="00933708" w14:paraId="7723AD15" w14:textId="77777777" w:rsidTr="00700D60">
        <w:trPr>
          <w:trHeight w:val="20"/>
        </w:trPr>
        <w:tc>
          <w:tcPr>
            <w:tcW w:w="383" w:type="pct"/>
            <w:vMerge/>
          </w:tcPr>
          <w:p w14:paraId="3CD5482D" w14:textId="77777777" w:rsidR="00CC188B" w:rsidRPr="00933708" w:rsidRDefault="00CC188B" w:rsidP="00700D60">
            <w:pPr>
              <w:rPr>
                <w:rFonts w:ascii="Arial Narrow" w:hAnsi="Arial Narrow"/>
                <w:b/>
                <w:bCs/>
                <w:sz w:val="20"/>
                <w:szCs w:val="20"/>
              </w:rPr>
            </w:pPr>
          </w:p>
        </w:tc>
        <w:tc>
          <w:tcPr>
            <w:tcW w:w="322" w:type="pct"/>
            <w:vAlign w:val="center"/>
          </w:tcPr>
          <w:p w14:paraId="5D3EB0C0" w14:textId="75B2A029" w:rsidR="00CC188B" w:rsidRPr="00933708" w:rsidRDefault="00CC188B" w:rsidP="00700D60">
            <w:pPr>
              <w:rPr>
                <w:rFonts w:ascii="Arial Narrow" w:hAnsi="Arial Narrow"/>
                <w:b/>
                <w:bCs/>
                <w:sz w:val="20"/>
                <w:szCs w:val="20"/>
              </w:rPr>
            </w:pPr>
          </w:p>
        </w:tc>
        <w:tc>
          <w:tcPr>
            <w:tcW w:w="4295" w:type="pct"/>
            <w:vAlign w:val="center"/>
          </w:tcPr>
          <w:p w14:paraId="490F9DC0" w14:textId="77777777" w:rsidR="00CC188B" w:rsidRPr="00933708" w:rsidRDefault="00CC188B" w:rsidP="00700D60">
            <w:pPr>
              <w:rPr>
                <w:rFonts w:ascii="Arial Narrow" w:hAnsi="Arial Narrow"/>
                <w:b/>
                <w:bCs/>
                <w:sz w:val="20"/>
                <w:szCs w:val="20"/>
              </w:rPr>
            </w:pPr>
            <w:r w:rsidRPr="00933708">
              <w:rPr>
                <w:rFonts w:ascii="Arial Narrow" w:hAnsi="Arial Narrow"/>
                <w:b/>
                <w:bCs/>
                <w:sz w:val="20"/>
                <w:szCs w:val="20"/>
              </w:rPr>
              <w:t xml:space="preserve">Administrative Advice: </w:t>
            </w:r>
            <w:r w:rsidRPr="00933708">
              <w:rPr>
                <w:rFonts w:ascii="Arial Narrow" w:hAnsi="Arial Narrow"/>
                <w:sz w:val="20"/>
                <w:szCs w:val="20"/>
              </w:rPr>
              <w:t>No increase in the maximum quantity or number of units may be authorised.</w:t>
            </w:r>
          </w:p>
        </w:tc>
      </w:tr>
      <w:tr w:rsidR="00CC188B" w:rsidRPr="00933708" w14:paraId="2DE500E6" w14:textId="77777777" w:rsidTr="00700D60">
        <w:trPr>
          <w:trHeight w:val="20"/>
        </w:trPr>
        <w:tc>
          <w:tcPr>
            <w:tcW w:w="383" w:type="pct"/>
            <w:vMerge/>
          </w:tcPr>
          <w:p w14:paraId="2EB3F2C5" w14:textId="77777777" w:rsidR="00CC188B" w:rsidRPr="00933708" w:rsidRDefault="00CC188B" w:rsidP="00700D60">
            <w:pPr>
              <w:rPr>
                <w:rFonts w:ascii="Arial Narrow" w:hAnsi="Arial Narrow"/>
                <w:b/>
                <w:bCs/>
                <w:sz w:val="20"/>
                <w:szCs w:val="20"/>
              </w:rPr>
            </w:pPr>
          </w:p>
        </w:tc>
        <w:tc>
          <w:tcPr>
            <w:tcW w:w="322" w:type="pct"/>
            <w:vAlign w:val="center"/>
          </w:tcPr>
          <w:p w14:paraId="48753806" w14:textId="60B7458B" w:rsidR="00CC188B" w:rsidRPr="00933708" w:rsidRDefault="00CC188B" w:rsidP="00700D60">
            <w:pPr>
              <w:rPr>
                <w:rFonts w:ascii="Arial Narrow" w:hAnsi="Arial Narrow"/>
                <w:b/>
                <w:bCs/>
                <w:sz w:val="20"/>
                <w:szCs w:val="20"/>
              </w:rPr>
            </w:pPr>
          </w:p>
        </w:tc>
        <w:tc>
          <w:tcPr>
            <w:tcW w:w="4295" w:type="pct"/>
            <w:vAlign w:val="center"/>
          </w:tcPr>
          <w:p w14:paraId="53F30A75" w14:textId="77777777" w:rsidR="00CC188B" w:rsidRPr="00933708" w:rsidRDefault="00CC188B" w:rsidP="00700D60">
            <w:pPr>
              <w:rPr>
                <w:rFonts w:ascii="Arial Narrow" w:hAnsi="Arial Narrow"/>
                <w:b/>
                <w:bCs/>
                <w:sz w:val="20"/>
                <w:szCs w:val="20"/>
              </w:rPr>
            </w:pPr>
            <w:r w:rsidRPr="00933708">
              <w:rPr>
                <w:rFonts w:ascii="Arial Narrow" w:hAnsi="Arial Narrow"/>
                <w:b/>
                <w:bCs/>
                <w:sz w:val="20"/>
                <w:szCs w:val="20"/>
              </w:rPr>
              <w:t xml:space="preserve">Administrative Advice: </w:t>
            </w:r>
            <w:r w:rsidRPr="00933708">
              <w:rPr>
                <w:rFonts w:ascii="Arial Narrow" w:hAnsi="Arial Narrow"/>
                <w:sz w:val="20"/>
                <w:szCs w:val="20"/>
              </w:rPr>
              <w:t>No increase in the maximum number of repeats may be authorised.</w:t>
            </w:r>
          </w:p>
        </w:tc>
      </w:tr>
    </w:tbl>
    <w:tbl>
      <w:tblPr>
        <w:tblStyle w:val="TableGrid3"/>
        <w:tblW w:w="5000" w:type="pct"/>
        <w:tblLook w:val="0000" w:firstRow="0" w:lastRow="0" w:firstColumn="0" w:lastColumn="0" w:noHBand="0" w:noVBand="0"/>
      </w:tblPr>
      <w:tblGrid>
        <w:gridCol w:w="1279"/>
        <w:gridCol w:w="7738"/>
      </w:tblGrid>
      <w:tr w:rsidR="00CC188B" w:rsidRPr="00933708" w14:paraId="43DCA7FE" w14:textId="77777777" w:rsidTr="00700D60">
        <w:trPr>
          <w:trHeight w:val="20"/>
        </w:trPr>
        <w:tc>
          <w:tcPr>
            <w:tcW w:w="709" w:type="pct"/>
          </w:tcPr>
          <w:p w14:paraId="45603B97" w14:textId="71F3E10D" w:rsidR="00CC188B" w:rsidRPr="00933708" w:rsidRDefault="00CC188B" w:rsidP="00700D60">
            <w:pPr>
              <w:keepLines/>
              <w:jc w:val="center"/>
              <w:rPr>
                <w:rFonts w:ascii="Arial Narrow" w:hAnsi="Arial Narrow"/>
                <w:sz w:val="20"/>
                <w:szCs w:val="20"/>
              </w:rPr>
            </w:pPr>
          </w:p>
        </w:tc>
        <w:tc>
          <w:tcPr>
            <w:tcW w:w="4291" w:type="pct"/>
            <w:hideMark/>
          </w:tcPr>
          <w:p w14:paraId="17DAE700" w14:textId="77777777" w:rsidR="00CC188B" w:rsidRPr="00933708" w:rsidRDefault="00CC188B" w:rsidP="00700D60">
            <w:pPr>
              <w:keepLines/>
              <w:rPr>
                <w:rFonts w:ascii="Arial Narrow" w:hAnsi="Arial Narrow"/>
                <w:sz w:val="20"/>
                <w:szCs w:val="20"/>
              </w:rPr>
            </w:pPr>
            <w:r w:rsidRPr="00933708">
              <w:rPr>
                <w:rFonts w:ascii="Arial Narrow" w:hAnsi="Arial Narrow"/>
                <w:b/>
                <w:bCs/>
                <w:sz w:val="20"/>
                <w:szCs w:val="20"/>
              </w:rPr>
              <w:t>Indication:</w:t>
            </w:r>
            <w:r w:rsidRPr="00933708">
              <w:rPr>
                <w:rFonts w:ascii="Arial Narrow" w:hAnsi="Arial Narrow"/>
                <w:sz w:val="20"/>
                <w:szCs w:val="20"/>
              </w:rPr>
              <w:t xml:space="preserve"> Chronic kidney disease</w:t>
            </w:r>
          </w:p>
        </w:tc>
      </w:tr>
      <w:tr w:rsidR="00CC188B" w:rsidRPr="00933708" w14:paraId="7EB56DBC" w14:textId="77777777" w:rsidTr="00700D60">
        <w:trPr>
          <w:trHeight w:val="20"/>
        </w:trPr>
        <w:tc>
          <w:tcPr>
            <w:tcW w:w="709" w:type="pct"/>
          </w:tcPr>
          <w:p w14:paraId="03258F92" w14:textId="77777777" w:rsidR="00CC188B" w:rsidRPr="00933708" w:rsidRDefault="00CC188B" w:rsidP="00700D60">
            <w:pPr>
              <w:keepLines/>
              <w:jc w:val="center"/>
              <w:rPr>
                <w:rFonts w:ascii="Arial Narrow" w:hAnsi="Arial Narrow"/>
                <w:sz w:val="20"/>
                <w:szCs w:val="20"/>
              </w:rPr>
            </w:pPr>
          </w:p>
        </w:tc>
        <w:tc>
          <w:tcPr>
            <w:tcW w:w="4291" w:type="pct"/>
          </w:tcPr>
          <w:p w14:paraId="530194C7" w14:textId="77777777" w:rsidR="00CC188B" w:rsidRPr="00933708" w:rsidRDefault="00CC188B" w:rsidP="00700D60">
            <w:pPr>
              <w:keepLines/>
              <w:rPr>
                <w:rFonts w:ascii="Arial Narrow" w:hAnsi="Arial Narrow"/>
                <w:b/>
                <w:bCs/>
                <w:sz w:val="20"/>
                <w:szCs w:val="20"/>
              </w:rPr>
            </w:pPr>
          </w:p>
        </w:tc>
      </w:tr>
      <w:tr w:rsidR="00CC188B" w:rsidRPr="00933708" w14:paraId="6842D214" w14:textId="77777777" w:rsidTr="00700D60">
        <w:trPr>
          <w:trHeight w:val="20"/>
        </w:trPr>
        <w:tc>
          <w:tcPr>
            <w:tcW w:w="709" w:type="pct"/>
          </w:tcPr>
          <w:p w14:paraId="113FB52B" w14:textId="340D9DB8" w:rsidR="00CC188B" w:rsidRPr="00933708" w:rsidRDefault="00CC188B" w:rsidP="00700D60">
            <w:pPr>
              <w:jc w:val="center"/>
              <w:rPr>
                <w:rFonts w:ascii="Arial Narrow" w:hAnsi="Arial Narrow"/>
                <w:sz w:val="20"/>
                <w:szCs w:val="20"/>
              </w:rPr>
            </w:pPr>
          </w:p>
        </w:tc>
        <w:tc>
          <w:tcPr>
            <w:tcW w:w="4291" w:type="pct"/>
            <w:hideMark/>
          </w:tcPr>
          <w:p w14:paraId="5415ED70" w14:textId="77777777" w:rsidR="00CC188B" w:rsidRPr="00933708" w:rsidRDefault="00CC188B" w:rsidP="00700D60">
            <w:pPr>
              <w:rPr>
                <w:rFonts w:ascii="Arial Narrow" w:hAnsi="Arial Narrow"/>
                <w:sz w:val="20"/>
                <w:szCs w:val="20"/>
              </w:rPr>
            </w:pPr>
            <w:r w:rsidRPr="00933708">
              <w:rPr>
                <w:rFonts w:ascii="Arial Narrow" w:hAnsi="Arial Narrow"/>
                <w:b/>
                <w:bCs/>
                <w:sz w:val="20"/>
                <w:szCs w:val="20"/>
              </w:rPr>
              <w:t xml:space="preserve">Clinical criteria: </w:t>
            </w:r>
          </w:p>
        </w:tc>
      </w:tr>
      <w:tr w:rsidR="00CC188B" w:rsidRPr="00933708" w14:paraId="46FBAA45" w14:textId="77777777" w:rsidTr="00700D60">
        <w:trPr>
          <w:trHeight w:val="103"/>
        </w:trPr>
        <w:tc>
          <w:tcPr>
            <w:tcW w:w="709" w:type="pct"/>
          </w:tcPr>
          <w:p w14:paraId="668234C9" w14:textId="09686833" w:rsidR="00CC188B" w:rsidRPr="00933708" w:rsidRDefault="00CC188B" w:rsidP="00700D60">
            <w:pPr>
              <w:jc w:val="center"/>
              <w:rPr>
                <w:rFonts w:ascii="Arial Narrow" w:hAnsi="Arial Narrow"/>
                <w:sz w:val="20"/>
                <w:szCs w:val="20"/>
              </w:rPr>
            </w:pPr>
          </w:p>
        </w:tc>
        <w:tc>
          <w:tcPr>
            <w:tcW w:w="4291" w:type="pct"/>
            <w:hideMark/>
          </w:tcPr>
          <w:p w14:paraId="2C2FF5F6" w14:textId="18A6EF54" w:rsidR="00CC188B" w:rsidRPr="00933708" w:rsidRDefault="00CC188B" w:rsidP="00700D60">
            <w:pPr>
              <w:rPr>
                <w:rFonts w:ascii="Arial Narrow" w:hAnsi="Arial Narrow"/>
                <w:sz w:val="20"/>
                <w:szCs w:val="20"/>
              </w:rPr>
            </w:pPr>
            <w:r w:rsidRPr="00933708">
              <w:rPr>
                <w:rFonts w:ascii="Arial Narrow" w:hAnsi="Arial Narrow"/>
                <w:sz w:val="20"/>
                <w:szCs w:val="20"/>
              </w:rPr>
              <w:t>Patient must have a diagnosis of chronic kidney disease, defined as abnormalities of at least one of: (i) kidney structure, (ii) kidney function, present for at least 3 months, prior to initiating treatment with this drug</w:t>
            </w:r>
            <w:r w:rsidR="0010339C" w:rsidRPr="00933708">
              <w:rPr>
                <w:rFonts w:ascii="Arial Narrow" w:hAnsi="Arial Narrow"/>
                <w:sz w:val="20"/>
                <w:szCs w:val="20"/>
              </w:rPr>
              <w:t>,</w:t>
            </w:r>
          </w:p>
        </w:tc>
      </w:tr>
      <w:tr w:rsidR="00CC188B" w:rsidRPr="00933708" w14:paraId="4B3DF6EC" w14:textId="77777777" w:rsidTr="00700D60">
        <w:trPr>
          <w:trHeight w:val="20"/>
        </w:trPr>
        <w:tc>
          <w:tcPr>
            <w:tcW w:w="709" w:type="pct"/>
          </w:tcPr>
          <w:p w14:paraId="3FBFF2FB" w14:textId="77777777" w:rsidR="00CC188B" w:rsidRPr="00933708" w:rsidRDefault="00CC188B" w:rsidP="00700D60">
            <w:pPr>
              <w:jc w:val="center"/>
              <w:rPr>
                <w:rFonts w:ascii="Arial Narrow" w:hAnsi="Arial Narrow"/>
                <w:b/>
                <w:bCs/>
                <w:sz w:val="20"/>
                <w:szCs w:val="20"/>
              </w:rPr>
            </w:pPr>
          </w:p>
        </w:tc>
        <w:tc>
          <w:tcPr>
            <w:tcW w:w="4291" w:type="pct"/>
            <w:hideMark/>
          </w:tcPr>
          <w:p w14:paraId="41D95FD3" w14:textId="77777777" w:rsidR="00CC188B" w:rsidRPr="00933708" w:rsidRDefault="00CC188B" w:rsidP="00700D60">
            <w:pPr>
              <w:rPr>
                <w:rFonts w:ascii="Arial Narrow" w:hAnsi="Arial Narrow"/>
                <w:sz w:val="20"/>
                <w:szCs w:val="20"/>
              </w:rPr>
            </w:pPr>
            <w:r w:rsidRPr="00933708">
              <w:rPr>
                <w:rFonts w:ascii="Arial Narrow" w:hAnsi="Arial Narrow"/>
                <w:b/>
                <w:bCs/>
                <w:sz w:val="20"/>
                <w:szCs w:val="20"/>
              </w:rPr>
              <w:t>AND</w:t>
            </w:r>
          </w:p>
        </w:tc>
      </w:tr>
      <w:tr w:rsidR="00CC188B" w:rsidRPr="00933708" w14:paraId="228878B2" w14:textId="77777777" w:rsidTr="00700D60">
        <w:trPr>
          <w:trHeight w:val="20"/>
        </w:trPr>
        <w:tc>
          <w:tcPr>
            <w:tcW w:w="709" w:type="pct"/>
          </w:tcPr>
          <w:p w14:paraId="23368A56" w14:textId="05722387" w:rsidR="00CC188B" w:rsidRPr="00933708" w:rsidRDefault="00CC188B" w:rsidP="00700D60">
            <w:pPr>
              <w:jc w:val="center"/>
              <w:rPr>
                <w:rFonts w:ascii="Arial Narrow" w:hAnsi="Arial Narrow"/>
                <w:sz w:val="20"/>
                <w:szCs w:val="20"/>
              </w:rPr>
            </w:pPr>
          </w:p>
        </w:tc>
        <w:tc>
          <w:tcPr>
            <w:tcW w:w="4291" w:type="pct"/>
            <w:hideMark/>
          </w:tcPr>
          <w:p w14:paraId="7E65CD78" w14:textId="77777777" w:rsidR="00CC188B" w:rsidRPr="00933708" w:rsidRDefault="00CC188B" w:rsidP="00700D60">
            <w:pPr>
              <w:rPr>
                <w:rFonts w:ascii="Arial Narrow" w:hAnsi="Arial Narrow"/>
                <w:sz w:val="20"/>
                <w:szCs w:val="20"/>
              </w:rPr>
            </w:pPr>
            <w:r w:rsidRPr="00933708">
              <w:rPr>
                <w:rFonts w:ascii="Arial Narrow" w:hAnsi="Arial Narrow"/>
                <w:b/>
                <w:bCs/>
                <w:sz w:val="20"/>
                <w:szCs w:val="20"/>
              </w:rPr>
              <w:t>Clinical criteria:</w:t>
            </w:r>
          </w:p>
        </w:tc>
      </w:tr>
      <w:tr w:rsidR="00CC188B" w:rsidRPr="00933708" w14:paraId="0C019806" w14:textId="77777777" w:rsidTr="00700D60">
        <w:trPr>
          <w:trHeight w:val="20"/>
        </w:trPr>
        <w:tc>
          <w:tcPr>
            <w:tcW w:w="709" w:type="pct"/>
          </w:tcPr>
          <w:p w14:paraId="688B0121" w14:textId="06C9B1F6" w:rsidR="00CC188B" w:rsidRPr="00933708" w:rsidRDefault="00CC188B" w:rsidP="00700D60">
            <w:pPr>
              <w:jc w:val="center"/>
              <w:rPr>
                <w:rFonts w:ascii="Arial Narrow" w:hAnsi="Arial Narrow"/>
                <w:sz w:val="20"/>
                <w:szCs w:val="20"/>
              </w:rPr>
            </w:pPr>
          </w:p>
        </w:tc>
        <w:tc>
          <w:tcPr>
            <w:tcW w:w="4291" w:type="pct"/>
            <w:hideMark/>
          </w:tcPr>
          <w:p w14:paraId="37B73F3B" w14:textId="4CEA1038" w:rsidR="00CC188B" w:rsidRPr="00933708" w:rsidRDefault="00CC188B" w:rsidP="00700D60">
            <w:pPr>
              <w:spacing w:before="20" w:after="20" w:line="276" w:lineRule="auto"/>
              <w:rPr>
                <w:rFonts w:ascii="Arial Narrow" w:hAnsi="Arial Narrow"/>
                <w:sz w:val="20"/>
                <w:szCs w:val="20"/>
                <w:lang w:bidi="en-US"/>
              </w:rPr>
            </w:pPr>
            <w:r w:rsidRPr="00933708">
              <w:rPr>
                <w:rFonts w:ascii="Arial Narrow" w:hAnsi="Arial Narrow"/>
                <w:sz w:val="20"/>
                <w:szCs w:val="20"/>
                <w:lang w:bidi="en-US"/>
              </w:rPr>
              <w:t>Patient must have an estimated glomerular filtration rate of between 25 to 75 mL/min/1.73 m2 inclusive</w:t>
            </w:r>
            <w:r w:rsidRPr="00933708">
              <w:rPr>
                <w:rFonts w:ascii="Arial Narrow" w:hAnsi="Arial Narrow"/>
                <w:strike/>
                <w:sz w:val="20"/>
                <w:szCs w:val="20"/>
                <w:lang w:bidi="en-US"/>
              </w:rPr>
              <w:t xml:space="preserve"> </w:t>
            </w:r>
            <w:r w:rsidRPr="00933708">
              <w:rPr>
                <w:rFonts w:ascii="Arial Narrow" w:hAnsi="Arial Narrow"/>
                <w:sz w:val="20"/>
                <w:szCs w:val="20"/>
                <w:lang w:bidi="en-US"/>
              </w:rPr>
              <w:t>prior to initiating treatment with this drug,</w:t>
            </w:r>
          </w:p>
        </w:tc>
      </w:tr>
      <w:tr w:rsidR="00CC188B" w:rsidRPr="00933708" w14:paraId="70A57B1A" w14:textId="77777777" w:rsidTr="00700D60">
        <w:trPr>
          <w:trHeight w:val="20"/>
        </w:trPr>
        <w:tc>
          <w:tcPr>
            <w:tcW w:w="709" w:type="pct"/>
          </w:tcPr>
          <w:p w14:paraId="3431CCA3" w14:textId="77777777" w:rsidR="00CC188B" w:rsidRPr="00933708" w:rsidRDefault="00CC188B" w:rsidP="00700D60">
            <w:pPr>
              <w:jc w:val="center"/>
              <w:rPr>
                <w:rFonts w:ascii="Arial Narrow" w:hAnsi="Arial Narrow"/>
                <w:b/>
                <w:bCs/>
                <w:sz w:val="20"/>
                <w:szCs w:val="20"/>
              </w:rPr>
            </w:pPr>
          </w:p>
        </w:tc>
        <w:tc>
          <w:tcPr>
            <w:tcW w:w="4291" w:type="pct"/>
            <w:hideMark/>
          </w:tcPr>
          <w:p w14:paraId="7584545D" w14:textId="77777777" w:rsidR="00CC188B" w:rsidRPr="00933708" w:rsidRDefault="00CC188B" w:rsidP="00700D60">
            <w:pPr>
              <w:rPr>
                <w:rFonts w:ascii="Arial Narrow" w:hAnsi="Arial Narrow"/>
                <w:sz w:val="20"/>
                <w:szCs w:val="20"/>
              </w:rPr>
            </w:pPr>
            <w:r w:rsidRPr="00933708">
              <w:rPr>
                <w:rFonts w:ascii="Arial Narrow" w:hAnsi="Arial Narrow"/>
                <w:b/>
                <w:bCs/>
                <w:sz w:val="20"/>
                <w:szCs w:val="20"/>
              </w:rPr>
              <w:t>AND</w:t>
            </w:r>
          </w:p>
        </w:tc>
      </w:tr>
      <w:tr w:rsidR="00CC188B" w:rsidRPr="00933708" w14:paraId="576E9E75" w14:textId="77777777" w:rsidTr="00700D60">
        <w:trPr>
          <w:trHeight w:val="20"/>
        </w:trPr>
        <w:tc>
          <w:tcPr>
            <w:tcW w:w="709" w:type="pct"/>
          </w:tcPr>
          <w:p w14:paraId="17709673" w14:textId="02BCDB86" w:rsidR="00CC188B" w:rsidRPr="00933708" w:rsidRDefault="00CC188B" w:rsidP="00700D60">
            <w:pPr>
              <w:jc w:val="center"/>
              <w:rPr>
                <w:rFonts w:ascii="Arial Narrow" w:hAnsi="Arial Narrow"/>
                <w:sz w:val="20"/>
                <w:szCs w:val="20"/>
              </w:rPr>
            </w:pPr>
          </w:p>
        </w:tc>
        <w:tc>
          <w:tcPr>
            <w:tcW w:w="4291" w:type="pct"/>
            <w:hideMark/>
          </w:tcPr>
          <w:p w14:paraId="554872F2" w14:textId="77777777" w:rsidR="00CC188B" w:rsidRPr="00933708" w:rsidRDefault="00CC188B" w:rsidP="00700D60">
            <w:pPr>
              <w:rPr>
                <w:rFonts w:ascii="Arial Narrow" w:hAnsi="Arial Narrow"/>
                <w:sz w:val="20"/>
                <w:szCs w:val="20"/>
              </w:rPr>
            </w:pPr>
            <w:r w:rsidRPr="00933708">
              <w:rPr>
                <w:rFonts w:ascii="Arial Narrow" w:hAnsi="Arial Narrow"/>
                <w:b/>
                <w:bCs/>
                <w:sz w:val="20"/>
                <w:szCs w:val="20"/>
              </w:rPr>
              <w:t>Clinical criteria:</w:t>
            </w:r>
          </w:p>
        </w:tc>
      </w:tr>
      <w:tr w:rsidR="00CC188B" w:rsidRPr="00933708" w14:paraId="04BF88E6" w14:textId="77777777" w:rsidTr="00700D60">
        <w:trPr>
          <w:trHeight w:val="20"/>
        </w:trPr>
        <w:tc>
          <w:tcPr>
            <w:tcW w:w="709" w:type="pct"/>
          </w:tcPr>
          <w:p w14:paraId="49C1C199" w14:textId="223E5D27" w:rsidR="00CC188B" w:rsidRPr="00933708" w:rsidRDefault="00CC188B" w:rsidP="00700D60">
            <w:pPr>
              <w:spacing w:before="240"/>
              <w:jc w:val="center"/>
              <w:rPr>
                <w:rFonts w:ascii="Arial Narrow" w:hAnsi="Arial Narrow"/>
                <w:sz w:val="20"/>
                <w:szCs w:val="20"/>
              </w:rPr>
            </w:pPr>
          </w:p>
        </w:tc>
        <w:tc>
          <w:tcPr>
            <w:tcW w:w="4291" w:type="pct"/>
            <w:hideMark/>
          </w:tcPr>
          <w:p w14:paraId="432EB312" w14:textId="1F527D3B" w:rsidR="00CC188B" w:rsidRPr="00933708" w:rsidRDefault="00CC188B" w:rsidP="00700D60">
            <w:pPr>
              <w:keepNext/>
              <w:keepLines/>
              <w:snapToGrid w:val="0"/>
              <w:contextualSpacing/>
              <w:rPr>
                <w:rFonts w:ascii="Arial Narrow" w:hAnsi="Arial Narrow"/>
                <w:sz w:val="20"/>
                <w:szCs w:val="20"/>
              </w:rPr>
            </w:pPr>
            <w:r w:rsidRPr="00933708">
              <w:rPr>
                <w:rFonts w:ascii="Arial Narrow" w:hAnsi="Arial Narrow"/>
                <w:sz w:val="20"/>
                <w:szCs w:val="20"/>
              </w:rPr>
              <w:t>Patient must have a urinary albumin to creatinine ratio of between 200 to 5000 mg/g (22.6-565 mg/mmol) inclusive prior to initiating treatment with this drug,</w:t>
            </w:r>
          </w:p>
          <w:p w14:paraId="71988F54" w14:textId="77777777" w:rsidR="00CC188B" w:rsidRPr="00933708" w:rsidRDefault="00CC188B" w:rsidP="00700D60">
            <w:pPr>
              <w:keepNext/>
              <w:keepLines/>
              <w:snapToGrid w:val="0"/>
              <w:contextualSpacing/>
              <w:rPr>
                <w:rFonts w:ascii="Arial Narrow" w:hAnsi="Arial Narrow"/>
                <w:sz w:val="20"/>
                <w:szCs w:val="20"/>
              </w:rPr>
            </w:pPr>
          </w:p>
        </w:tc>
      </w:tr>
      <w:tr w:rsidR="00CC188B" w:rsidRPr="00933708" w14:paraId="0FE339F7" w14:textId="77777777" w:rsidTr="00700D60">
        <w:trPr>
          <w:trHeight w:val="20"/>
        </w:trPr>
        <w:tc>
          <w:tcPr>
            <w:tcW w:w="709" w:type="pct"/>
          </w:tcPr>
          <w:p w14:paraId="42F38AF0" w14:textId="77777777" w:rsidR="00CC188B" w:rsidRPr="00933708" w:rsidRDefault="00CC188B" w:rsidP="00700D60">
            <w:pPr>
              <w:jc w:val="center"/>
              <w:rPr>
                <w:rFonts w:ascii="Arial Narrow" w:hAnsi="Arial Narrow"/>
                <w:strike/>
                <w:sz w:val="20"/>
                <w:szCs w:val="20"/>
              </w:rPr>
            </w:pPr>
          </w:p>
        </w:tc>
        <w:tc>
          <w:tcPr>
            <w:tcW w:w="4291" w:type="pct"/>
          </w:tcPr>
          <w:p w14:paraId="1425F98C" w14:textId="77777777" w:rsidR="00CC188B" w:rsidRPr="00933708" w:rsidRDefault="00CC188B" w:rsidP="00700D60">
            <w:pPr>
              <w:keepNext/>
              <w:keepLines/>
              <w:rPr>
                <w:rFonts w:ascii="Arial Narrow" w:hAnsi="Arial Narrow"/>
                <w:b/>
                <w:bCs/>
                <w:sz w:val="20"/>
                <w:szCs w:val="20"/>
              </w:rPr>
            </w:pPr>
            <w:r w:rsidRPr="00933708">
              <w:rPr>
                <w:rFonts w:ascii="Arial Narrow" w:hAnsi="Arial Narrow"/>
                <w:b/>
                <w:bCs/>
                <w:sz w:val="20"/>
                <w:szCs w:val="20"/>
              </w:rPr>
              <w:t>AND</w:t>
            </w:r>
          </w:p>
        </w:tc>
      </w:tr>
      <w:tr w:rsidR="00CC188B" w:rsidRPr="00933708" w14:paraId="2520B984" w14:textId="77777777" w:rsidTr="00700D60">
        <w:trPr>
          <w:trHeight w:val="20"/>
        </w:trPr>
        <w:tc>
          <w:tcPr>
            <w:tcW w:w="709" w:type="pct"/>
          </w:tcPr>
          <w:p w14:paraId="1B3384DC" w14:textId="4D8860DC" w:rsidR="00CC188B" w:rsidRPr="00933708" w:rsidRDefault="00CC188B" w:rsidP="00700D60">
            <w:pPr>
              <w:jc w:val="center"/>
              <w:rPr>
                <w:rFonts w:ascii="Arial Narrow" w:hAnsi="Arial Narrow"/>
                <w:sz w:val="20"/>
                <w:szCs w:val="20"/>
              </w:rPr>
            </w:pPr>
          </w:p>
        </w:tc>
        <w:tc>
          <w:tcPr>
            <w:tcW w:w="4291" w:type="pct"/>
          </w:tcPr>
          <w:p w14:paraId="227CB461" w14:textId="77777777" w:rsidR="00CC188B" w:rsidRPr="00933708" w:rsidRDefault="00CC188B" w:rsidP="00700D60">
            <w:pPr>
              <w:keepNext/>
              <w:keepLines/>
              <w:rPr>
                <w:rFonts w:ascii="Arial Narrow" w:hAnsi="Arial Narrow"/>
                <w:b/>
                <w:bCs/>
                <w:sz w:val="20"/>
                <w:szCs w:val="20"/>
              </w:rPr>
            </w:pPr>
            <w:r w:rsidRPr="00933708">
              <w:rPr>
                <w:rFonts w:ascii="Arial Narrow" w:hAnsi="Arial Narrow"/>
                <w:b/>
                <w:bCs/>
                <w:sz w:val="20"/>
                <w:szCs w:val="20"/>
              </w:rPr>
              <w:t>Clinical criteria:</w:t>
            </w:r>
          </w:p>
        </w:tc>
      </w:tr>
      <w:tr w:rsidR="00CC188B" w:rsidRPr="00933708" w14:paraId="3CF79C3D" w14:textId="77777777" w:rsidTr="00700D60">
        <w:trPr>
          <w:trHeight w:val="20"/>
        </w:trPr>
        <w:tc>
          <w:tcPr>
            <w:tcW w:w="709" w:type="pct"/>
          </w:tcPr>
          <w:p w14:paraId="23ADC15E" w14:textId="03F8B18A" w:rsidR="00CC188B" w:rsidRPr="00933708" w:rsidRDefault="00CC188B" w:rsidP="00700D60">
            <w:pPr>
              <w:jc w:val="center"/>
              <w:rPr>
                <w:rFonts w:ascii="Arial Narrow" w:hAnsi="Arial Narrow"/>
                <w:sz w:val="20"/>
                <w:szCs w:val="20"/>
              </w:rPr>
            </w:pPr>
          </w:p>
        </w:tc>
        <w:tc>
          <w:tcPr>
            <w:tcW w:w="4291" w:type="pct"/>
          </w:tcPr>
          <w:p w14:paraId="5BE00A4A" w14:textId="23EC1731" w:rsidR="00CC188B" w:rsidRPr="00933708" w:rsidRDefault="00CC188B" w:rsidP="00700D60">
            <w:pPr>
              <w:spacing w:before="20" w:after="20" w:line="276" w:lineRule="auto"/>
              <w:rPr>
                <w:rFonts w:ascii="Arial Narrow" w:hAnsi="Arial Narrow"/>
                <w:sz w:val="20"/>
                <w:szCs w:val="20"/>
                <w:lang w:bidi="en-US"/>
              </w:rPr>
            </w:pPr>
            <w:r w:rsidRPr="00933708">
              <w:rPr>
                <w:rFonts w:ascii="Arial Narrow" w:hAnsi="Arial Narrow"/>
                <w:sz w:val="20"/>
                <w:szCs w:val="20"/>
                <w:lang w:bidi="en-US"/>
              </w:rPr>
              <w:t>Patient must discontinue treatment with this drug prior to initiating renal replacement therapy, defined as dialysis or kidney transplant</w:t>
            </w:r>
            <w:r w:rsidR="0010339C" w:rsidRPr="00933708">
              <w:rPr>
                <w:rFonts w:ascii="Arial Narrow" w:hAnsi="Arial Narrow"/>
                <w:sz w:val="20"/>
                <w:szCs w:val="20"/>
                <w:lang w:bidi="en-US"/>
              </w:rPr>
              <w:t>,</w:t>
            </w:r>
          </w:p>
        </w:tc>
      </w:tr>
      <w:tr w:rsidR="00CC188B" w:rsidRPr="00933708" w14:paraId="2EFA6AF8" w14:textId="77777777" w:rsidTr="00700D60">
        <w:trPr>
          <w:trHeight w:val="20"/>
        </w:trPr>
        <w:tc>
          <w:tcPr>
            <w:tcW w:w="709" w:type="pct"/>
          </w:tcPr>
          <w:p w14:paraId="0231A475" w14:textId="77777777" w:rsidR="00CC188B" w:rsidRPr="00933708" w:rsidRDefault="00CC188B" w:rsidP="00700D60">
            <w:pPr>
              <w:jc w:val="center"/>
              <w:rPr>
                <w:rFonts w:ascii="Arial Narrow" w:hAnsi="Arial Narrow"/>
                <w:b/>
                <w:bCs/>
                <w:sz w:val="20"/>
                <w:szCs w:val="20"/>
              </w:rPr>
            </w:pPr>
          </w:p>
        </w:tc>
        <w:tc>
          <w:tcPr>
            <w:tcW w:w="4291" w:type="pct"/>
            <w:hideMark/>
          </w:tcPr>
          <w:p w14:paraId="457EDD3E" w14:textId="77777777" w:rsidR="00CC188B" w:rsidRPr="00933708" w:rsidRDefault="00CC188B" w:rsidP="00700D60">
            <w:pPr>
              <w:rPr>
                <w:rFonts w:ascii="Arial Narrow" w:hAnsi="Arial Narrow"/>
                <w:sz w:val="20"/>
                <w:szCs w:val="20"/>
              </w:rPr>
            </w:pPr>
            <w:r w:rsidRPr="00933708">
              <w:rPr>
                <w:rFonts w:ascii="Arial Narrow" w:hAnsi="Arial Narrow"/>
                <w:b/>
                <w:bCs/>
                <w:sz w:val="20"/>
                <w:szCs w:val="20"/>
              </w:rPr>
              <w:t>AND</w:t>
            </w:r>
          </w:p>
        </w:tc>
      </w:tr>
      <w:tr w:rsidR="00CC188B" w:rsidRPr="00933708" w14:paraId="3B0FFC5D" w14:textId="77777777" w:rsidTr="00700D60">
        <w:trPr>
          <w:trHeight w:val="20"/>
        </w:trPr>
        <w:tc>
          <w:tcPr>
            <w:tcW w:w="709" w:type="pct"/>
          </w:tcPr>
          <w:p w14:paraId="57E67599" w14:textId="76BFB7E6" w:rsidR="00CC188B" w:rsidRPr="00933708" w:rsidRDefault="00CC188B" w:rsidP="00700D60">
            <w:pPr>
              <w:jc w:val="center"/>
              <w:rPr>
                <w:rFonts w:ascii="Arial Narrow" w:hAnsi="Arial Narrow"/>
                <w:b/>
                <w:bCs/>
                <w:sz w:val="20"/>
                <w:szCs w:val="20"/>
              </w:rPr>
            </w:pPr>
          </w:p>
        </w:tc>
        <w:tc>
          <w:tcPr>
            <w:tcW w:w="4291" w:type="pct"/>
            <w:hideMark/>
          </w:tcPr>
          <w:p w14:paraId="3F3A4FB1" w14:textId="77777777" w:rsidR="00CC188B" w:rsidRPr="00933708" w:rsidRDefault="00CC188B" w:rsidP="00700D60">
            <w:pPr>
              <w:rPr>
                <w:rFonts w:ascii="Arial Narrow" w:hAnsi="Arial Narrow"/>
                <w:sz w:val="20"/>
                <w:szCs w:val="20"/>
              </w:rPr>
            </w:pPr>
            <w:r w:rsidRPr="00933708">
              <w:rPr>
                <w:rFonts w:ascii="Arial Narrow" w:hAnsi="Arial Narrow"/>
                <w:b/>
                <w:bCs/>
                <w:sz w:val="20"/>
                <w:szCs w:val="20"/>
              </w:rPr>
              <w:t>Clinical criteria:</w:t>
            </w:r>
          </w:p>
        </w:tc>
      </w:tr>
      <w:tr w:rsidR="00CC188B" w:rsidRPr="00933708" w14:paraId="187E7DBD" w14:textId="77777777" w:rsidTr="00700D60">
        <w:trPr>
          <w:trHeight w:val="20"/>
        </w:trPr>
        <w:tc>
          <w:tcPr>
            <w:tcW w:w="709" w:type="pct"/>
          </w:tcPr>
          <w:p w14:paraId="6F514510" w14:textId="33FED84F" w:rsidR="00CC188B" w:rsidRPr="00933708" w:rsidRDefault="00CC188B" w:rsidP="00700D60">
            <w:pPr>
              <w:jc w:val="center"/>
              <w:rPr>
                <w:rFonts w:ascii="Arial Narrow" w:hAnsi="Arial Narrow"/>
                <w:sz w:val="20"/>
                <w:szCs w:val="20"/>
              </w:rPr>
            </w:pPr>
          </w:p>
        </w:tc>
        <w:tc>
          <w:tcPr>
            <w:tcW w:w="4291" w:type="pct"/>
            <w:hideMark/>
          </w:tcPr>
          <w:p w14:paraId="1BD36961" w14:textId="4E6CD9A1" w:rsidR="00CC188B" w:rsidRPr="00933708" w:rsidRDefault="00CC188B" w:rsidP="00700D60">
            <w:pPr>
              <w:rPr>
                <w:rFonts w:ascii="Arial Narrow" w:hAnsi="Arial Narrow"/>
                <w:sz w:val="20"/>
                <w:szCs w:val="20"/>
              </w:rPr>
            </w:pPr>
            <w:r w:rsidRPr="00933708">
              <w:rPr>
                <w:rFonts w:ascii="Arial Narrow" w:hAnsi="Arial Narrow"/>
                <w:sz w:val="20"/>
                <w:szCs w:val="20"/>
              </w:rPr>
              <w:t>Patient must not be receiving treatment with another sodium-glucose co-transporter 2 (SGLT2) inhibitor</w:t>
            </w:r>
            <w:r w:rsidR="0010339C" w:rsidRPr="00933708">
              <w:rPr>
                <w:rFonts w:ascii="Arial Narrow" w:hAnsi="Arial Narrow"/>
                <w:sz w:val="20"/>
                <w:szCs w:val="20"/>
              </w:rPr>
              <w:t>,</w:t>
            </w:r>
          </w:p>
        </w:tc>
      </w:tr>
      <w:tr w:rsidR="00CC188B" w:rsidRPr="00933708" w14:paraId="7C4E4801" w14:textId="77777777" w:rsidTr="00700D60">
        <w:trPr>
          <w:trHeight w:val="20"/>
        </w:trPr>
        <w:tc>
          <w:tcPr>
            <w:tcW w:w="709" w:type="pct"/>
          </w:tcPr>
          <w:p w14:paraId="47AA8AC9" w14:textId="77777777" w:rsidR="00CC188B" w:rsidRPr="00933708" w:rsidRDefault="00CC188B" w:rsidP="00700D60">
            <w:pPr>
              <w:jc w:val="center"/>
              <w:rPr>
                <w:rFonts w:ascii="Arial Narrow" w:hAnsi="Arial Narrow"/>
                <w:sz w:val="20"/>
                <w:szCs w:val="20"/>
              </w:rPr>
            </w:pPr>
          </w:p>
        </w:tc>
        <w:tc>
          <w:tcPr>
            <w:tcW w:w="4291" w:type="pct"/>
          </w:tcPr>
          <w:p w14:paraId="749B13AA" w14:textId="77777777" w:rsidR="00CC188B" w:rsidRPr="00933708" w:rsidRDefault="00CC188B" w:rsidP="00700D60">
            <w:pPr>
              <w:rPr>
                <w:rFonts w:ascii="Arial Narrow" w:hAnsi="Arial Narrow"/>
                <w:sz w:val="20"/>
                <w:szCs w:val="20"/>
              </w:rPr>
            </w:pPr>
            <w:r w:rsidRPr="00933708">
              <w:rPr>
                <w:rFonts w:ascii="Arial Narrow" w:hAnsi="Arial Narrow"/>
                <w:b/>
                <w:bCs/>
                <w:sz w:val="20"/>
                <w:szCs w:val="20"/>
              </w:rPr>
              <w:t>AND</w:t>
            </w:r>
          </w:p>
        </w:tc>
      </w:tr>
      <w:tr w:rsidR="00CC188B" w:rsidRPr="00933708" w14:paraId="0482B08A" w14:textId="77777777" w:rsidTr="00700D60">
        <w:trPr>
          <w:trHeight w:val="20"/>
        </w:trPr>
        <w:tc>
          <w:tcPr>
            <w:tcW w:w="709" w:type="pct"/>
          </w:tcPr>
          <w:p w14:paraId="622D5A41" w14:textId="52BD1BF3" w:rsidR="00CC188B" w:rsidRPr="00933708" w:rsidRDefault="00CC188B" w:rsidP="00700D60">
            <w:pPr>
              <w:jc w:val="center"/>
              <w:rPr>
                <w:rFonts w:ascii="Arial Narrow" w:hAnsi="Arial Narrow"/>
                <w:sz w:val="20"/>
                <w:szCs w:val="20"/>
              </w:rPr>
            </w:pPr>
          </w:p>
        </w:tc>
        <w:tc>
          <w:tcPr>
            <w:tcW w:w="4291" w:type="pct"/>
          </w:tcPr>
          <w:p w14:paraId="00EC4E40" w14:textId="77777777" w:rsidR="00CC188B" w:rsidRPr="00933708" w:rsidRDefault="00CC188B" w:rsidP="00700D60">
            <w:pPr>
              <w:rPr>
                <w:rFonts w:ascii="Arial Narrow" w:hAnsi="Arial Narrow"/>
                <w:sz w:val="20"/>
                <w:szCs w:val="20"/>
              </w:rPr>
            </w:pPr>
            <w:r w:rsidRPr="00933708">
              <w:rPr>
                <w:rFonts w:ascii="Arial Narrow" w:hAnsi="Arial Narrow"/>
                <w:b/>
                <w:bCs/>
                <w:sz w:val="20"/>
                <w:szCs w:val="20"/>
              </w:rPr>
              <w:t>Clinical criteria:</w:t>
            </w:r>
          </w:p>
        </w:tc>
      </w:tr>
      <w:tr w:rsidR="00CC188B" w:rsidRPr="00933708" w14:paraId="6538D828" w14:textId="77777777" w:rsidTr="00700D60">
        <w:trPr>
          <w:trHeight w:val="20"/>
        </w:trPr>
        <w:tc>
          <w:tcPr>
            <w:tcW w:w="709" w:type="pct"/>
          </w:tcPr>
          <w:p w14:paraId="24BB55F5" w14:textId="3BE61D88" w:rsidR="00CC188B" w:rsidRPr="00933708" w:rsidRDefault="00CC188B" w:rsidP="00700D60">
            <w:pPr>
              <w:jc w:val="center"/>
              <w:rPr>
                <w:rFonts w:ascii="Arial Narrow" w:hAnsi="Arial Narrow"/>
                <w:sz w:val="20"/>
                <w:szCs w:val="20"/>
              </w:rPr>
            </w:pPr>
          </w:p>
        </w:tc>
        <w:tc>
          <w:tcPr>
            <w:tcW w:w="4291" w:type="pct"/>
          </w:tcPr>
          <w:p w14:paraId="41DD6357" w14:textId="2C5BFD2D" w:rsidR="00CC188B" w:rsidRPr="00933708" w:rsidRDefault="00CC188B" w:rsidP="00700D60">
            <w:pPr>
              <w:rPr>
                <w:rFonts w:ascii="Arial Narrow" w:hAnsi="Arial Narrow"/>
                <w:sz w:val="20"/>
                <w:szCs w:val="20"/>
              </w:rPr>
            </w:pPr>
            <w:r w:rsidRPr="00933708">
              <w:rPr>
                <w:rFonts w:ascii="Arial Narrow" w:hAnsi="Arial Narrow"/>
                <w:sz w:val="20"/>
                <w:szCs w:val="20"/>
              </w:rPr>
              <w:t>Patient must be stabilised, for at least 4 weeks, on either: (i) an ACE inhibitor or (ii) an angiotensin II receptor antagonist, unless medically contraindicated, prior to initiation of combination therapy with this drug.</w:t>
            </w:r>
          </w:p>
        </w:tc>
      </w:tr>
      <w:tr w:rsidR="00CC188B" w:rsidRPr="00933708" w14:paraId="31743697" w14:textId="77777777" w:rsidTr="00700D60">
        <w:trPr>
          <w:trHeight w:val="20"/>
        </w:trPr>
        <w:tc>
          <w:tcPr>
            <w:tcW w:w="709" w:type="pct"/>
          </w:tcPr>
          <w:p w14:paraId="50C96D11" w14:textId="77777777" w:rsidR="00CC188B" w:rsidRPr="00933708" w:rsidRDefault="00CC188B" w:rsidP="00700D60">
            <w:pPr>
              <w:jc w:val="center"/>
              <w:rPr>
                <w:rFonts w:ascii="Arial Narrow" w:hAnsi="Arial Narrow"/>
                <w:sz w:val="20"/>
                <w:szCs w:val="20"/>
              </w:rPr>
            </w:pPr>
          </w:p>
        </w:tc>
        <w:tc>
          <w:tcPr>
            <w:tcW w:w="4291" w:type="pct"/>
          </w:tcPr>
          <w:p w14:paraId="5A6A0CA7" w14:textId="77777777" w:rsidR="00CC188B" w:rsidRPr="00933708" w:rsidRDefault="00CC188B" w:rsidP="00700D60">
            <w:pPr>
              <w:rPr>
                <w:rFonts w:ascii="Arial Narrow" w:hAnsi="Arial Narrow"/>
                <w:sz w:val="20"/>
                <w:szCs w:val="20"/>
              </w:rPr>
            </w:pPr>
          </w:p>
        </w:tc>
      </w:tr>
      <w:tr w:rsidR="00CC188B" w:rsidRPr="00933708" w14:paraId="0F513A20" w14:textId="77777777" w:rsidTr="00700D60">
        <w:trPr>
          <w:trHeight w:val="20"/>
        </w:trPr>
        <w:tc>
          <w:tcPr>
            <w:tcW w:w="709" w:type="pct"/>
          </w:tcPr>
          <w:p w14:paraId="525F031D" w14:textId="77777777" w:rsidR="00CC188B" w:rsidRPr="00933708" w:rsidRDefault="00CC188B" w:rsidP="00700D60">
            <w:pPr>
              <w:jc w:val="center"/>
              <w:rPr>
                <w:rFonts w:ascii="Arial Narrow" w:hAnsi="Arial Narrow"/>
                <w:sz w:val="20"/>
                <w:szCs w:val="20"/>
              </w:rPr>
            </w:pPr>
          </w:p>
        </w:tc>
        <w:tc>
          <w:tcPr>
            <w:tcW w:w="4291" w:type="pct"/>
          </w:tcPr>
          <w:p w14:paraId="22075B95" w14:textId="444A76E7" w:rsidR="00CC188B" w:rsidRPr="00933708" w:rsidRDefault="0010339C" w:rsidP="00700D60">
            <w:pPr>
              <w:rPr>
                <w:rFonts w:ascii="Arial Narrow" w:hAnsi="Arial Narrow"/>
                <w:b/>
                <w:bCs/>
                <w:sz w:val="20"/>
                <w:szCs w:val="20"/>
              </w:rPr>
            </w:pPr>
            <w:r w:rsidRPr="00933708">
              <w:rPr>
                <w:rFonts w:ascii="Arial Narrow" w:hAnsi="Arial Narrow"/>
                <w:b/>
                <w:bCs/>
                <w:sz w:val="20"/>
                <w:szCs w:val="20"/>
              </w:rPr>
              <w:t>AND</w:t>
            </w:r>
          </w:p>
        </w:tc>
      </w:tr>
      <w:tr w:rsidR="00CC188B" w:rsidRPr="00933708" w14:paraId="304EE525" w14:textId="77777777" w:rsidTr="00700D60">
        <w:trPr>
          <w:trHeight w:val="20"/>
        </w:trPr>
        <w:tc>
          <w:tcPr>
            <w:tcW w:w="709" w:type="pct"/>
          </w:tcPr>
          <w:p w14:paraId="3A2F8CAE" w14:textId="0607C599" w:rsidR="00CC188B" w:rsidRPr="00933708" w:rsidRDefault="00CC188B" w:rsidP="00700D60">
            <w:pPr>
              <w:jc w:val="center"/>
              <w:rPr>
                <w:rFonts w:ascii="Arial Narrow" w:hAnsi="Arial Narrow"/>
                <w:sz w:val="20"/>
                <w:szCs w:val="20"/>
              </w:rPr>
            </w:pPr>
          </w:p>
        </w:tc>
        <w:tc>
          <w:tcPr>
            <w:tcW w:w="4291" w:type="pct"/>
          </w:tcPr>
          <w:p w14:paraId="4D34CBBF" w14:textId="77777777" w:rsidR="00CC188B" w:rsidRPr="00933708" w:rsidRDefault="00CC188B" w:rsidP="00700D60">
            <w:pPr>
              <w:rPr>
                <w:rFonts w:ascii="Arial Narrow" w:hAnsi="Arial Narrow"/>
                <w:b/>
                <w:bCs/>
                <w:sz w:val="20"/>
                <w:szCs w:val="20"/>
              </w:rPr>
            </w:pPr>
            <w:r w:rsidRPr="00933708">
              <w:rPr>
                <w:rFonts w:ascii="Arial Narrow" w:hAnsi="Arial Narrow"/>
                <w:b/>
                <w:bCs/>
                <w:sz w:val="20"/>
                <w:szCs w:val="20"/>
              </w:rPr>
              <w:t>Prescribing Instructions:</w:t>
            </w:r>
          </w:p>
          <w:p w14:paraId="7D7944BC" w14:textId="1325767A" w:rsidR="00CC188B" w:rsidRPr="00933708" w:rsidRDefault="0084725C" w:rsidP="00700D60">
            <w:pPr>
              <w:rPr>
                <w:rFonts w:ascii="Arial Narrow" w:hAnsi="Arial Narrow"/>
                <w:sz w:val="20"/>
                <w:szCs w:val="20"/>
              </w:rPr>
            </w:pPr>
            <w:r w:rsidRPr="00933708">
              <w:rPr>
                <w:rFonts w:ascii="Arial Narrow" w:hAnsi="Arial Narrow"/>
                <w:sz w:val="20"/>
                <w:szCs w:val="20"/>
              </w:rPr>
              <w:t>Patients with polycystic kidney disease, lupus nephritis or ANCA-associated vasculitis; patients requiring or with a recent history of cytotoxic or immunosuppressive therapy for kidney disease; and patients with an organ transplant are not eligible for treatment with this drug.</w:t>
            </w:r>
          </w:p>
        </w:tc>
      </w:tr>
    </w:tbl>
    <w:p w14:paraId="5DB9983A" w14:textId="4E06235E" w:rsidR="00CC188B" w:rsidRDefault="00CC188B" w:rsidP="00CC188B">
      <w:pPr>
        <w:rPr>
          <w:rFonts w:ascii="Arial Narrow" w:hAnsi="Arial Narrow"/>
          <w:sz w:val="18"/>
          <w:szCs w:val="18"/>
        </w:rPr>
      </w:pPr>
    </w:p>
    <w:p w14:paraId="5E14E770" w14:textId="1EC5EF8B" w:rsidR="0099067D" w:rsidRDefault="0099067D" w:rsidP="0099067D">
      <w:pPr>
        <w:rPr>
          <w:b/>
          <w:bCs/>
          <w:i/>
          <w:iCs/>
        </w:rPr>
      </w:pPr>
      <w:r w:rsidRPr="002C3702">
        <w:rPr>
          <w:b/>
          <w:bCs/>
          <w:i/>
          <w:iCs/>
        </w:rPr>
        <w:t>These restrictions may be subject to further review. Should there be any changes made to the restriction the sponsor will be informed.</w:t>
      </w:r>
    </w:p>
    <w:p w14:paraId="2A836B62" w14:textId="0EBB6350" w:rsidR="00872A92" w:rsidRDefault="00872A92" w:rsidP="0099067D">
      <w:pPr>
        <w:rPr>
          <w:b/>
          <w:bCs/>
          <w:i/>
          <w:iCs/>
        </w:rPr>
      </w:pPr>
    </w:p>
    <w:p w14:paraId="398D56F5" w14:textId="77777777" w:rsidR="00872A92" w:rsidRPr="00872A92" w:rsidRDefault="00872A92" w:rsidP="00872A92">
      <w:pPr>
        <w:pStyle w:val="PBACHeading1"/>
        <w:numPr>
          <w:ilvl w:val="0"/>
          <w:numId w:val="1"/>
        </w:numPr>
      </w:pPr>
      <w:r w:rsidRPr="00872A92">
        <w:t>Context for Decision</w:t>
      </w:r>
    </w:p>
    <w:p w14:paraId="7E4DD9A1" w14:textId="77777777" w:rsidR="00872A92" w:rsidRPr="00872A92" w:rsidRDefault="00872A92" w:rsidP="00872A92">
      <w:pPr>
        <w:spacing w:after="120"/>
        <w:ind w:left="720"/>
        <w:rPr>
          <w:rFonts w:asciiTheme="minorHAnsi" w:hAnsiTheme="minorHAnsi"/>
          <w:bCs/>
          <w:lang w:val="en-GB"/>
        </w:rPr>
      </w:pPr>
      <w:r w:rsidRPr="00872A9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BA2F385" w14:textId="77777777" w:rsidR="00872A92" w:rsidRPr="00872A92" w:rsidRDefault="00872A92" w:rsidP="00872A92">
      <w:pPr>
        <w:pStyle w:val="PBACHeading1"/>
        <w:numPr>
          <w:ilvl w:val="0"/>
          <w:numId w:val="1"/>
        </w:numPr>
      </w:pPr>
      <w:r w:rsidRPr="00872A92">
        <w:t>Sponsor’s Comment</w:t>
      </w:r>
    </w:p>
    <w:p w14:paraId="0E45E2C3" w14:textId="77777777" w:rsidR="00872A92" w:rsidRPr="00872A92" w:rsidRDefault="00872A92" w:rsidP="00872A92">
      <w:pPr>
        <w:spacing w:after="120" w:line="276" w:lineRule="auto"/>
        <w:ind w:left="720"/>
        <w:rPr>
          <w:rFonts w:asciiTheme="minorHAnsi" w:eastAsiaTheme="minorHAnsi" w:hAnsiTheme="minorHAnsi"/>
          <w:bCs/>
          <w:szCs w:val="22"/>
          <w:lang w:eastAsia="en-US"/>
        </w:rPr>
      </w:pPr>
      <w:r w:rsidRPr="00872A92">
        <w:rPr>
          <w:rFonts w:asciiTheme="minorHAnsi" w:eastAsiaTheme="minorHAnsi" w:hAnsiTheme="minorHAnsi"/>
          <w:bCs/>
          <w:szCs w:val="22"/>
          <w:lang w:eastAsia="en-US"/>
        </w:rPr>
        <w:t>The sponsor had no comment.</w:t>
      </w:r>
    </w:p>
    <w:p w14:paraId="45DDA195" w14:textId="77777777" w:rsidR="00872A92" w:rsidRPr="002C3702" w:rsidRDefault="00872A92" w:rsidP="0099067D">
      <w:pPr>
        <w:rPr>
          <w:b/>
          <w:bCs/>
          <w:i/>
          <w:iCs/>
        </w:rPr>
      </w:pPr>
    </w:p>
    <w:sectPr w:rsidR="00872A92" w:rsidRPr="002C3702" w:rsidSect="00484B57">
      <w:headerReference w:type="default" r:id="rId13"/>
      <w:footerReference w:type="default" r:id="rId14"/>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8B456" w14:textId="77777777" w:rsidR="003114F8" w:rsidRDefault="003114F8" w:rsidP="00124A51">
      <w:r>
        <w:separator/>
      </w:r>
    </w:p>
    <w:p w14:paraId="29AB3ADC" w14:textId="77777777" w:rsidR="003114F8" w:rsidRDefault="003114F8"/>
    <w:p w14:paraId="28FDC7D0" w14:textId="77777777" w:rsidR="003114F8" w:rsidRDefault="003114F8"/>
  </w:endnote>
  <w:endnote w:type="continuationSeparator" w:id="0">
    <w:p w14:paraId="07380EC4" w14:textId="77777777" w:rsidR="003114F8" w:rsidRDefault="003114F8" w:rsidP="00124A51">
      <w:r>
        <w:continuationSeparator/>
      </w:r>
    </w:p>
    <w:p w14:paraId="0C9B2AC8" w14:textId="77777777" w:rsidR="003114F8" w:rsidRDefault="003114F8"/>
    <w:p w14:paraId="37C4E943" w14:textId="77777777" w:rsidR="003114F8" w:rsidRDefault="003114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67DAD566" w:rsidR="00D843F2" w:rsidRDefault="00D843F2" w:rsidP="00753B29">
    <w:pPr>
      <w:jc w:val="center"/>
    </w:pPr>
  </w:p>
  <w:p w14:paraId="37484CD3" w14:textId="0E35F948" w:rsidR="00D843F2" w:rsidRPr="00A51AD5" w:rsidRDefault="00D5135E" w:rsidP="00753B29">
    <w:pPr>
      <w:jc w:val="center"/>
      <w:rPr>
        <w:b/>
        <w:bCs/>
      </w:rPr>
    </w:pPr>
    <w:sdt>
      <w:sdtPr>
        <w:rPr>
          <w:b/>
          <w:bCs/>
        </w:rPr>
        <w:id w:val="1036156457"/>
        <w:docPartObj>
          <w:docPartGallery w:val="Page Numbers (Bottom of Page)"/>
          <w:docPartUnique/>
        </w:docPartObj>
      </w:sdtPr>
      <w:sdtEndPr>
        <w:rPr>
          <w:noProof/>
        </w:rPr>
      </w:sdtEndPr>
      <w:sdtContent>
        <w:r w:rsidR="00D843F2" w:rsidRPr="00A51AD5">
          <w:rPr>
            <w:b/>
            <w:bCs/>
          </w:rPr>
          <w:fldChar w:fldCharType="begin"/>
        </w:r>
        <w:r w:rsidR="00D843F2" w:rsidRPr="00A51AD5">
          <w:rPr>
            <w:b/>
            <w:bCs/>
          </w:rPr>
          <w:instrText xml:space="preserve"> PAGE   \* MERGEFORMAT </w:instrText>
        </w:r>
        <w:r w:rsidR="00D843F2" w:rsidRPr="00A51AD5">
          <w:rPr>
            <w:b/>
            <w:bCs/>
          </w:rPr>
          <w:fldChar w:fldCharType="separate"/>
        </w:r>
        <w:r w:rsidR="00D843F2" w:rsidRPr="00A51AD5">
          <w:rPr>
            <w:b/>
            <w:bCs/>
            <w:noProof/>
          </w:rPr>
          <w:t>2</w:t>
        </w:r>
        <w:r w:rsidR="00D843F2" w:rsidRPr="00A51AD5">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86C88" w14:textId="77777777" w:rsidR="003114F8" w:rsidRDefault="003114F8" w:rsidP="00124A51">
      <w:r>
        <w:separator/>
      </w:r>
    </w:p>
    <w:p w14:paraId="79985E71" w14:textId="77777777" w:rsidR="003114F8" w:rsidRDefault="003114F8"/>
    <w:p w14:paraId="656C085D" w14:textId="77777777" w:rsidR="003114F8" w:rsidRDefault="003114F8"/>
  </w:footnote>
  <w:footnote w:type="continuationSeparator" w:id="0">
    <w:p w14:paraId="4C94F496" w14:textId="77777777" w:rsidR="003114F8" w:rsidRDefault="003114F8" w:rsidP="00124A51">
      <w:r>
        <w:continuationSeparator/>
      </w:r>
    </w:p>
    <w:p w14:paraId="0977F50A" w14:textId="77777777" w:rsidR="003114F8" w:rsidRDefault="003114F8"/>
    <w:p w14:paraId="5A002C3D" w14:textId="77777777" w:rsidR="003114F8" w:rsidRDefault="003114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0E4572A9" w:rsidR="00D843F2" w:rsidRPr="00FB703B" w:rsidRDefault="00E57563" w:rsidP="003C2DE2">
    <w:pPr>
      <w:jc w:val="center"/>
      <w:rPr>
        <w:rFonts w:asciiTheme="minorHAnsi" w:hAnsiTheme="minorHAnsi"/>
        <w:i/>
        <w:iCs/>
        <w:color w:val="808080"/>
      </w:rPr>
    </w:pPr>
    <w:r w:rsidRPr="00E57563">
      <w:rPr>
        <w:rFonts w:asciiTheme="minorHAnsi" w:hAnsiTheme="minorHAnsi"/>
        <w:i/>
        <w:iCs/>
        <w:color w:val="808080"/>
      </w:rPr>
      <w:t xml:space="preserve">Public Summary Document </w:t>
    </w:r>
    <w:r w:rsidR="007E66D8">
      <w:rPr>
        <w:rFonts w:asciiTheme="minorHAnsi" w:hAnsiTheme="minorHAnsi"/>
        <w:i/>
        <w:iCs/>
        <w:color w:val="808080"/>
      </w:rPr>
      <w:t xml:space="preserve"> - </w:t>
    </w:r>
    <w:r w:rsidR="00636055" w:rsidRPr="00FB703B">
      <w:rPr>
        <w:rFonts w:asciiTheme="minorHAnsi" w:hAnsiTheme="minorHAnsi"/>
        <w:i/>
        <w:iCs/>
        <w:color w:val="808080"/>
      </w:rPr>
      <w:t xml:space="preserve">November </w:t>
    </w:r>
    <w:r w:rsidR="00D843F2" w:rsidRPr="00FB703B">
      <w:rPr>
        <w:rFonts w:asciiTheme="minorHAnsi" w:hAnsiTheme="minorHAnsi"/>
        <w:i/>
        <w:iCs/>
        <w:color w:val="808080"/>
      </w:rPr>
      <w:t>202</w:t>
    </w:r>
    <w:r w:rsidR="00636055" w:rsidRPr="00FB703B">
      <w:rPr>
        <w:rFonts w:asciiTheme="minorHAnsi" w:hAnsiTheme="minorHAnsi"/>
        <w:i/>
        <w:iCs/>
        <w:color w:val="808080"/>
      </w:rPr>
      <w:t xml:space="preserve">3 </w:t>
    </w:r>
    <w:r w:rsidR="00D843F2" w:rsidRPr="00FB703B">
      <w:rPr>
        <w:rFonts w:asciiTheme="minorHAnsi" w:hAnsiTheme="minorHAnsi"/>
        <w:i/>
        <w:iCs/>
        <w:color w:val="808080"/>
      </w:rPr>
      <w:t>PBAC Meeting</w:t>
    </w:r>
  </w:p>
  <w:p w14:paraId="03AF943B" w14:textId="77777777" w:rsidR="00D843F2" w:rsidRPr="008C7ECB" w:rsidRDefault="00D843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4DE17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0FE6"/>
    <w:multiLevelType w:val="hybridMultilevel"/>
    <w:tmpl w:val="7F2C5806"/>
    <w:lvl w:ilvl="0" w:tplc="48BA580A">
      <w:start w:val="1"/>
      <w:numFmt w:val="bullet"/>
      <w:pStyle w:val="ListBullet-SmallTyp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F0CE3"/>
    <w:multiLevelType w:val="hybridMultilevel"/>
    <w:tmpl w:val="217274FC"/>
    <w:lvl w:ilvl="0" w:tplc="399A3B2E">
      <w:numFmt w:val="bullet"/>
      <w:lvlText w:val="-"/>
      <w:lvlJc w:val="left"/>
      <w:pPr>
        <w:ind w:left="1497" w:hanging="360"/>
      </w:pPr>
      <w:rPr>
        <w:rFonts w:ascii="Calibri" w:eastAsia="Calibri" w:hAnsi="Calibri" w:cs="Calibri" w:hint="default"/>
      </w:rPr>
    </w:lvl>
    <w:lvl w:ilvl="1" w:tplc="0C090003" w:tentative="1">
      <w:start w:val="1"/>
      <w:numFmt w:val="bullet"/>
      <w:lvlText w:val="o"/>
      <w:lvlJc w:val="left"/>
      <w:pPr>
        <w:ind w:left="2217" w:hanging="360"/>
      </w:pPr>
      <w:rPr>
        <w:rFonts w:ascii="Courier New" w:hAnsi="Courier New" w:cs="Courier New" w:hint="default"/>
      </w:rPr>
    </w:lvl>
    <w:lvl w:ilvl="2" w:tplc="0C090005" w:tentative="1">
      <w:start w:val="1"/>
      <w:numFmt w:val="bullet"/>
      <w:lvlText w:val=""/>
      <w:lvlJc w:val="left"/>
      <w:pPr>
        <w:ind w:left="2937" w:hanging="360"/>
      </w:pPr>
      <w:rPr>
        <w:rFonts w:ascii="Wingdings" w:hAnsi="Wingdings" w:hint="default"/>
      </w:rPr>
    </w:lvl>
    <w:lvl w:ilvl="3" w:tplc="0C090001" w:tentative="1">
      <w:start w:val="1"/>
      <w:numFmt w:val="bullet"/>
      <w:lvlText w:val=""/>
      <w:lvlJc w:val="left"/>
      <w:pPr>
        <w:ind w:left="3657" w:hanging="360"/>
      </w:pPr>
      <w:rPr>
        <w:rFonts w:ascii="Symbol" w:hAnsi="Symbol" w:hint="default"/>
      </w:rPr>
    </w:lvl>
    <w:lvl w:ilvl="4" w:tplc="0C090003" w:tentative="1">
      <w:start w:val="1"/>
      <w:numFmt w:val="bullet"/>
      <w:lvlText w:val="o"/>
      <w:lvlJc w:val="left"/>
      <w:pPr>
        <w:ind w:left="4377" w:hanging="360"/>
      </w:pPr>
      <w:rPr>
        <w:rFonts w:ascii="Courier New" w:hAnsi="Courier New" w:cs="Courier New" w:hint="default"/>
      </w:rPr>
    </w:lvl>
    <w:lvl w:ilvl="5" w:tplc="0C090005" w:tentative="1">
      <w:start w:val="1"/>
      <w:numFmt w:val="bullet"/>
      <w:lvlText w:val=""/>
      <w:lvlJc w:val="left"/>
      <w:pPr>
        <w:ind w:left="5097" w:hanging="360"/>
      </w:pPr>
      <w:rPr>
        <w:rFonts w:ascii="Wingdings" w:hAnsi="Wingdings" w:hint="default"/>
      </w:rPr>
    </w:lvl>
    <w:lvl w:ilvl="6" w:tplc="0C090001" w:tentative="1">
      <w:start w:val="1"/>
      <w:numFmt w:val="bullet"/>
      <w:lvlText w:val=""/>
      <w:lvlJc w:val="left"/>
      <w:pPr>
        <w:ind w:left="5817" w:hanging="360"/>
      </w:pPr>
      <w:rPr>
        <w:rFonts w:ascii="Symbol" w:hAnsi="Symbol" w:hint="default"/>
      </w:rPr>
    </w:lvl>
    <w:lvl w:ilvl="7" w:tplc="0C090003" w:tentative="1">
      <w:start w:val="1"/>
      <w:numFmt w:val="bullet"/>
      <w:lvlText w:val="o"/>
      <w:lvlJc w:val="left"/>
      <w:pPr>
        <w:ind w:left="6537" w:hanging="360"/>
      </w:pPr>
      <w:rPr>
        <w:rFonts w:ascii="Courier New" w:hAnsi="Courier New" w:cs="Courier New" w:hint="default"/>
      </w:rPr>
    </w:lvl>
    <w:lvl w:ilvl="8" w:tplc="0C090005" w:tentative="1">
      <w:start w:val="1"/>
      <w:numFmt w:val="bullet"/>
      <w:lvlText w:val=""/>
      <w:lvlJc w:val="left"/>
      <w:pPr>
        <w:ind w:left="7257" w:hanging="360"/>
      </w:pPr>
      <w:rPr>
        <w:rFonts w:ascii="Wingdings" w:hAnsi="Wingdings" w:hint="default"/>
      </w:rPr>
    </w:lvl>
  </w:abstractNum>
  <w:abstractNum w:abstractNumId="3" w15:restartNumberingAfterBreak="0">
    <w:nsid w:val="03503D36"/>
    <w:multiLevelType w:val="hybridMultilevel"/>
    <w:tmpl w:val="3878BD4E"/>
    <w:lvl w:ilvl="0" w:tplc="0C0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4" w15:restartNumberingAfterBreak="0">
    <w:nsid w:val="051F3216"/>
    <w:multiLevelType w:val="hybridMultilevel"/>
    <w:tmpl w:val="68CA93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1FC2EBC"/>
    <w:multiLevelType w:val="multilevel"/>
    <w:tmpl w:val="48E01F20"/>
    <w:styleLink w:val="SectionBi"/>
    <w:lvl w:ilvl="0">
      <w:start w:val="2"/>
      <w:numFmt w:val="upperLetter"/>
      <w:lvlText w:val="%1(i)."/>
      <w:lvlJc w:val="left"/>
      <w:pPr>
        <w:ind w:left="357" w:hanging="357"/>
      </w:pPr>
      <w:rPr>
        <w:rFonts w:asciiTheme="minorHAnsi" w:hAnsiTheme="minorHAnsi" w:hint="default"/>
        <w:b/>
        <w:sz w:val="32"/>
      </w:rPr>
    </w:lvl>
    <w:lvl w:ilvl="1">
      <w:start w:val="1"/>
      <w:numFmt w:val="decimal"/>
      <w:lvlText w:val="%1(i).%2"/>
      <w:lvlJc w:val="left"/>
      <w:pPr>
        <w:ind w:left="357" w:hanging="357"/>
      </w:pPr>
      <w:rPr>
        <w:rFonts w:asciiTheme="minorHAnsi" w:hAnsiTheme="minorHAnsi" w:hint="default"/>
        <w:b/>
        <w:sz w:val="28"/>
      </w:rPr>
    </w:lvl>
    <w:lvl w:ilvl="2">
      <w:start w:val="1"/>
      <w:numFmt w:val="decimal"/>
      <w:lvlText w:val="%1(i).%2.%3"/>
      <w:lvlJc w:val="left"/>
      <w:pPr>
        <w:ind w:left="357" w:hanging="357"/>
      </w:pPr>
      <w:rPr>
        <w:rFonts w:asciiTheme="minorHAnsi" w:hAnsiTheme="minorHAnsi" w:hint="default"/>
        <w:b/>
        <w:i w:val="0"/>
        <w:sz w:val="28"/>
      </w:rPr>
    </w:lvl>
    <w:lvl w:ilvl="3">
      <w:start w:val="1"/>
      <w:numFmt w:val="decimal"/>
      <w:lvlText w:val="%1(i).%2.%3.%4"/>
      <w:lvlJc w:val="left"/>
      <w:pPr>
        <w:ind w:left="357" w:hanging="357"/>
      </w:pPr>
      <w:rPr>
        <w:rFonts w:ascii="Arial" w:hAnsi="Arial" w:hint="default"/>
        <w:b/>
        <w:sz w:val="22"/>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6" w15:restartNumberingAfterBreak="0">
    <w:nsid w:val="18176B13"/>
    <w:multiLevelType w:val="hybridMultilevel"/>
    <w:tmpl w:val="90BC295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94"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B219F8"/>
    <w:multiLevelType w:val="hybridMultilevel"/>
    <w:tmpl w:val="6CA0CEB4"/>
    <w:lvl w:ilvl="0" w:tplc="4F38898A">
      <w:start w:val="1"/>
      <w:numFmt w:val="bullet"/>
      <w:pStyle w:val="COMexecsummmainissues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FE6F2C"/>
    <w:multiLevelType w:val="hybridMultilevel"/>
    <w:tmpl w:val="ED36B782"/>
    <w:lvl w:ilvl="0" w:tplc="878A1B70">
      <w:numFmt w:val="bullet"/>
      <w:lvlText w:val="-"/>
      <w:lvlJc w:val="left"/>
      <w:pPr>
        <w:ind w:left="720" w:hanging="360"/>
      </w:pPr>
      <w:rPr>
        <w:rFonts w:ascii="Calibri Light" w:eastAsia="Calibri" w:hAnsi="Calibri Light" w:cs="Calibri Ligh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23618C"/>
    <w:multiLevelType w:val="hybridMultilevel"/>
    <w:tmpl w:val="803E5CAC"/>
    <w:lvl w:ilvl="0" w:tplc="FFFFFFFF">
      <w:start w:val="1"/>
      <w:numFmt w:val="bullet"/>
      <w:lvlText w:val=""/>
      <w:lvlJc w:val="left"/>
      <w:pPr>
        <w:ind w:left="720" w:hanging="360"/>
      </w:pPr>
      <w:rPr>
        <w:rFonts w:ascii="Symbol" w:hAnsi="Symbol" w:hint="default"/>
      </w:rPr>
    </w:lvl>
    <w:lvl w:ilvl="1" w:tplc="399A3B2E">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B960C2"/>
    <w:multiLevelType w:val="hybridMultilevel"/>
    <w:tmpl w:val="90DE40F4"/>
    <w:lvl w:ilvl="0" w:tplc="878A1B70">
      <w:numFmt w:val="bullet"/>
      <w:lvlText w:val="-"/>
      <w:lvlJc w:val="left"/>
      <w:pPr>
        <w:ind w:left="720" w:hanging="360"/>
      </w:pPr>
      <w:rPr>
        <w:rFonts w:ascii="Calibri Light" w:eastAsia="Calibri" w:hAnsi="Calibri Light" w:cs="Calibri Light"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9360285"/>
    <w:multiLevelType w:val="hybridMultilevel"/>
    <w:tmpl w:val="B4E061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442297"/>
    <w:multiLevelType w:val="hybridMultilevel"/>
    <w:tmpl w:val="E6FE4E00"/>
    <w:lvl w:ilvl="0" w:tplc="C324F4FC">
      <w:start w:val="1"/>
      <w:numFmt w:val="bullet"/>
      <w:pStyle w:val="zz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A035BE"/>
    <w:multiLevelType w:val="hybridMultilevel"/>
    <w:tmpl w:val="2C8E89E4"/>
    <w:lvl w:ilvl="0" w:tplc="399A3B2E">
      <w:numFmt w:val="bullet"/>
      <w:lvlText w:val="-"/>
      <w:lvlJc w:val="left"/>
      <w:pPr>
        <w:ind w:left="1494" w:hanging="360"/>
      </w:pPr>
      <w:rPr>
        <w:rFonts w:ascii="Calibri" w:eastAsia="Calibri" w:hAnsi="Calibri" w:cs="Calibri"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4" w15:restartNumberingAfterBreak="0">
    <w:nsid w:val="5CBA0E4B"/>
    <w:multiLevelType w:val="hybridMultilevel"/>
    <w:tmpl w:val="A44A1B7A"/>
    <w:lvl w:ilvl="0" w:tplc="8708BECA">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5" w15:restartNumberingAfterBreak="0">
    <w:nsid w:val="63D65CCD"/>
    <w:multiLevelType w:val="multilevel"/>
    <w:tmpl w:val="2B2CB37C"/>
    <w:lvl w:ilvl="0">
      <w:start w:val="1"/>
      <w:numFmt w:val="decimal"/>
      <w:pStyle w:val="2-SectionHeading"/>
      <w:lvlText w:val="%1"/>
      <w:lvlJc w:val="left"/>
      <w:pPr>
        <w:ind w:left="720" w:hanging="720"/>
      </w:pPr>
      <w:rPr>
        <w:rFonts w:hint="default"/>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A74CD6"/>
    <w:multiLevelType w:val="hybridMultilevel"/>
    <w:tmpl w:val="F84AE5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784D033C"/>
    <w:multiLevelType w:val="multilevel"/>
    <w:tmpl w:val="45FC285E"/>
    <w:lvl w:ilvl="0">
      <w:start w:val="1"/>
      <w:numFmt w:val="decimal"/>
      <w:pStyle w:val="COMH1numbered"/>
      <w:lvlText w:val="%1"/>
      <w:lvlJc w:val="left"/>
      <w:pPr>
        <w:ind w:left="720" w:hanging="720"/>
      </w:pPr>
      <w:rPr>
        <w:rFonts w:hint="default"/>
        <w:b/>
      </w:rPr>
    </w:lvl>
    <w:lvl w:ilvl="1">
      <w:start w:val="1"/>
      <w:numFmt w:val="decimal"/>
      <w:pStyle w:val="COMexecsumnumberedpara"/>
      <w:lvlText w:val="%1.%2"/>
      <w:lvlJc w:val="left"/>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16869416">
    <w:abstractNumId w:val="17"/>
  </w:num>
  <w:num w:numId="2" w16cid:durableId="1740515427">
    <w:abstractNumId w:val="12"/>
  </w:num>
  <w:num w:numId="3" w16cid:durableId="1123233462">
    <w:abstractNumId w:val="0"/>
  </w:num>
  <w:num w:numId="4" w16cid:durableId="712847743">
    <w:abstractNumId w:val="17"/>
  </w:num>
  <w:num w:numId="5" w16cid:durableId="1956599140">
    <w:abstractNumId w:val="7"/>
  </w:num>
  <w:num w:numId="6" w16cid:durableId="75136555">
    <w:abstractNumId w:val="5"/>
  </w:num>
  <w:num w:numId="7" w16cid:durableId="288826367">
    <w:abstractNumId w:val="1"/>
  </w:num>
  <w:num w:numId="8" w16cid:durableId="1771583984">
    <w:abstractNumId w:val="15"/>
  </w:num>
  <w:num w:numId="9" w16cid:durableId="2092967121">
    <w:abstractNumId w:val="8"/>
  </w:num>
  <w:num w:numId="10" w16cid:durableId="1241333475">
    <w:abstractNumId w:val="10"/>
  </w:num>
  <w:num w:numId="11" w16cid:durableId="151920973">
    <w:abstractNumId w:val="9"/>
  </w:num>
  <w:num w:numId="12" w16cid:durableId="1432165238">
    <w:abstractNumId w:val="11"/>
  </w:num>
  <w:num w:numId="13" w16cid:durableId="942033156">
    <w:abstractNumId w:val="14"/>
  </w:num>
  <w:num w:numId="14" w16cid:durableId="2127431735">
    <w:abstractNumId w:val="13"/>
  </w:num>
  <w:num w:numId="15" w16cid:durableId="1058285276">
    <w:abstractNumId w:val="2"/>
  </w:num>
  <w:num w:numId="16" w16cid:durableId="1884633975">
    <w:abstractNumId w:val="4"/>
  </w:num>
  <w:num w:numId="17" w16cid:durableId="668992127">
    <w:abstractNumId w:val="16"/>
  </w:num>
  <w:num w:numId="18" w16cid:durableId="17408631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9139865">
    <w:abstractNumId w:val="3"/>
  </w:num>
  <w:num w:numId="20" w16cid:durableId="2018145903">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495"/>
    <w:rsid w:val="00000790"/>
    <w:rsid w:val="00000B70"/>
    <w:rsid w:val="00000F8B"/>
    <w:rsid w:val="0000110B"/>
    <w:rsid w:val="0000130F"/>
    <w:rsid w:val="00001636"/>
    <w:rsid w:val="00001BEB"/>
    <w:rsid w:val="000022C7"/>
    <w:rsid w:val="0000276F"/>
    <w:rsid w:val="00002BAE"/>
    <w:rsid w:val="000030BE"/>
    <w:rsid w:val="000031E5"/>
    <w:rsid w:val="00003499"/>
    <w:rsid w:val="0000368B"/>
    <w:rsid w:val="000037BC"/>
    <w:rsid w:val="000039B7"/>
    <w:rsid w:val="000041C5"/>
    <w:rsid w:val="000041D3"/>
    <w:rsid w:val="000044B2"/>
    <w:rsid w:val="000044ED"/>
    <w:rsid w:val="00004A6A"/>
    <w:rsid w:val="00004A8A"/>
    <w:rsid w:val="00004B1A"/>
    <w:rsid w:val="000051A7"/>
    <w:rsid w:val="00005631"/>
    <w:rsid w:val="000056B9"/>
    <w:rsid w:val="00005DB7"/>
    <w:rsid w:val="0000639A"/>
    <w:rsid w:val="0000658A"/>
    <w:rsid w:val="0000715E"/>
    <w:rsid w:val="00007952"/>
    <w:rsid w:val="00007DC7"/>
    <w:rsid w:val="00010DF0"/>
    <w:rsid w:val="00010F87"/>
    <w:rsid w:val="00011624"/>
    <w:rsid w:val="00011755"/>
    <w:rsid w:val="00011A96"/>
    <w:rsid w:val="00011ABB"/>
    <w:rsid w:val="00012121"/>
    <w:rsid w:val="00012AEA"/>
    <w:rsid w:val="00013247"/>
    <w:rsid w:val="000144DA"/>
    <w:rsid w:val="00014C82"/>
    <w:rsid w:val="000152F2"/>
    <w:rsid w:val="00015886"/>
    <w:rsid w:val="000158A1"/>
    <w:rsid w:val="00015CBB"/>
    <w:rsid w:val="00015E34"/>
    <w:rsid w:val="00016188"/>
    <w:rsid w:val="000162EF"/>
    <w:rsid w:val="000163E1"/>
    <w:rsid w:val="00016A87"/>
    <w:rsid w:val="00016B36"/>
    <w:rsid w:val="0002069F"/>
    <w:rsid w:val="000207C9"/>
    <w:rsid w:val="00021B62"/>
    <w:rsid w:val="00021DD7"/>
    <w:rsid w:val="00022113"/>
    <w:rsid w:val="00022166"/>
    <w:rsid w:val="00022187"/>
    <w:rsid w:val="0002225F"/>
    <w:rsid w:val="00022511"/>
    <w:rsid w:val="00022797"/>
    <w:rsid w:val="00022F8E"/>
    <w:rsid w:val="000231E7"/>
    <w:rsid w:val="00023236"/>
    <w:rsid w:val="00023763"/>
    <w:rsid w:val="00023AB6"/>
    <w:rsid w:val="00024551"/>
    <w:rsid w:val="000246D7"/>
    <w:rsid w:val="0002471D"/>
    <w:rsid w:val="00024CFF"/>
    <w:rsid w:val="00024D40"/>
    <w:rsid w:val="00024EB5"/>
    <w:rsid w:val="00025561"/>
    <w:rsid w:val="00025CF9"/>
    <w:rsid w:val="00026DE2"/>
    <w:rsid w:val="00026F17"/>
    <w:rsid w:val="000271C7"/>
    <w:rsid w:val="000274B8"/>
    <w:rsid w:val="00027614"/>
    <w:rsid w:val="000277FB"/>
    <w:rsid w:val="00030B83"/>
    <w:rsid w:val="00031528"/>
    <w:rsid w:val="00032C7C"/>
    <w:rsid w:val="00032DB1"/>
    <w:rsid w:val="000331C5"/>
    <w:rsid w:val="000334B2"/>
    <w:rsid w:val="000337D9"/>
    <w:rsid w:val="00033863"/>
    <w:rsid w:val="0003459F"/>
    <w:rsid w:val="00034955"/>
    <w:rsid w:val="00035185"/>
    <w:rsid w:val="00035390"/>
    <w:rsid w:val="00035932"/>
    <w:rsid w:val="00035C3B"/>
    <w:rsid w:val="00035DC0"/>
    <w:rsid w:val="00036829"/>
    <w:rsid w:val="00036A80"/>
    <w:rsid w:val="00036B5F"/>
    <w:rsid w:val="00036DD3"/>
    <w:rsid w:val="000373E2"/>
    <w:rsid w:val="0003798D"/>
    <w:rsid w:val="00037B2A"/>
    <w:rsid w:val="00037C40"/>
    <w:rsid w:val="00037D77"/>
    <w:rsid w:val="00040306"/>
    <w:rsid w:val="0004072B"/>
    <w:rsid w:val="00040895"/>
    <w:rsid w:val="00040DDA"/>
    <w:rsid w:val="000410A0"/>
    <w:rsid w:val="00041582"/>
    <w:rsid w:val="000416E6"/>
    <w:rsid w:val="000417CB"/>
    <w:rsid w:val="00041F4E"/>
    <w:rsid w:val="000421D2"/>
    <w:rsid w:val="000422A7"/>
    <w:rsid w:val="00042719"/>
    <w:rsid w:val="00042AF0"/>
    <w:rsid w:val="00042B53"/>
    <w:rsid w:val="000435B2"/>
    <w:rsid w:val="000435EE"/>
    <w:rsid w:val="00043C37"/>
    <w:rsid w:val="00044F16"/>
    <w:rsid w:val="00045017"/>
    <w:rsid w:val="00045100"/>
    <w:rsid w:val="00045A2B"/>
    <w:rsid w:val="00046516"/>
    <w:rsid w:val="0004694A"/>
    <w:rsid w:val="0004698F"/>
    <w:rsid w:val="00046D64"/>
    <w:rsid w:val="0004710D"/>
    <w:rsid w:val="000471C6"/>
    <w:rsid w:val="000477ED"/>
    <w:rsid w:val="00050075"/>
    <w:rsid w:val="00050226"/>
    <w:rsid w:val="0005075E"/>
    <w:rsid w:val="000508C2"/>
    <w:rsid w:val="00050B0B"/>
    <w:rsid w:val="00050FE3"/>
    <w:rsid w:val="000517A0"/>
    <w:rsid w:val="00052C59"/>
    <w:rsid w:val="00052E3D"/>
    <w:rsid w:val="00052FF2"/>
    <w:rsid w:val="00053584"/>
    <w:rsid w:val="000539D0"/>
    <w:rsid w:val="00053FCF"/>
    <w:rsid w:val="000545F2"/>
    <w:rsid w:val="00054621"/>
    <w:rsid w:val="000546D7"/>
    <w:rsid w:val="00054A8D"/>
    <w:rsid w:val="00055398"/>
    <w:rsid w:val="00055EC2"/>
    <w:rsid w:val="00055F3C"/>
    <w:rsid w:val="00056ECF"/>
    <w:rsid w:val="00056F3E"/>
    <w:rsid w:val="0005738F"/>
    <w:rsid w:val="000603F0"/>
    <w:rsid w:val="000604DF"/>
    <w:rsid w:val="00060783"/>
    <w:rsid w:val="00061283"/>
    <w:rsid w:val="00062324"/>
    <w:rsid w:val="000627DF"/>
    <w:rsid w:val="00062CDB"/>
    <w:rsid w:val="00062E22"/>
    <w:rsid w:val="000632DC"/>
    <w:rsid w:val="00064A2E"/>
    <w:rsid w:val="00064C1D"/>
    <w:rsid w:val="00065112"/>
    <w:rsid w:val="000653B5"/>
    <w:rsid w:val="0006559F"/>
    <w:rsid w:val="000657B3"/>
    <w:rsid w:val="00065D6E"/>
    <w:rsid w:val="00066360"/>
    <w:rsid w:val="00066979"/>
    <w:rsid w:val="00066AF8"/>
    <w:rsid w:val="000672A4"/>
    <w:rsid w:val="000674D2"/>
    <w:rsid w:val="0006755D"/>
    <w:rsid w:val="00067585"/>
    <w:rsid w:val="00067BBD"/>
    <w:rsid w:val="000702D7"/>
    <w:rsid w:val="000702DF"/>
    <w:rsid w:val="00071009"/>
    <w:rsid w:val="00071248"/>
    <w:rsid w:val="00071380"/>
    <w:rsid w:val="000720B9"/>
    <w:rsid w:val="000727F9"/>
    <w:rsid w:val="000728E1"/>
    <w:rsid w:val="00072AA5"/>
    <w:rsid w:val="00072BD2"/>
    <w:rsid w:val="00072DD0"/>
    <w:rsid w:val="00072E4E"/>
    <w:rsid w:val="00073742"/>
    <w:rsid w:val="000737F7"/>
    <w:rsid w:val="0007390B"/>
    <w:rsid w:val="00073958"/>
    <w:rsid w:val="00073C54"/>
    <w:rsid w:val="00074504"/>
    <w:rsid w:val="00074603"/>
    <w:rsid w:val="00074FCE"/>
    <w:rsid w:val="0007542C"/>
    <w:rsid w:val="000766D7"/>
    <w:rsid w:val="0007672F"/>
    <w:rsid w:val="00076B54"/>
    <w:rsid w:val="000774F0"/>
    <w:rsid w:val="000777AC"/>
    <w:rsid w:val="00077C98"/>
    <w:rsid w:val="000802B6"/>
    <w:rsid w:val="00080909"/>
    <w:rsid w:val="00080A81"/>
    <w:rsid w:val="00080F49"/>
    <w:rsid w:val="000812CA"/>
    <w:rsid w:val="00081E63"/>
    <w:rsid w:val="00082516"/>
    <w:rsid w:val="0008258D"/>
    <w:rsid w:val="0008297E"/>
    <w:rsid w:val="00082F77"/>
    <w:rsid w:val="000831C6"/>
    <w:rsid w:val="00083E99"/>
    <w:rsid w:val="00084FA8"/>
    <w:rsid w:val="000856C5"/>
    <w:rsid w:val="000859E9"/>
    <w:rsid w:val="00085C31"/>
    <w:rsid w:val="000863D1"/>
    <w:rsid w:val="0008674C"/>
    <w:rsid w:val="00086F1E"/>
    <w:rsid w:val="00087489"/>
    <w:rsid w:val="000875E5"/>
    <w:rsid w:val="000902D9"/>
    <w:rsid w:val="0009085B"/>
    <w:rsid w:val="000909A2"/>
    <w:rsid w:val="00090C7E"/>
    <w:rsid w:val="000911AC"/>
    <w:rsid w:val="00091A92"/>
    <w:rsid w:val="00092600"/>
    <w:rsid w:val="0009262B"/>
    <w:rsid w:val="00092E9D"/>
    <w:rsid w:val="000930D5"/>
    <w:rsid w:val="00093310"/>
    <w:rsid w:val="00094023"/>
    <w:rsid w:val="000940A7"/>
    <w:rsid w:val="0009445C"/>
    <w:rsid w:val="000944FB"/>
    <w:rsid w:val="000945B6"/>
    <w:rsid w:val="000945BA"/>
    <w:rsid w:val="000948AF"/>
    <w:rsid w:val="00094E95"/>
    <w:rsid w:val="0009517B"/>
    <w:rsid w:val="00095200"/>
    <w:rsid w:val="000953E3"/>
    <w:rsid w:val="000953ED"/>
    <w:rsid w:val="00095B13"/>
    <w:rsid w:val="00095B2F"/>
    <w:rsid w:val="00095EA4"/>
    <w:rsid w:val="00095FE5"/>
    <w:rsid w:val="00096284"/>
    <w:rsid w:val="0009644D"/>
    <w:rsid w:val="0009664D"/>
    <w:rsid w:val="00096877"/>
    <w:rsid w:val="00096A8A"/>
    <w:rsid w:val="00096FD1"/>
    <w:rsid w:val="00097987"/>
    <w:rsid w:val="00097D2C"/>
    <w:rsid w:val="000A0870"/>
    <w:rsid w:val="000A0924"/>
    <w:rsid w:val="000A16DD"/>
    <w:rsid w:val="000A1BC0"/>
    <w:rsid w:val="000A22F3"/>
    <w:rsid w:val="000A2989"/>
    <w:rsid w:val="000A2ACB"/>
    <w:rsid w:val="000A2DAA"/>
    <w:rsid w:val="000A2F9E"/>
    <w:rsid w:val="000A35FC"/>
    <w:rsid w:val="000A3E47"/>
    <w:rsid w:val="000A4878"/>
    <w:rsid w:val="000A516F"/>
    <w:rsid w:val="000A5197"/>
    <w:rsid w:val="000A522B"/>
    <w:rsid w:val="000A5395"/>
    <w:rsid w:val="000A579A"/>
    <w:rsid w:val="000A6039"/>
    <w:rsid w:val="000A6623"/>
    <w:rsid w:val="000A6B4B"/>
    <w:rsid w:val="000A6F2A"/>
    <w:rsid w:val="000A7170"/>
    <w:rsid w:val="000A7453"/>
    <w:rsid w:val="000A7D08"/>
    <w:rsid w:val="000B0121"/>
    <w:rsid w:val="000B01CF"/>
    <w:rsid w:val="000B0338"/>
    <w:rsid w:val="000B0670"/>
    <w:rsid w:val="000B0E75"/>
    <w:rsid w:val="000B1091"/>
    <w:rsid w:val="000B2358"/>
    <w:rsid w:val="000B265A"/>
    <w:rsid w:val="000B2783"/>
    <w:rsid w:val="000B27E9"/>
    <w:rsid w:val="000B2CAB"/>
    <w:rsid w:val="000B2DCB"/>
    <w:rsid w:val="000B2EB8"/>
    <w:rsid w:val="000B315E"/>
    <w:rsid w:val="000B3927"/>
    <w:rsid w:val="000B3FE6"/>
    <w:rsid w:val="000B4A6C"/>
    <w:rsid w:val="000B56B9"/>
    <w:rsid w:val="000B5AFB"/>
    <w:rsid w:val="000B5CE0"/>
    <w:rsid w:val="000B6B9E"/>
    <w:rsid w:val="000B6CAC"/>
    <w:rsid w:val="000B70C0"/>
    <w:rsid w:val="000B72B8"/>
    <w:rsid w:val="000B7459"/>
    <w:rsid w:val="000B7612"/>
    <w:rsid w:val="000B7882"/>
    <w:rsid w:val="000B78AE"/>
    <w:rsid w:val="000C03CB"/>
    <w:rsid w:val="000C1121"/>
    <w:rsid w:val="000C113B"/>
    <w:rsid w:val="000C1481"/>
    <w:rsid w:val="000C198C"/>
    <w:rsid w:val="000C1B7A"/>
    <w:rsid w:val="000C267F"/>
    <w:rsid w:val="000C2C22"/>
    <w:rsid w:val="000C2F2C"/>
    <w:rsid w:val="000C3B0B"/>
    <w:rsid w:val="000C3B60"/>
    <w:rsid w:val="000C3DF9"/>
    <w:rsid w:val="000C47E4"/>
    <w:rsid w:val="000C4CF2"/>
    <w:rsid w:val="000C5592"/>
    <w:rsid w:val="000C58C3"/>
    <w:rsid w:val="000C641C"/>
    <w:rsid w:val="000C6713"/>
    <w:rsid w:val="000C6915"/>
    <w:rsid w:val="000C73D4"/>
    <w:rsid w:val="000C7778"/>
    <w:rsid w:val="000D025D"/>
    <w:rsid w:val="000D0511"/>
    <w:rsid w:val="000D064C"/>
    <w:rsid w:val="000D06AD"/>
    <w:rsid w:val="000D144A"/>
    <w:rsid w:val="000D18B4"/>
    <w:rsid w:val="000D1BFC"/>
    <w:rsid w:val="000D1D5D"/>
    <w:rsid w:val="000D1F51"/>
    <w:rsid w:val="000D1F8C"/>
    <w:rsid w:val="000D2416"/>
    <w:rsid w:val="000D281A"/>
    <w:rsid w:val="000D2848"/>
    <w:rsid w:val="000D2A64"/>
    <w:rsid w:val="000D2BDE"/>
    <w:rsid w:val="000D326A"/>
    <w:rsid w:val="000D3384"/>
    <w:rsid w:val="000D468E"/>
    <w:rsid w:val="000D47EC"/>
    <w:rsid w:val="000D48FB"/>
    <w:rsid w:val="000D4F2C"/>
    <w:rsid w:val="000D51FB"/>
    <w:rsid w:val="000D5F11"/>
    <w:rsid w:val="000D664C"/>
    <w:rsid w:val="000D679E"/>
    <w:rsid w:val="000D67C1"/>
    <w:rsid w:val="000D70AC"/>
    <w:rsid w:val="000D73AA"/>
    <w:rsid w:val="000D7B16"/>
    <w:rsid w:val="000D7DE9"/>
    <w:rsid w:val="000D7FDC"/>
    <w:rsid w:val="000E0088"/>
    <w:rsid w:val="000E0640"/>
    <w:rsid w:val="000E0714"/>
    <w:rsid w:val="000E0E29"/>
    <w:rsid w:val="000E1058"/>
    <w:rsid w:val="000E10D9"/>
    <w:rsid w:val="000E135D"/>
    <w:rsid w:val="000E1E95"/>
    <w:rsid w:val="000E23C1"/>
    <w:rsid w:val="000E2571"/>
    <w:rsid w:val="000E28DE"/>
    <w:rsid w:val="000E2AFB"/>
    <w:rsid w:val="000E387C"/>
    <w:rsid w:val="000E3F95"/>
    <w:rsid w:val="000E4A14"/>
    <w:rsid w:val="000E4D9E"/>
    <w:rsid w:val="000E50AC"/>
    <w:rsid w:val="000E5F00"/>
    <w:rsid w:val="000E5FE7"/>
    <w:rsid w:val="000E63A0"/>
    <w:rsid w:val="000E696A"/>
    <w:rsid w:val="000E6BD1"/>
    <w:rsid w:val="000E771E"/>
    <w:rsid w:val="000E78D0"/>
    <w:rsid w:val="000F00BA"/>
    <w:rsid w:val="000F0D98"/>
    <w:rsid w:val="000F1647"/>
    <w:rsid w:val="000F17CA"/>
    <w:rsid w:val="000F1838"/>
    <w:rsid w:val="000F18EB"/>
    <w:rsid w:val="000F28B5"/>
    <w:rsid w:val="000F2DF2"/>
    <w:rsid w:val="000F316A"/>
    <w:rsid w:val="000F330A"/>
    <w:rsid w:val="000F38BC"/>
    <w:rsid w:val="000F3C74"/>
    <w:rsid w:val="000F3FDE"/>
    <w:rsid w:val="000F4055"/>
    <w:rsid w:val="000F4912"/>
    <w:rsid w:val="000F491C"/>
    <w:rsid w:val="000F4BB8"/>
    <w:rsid w:val="000F4C63"/>
    <w:rsid w:val="000F4FA9"/>
    <w:rsid w:val="000F500C"/>
    <w:rsid w:val="000F50C2"/>
    <w:rsid w:val="000F513D"/>
    <w:rsid w:val="000F53FB"/>
    <w:rsid w:val="000F55E9"/>
    <w:rsid w:val="000F55EA"/>
    <w:rsid w:val="000F5BAA"/>
    <w:rsid w:val="000F623C"/>
    <w:rsid w:val="000F7127"/>
    <w:rsid w:val="000F725F"/>
    <w:rsid w:val="000F7570"/>
    <w:rsid w:val="000F7737"/>
    <w:rsid w:val="000F773B"/>
    <w:rsid w:val="000F7A35"/>
    <w:rsid w:val="000F7B54"/>
    <w:rsid w:val="000F7BD3"/>
    <w:rsid w:val="00100094"/>
    <w:rsid w:val="001000B3"/>
    <w:rsid w:val="00100EFF"/>
    <w:rsid w:val="00100F8A"/>
    <w:rsid w:val="001011D5"/>
    <w:rsid w:val="0010199C"/>
    <w:rsid w:val="00101B91"/>
    <w:rsid w:val="00102352"/>
    <w:rsid w:val="00102DAE"/>
    <w:rsid w:val="0010319C"/>
    <w:rsid w:val="0010339C"/>
    <w:rsid w:val="0010452E"/>
    <w:rsid w:val="00104CC0"/>
    <w:rsid w:val="001054C4"/>
    <w:rsid w:val="001055C8"/>
    <w:rsid w:val="00105744"/>
    <w:rsid w:val="00105AE2"/>
    <w:rsid w:val="001060C6"/>
    <w:rsid w:val="00106936"/>
    <w:rsid w:val="00106B80"/>
    <w:rsid w:val="00106C22"/>
    <w:rsid w:val="00106C4E"/>
    <w:rsid w:val="0010768D"/>
    <w:rsid w:val="00107CA0"/>
    <w:rsid w:val="00107DB0"/>
    <w:rsid w:val="0011032E"/>
    <w:rsid w:val="0011045B"/>
    <w:rsid w:val="001108C2"/>
    <w:rsid w:val="00111391"/>
    <w:rsid w:val="001113E9"/>
    <w:rsid w:val="0011156B"/>
    <w:rsid w:val="0011199D"/>
    <w:rsid w:val="00111B28"/>
    <w:rsid w:val="00111E54"/>
    <w:rsid w:val="00111E84"/>
    <w:rsid w:val="0011348B"/>
    <w:rsid w:val="00113843"/>
    <w:rsid w:val="0011414B"/>
    <w:rsid w:val="00114270"/>
    <w:rsid w:val="00114D56"/>
    <w:rsid w:val="001153AC"/>
    <w:rsid w:val="0011554B"/>
    <w:rsid w:val="001155FC"/>
    <w:rsid w:val="00115982"/>
    <w:rsid w:val="0011623B"/>
    <w:rsid w:val="001165B1"/>
    <w:rsid w:val="00116A6F"/>
    <w:rsid w:val="00116C53"/>
    <w:rsid w:val="00117325"/>
    <w:rsid w:val="001178E8"/>
    <w:rsid w:val="00117947"/>
    <w:rsid w:val="00117AAB"/>
    <w:rsid w:val="00120347"/>
    <w:rsid w:val="0012055E"/>
    <w:rsid w:val="00120B86"/>
    <w:rsid w:val="00120C27"/>
    <w:rsid w:val="00121103"/>
    <w:rsid w:val="0012113E"/>
    <w:rsid w:val="00121799"/>
    <w:rsid w:val="001219BE"/>
    <w:rsid w:val="00121D6B"/>
    <w:rsid w:val="001222FC"/>
    <w:rsid w:val="00122B8E"/>
    <w:rsid w:val="00123902"/>
    <w:rsid w:val="00123A5F"/>
    <w:rsid w:val="00123F4A"/>
    <w:rsid w:val="001240B1"/>
    <w:rsid w:val="00124101"/>
    <w:rsid w:val="0012416D"/>
    <w:rsid w:val="0012434B"/>
    <w:rsid w:val="001248EA"/>
    <w:rsid w:val="00124993"/>
    <w:rsid w:val="00124A51"/>
    <w:rsid w:val="0012569B"/>
    <w:rsid w:val="00125912"/>
    <w:rsid w:val="0012597E"/>
    <w:rsid w:val="00125CBA"/>
    <w:rsid w:val="00126115"/>
    <w:rsid w:val="00126490"/>
    <w:rsid w:val="00126621"/>
    <w:rsid w:val="00126779"/>
    <w:rsid w:val="0012678B"/>
    <w:rsid w:val="001268C1"/>
    <w:rsid w:val="00126B1D"/>
    <w:rsid w:val="00127260"/>
    <w:rsid w:val="00127598"/>
    <w:rsid w:val="00127AE0"/>
    <w:rsid w:val="00127EAF"/>
    <w:rsid w:val="0013009F"/>
    <w:rsid w:val="001300B0"/>
    <w:rsid w:val="001300EC"/>
    <w:rsid w:val="001301E9"/>
    <w:rsid w:val="00130901"/>
    <w:rsid w:val="00130AB0"/>
    <w:rsid w:val="00131D4E"/>
    <w:rsid w:val="00131D82"/>
    <w:rsid w:val="00131F32"/>
    <w:rsid w:val="0013254F"/>
    <w:rsid w:val="00132B22"/>
    <w:rsid w:val="00132FA4"/>
    <w:rsid w:val="0013375E"/>
    <w:rsid w:val="00133CA8"/>
    <w:rsid w:val="00133D36"/>
    <w:rsid w:val="00134D71"/>
    <w:rsid w:val="001354B6"/>
    <w:rsid w:val="001354BA"/>
    <w:rsid w:val="00136018"/>
    <w:rsid w:val="00137645"/>
    <w:rsid w:val="00137C41"/>
    <w:rsid w:val="00137C4D"/>
    <w:rsid w:val="00140156"/>
    <w:rsid w:val="0014015A"/>
    <w:rsid w:val="001401CD"/>
    <w:rsid w:val="00140885"/>
    <w:rsid w:val="00140E99"/>
    <w:rsid w:val="00141034"/>
    <w:rsid w:val="00141036"/>
    <w:rsid w:val="001416C7"/>
    <w:rsid w:val="00141FA5"/>
    <w:rsid w:val="00142BA4"/>
    <w:rsid w:val="00143206"/>
    <w:rsid w:val="00143C38"/>
    <w:rsid w:val="00143F67"/>
    <w:rsid w:val="001443FF"/>
    <w:rsid w:val="00145234"/>
    <w:rsid w:val="00145483"/>
    <w:rsid w:val="00145540"/>
    <w:rsid w:val="001456B0"/>
    <w:rsid w:val="00146CA8"/>
    <w:rsid w:val="001472CB"/>
    <w:rsid w:val="0014749D"/>
    <w:rsid w:val="0014756F"/>
    <w:rsid w:val="00147950"/>
    <w:rsid w:val="00147FC8"/>
    <w:rsid w:val="00150AC1"/>
    <w:rsid w:val="00150C8B"/>
    <w:rsid w:val="001513CA"/>
    <w:rsid w:val="00151EC2"/>
    <w:rsid w:val="0015259D"/>
    <w:rsid w:val="0015306F"/>
    <w:rsid w:val="001532AE"/>
    <w:rsid w:val="00153527"/>
    <w:rsid w:val="001536FB"/>
    <w:rsid w:val="00154148"/>
    <w:rsid w:val="0015439F"/>
    <w:rsid w:val="001547AB"/>
    <w:rsid w:val="00154AEE"/>
    <w:rsid w:val="00154CEF"/>
    <w:rsid w:val="00154DAF"/>
    <w:rsid w:val="00154E2D"/>
    <w:rsid w:val="00155309"/>
    <w:rsid w:val="001557A3"/>
    <w:rsid w:val="00155BD3"/>
    <w:rsid w:val="00156171"/>
    <w:rsid w:val="001562D2"/>
    <w:rsid w:val="00156AA0"/>
    <w:rsid w:val="00156EBD"/>
    <w:rsid w:val="00156F8F"/>
    <w:rsid w:val="00157130"/>
    <w:rsid w:val="0015769A"/>
    <w:rsid w:val="001576B1"/>
    <w:rsid w:val="0015795E"/>
    <w:rsid w:val="001603BA"/>
    <w:rsid w:val="0016047B"/>
    <w:rsid w:val="001605EE"/>
    <w:rsid w:val="0016075F"/>
    <w:rsid w:val="001609C4"/>
    <w:rsid w:val="00160A4C"/>
    <w:rsid w:val="001612BB"/>
    <w:rsid w:val="0016133F"/>
    <w:rsid w:val="0016170A"/>
    <w:rsid w:val="00162014"/>
    <w:rsid w:val="00162473"/>
    <w:rsid w:val="00162830"/>
    <w:rsid w:val="00162913"/>
    <w:rsid w:val="0016358A"/>
    <w:rsid w:val="001636E5"/>
    <w:rsid w:val="00163E81"/>
    <w:rsid w:val="00163EFF"/>
    <w:rsid w:val="00163F15"/>
    <w:rsid w:val="00163F66"/>
    <w:rsid w:val="00164100"/>
    <w:rsid w:val="00164177"/>
    <w:rsid w:val="00164762"/>
    <w:rsid w:val="0016478E"/>
    <w:rsid w:val="00165693"/>
    <w:rsid w:val="00165EBB"/>
    <w:rsid w:val="00165EC4"/>
    <w:rsid w:val="001661FB"/>
    <w:rsid w:val="0016629A"/>
    <w:rsid w:val="00166A3C"/>
    <w:rsid w:val="00166B20"/>
    <w:rsid w:val="001670A2"/>
    <w:rsid w:val="001670B6"/>
    <w:rsid w:val="001671A0"/>
    <w:rsid w:val="0016736A"/>
    <w:rsid w:val="0016762A"/>
    <w:rsid w:val="0016767F"/>
    <w:rsid w:val="001677D8"/>
    <w:rsid w:val="00167FF1"/>
    <w:rsid w:val="0017031F"/>
    <w:rsid w:val="00170542"/>
    <w:rsid w:val="00170A3A"/>
    <w:rsid w:val="0017174E"/>
    <w:rsid w:val="001719B3"/>
    <w:rsid w:val="00171D50"/>
    <w:rsid w:val="00172AB7"/>
    <w:rsid w:val="00172D93"/>
    <w:rsid w:val="00173565"/>
    <w:rsid w:val="001736D9"/>
    <w:rsid w:val="00173B07"/>
    <w:rsid w:val="00173C9A"/>
    <w:rsid w:val="00173FAC"/>
    <w:rsid w:val="0017406C"/>
    <w:rsid w:val="00174E40"/>
    <w:rsid w:val="001751FA"/>
    <w:rsid w:val="001762AB"/>
    <w:rsid w:val="001762AC"/>
    <w:rsid w:val="00176AD1"/>
    <w:rsid w:val="00176F8B"/>
    <w:rsid w:val="0017736A"/>
    <w:rsid w:val="001774A9"/>
    <w:rsid w:val="00177AF6"/>
    <w:rsid w:val="00180DDB"/>
    <w:rsid w:val="0018112A"/>
    <w:rsid w:val="001812DB"/>
    <w:rsid w:val="001813A8"/>
    <w:rsid w:val="00181508"/>
    <w:rsid w:val="00181C10"/>
    <w:rsid w:val="00181D9C"/>
    <w:rsid w:val="0018226C"/>
    <w:rsid w:val="00182E11"/>
    <w:rsid w:val="00183399"/>
    <w:rsid w:val="001836F1"/>
    <w:rsid w:val="001837FF"/>
    <w:rsid w:val="00183807"/>
    <w:rsid w:val="00184339"/>
    <w:rsid w:val="00184662"/>
    <w:rsid w:val="00184904"/>
    <w:rsid w:val="00184B0E"/>
    <w:rsid w:val="00185773"/>
    <w:rsid w:val="00185788"/>
    <w:rsid w:val="00185C04"/>
    <w:rsid w:val="00185C4B"/>
    <w:rsid w:val="0018752F"/>
    <w:rsid w:val="001875ED"/>
    <w:rsid w:val="001877F9"/>
    <w:rsid w:val="00187FBD"/>
    <w:rsid w:val="00190021"/>
    <w:rsid w:val="00190E4E"/>
    <w:rsid w:val="0019151C"/>
    <w:rsid w:val="0019156C"/>
    <w:rsid w:val="0019261F"/>
    <w:rsid w:val="00193678"/>
    <w:rsid w:val="00193838"/>
    <w:rsid w:val="00193B3B"/>
    <w:rsid w:val="0019432E"/>
    <w:rsid w:val="00194401"/>
    <w:rsid w:val="00194AD8"/>
    <w:rsid w:val="00194C44"/>
    <w:rsid w:val="00195222"/>
    <w:rsid w:val="00195262"/>
    <w:rsid w:val="00195283"/>
    <w:rsid w:val="00195452"/>
    <w:rsid w:val="00195516"/>
    <w:rsid w:val="0019555C"/>
    <w:rsid w:val="0019567F"/>
    <w:rsid w:val="00195C44"/>
    <w:rsid w:val="0019670D"/>
    <w:rsid w:val="0019673C"/>
    <w:rsid w:val="001968F6"/>
    <w:rsid w:val="001969DC"/>
    <w:rsid w:val="00196AF1"/>
    <w:rsid w:val="0019735E"/>
    <w:rsid w:val="001975D8"/>
    <w:rsid w:val="00197FEE"/>
    <w:rsid w:val="001A0497"/>
    <w:rsid w:val="001A0505"/>
    <w:rsid w:val="001A0A63"/>
    <w:rsid w:val="001A0F4A"/>
    <w:rsid w:val="001A178E"/>
    <w:rsid w:val="001A1803"/>
    <w:rsid w:val="001A20C9"/>
    <w:rsid w:val="001A2140"/>
    <w:rsid w:val="001A23A4"/>
    <w:rsid w:val="001A32F7"/>
    <w:rsid w:val="001A34F4"/>
    <w:rsid w:val="001A3DD5"/>
    <w:rsid w:val="001A3E50"/>
    <w:rsid w:val="001A40E2"/>
    <w:rsid w:val="001A43FA"/>
    <w:rsid w:val="001A4665"/>
    <w:rsid w:val="001A47C5"/>
    <w:rsid w:val="001A591D"/>
    <w:rsid w:val="001A59FB"/>
    <w:rsid w:val="001A5CB1"/>
    <w:rsid w:val="001A5E2D"/>
    <w:rsid w:val="001A5E9E"/>
    <w:rsid w:val="001A6215"/>
    <w:rsid w:val="001A62FA"/>
    <w:rsid w:val="001A6354"/>
    <w:rsid w:val="001A6366"/>
    <w:rsid w:val="001A675E"/>
    <w:rsid w:val="001A6F34"/>
    <w:rsid w:val="001A7000"/>
    <w:rsid w:val="001A75B8"/>
    <w:rsid w:val="001A75D7"/>
    <w:rsid w:val="001A7983"/>
    <w:rsid w:val="001A7AE8"/>
    <w:rsid w:val="001A7BEE"/>
    <w:rsid w:val="001A7CEF"/>
    <w:rsid w:val="001B09FC"/>
    <w:rsid w:val="001B182C"/>
    <w:rsid w:val="001B1859"/>
    <w:rsid w:val="001B1CFA"/>
    <w:rsid w:val="001B204E"/>
    <w:rsid w:val="001B2372"/>
    <w:rsid w:val="001B299A"/>
    <w:rsid w:val="001B2AAE"/>
    <w:rsid w:val="001B2E3D"/>
    <w:rsid w:val="001B2E5B"/>
    <w:rsid w:val="001B3430"/>
    <w:rsid w:val="001B3443"/>
    <w:rsid w:val="001B3812"/>
    <w:rsid w:val="001B381D"/>
    <w:rsid w:val="001B44CF"/>
    <w:rsid w:val="001B4D09"/>
    <w:rsid w:val="001B4D0A"/>
    <w:rsid w:val="001B4D20"/>
    <w:rsid w:val="001B4FBE"/>
    <w:rsid w:val="001B5582"/>
    <w:rsid w:val="001B79F9"/>
    <w:rsid w:val="001B7ED2"/>
    <w:rsid w:val="001B7F84"/>
    <w:rsid w:val="001C042C"/>
    <w:rsid w:val="001C06FD"/>
    <w:rsid w:val="001C14AF"/>
    <w:rsid w:val="001C1A24"/>
    <w:rsid w:val="001C1A36"/>
    <w:rsid w:val="001C1A3F"/>
    <w:rsid w:val="001C1F62"/>
    <w:rsid w:val="001C2A9B"/>
    <w:rsid w:val="001C307F"/>
    <w:rsid w:val="001C335D"/>
    <w:rsid w:val="001C3374"/>
    <w:rsid w:val="001C3DD6"/>
    <w:rsid w:val="001C41B0"/>
    <w:rsid w:val="001C4299"/>
    <w:rsid w:val="001C44D8"/>
    <w:rsid w:val="001C4874"/>
    <w:rsid w:val="001C4ED2"/>
    <w:rsid w:val="001C5E16"/>
    <w:rsid w:val="001C5F94"/>
    <w:rsid w:val="001C69F6"/>
    <w:rsid w:val="001C6D0B"/>
    <w:rsid w:val="001C6E66"/>
    <w:rsid w:val="001C720F"/>
    <w:rsid w:val="001C753A"/>
    <w:rsid w:val="001C7B73"/>
    <w:rsid w:val="001D0624"/>
    <w:rsid w:val="001D0AB9"/>
    <w:rsid w:val="001D0C3E"/>
    <w:rsid w:val="001D0F38"/>
    <w:rsid w:val="001D1100"/>
    <w:rsid w:val="001D1391"/>
    <w:rsid w:val="001D1498"/>
    <w:rsid w:val="001D18C1"/>
    <w:rsid w:val="001D1B33"/>
    <w:rsid w:val="001D21FF"/>
    <w:rsid w:val="001D25D7"/>
    <w:rsid w:val="001D2724"/>
    <w:rsid w:val="001D277C"/>
    <w:rsid w:val="001D2C37"/>
    <w:rsid w:val="001D36A0"/>
    <w:rsid w:val="001D3FAC"/>
    <w:rsid w:val="001D46D1"/>
    <w:rsid w:val="001D50B2"/>
    <w:rsid w:val="001D566B"/>
    <w:rsid w:val="001D6374"/>
    <w:rsid w:val="001D69CA"/>
    <w:rsid w:val="001D6D15"/>
    <w:rsid w:val="001D71F4"/>
    <w:rsid w:val="001D7645"/>
    <w:rsid w:val="001D7D1C"/>
    <w:rsid w:val="001D7E4E"/>
    <w:rsid w:val="001D7F1E"/>
    <w:rsid w:val="001E06A9"/>
    <w:rsid w:val="001E0E0B"/>
    <w:rsid w:val="001E11D8"/>
    <w:rsid w:val="001E14DD"/>
    <w:rsid w:val="001E1909"/>
    <w:rsid w:val="001E1E4A"/>
    <w:rsid w:val="001E1E86"/>
    <w:rsid w:val="001E238E"/>
    <w:rsid w:val="001E2483"/>
    <w:rsid w:val="001E2A6E"/>
    <w:rsid w:val="001E2B1E"/>
    <w:rsid w:val="001E2CFF"/>
    <w:rsid w:val="001E2F24"/>
    <w:rsid w:val="001E30D4"/>
    <w:rsid w:val="001E3341"/>
    <w:rsid w:val="001E34DF"/>
    <w:rsid w:val="001E3DDD"/>
    <w:rsid w:val="001E41C6"/>
    <w:rsid w:val="001E4888"/>
    <w:rsid w:val="001E4B77"/>
    <w:rsid w:val="001E4F11"/>
    <w:rsid w:val="001E52EB"/>
    <w:rsid w:val="001E5464"/>
    <w:rsid w:val="001E5508"/>
    <w:rsid w:val="001E5B63"/>
    <w:rsid w:val="001E5F5C"/>
    <w:rsid w:val="001E61D2"/>
    <w:rsid w:val="001E6871"/>
    <w:rsid w:val="001E6A9D"/>
    <w:rsid w:val="001E6B76"/>
    <w:rsid w:val="001E740C"/>
    <w:rsid w:val="001F049C"/>
    <w:rsid w:val="001F1235"/>
    <w:rsid w:val="001F1243"/>
    <w:rsid w:val="001F15D2"/>
    <w:rsid w:val="001F1AF2"/>
    <w:rsid w:val="001F1CB3"/>
    <w:rsid w:val="001F1F9F"/>
    <w:rsid w:val="001F285E"/>
    <w:rsid w:val="001F2C9E"/>
    <w:rsid w:val="001F2E54"/>
    <w:rsid w:val="001F33F6"/>
    <w:rsid w:val="001F3558"/>
    <w:rsid w:val="001F38B5"/>
    <w:rsid w:val="001F4081"/>
    <w:rsid w:val="001F4B72"/>
    <w:rsid w:val="001F4EFC"/>
    <w:rsid w:val="001F520C"/>
    <w:rsid w:val="001F5D50"/>
    <w:rsid w:val="001F6074"/>
    <w:rsid w:val="001F614E"/>
    <w:rsid w:val="001F6AEC"/>
    <w:rsid w:val="001F6B39"/>
    <w:rsid w:val="001F6F91"/>
    <w:rsid w:val="001F7361"/>
    <w:rsid w:val="001F7799"/>
    <w:rsid w:val="001F7837"/>
    <w:rsid w:val="00200103"/>
    <w:rsid w:val="002011B0"/>
    <w:rsid w:val="00201505"/>
    <w:rsid w:val="00201C1C"/>
    <w:rsid w:val="00203181"/>
    <w:rsid w:val="00203299"/>
    <w:rsid w:val="00203783"/>
    <w:rsid w:val="0020385F"/>
    <w:rsid w:val="00203B16"/>
    <w:rsid w:val="00204629"/>
    <w:rsid w:val="00204B7E"/>
    <w:rsid w:val="002056AD"/>
    <w:rsid w:val="00205827"/>
    <w:rsid w:val="00205C12"/>
    <w:rsid w:val="0020604F"/>
    <w:rsid w:val="0020606E"/>
    <w:rsid w:val="002068A0"/>
    <w:rsid w:val="002069D7"/>
    <w:rsid w:val="00206CE8"/>
    <w:rsid w:val="00207021"/>
    <w:rsid w:val="0020732F"/>
    <w:rsid w:val="00207D00"/>
    <w:rsid w:val="0021029B"/>
    <w:rsid w:val="002105C1"/>
    <w:rsid w:val="00210A0D"/>
    <w:rsid w:val="00210CE9"/>
    <w:rsid w:val="002116FD"/>
    <w:rsid w:val="002123CD"/>
    <w:rsid w:val="00212E45"/>
    <w:rsid w:val="00212FAF"/>
    <w:rsid w:val="00213BC6"/>
    <w:rsid w:val="00213EF5"/>
    <w:rsid w:val="00214489"/>
    <w:rsid w:val="0021453C"/>
    <w:rsid w:val="00215D6D"/>
    <w:rsid w:val="00216016"/>
    <w:rsid w:val="002165F8"/>
    <w:rsid w:val="0021660B"/>
    <w:rsid w:val="00216BB6"/>
    <w:rsid w:val="00216BF5"/>
    <w:rsid w:val="00216D14"/>
    <w:rsid w:val="00217009"/>
    <w:rsid w:val="0021739A"/>
    <w:rsid w:val="002200CB"/>
    <w:rsid w:val="00220248"/>
    <w:rsid w:val="00220AFD"/>
    <w:rsid w:val="00220BC7"/>
    <w:rsid w:val="002212A4"/>
    <w:rsid w:val="002219F5"/>
    <w:rsid w:val="00221CBD"/>
    <w:rsid w:val="00221FA0"/>
    <w:rsid w:val="00223807"/>
    <w:rsid w:val="00223B49"/>
    <w:rsid w:val="00223D5A"/>
    <w:rsid w:val="00224B9F"/>
    <w:rsid w:val="00224DD4"/>
    <w:rsid w:val="00224E54"/>
    <w:rsid w:val="00225308"/>
    <w:rsid w:val="002255F0"/>
    <w:rsid w:val="00225D99"/>
    <w:rsid w:val="00225FDA"/>
    <w:rsid w:val="00226DC6"/>
    <w:rsid w:val="00227024"/>
    <w:rsid w:val="00227752"/>
    <w:rsid w:val="00227868"/>
    <w:rsid w:val="002278A0"/>
    <w:rsid w:val="002279A9"/>
    <w:rsid w:val="00227CE0"/>
    <w:rsid w:val="00227E5D"/>
    <w:rsid w:val="00230073"/>
    <w:rsid w:val="00230194"/>
    <w:rsid w:val="0023051B"/>
    <w:rsid w:val="0023055D"/>
    <w:rsid w:val="002309CC"/>
    <w:rsid w:val="00231BA9"/>
    <w:rsid w:val="0023209F"/>
    <w:rsid w:val="002323C2"/>
    <w:rsid w:val="00232E8F"/>
    <w:rsid w:val="00233735"/>
    <w:rsid w:val="00233C01"/>
    <w:rsid w:val="0023413C"/>
    <w:rsid w:val="002344CE"/>
    <w:rsid w:val="002345AF"/>
    <w:rsid w:val="002346F0"/>
    <w:rsid w:val="00234D97"/>
    <w:rsid w:val="002350F4"/>
    <w:rsid w:val="00235CCB"/>
    <w:rsid w:val="00235D7F"/>
    <w:rsid w:val="00236179"/>
    <w:rsid w:val="0023629D"/>
    <w:rsid w:val="00236981"/>
    <w:rsid w:val="0023701D"/>
    <w:rsid w:val="00237255"/>
    <w:rsid w:val="0023781A"/>
    <w:rsid w:val="00237857"/>
    <w:rsid w:val="00237A1B"/>
    <w:rsid w:val="00237E20"/>
    <w:rsid w:val="00237E25"/>
    <w:rsid w:val="00240298"/>
    <w:rsid w:val="0024070E"/>
    <w:rsid w:val="00240B2A"/>
    <w:rsid w:val="00241FFC"/>
    <w:rsid w:val="002424AF"/>
    <w:rsid w:val="002426FD"/>
    <w:rsid w:val="00242AAB"/>
    <w:rsid w:val="00242BD7"/>
    <w:rsid w:val="00242D53"/>
    <w:rsid w:val="0024357A"/>
    <w:rsid w:val="002436D7"/>
    <w:rsid w:val="002438E3"/>
    <w:rsid w:val="002439DC"/>
    <w:rsid w:val="00243BD4"/>
    <w:rsid w:val="002441D2"/>
    <w:rsid w:val="00244DC8"/>
    <w:rsid w:val="00245832"/>
    <w:rsid w:val="002458BA"/>
    <w:rsid w:val="002459E8"/>
    <w:rsid w:val="00245CE9"/>
    <w:rsid w:val="00245F53"/>
    <w:rsid w:val="0024636C"/>
    <w:rsid w:val="002463F6"/>
    <w:rsid w:val="00246B94"/>
    <w:rsid w:val="00246D6F"/>
    <w:rsid w:val="00247925"/>
    <w:rsid w:val="002501B1"/>
    <w:rsid w:val="00250EA0"/>
    <w:rsid w:val="00251006"/>
    <w:rsid w:val="00251484"/>
    <w:rsid w:val="002515AC"/>
    <w:rsid w:val="00251CAC"/>
    <w:rsid w:val="00251F9D"/>
    <w:rsid w:val="002524D5"/>
    <w:rsid w:val="002527D5"/>
    <w:rsid w:val="002528A0"/>
    <w:rsid w:val="00252A76"/>
    <w:rsid w:val="00252D01"/>
    <w:rsid w:val="00252E5B"/>
    <w:rsid w:val="00253B1D"/>
    <w:rsid w:val="00253BDE"/>
    <w:rsid w:val="0025431E"/>
    <w:rsid w:val="00254523"/>
    <w:rsid w:val="002546EB"/>
    <w:rsid w:val="00254907"/>
    <w:rsid w:val="00254DA3"/>
    <w:rsid w:val="00254DCF"/>
    <w:rsid w:val="0025534B"/>
    <w:rsid w:val="0025567A"/>
    <w:rsid w:val="00255BB7"/>
    <w:rsid w:val="00256BDE"/>
    <w:rsid w:val="00257541"/>
    <w:rsid w:val="00257693"/>
    <w:rsid w:val="00257720"/>
    <w:rsid w:val="00257A39"/>
    <w:rsid w:val="00257AC4"/>
    <w:rsid w:val="00257BBE"/>
    <w:rsid w:val="00257C24"/>
    <w:rsid w:val="00260303"/>
    <w:rsid w:val="0026035F"/>
    <w:rsid w:val="00261103"/>
    <w:rsid w:val="00261899"/>
    <w:rsid w:val="00261E35"/>
    <w:rsid w:val="00261EC8"/>
    <w:rsid w:val="00261EEF"/>
    <w:rsid w:val="0026265A"/>
    <w:rsid w:val="002626BC"/>
    <w:rsid w:val="00262A1A"/>
    <w:rsid w:val="00262A87"/>
    <w:rsid w:val="00262ADC"/>
    <w:rsid w:val="00262CBD"/>
    <w:rsid w:val="00263900"/>
    <w:rsid w:val="00263995"/>
    <w:rsid w:val="00264356"/>
    <w:rsid w:val="002646D0"/>
    <w:rsid w:val="00264D26"/>
    <w:rsid w:val="00264E8D"/>
    <w:rsid w:val="002651C9"/>
    <w:rsid w:val="002652E9"/>
    <w:rsid w:val="00265302"/>
    <w:rsid w:val="00265559"/>
    <w:rsid w:val="00265BEA"/>
    <w:rsid w:val="00266526"/>
    <w:rsid w:val="00266CEE"/>
    <w:rsid w:val="00267126"/>
    <w:rsid w:val="002675F1"/>
    <w:rsid w:val="00267642"/>
    <w:rsid w:val="0026785E"/>
    <w:rsid w:val="00267AEA"/>
    <w:rsid w:val="002700D9"/>
    <w:rsid w:val="002700E6"/>
    <w:rsid w:val="00270B36"/>
    <w:rsid w:val="00270DBB"/>
    <w:rsid w:val="002711C1"/>
    <w:rsid w:val="0027143B"/>
    <w:rsid w:val="0027183E"/>
    <w:rsid w:val="00271A1F"/>
    <w:rsid w:val="00271CB9"/>
    <w:rsid w:val="00271EB5"/>
    <w:rsid w:val="002720AA"/>
    <w:rsid w:val="0027294B"/>
    <w:rsid w:val="00272F0F"/>
    <w:rsid w:val="00273373"/>
    <w:rsid w:val="002738FB"/>
    <w:rsid w:val="00273D67"/>
    <w:rsid w:val="00273EB4"/>
    <w:rsid w:val="00273F72"/>
    <w:rsid w:val="002741B3"/>
    <w:rsid w:val="00274682"/>
    <w:rsid w:val="002746D4"/>
    <w:rsid w:val="00274DF3"/>
    <w:rsid w:val="00274E6D"/>
    <w:rsid w:val="00275158"/>
    <w:rsid w:val="00275C5A"/>
    <w:rsid w:val="00276215"/>
    <w:rsid w:val="00276BE5"/>
    <w:rsid w:val="00276CEF"/>
    <w:rsid w:val="0027707A"/>
    <w:rsid w:val="002773B0"/>
    <w:rsid w:val="00277D1F"/>
    <w:rsid w:val="00277DC1"/>
    <w:rsid w:val="00277E4A"/>
    <w:rsid w:val="00280468"/>
    <w:rsid w:val="002805DF"/>
    <w:rsid w:val="00281014"/>
    <w:rsid w:val="00281884"/>
    <w:rsid w:val="00281F94"/>
    <w:rsid w:val="002829CD"/>
    <w:rsid w:val="00282C15"/>
    <w:rsid w:val="00282CDC"/>
    <w:rsid w:val="00283443"/>
    <w:rsid w:val="00283BF2"/>
    <w:rsid w:val="00283E36"/>
    <w:rsid w:val="00284697"/>
    <w:rsid w:val="00285084"/>
    <w:rsid w:val="00285667"/>
    <w:rsid w:val="00285850"/>
    <w:rsid w:val="00285BCE"/>
    <w:rsid w:val="00285D74"/>
    <w:rsid w:val="002864AC"/>
    <w:rsid w:val="0028665D"/>
    <w:rsid w:val="00286DE4"/>
    <w:rsid w:val="002874A1"/>
    <w:rsid w:val="002878D6"/>
    <w:rsid w:val="00287DC5"/>
    <w:rsid w:val="00290C77"/>
    <w:rsid w:val="0029146B"/>
    <w:rsid w:val="00291754"/>
    <w:rsid w:val="00291C76"/>
    <w:rsid w:val="002925CD"/>
    <w:rsid w:val="0029270F"/>
    <w:rsid w:val="00292745"/>
    <w:rsid w:val="00292B7A"/>
    <w:rsid w:val="0029373E"/>
    <w:rsid w:val="00293818"/>
    <w:rsid w:val="00294185"/>
    <w:rsid w:val="0029463D"/>
    <w:rsid w:val="00294895"/>
    <w:rsid w:val="00294ABC"/>
    <w:rsid w:val="00294CD5"/>
    <w:rsid w:val="0029550B"/>
    <w:rsid w:val="00295552"/>
    <w:rsid w:val="002955AC"/>
    <w:rsid w:val="002955B8"/>
    <w:rsid w:val="00295624"/>
    <w:rsid w:val="00295B74"/>
    <w:rsid w:val="00295CF9"/>
    <w:rsid w:val="0029601C"/>
    <w:rsid w:val="0029613E"/>
    <w:rsid w:val="0029767E"/>
    <w:rsid w:val="00297B67"/>
    <w:rsid w:val="00297EC1"/>
    <w:rsid w:val="002A06BA"/>
    <w:rsid w:val="002A0CF1"/>
    <w:rsid w:val="002A0D02"/>
    <w:rsid w:val="002A0E11"/>
    <w:rsid w:val="002A10EF"/>
    <w:rsid w:val="002A14AB"/>
    <w:rsid w:val="002A16CA"/>
    <w:rsid w:val="002A2231"/>
    <w:rsid w:val="002A2ADE"/>
    <w:rsid w:val="002A2F50"/>
    <w:rsid w:val="002A379E"/>
    <w:rsid w:val="002A3F6E"/>
    <w:rsid w:val="002A49C2"/>
    <w:rsid w:val="002A4F37"/>
    <w:rsid w:val="002A54E9"/>
    <w:rsid w:val="002A565B"/>
    <w:rsid w:val="002A59D9"/>
    <w:rsid w:val="002A6421"/>
    <w:rsid w:val="002A7943"/>
    <w:rsid w:val="002A7A42"/>
    <w:rsid w:val="002A7B7B"/>
    <w:rsid w:val="002B05A1"/>
    <w:rsid w:val="002B09A4"/>
    <w:rsid w:val="002B09FB"/>
    <w:rsid w:val="002B0BCA"/>
    <w:rsid w:val="002B1AE8"/>
    <w:rsid w:val="002B1C1F"/>
    <w:rsid w:val="002B1CD8"/>
    <w:rsid w:val="002B1DC4"/>
    <w:rsid w:val="002B232E"/>
    <w:rsid w:val="002B2447"/>
    <w:rsid w:val="002B2CF7"/>
    <w:rsid w:val="002B3049"/>
    <w:rsid w:val="002B3448"/>
    <w:rsid w:val="002B3481"/>
    <w:rsid w:val="002B3CC3"/>
    <w:rsid w:val="002B3E88"/>
    <w:rsid w:val="002B432F"/>
    <w:rsid w:val="002B54E7"/>
    <w:rsid w:val="002B5D8F"/>
    <w:rsid w:val="002B62B3"/>
    <w:rsid w:val="002B6399"/>
    <w:rsid w:val="002B6647"/>
    <w:rsid w:val="002B66F8"/>
    <w:rsid w:val="002B6754"/>
    <w:rsid w:val="002B6CCE"/>
    <w:rsid w:val="002B7007"/>
    <w:rsid w:val="002B744C"/>
    <w:rsid w:val="002C057D"/>
    <w:rsid w:val="002C14F7"/>
    <w:rsid w:val="002C1DE0"/>
    <w:rsid w:val="002C21EA"/>
    <w:rsid w:val="002C24B1"/>
    <w:rsid w:val="002C2510"/>
    <w:rsid w:val="002C2775"/>
    <w:rsid w:val="002C27C1"/>
    <w:rsid w:val="002C2BB0"/>
    <w:rsid w:val="002C2CA3"/>
    <w:rsid w:val="002C2ED7"/>
    <w:rsid w:val="002C339A"/>
    <w:rsid w:val="002C33D1"/>
    <w:rsid w:val="002C3401"/>
    <w:rsid w:val="002C36E3"/>
    <w:rsid w:val="002C3ADC"/>
    <w:rsid w:val="002C3BC0"/>
    <w:rsid w:val="002C4078"/>
    <w:rsid w:val="002C421E"/>
    <w:rsid w:val="002C432C"/>
    <w:rsid w:val="002C5099"/>
    <w:rsid w:val="002C5889"/>
    <w:rsid w:val="002C5B87"/>
    <w:rsid w:val="002C620E"/>
    <w:rsid w:val="002C62C9"/>
    <w:rsid w:val="002C6705"/>
    <w:rsid w:val="002C7096"/>
    <w:rsid w:val="002C70C0"/>
    <w:rsid w:val="002C71CE"/>
    <w:rsid w:val="002C75A2"/>
    <w:rsid w:val="002C7809"/>
    <w:rsid w:val="002C78BB"/>
    <w:rsid w:val="002C7C0F"/>
    <w:rsid w:val="002C7F82"/>
    <w:rsid w:val="002D0609"/>
    <w:rsid w:val="002D06DD"/>
    <w:rsid w:val="002D08F8"/>
    <w:rsid w:val="002D0900"/>
    <w:rsid w:val="002D093C"/>
    <w:rsid w:val="002D0F36"/>
    <w:rsid w:val="002D0F98"/>
    <w:rsid w:val="002D10A5"/>
    <w:rsid w:val="002D11D0"/>
    <w:rsid w:val="002D14E8"/>
    <w:rsid w:val="002D20C0"/>
    <w:rsid w:val="002D24DC"/>
    <w:rsid w:val="002D2652"/>
    <w:rsid w:val="002D28E6"/>
    <w:rsid w:val="002D28EA"/>
    <w:rsid w:val="002D2A66"/>
    <w:rsid w:val="002D3085"/>
    <w:rsid w:val="002D32F7"/>
    <w:rsid w:val="002D33F4"/>
    <w:rsid w:val="002D393A"/>
    <w:rsid w:val="002D3A27"/>
    <w:rsid w:val="002D3B16"/>
    <w:rsid w:val="002D40CF"/>
    <w:rsid w:val="002D46A3"/>
    <w:rsid w:val="002D52B7"/>
    <w:rsid w:val="002D5390"/>
    <w:rsid w:val="002D577C"/>
    <w:rsid w:val="002D7060"/>
    <w:rsid w:val="002D712E"/>
    <w:rsid w:val="002D7439"/>
    <w:rsid w:val="002D76CF"/>
    <w:rsid w:val="002D7797"/>
    <w:rsid w:val="002D7832"/>
    <w:rsid w:val="002E0C7D"/>
    <w:rsid w:val="002E0D18"/>
    <w:rsid w:val="002E105B"/>
    <w:rsid w:val="002E1071"/>
    <w:rsid w:val="002E15B9"/>
    <w:rsid w:val="002E1753"/>
    <w:rsid w:val="002E19F5"/>
    <w:rsid w:val="002E212F"/>
    <w:rsid w:val="002E2158"/>
    <w:rsid w:val="002E2350"/>
    <w:rsid w:val="002E29B7"/>
    <w:rsid w:val="002E2F3C"/>
    <w:rsid w:val="002E30E0"/>
    <w:rsid w:val="002E3432"/>
    <w:rsid w:val="002E3F17"/>
    <w:rsid w:val="002E4079"/>
    <w:rsid w:val="002E4F02"/>
    <w:rsid w:val="002E58C7"/>
    <w:rsid w:val="002E661D"/>
    <w:rsid w:val="002E710B"/>
    <w:rsid w:val="002E7533"/>
    <w:rsid w:val="002E7722"/>
    <w:rsid w:val="002E7E19"/>
    <w:rsid w:val="002F0490"/>
    <w:rsid w:val="002F07BA"/>
    <w:rsid w:val="002F07E9"/>
    <w:rsid w:val="002F0D99"/>
    <w:rsid w:val="002F0DA9"/>
    <w:rsid w:val="002F0F08"/>
    <w:rsid w:val="002F1014"/>
    <w:rsid w:val="002F15B0"/>
    <w:rsid w:val="002F1B13"/>
    <w:rsid w:val="002F1E3B"/>
    <w:rsid w:val="002F2522"/>
    <w:rsid w:val="002F2663"/>
    <w:rsid w:val="002F4C2D"/>
    <w:rsid w:val="002F5037"/>
    <w:rsid w:val="002F5730"/>
    <w:rsid w:val="002F5B07"/>
    <w:rsid w:val="002F5D51"/>
    <w:rsid w:val="002F605D"/>
    <w:rsid w:val="002F636B"/>
    <w:rsid w:val="002F63DF"/>
    <w:rsid w:val="002F643C"/>
    <w:rsid w:val="002F64F9"/>
    <w:rsid w:val="002F654E"/>
    <w:rsid w:val="002F66CA"/>
    <w:rsid w:val="002F69FF"/>
    <w:rsid w:val="002F6D90"/>
    <w:rsid w:val="002F719E"/>
    <w:rsid w:val="002F71C0"/>
    <w:rsid w:val="002F74F1"/>
    <w:rsid w:val="002F7663"/>
    <w:rsid w:val="0030017D"/>
    <w:rsid w:val="0030025A"/>
    <w:rsid w:val="00300886"/>
    <w:rsid w:val="003008E1"/>
    <w:rsid w:val="00300982"/>
    <w:rsid w:val="003009AB"/>
    <w:rsid w:val="00301017"/>
    <w:rsid w:val="0030155F"/>
    <w:rsid w:val="00301D64"/>
    <w:rsid w:val="00301E23"/>
    <w:rsid w:val="003027F9"/>
    <w:rsid w:val="00303C51"/>
    <w:rsid w:val="00303EFB"/>
    <w:rsid w:val="00303F14"/>
    <w:rsid w:val="00304064"/>
    <w:rsid w:val="00304A5F"/>
    <w:rsid w:val="00304D44"/>
    <w:rsid w:val="00304E09"/>
    <w:rsid w:val="00304E8C"/>
    <w:rsid w:val="0030530B"/>
    <w:rsid w:val="0030587B"/>
    <w:rsid w:val="00306AE3"/>
    <w:rsid w:val="00306C4E"/>
    <w:rsid w:val="00306D98"/>
    <w:rsid w:val="0030721E"/>
    <w:rsid w:val="0030786C"/>
    <w:rsid w:val="0030789A"/>
    <w:rsid w:val="0031031A"/>
    <w:rsid w:val="0031087B"/>
    <w:rsid w:val="00310981"/>
    <w:rsid w:val="00310DE6"/>
    <w:rsid w:val="00310E38"/>
    <w:rsid w:val="003114F8"/>
    <w:rsid w:val="00311944"/>
    <w:rsid w:val="00311D9B"/>
    <w:rsid w:val="003121B1"/>
    <w:rsid w:val="0031220C"/>
    <w:rsid w:val="003124D9"/>
    <w:rsid w:val="00312594"/>
    <w:rsid w:val="00313393"/>
    <w:rsid w:val="0031345E"/>
    <w:rsid w:val="0031366D"/>
    <w:rsid w:val="003138A3"/>
    <w:rsid w:val="00313BCE"/>
    <w:rsid w:val="00314034"/>
    <w:rsid w:val="00314094"/>
    <w:rsid w:val="003140DA"/>
    <w:rsid w:val="00315126"/>
    <w:rsid w:val="0031537F"/>
    <w:rsid w:val="00315498"/>
    <w:rsid w:val="0031586A"/>
    <w:rsid w:val="003161A3"/>
    <w:rsid w:val="0031645B"/>
    <w:rsid w:val="00316474"/>
    <w:rsid w:val="00316745"/>
    <w:rsid w:val="003204F9"/>
    <w:rsid w:val="00320ACD"/>
    <w:rsid w:val="003213DC"/>
    <w:rsid w:val="00321649"/>
    <w:rsid w:val="00321D5A"/>
    <w:rsid w:val="00321F13"/>
    <w:rsid w:val="00322107"/>
    <w:rsid w:val="00322355"/>
    <w:rsid w:val="00322846"/>
    <w:rsid w:val="003229E6"/>
    <w:rsid w:val="003234EC"/>
    <w:rsid w:val="00323526"/>
    <w:rsid w:val="0032392D"/>
    <w:rsid w:val="00323AA5"/>
    <w:rsid w:val="00323D61"/>
    <w:rsid w:val="0032471C"/>
    <w:rsid w:val="003247F5"/>
    <w:rsid w:val="00324895"/>
    <w:rsid w:val="003259B6"/>
    <w:rsid w:val="00326412"/>
    <w:rsid w:val="0032666E"/>
    <w:rsid w:val="00326832"/>
    <w:rsid w:val="00326979"/>
    <w:rsid w:val="00326DA7"/>
    <w:rsid w:val="003270E4"/>
    <w:rsid w:val="00327732"/>
    <w:rsid w:val="00330DAA"/>
    <w:rsid w:val="00330F5C"/>
    <w:rsid w:val="0033160E"/>
    <w:rsid w:val="003316CE"/>
    <w:rsid w:val="00333308"/>
    <w:rsid w:val="0033358A"/>
    <w:rsid w:val="003336BE"/>
    <w:rsid w:val="003339B7"/>
    <w:rsid w:val="00333FE3"/>
    <w:rsid w:val="00334329"/>
    <w:rsid w:val="0033598F"/>
    <w:rsid w:val="003363AD"/>
    <w:rsid w:val="003366C9"/>
    <w:rsid w:val="00336EB7"/>
    <w:rsid w:val="00336FCF"/>
    <w:rsid w:val="003371B0"/>
    <w:rsid w:val="00337A28"/>
    <w:rsid w:val="00337ABA"/>
    <w:rsid w:val="00337D1B"/>
    <w:rsid w:val="00340758"/>
    <w:rsid w:val="0034093F"/>
    <w:rsid w:val="00340D5A"/>
    <w:rsid w:val="00340DF1"/>
    <w:rsid w:val="003419C7"/>
    <w:rsid w:val="00341AF6"/>
    <w:rsid w:val="00341DF0"/>
    <w:rsid w:val="00342261"/>
    <w:rsid w:val="0034254B"/>
    <w:rsid w:val="00343E97"/>
    <w:rsid w:val="00344623"/>
    <w:rsid w:val="0034462E"/>
    <w:rsid w:val="00344970"/>
    <w:rsid w:val="00344F21"/>
    <w:rsid w:val="003455B3"/>
    <w:rsid w:val="00345BE2"/>
    <w:rsid w:val="00345C9C"/>
    <w:rsid w:val="00346059"/>
    <w:rsid w:val="00346673"/>
    <w:rsid w:val="0034682B"/>
    <w:rsid w:val="00346867"/>
    <w:rsid w:val="003471D3"/>
    <w:rsid w:val="0034727C"/>
    <w:rsid w:val="00347B14"/>
    <w:rsid w:val="00347D1E"/>
    <w:rsid w:val="00347F89"/>
    <w:rsid w:val="00350A1D"/>
    <w:rsid w:val="003513AE"/>
    <w:rsid w:val="003517F9"/>
    <w:rsid w:val="00351BA9"/>
    <w:rsid w:val="00351C03"/>
    <w:rsid w:val="00351C4D"/>
    <w:rsid w:val="00351E93"/>
    <w:rsid w:val="00352283"/>
    <w:rsid w:val="00352721"/>
    <w:rsid w:val="00352A47"/>
    <w:rsid w:val="00352D48"/>
    <w:rsid w:val="0035328D"/>
    <w:rsid w:val="00353407"/>
    <w:rsid w:val="0035399F"/>
    <w:rsid w:val="00354F64"/>
    <w:rsid w:val="0035526F"/>
    <w:rsid w:val="00355579"/>
    <w:rsid w:val="003556A5"/>
    <w:rsid w:val="00355ED1"/>
    <w:rsid w:val="0035620E"/>
    <w:rsid w:val="00356D8C"/>
    <w:rsid w:val="003574D2"/>
    <w:rsid w:val="003575BE"/>
    <w:rsid w:val="00357B91"/>
    <w:rsid w:val="00360340"/>
    <w:rsid w:val="00360345"/>
    <w:rsid w:val="00360B4D"/>
    <w:rsid w:val="00360C00"/>
    <w:rsid w:val="003614FF"/>
    <w:rsid w:val="00361A05"/>
    <w:rsid w:val="00362059"/>
    <w:rsid w:val="003622A1"/>
    <w:rsid w:val="003624C4"/>
    <w:rsid w:val="00362545"/>
    <w:rsid w:val="0036268F"/>
    <w:rsid w:val="003628F8"/>
    <w:rsid w:val="00362E31"/>
    <w:rsid w:val="00363B00"/>
    <w:rsid w:val="00364231"/>
    <w:rsid w:val="003643FD"/>
    <w:rsid w:val="003654AC"/>
    <w:rsid w:val="00365BCB"/>
    <w:rsid w:val="00365F5D"/>
    <w:rsid w:val="003666AA"/>
    <w:rsid w:val="00366E27"/>
    <w:rsid w:val="00367D00"/>
    <w:rsid w:val="00367F7C"/>
    <w:rsid w:val="00370184"/>
    <w:rsid w:val="00370555"/>
    <w:rsid w:val="003707EC"/>
    <w:rsid w:val="003709A3"/>
    <w:rsid w:val="003710CF"/>
    <w:rsid w:val="003715DA"/>
    <w:rsid w:val="003734DA"/>
    <w:rsid w:val="0037358A"/>
    <w:rsid w:val="00373716"/>
    <w:rsid w:val="00373846"/>
    <w:rsid w:val="00373870"/>
    <w:rsid w:val="00373CCF"/>
    <w:rsid w:val="003746E7"/>
    <w:rsid w:val="003750F6"/>
    <w:rsid w:val="0037536C"/>
    <w:rsid w:val="003754E7"/>
    <w:rsid w:val="00375918"/>
    <w:rsid w:val="003760BB"/>
    <w:rsid w:val="003760FC"/>
    <w:rsid w:val="00377058"/>
    <w:rsid w:val="003773D6"/>
    <w:rsid w:val="0037756C"/>
    <w:rsid w:val="00377B53"/>
    <w:rsid w:val="00377CD0"/>
    <w:rsid w:val="00377FEE"/>
    <w:rsid w:val="00380C0A"/>
    <w:rsid w:val="00380DA1"/>
    <w:rsid w:val="003810DB"/>
    <w:rsid w:val="003811FB"/>
    <w:rsid w:val="003817B6"/>
    <w:rsid w:val="00381909"/>
    <w:rsid w:val="00382BEA"/>
    <w:rsid w:val="00382C44"/>
    <w:rsid w:val="0038365C"/>
    <w:rsid w:val="0038369B"/>
    <w:rsid w:val="003839C1"/>
    <w:rsid w:val="00383B78"/>
    <w:rsid w:val="00383B8E"/>
    <w:rsid w:val="0038409A"/>
    <w:rsid w:val="003854AA"/>
    <w:rsid w:val="003858FA"/>
    <w:rsid w:val="00385992"/>
    <w:rsid w:val="00385A9D"/>
    <w:rsid w:val="00386705"/>
    <w:rsid w:val="00387121"/>
    <w:rsid w:val="00387A8E"/>
    <w:rsid w:val="003902B1"/>
    <w:rsid w:val="0039099A"/>
    <w:rsid w:val="0039179C"/>
    <w:rsid w:val="00392621"/>
    <w:rsid w:val="00392A84"/>
    <w:rsid w:val="00393393"/>
    <w:rsid w:val="00393CF3"/>
    <w:rsid w:val="003941D3"/>
    <w:rsid w:val="00394578"/>
    <w:rsid w:val="00394825"/>
    <w:rsid w:val="00394855"/>
    <w:rsid w:val="00394A04"/>
    <w:rsid w:val="00394DC4"/>
    <w:rsid w:val="003955F8"/>
    <w:rsid w:val="00395781"/>
    <w:rsid w:val="00395B6B"/>
    <w:rsid w:val="00395B6F"/>
    <w:rsid w:val="00395DFA"/>
    <w:rsid w:val="0039606E"/>
    <w:rsid w:val="00396189"/>
    <w:rsid w:val="00396305"/>
    <w:rsid w:val="00396610"/>
    <w:rsid w:val="00396896"/>
    <w:rsid w:val="003968C5"/>
    <w:rsid w:val="00396FD0"/>
    <w:rsid w:val="00397C0C"/>
    <w:rsid w:val="003A077D"/>
    <w:rsid w:val="003A09B4"/>
    <w:rsid w:val="003A09EA"/>
    <w:rsid w:val="003A1236"/>
    <w:rsid w:val="003A1612"/>
    <w:rsid w:val="003A170E"/>
    <w:rsid w:val="003A1A7A"/>
    <w:rsid w:val="003A1F18"/>
    <w:rsid w:val="003A2392"/>
    <w:rsid w:val="003A24C9"/>
    <w:rsid w:val="003A2831"/>
    <w:rsid w:val="003A3094"/>
    <w:rsid w:val="003A33F3"/>
    <w:rsid w:val="003A34E8"/>
    <w:rsid w:val="003A3713"/>
    <w:rsid w:val="003A37B2"/>
    <w:rsid w:val="003A3CB6"/>
    <w:rsid w:val="003A3ED1"/>
    <w:rsid w:val="003A4288"/>
    <w:rsid w:val="003A44DB"/>
    <w:rsid w:val="003A4C14"/>
    <w:rsid w:val="003A4CE5"/>
    <w:rsid w:val="003A4EF1"/>
    <w:rsid w:val="003A511C"/>
    <w:rsid w:val="003A6B56"/>
    <w:rsid w:val="003A769E"/>
    <w:rsid w:val="003A76E3"/>
    <w:rsid w:val="003A7A1D"/>
    <w:rsid w:val="003B01A5"/>
    <w:rsid w:val="003B02AE"/>
    <w:rsid w:val="003B0D34"/>
    <w:rsid w:val="003B1D7A"/>
    <w:rsid w:val="003B20C0"/>
    <w:rsid w:val="003B2191"/>
    <w:rsid w:val="003B2F8C"/>
    <w:rsid w:val="003B312E"/>
    <w:rsid w:val="003B3323"/>
    <w:rsid w:val="003B36A2"/>
    <w:rsid w:val="003B3971"/>
    <w:rsid w:val="003B3B28"/>
    <w:rsid w:val="003B3CB9"/>
    <w:rsid w:val="003B402D"/>
    <w:rsid w:val="003B4873"/>
    <w:rsid w:val="003B49A7"/>
    <w:rsid w:val="003B4D59"/>
    <w:rsid w:val="003B4DCB"/>
    <w:rsid w:val="003B4EB8"/>
    <w:rsid w:val="003B5103"/>
    <w:rsid w:val="003B519D"/>
    <w:rsid w:val="003B55D1"/>
    <w:rsid w:val="003B57D4"/>
    <w:rsid w:val="003B599D"/>
    <w:rsid w:val="003B5B61"/>
    <w:rsid w:val="003B5EB3"/>
    <w:rsid w:val="003B6A11"/>
    <w:rsid w:val="003B6B63"/>
    <w:rsid w:val="003B6D33"/>
    <w:rsid w:val="003B700F"/>
    <w:rsid w:val="003B7D19"/>
    <w:rsid w:val="003B7F27"/>
    <w:rsid w:val="003C0B18"/>
    <w:rsid w:val="003C0E0A"/>
    <w:rsid w:val="003C1654"/>
    <w:rsid w:val="003C194E"/>
    <w:rsid w:val="003C1CF2"/>
    <w:rsid w:val="003C234E"/>
    <w:rsid w:val="003C239F"/>
    <w:rsid w:val="003C2416"/>
    <w:rsid w:val="003C2861"/>
    <w:rsid w:val="003C2891"/>
    <w:rsid w:val="003C2CD7"/>
    <w:rsid w:val="003C2D22"/>
    <w:rsid w:val="003C2DE2"/>
    <w:rsid w:val="003C373E"/>
    <w:rsid w:val="003C4628"/>
    <w:rsid w:val="003C5542"/>
    <w:rsid w:val="003C559F"/>
    <w:rsid w:val="003C56EE"/>
    <w:rsid w:val="003C59AB"/>
    <w:rsid w:val="003C60B4"/>
    <w:rsid w:val="003C6D0E"/>
    <w:rsid w:val="003C7C15"/>
    <w:rsid w:val="003C7D19"/>
    <w:rsid w:val="003C7D2F"/>
    <w:rsid w:val="003C7E84"/>
    <w:rsid w:val="003D05D1"/>
    <w:rsid w:val="003D0C5A"/>
    <w:rsid w:val="003D13AC"/>
    <w:rsid w:val="003D1828"/>
    <w:rsid w:val="003D1961"/>
    <w:rsid w:val="003D1DCD"/>
    <w:rsid w:val="003D1DE4"/>
    <w:rsid w:val="003D1E70"/>
    <w:rsid w:val="003D1E96"/>
    <w:rsid w:val="003D1E9A"/>
    <w:rsid w:val="003D1F58"/>
    <w:rsid w:val="003D204D"/>
    <w:rsid w:val="003D2422"/>
    <w:rsid w:val="003D247B"/>
    <w:rsid w:val="003D2620"/>
    <w:rsid w:val="003D26DB"/>
    <w:rsid w:val="003D2A15"/>
    <w:rsid w:val="003D39A1"/>
    <w:rsid w:val="003D3A9F"/>
    <w:rsid w:val="003D3FB4"/>
    <w:rsid w:val="003D3FBF"/>
    <w:rsid w:val="003D4A30"/>
    <w:rsid w:val="003D4EEB"/>
    <w:rsid w:val="003D5783"/>
    <w:rsid w:val="003D6195"/>
    <w:rsid w:val="003D6343"/>
    <w:rsid w:val="003D6AA9"/>
    <w:rsid w:val="003D6E5A"/>
    <w:rsid w:val="003D73C6"/>
    <w:rsid w:val="003D7452"/>
    <w:rsid w:val="003D747B"/>
    <w:rsid w:val="003D7546"/>
    <w:rsid w:val="003D77FA"/>
    <w:rsid w:val="003D79BB"/>
    <w:rsid w:val="003D7C98"/>
    <w:rsid w:val="003D7D9D"/>
    <w:rsid w:val="003E0170"/>
    <w:rsid w:val="003E0543"/>
    <w:rsid w:val="003E063B"/>
    <w:rsid w:val="003E07A8"/>
    <w:rsid w:val="003E0D9C"/>
    <w:rsid w:val="003E0E2B"/>
    <w:rsid w:val="003E0F04"/>
    <w:rsid w:val="003E1C78"/>
    <w:rsid w:val="003E1E18"/>
    <w:rsid w:val="003E24AD"/>
    <w:rsid w:val="003E24B9"/>
    <w:rsid w:val="003E2509"/>
    <w:rsid w:val="003E269A"/>
    <w:rsid w:val="003E26D5"/>
    <w:rsid w:val="003E279C"/>
    <w:rsid w:val="003E2BA9"/>
    <w:rsid w:val="003E32A6"/>
    <w:rsid w:val="003E3926"/>
    <w:rsid w:val="003E3D3C"/>
    <w:rsid w:val="003E4C28"/>
    <w:rsid w:val="003E5603"/>
    <w:rsid w:val="003E59F7"/>
    <w:rsid w:val="003E749E"/>
    <w:rsid w:val="003E7806"/>
    <w:rsid w:val="003E7C41"/>
    <w:rsid w:val="003F0215"/>
    <w:rsid w:val="003F0A97"/>
    <w:rsid w:val="003F0FA7"/>
    <w:rsid w:val="003F1868"/>
    <w:rsid w:val="003F22FA"/>
    <w:rsid w:val="003F3283"/>
    <w:rsid w:val="003F37A3"/>
    <w:rsid w:val="003F4156"/>
    <w:rsid w:val="003F50DF"/>
    <w:rsid w:val="003F5ADF"/>
    <w:rsid w:val="003F5C21"/>
    <w:rsid w:val="003F60E4"/>
    <w:rsid w:val="003F6FE0"/>
    <w:rsid w:val="003F70BA"/>
    <w:rsid w:val="00400924"/>
    <w:rsid w:val="00400B29"/>
    <w:rsid w:val="00400BFA"/>
    <w:rsid w:val="00400FD1"/>
    <w:rsid w:val="0040218E"/>
    <w:rsid w:val="00402812"/>
    <w:rsid w:val="0040298A"/>
    <w:rsid w:val="004029D3"/>
    <w:rsid w:val="00402D8C"/>
    <w:rsid w:val="00402DBC"/>
    <w:rsid w:val="00402E82"/>
    <w:rsid w:val="0040342F"/>
    <w:rsid w:val="004037C3"/>
    <w:rsid w:val="0040398E"/>
    <w:rsid w:val="00403FE6"/>
    <w:rsid w:val="0040497A"/>
    <w:rsid w:val="0040504B"/>
    <w:rsid w:val="004059F4"/>
    <w:rsid w:val="00405C84"/>
    <w:rsid w:val="00406778"/>
    <w:rsid w:val="00406919"/>
    <w:rsid w:val="00406D60"/>
    <w:rsid w:val="00406E89"/>
    <w:rsid w:val="004072EE"/>
    <w:rsid w:val="0040745E"/>
    <w:rsid w:val="00407CBE"/>
    <w:rsid w:val="00407FE5"/>
    <w:rsid w:val="00410184"/>
    <w:rsid w:val="004101B0"/>
    <w:rsid w:val="00410326"/>
    <w:rsid w:val="00410708"/>
    <w:rsid w:val="00410861"/>
    <w:rsid w:val="00410970"/>
    <w:rsid w:val="00410EC7"/>
    <w:rsid w:val="00410FD7"/>
    <w:rsid w:val="00411387"/>
    <w:rsid w:val="00411B39"/>
    <w:rsid w:val="004124A8"/>
    <w:rsid w:val="004124CA"/>
    <w:rsid w:val="004127A7"/>
    <w:rsid w:val="00413A1E"/>
    <w:rsid w:val="00413BD9"/>
    <w:rsid w:val="00414476"/>
    <w:rsid w:val="004145B4"/>
    <w:rsid w:val="004149DA"/>
    <w:rsid w:val="00414B04"/>
    <w:rsid w:val="00414C2E"/>
    <w:rsid w:val="00414E23"/>
    <w:rsid w:val="00415150"/>
    <w:rsid w:val="004151CF"/>
    <w:rsid w:val="0041543F"/>
    <w:rsid w:val="0041566B"/>
    <w:rsid w:val="00415A5B"/>
    <w:rsid w:val="00415E60"/>
    <w:rsid w:val="00416364"/>
    <w:rsid w:val="00416826"/>
    <w:rsid w:val="00416A2A"/>
    <w:rsid w:val="00416DEB"/>
    <w:rsid w:val="00420296"/>
    <w:rsid w:val="0042047F"/>
    <w:rsid w:val="004209CB"/>
    <w:rsid w:val="00420AA6"/>
    <w:rsid w:val="00420B9F"/>
    <w:rsid w:val="004210CA"/>
    <w:rsid w:val="004218FB"/>
    <w:rsid w:val="0042192C"/>
    <w:rsid w:val="00421A32"/>
    <w:rsid w:val="00421C85"/>
    <w:rsid w:val="00422260"/>
    <w:rsid w:val="004228A2"/>
    <w:rsid w:val="00422C31"/>
    <w:rsid w:val="004230BD"/>
    <w:rsid w:val="0042331A"/>
    <w:rsid w:val="004234BF"/>
    <w:rsid w:val="0042355B"/>
    <w:rsid w:val="00423D9E"/>
    <w:rsid w:val="0042413F"/>
    <w:rsid w:val="00425016"/>
    <w:rsid w:val="004259E5"/>
    <w:rsid w:val="004259FA"/>
    <w:rsid w:val="00425F67"/>
    <w:rsid w:val="004262A2"/>
    <w:rsid w:val="004263DA"/>
    <w:rsid w:val="00426B59"/>
    <w:rsid w:val="00426C88"/>
    <w:rsid w:val="00426CB0"/>
    <w:rsid w:val="0042747D"/>
    <w:rsid w:val="00427795"/>
    <w:rsid w:val="00427D31"/>
    <w:rsid w:val="00430160"/>
    <w:rsid w:val="00431112"/>
    <w:rsid w:val="00431485"/>
    <w:rsid w:val="00431586"/>
    <w:rsid w:val="00431613"/>
    <w:rsid w:val="004319F8"/>
    <w:rsid w:val="00431E55"/>
    <w:rsid w:val="00431F31"/>
    <w:rsid w:val="004321F6"/>
    <w:rsid w:val="004325CB"/>
    <w:rsid w:val="00432758"/>
    <w:rsid w:val="00433044"/>
    <w:rsid w:val="00433229"/>
    <w:rsid w:val="004333FB"/>
    <w:rsid w:val="00434088"/>
    <w:rsid w:val="004347D5"/>
    <w:rsid w:val="004348A9"/>
    <w:rsid w:val="00434D07"/>
    <w:rsid w:val="00436F6C"/>
    <w:rsid w:val="004371D7"/>
    <w:rsid w:val="004375B9"/>
    <w:rsid w:val="00437EDA"/>
    <w:rsid w:val="00440465"/>
    <w:rsid w:val="004406FA"/>
    <w:rsid w:val="00440753"/>
    <w:rsid w:val="004428D0"/>
    <w:rsid w:val="00442C42"/>
    <w:rsid w:val="00443152"/>
    <w:rsid w:val="00443A87"/>
    <w:rsid w:val="00444185"/>
    <w:rsid w:val="004441B4"/>
    <w:rsid w:val="004443A7"/>
    <w:rsid w:val="0044442C"/>
    <w:rsid w:val="00445941"/>
    <w:rsid w:val="00445CAA"/>
    <w:rsid w:val="00445D57"/>
    <w:rsid w:val="004464EB"/>
    <w:rsid w:val="00446638"/>
    <w:rsid w:val="00446BE8"/>
    <w:rsid w:val="00446CA5"/>
    <w:rsid w:val="00447233"/>
    <w:rsid w:val="0044760C"/>
    <w:rsid w:val="00447924"/>
    <w:rsid w:val="00447D26"/>
    <w:rsid w:val="00447DFC"/>
    <w:rsid w:val="004505D1"/>
    <w:rsid w:val="00452018"/>
    <w:rsid w:val="00452066"/>
    <w:rsid w:val="0045222E"/>
    <w:rsid w:val="004525DB"/>
    <w:rsid w:val="00452802"/>
    <w:rsid w:val="00453334"/>
    <w:rsid w:val="00453A85"/>
    <w:rsid w:val="00453E05"/>
    <w:rsid w:val="0045443E"/>
    <w:rsid w:val="00454624"/>
    <w:rsid w:val="00454F92"/>
    <w:rsid w:val="004556C7"/>
    <w:rsid w:val="00455D45"/>
    <w:rsid w:val="00456CE8"/>
    <w:rsid w:val="00456FB9"/>
    <w:rsid w:val="0045724D"/>
    <w:rsid w:val="004575E3"/>
    <w:rsid w:val="004576E7"/>
    <w:rsid w:val="004577CF"/>
    <w:rsid w:val="00457845"/>
    <w:rsid w:val="00457E6B"/>
    <w:rsid w:val="00460CFC"/>
    <w:rsid w:val="004610D9"/>
    <w:rsid w:val="004610F4"/>
    <w:rsid w:val="0046155C"/>
    <w:rsid w:val="00461569"/>
    <w:rsid w:val="004615E6"/>
    <w:rsid w:val="00461D24"/>
    <w:rsid w:val="00461F2E"/>
    <w:rsid w:val="00461FA7"/>
    <w:rsid w:val="00462590"/>
    <w:rsid w:val="00462F39"/>
    <w:rsid w:val="004632BB"/>
    <w:rsid w:val="00463E1C"/>
    <w:rsid w:val="00464595"/>
    <w:rsid w:val="004654D4"/>
    <w:rsid w:val="004658B5"/>
    <w:rsid w:val="004661EE"/>
    <w:rsid w:val="0046634B"/>
    <w:rsid w:val="0046656B"/>
    <w:rsid w:val="00467858"/>
    <w:rsid w:val="004679F7"/>
    <w:rsid w:val="00467EBE"/>
    <w:rsid w:val="0047036E"/>
    <w:rsid w:val="004706A9"/>
    <w:rsid w:val="004708D4"/>
    <w:rsid w:val="00470E88"/>
    <w:rsid w:val="00471B76"/>
    <w:rsid w:val="00471DF6"/>
    <w:rsid w:val="00471EA5"/>
    <w:rsid w:val="004721A8"/>
    <w:rsid w:val="00472A79"/>
    <w:rsid w:val="00472E92"/>
    <w:rsid w:val="00473874"/>
    <w:rsid w:val="00473D0B"/>
    <w:rsid w:val="00473F19"/>
    <w:rsid w:val="0047444C"/>
    <w:rsid w:val="00475E22"/>
    <w:rsid w:val="00475F06"/>
    <w:rsid w:val="0047652C"/>
    <w:rsid w:val="00476A1E"/>
    <w:rsid w:val="00477297"/>
    <w:rsid w:val="00477D78"/>
    <w:rsid w:val="00477DE7"/>
    <w:rsid w:val="00480336"/>
    <w:rsid w:val="004803FB"/>
    <w:rsid w:val="0048088E"/>
    <w:rsid w:val="00480BB9"/>
    <w:rsid w:val="00480F2B"/>
    <w:rsid w:val="00482720"/>
    <w:rsid w:val="00482800"/>
    <w:rsid w:val="00482E08"/>
    <w:rsid w:val="004835E7"/>
    <w:rsid w:val="00483791"/>
    <w:rsid w:val="004837F0"/>
    <w:rsid w:val="00483CE3"/>
    <w:rsid w:val="00483D6B"/>
    <w:rsid w:val="00484997"/>
    <w:rsid w:val="00484B57"/>
    <w:rsid w:val="0048582D"/>
    <w:rsid w:val="004859E1"/>
    <w:rsid w:val="00485FB2"/>
    <w:rsid w:val="00486288"/>
    <w:rsid w:val="004867E2"/>
    <w:rsid w:val="00486B60"/>
    <w:rsid w:val="00487117"/>
    <w:rsid w:val="004900C4"/>
    <w:rsid w:val="00490165"/>
    <w:rsid w:val="004903AD"/>
    <w:rsid w:val="004903FD"/>
    <w:rsid w:val="00490984"/>
    <w:rsid w:val="00490B17"/>
    <w:rsid w:val="00491296"/>
    <w:rsid w:val="00491B3A"/>
    <w:rsid w:val="004920A4"/>
    <w:rsid w:val="00492218"/>
    <w:rsid w:val="0049249A"/>
    <w:rsid w:val="00492992"/>
    <w:rsid w:val="00492CFD"/>
    <w:rsid w:val="00492E25"/>
    <w:rsid w:val="0049371F"/>
    <w:rsid w:val="004939E8"/>
    <w:rsid w:val="00494207"/>
    <w:rsid w:val="00494689"/>
    <w:rsid w:val="00494884"/>
    <w:rsid w:val="00494DD5"/>
    <w:rsid w:val="00495030"/>
    <w:rsid w:val="004951AF"/>
    <w:rsid w:val="00495242"/>
    <w:rsid w:val="004952DB"/>
    <w:rsid w:val="004962D2"/>
    <w:rsid w:val="0049715D"/>
    <w:rsid w:val="00497558"/>
    <w:rsid w:val="00497591"/>
    <w:rsid w:val="0049778C"/>
    <w:rsid w:val="00497975"/>
    <w:rsid w:val="00497BB1"/>
    <w:rsid w:val="00497C33"/>
    <w:rsid w:val="004A0566"/>
    <w:rsid w:val="004A0C05"/>
    <w:rsid w:val="004A0DA1"/>
    <w:rsid w:val="004A0F5D"/>
    <w:rsid w:val="004A13D6"/>
    <w:rsid w:val="004A154B"/>
    <w:rsid w:val="004A1A23"/>
    <w:rsid w:val="004A1F66"/>
    <w:rsid w:val="004A235F"/>
    <w:rsid w:val="004A23BB"/>
    <w:rsid w:val="004A28F2"/>
    <w:rsid w:val="004A302C"/>
    <w:rsid w:val="004A34AC"/>
    <w:rsid w:val="004A36C9"/>
    <w:rsid w:val="004A3A26"/>
    <w:rsid w:val="004A41BA"/>
    <w:rsid w:val="004A477E"/>
    <w:rsid w:val="004A4BBA"/>
    <w:rsid w:val="004A4C7E"/>
    <w:rsid w:val="004A4DCB"/>
    <w:rsid w:val="004A52E9"/>
    <w:rsid w:val="004A6040"/>
    <w:rsid w:val="004A6597"/>
    <w:rsid w:val="004A6668"/>
    <w:rsid w:val="004A696A"/>
    <w:rsid w:val="004A6ECB"/>
    <w:rsid w:val="004A7015"/>
    <w:rsid w:val="004A7848"/>
    <w:rsid w:val="004A793B"/>
    <w:rsid w:val="004A7A1F"/>
    <w:rsid w:val="004A7AC5"/>
    <w:rsid w:val="004A7F35"/>
    <w:rsid w:val="004B0080"/>
    <w:rsid w:val="004B0748"/>
    <w:rsid w:val="004B089F"/>
    <w:rsid w:val="004B1CB4"/>
    <w:rsid w:val="004B2262"/>
    <w:rsid w:val="004B23ED"/>
    <w:rsid w:val="004B2C3F"/>
    <w:rsid w:val="004B2C69"/>
    <w:rsid w:val="004B2F18"/>
    <w:rsid w:val="004B337F"/>
    <w:rsid w:val="004B3A5E"/>
    <w:rsid w:val="004B3DDB"/>
    <w:rsid w:val="004B3FA0"/>
    <w:rsid w:val="004B44FD"/>
    <w:rsid w:val="004B4A47"/>
    <w:rsid w:val="004B4B92"/>
    <w:rsid w:val="004B4D7E"/>
    <w:rsid w:val="004B563B"/>
    <w:rsid w:val="004B5867"/>
    <w:rsid w:val="004B5876"/>
    <w:rsid w:val="004B5CFC"/>
    <w:rsid w:val="004B5DBB"/>
    <w:rsid w:val="004B68EB"/>
    <w:rsid w:val="004B6F79"/>
    <w:rsid w:val="004B74D4"/>
    <w:rsid w:val="004B774D"/>
    <w:rsid w:val="004B7FA1"/>
    <w:rsid w:val="004C0281"/>
    <w:rsid w:val="004C0C60"/>
    <w:rsid w:val="004C10D7"/>
    <w:rsid w:val="004C2AC2"/>
    <w:rsid w:val="004C30EB"/>
    <w:rsid w:val="004C3A70"/>
    <w:rsid w:val="004C3FFC"/>
    <w:rsid w:val="004C42CD"/>
    <w:rsid w:val="004C42D2"/>
    <w:rsid w:val="004C4AED"/>
    <w:rsid w:val="004C573C"/>
    <w:rsid w:val="004C579E"/>
    <w:rsid w:val="004C5F20"/>
    <w:rsid w:val="004C6D8C"/>
    <w:rsid w:val="004C76CC"/>
    <w:rsid w:val="004C7AB1"/>
    <w:rsid w:val="004C7C4D"/>
    <w:rsid w:val="004D05F6"/>
    <w:rsid w:val="004D07CF"/>
    <w:rsid w:val="004D08BF"/>
    <w:rsid w:val="004D0A6B"/>
    <w:rsid w:val="004D0B84"/>
    <w:rsid w:val="004D0E23"/>
    <w:rsid w:val="004D2063"/>
    <w:rsid w:val="004D2696"/>
    <w:rsid w:val="004D2B1F"/>
    <w:rsid w:val="004D2C2D"/>
    <w:rsid w:val="004D2DAC"/>
    <w:rsid w:val="004D2F48"/>
    <w:rsid w:val="004D2FD4"/>
    <w:rsid w:val="004D31D0"/>
    <w:rsid w:val="004D37FF"/>
    <w:rsid w:val="004D44B6"/>
    <w:rsid w:val="004D4D2A"/>
    <w:rsid w:val="004D51C1"/>
    <w:rsid w:val="004D5357"/>
    <w:rsid w:val="004D5C6B"/>
    <w:rsid w:val="004D5D49"/>
    <w:rsid w:val="004D62F8"/>
    <w:rsid w:val="004D69B5"/>
    <w:rsid w:val="004D6E60"/>
    <w:rsid w:val="004D7227"/>
    <w:rsid w:val="004D7B5E"/>
    <w:rsid w:val="004E095F"/>
    <w:rsid w:val="004E0A3C"/>
    <w:rsid w:val="004E0E7F"/>
    <w:rsid w:val="004E0EB8"/>
    <w:rsid w:val="004E0F39"/>
    <w:rsid w:val="004E1599"/>
    <w:rsid w:val="004E18E9"/>
    <w:rsid w:val="004E1F50"/>
    <w:rsid w:val="004E1FAD"/>
    <w:rsid w:val="004E242D"/>
    <w:rsid w:val="004E2ADC"/>
    <w:rsid w:val="004E2C6F"/>
    <w:rsid w:val="004E2CC2"/>
    <w:rsid w:val="004E2F6F"/>
    <w:rsid w:val="004E343B"/>
    <w:rsid w:val="004E3EA7"/>
    <w:rsid w:val="004E41DA"/>
    <w:rsid w:val="004E43B2"/>
    <w:rsid w:val="004E484B"/>
    <w:rsid w:val="004E4AAC"/>
    <w:rsid w:val="004E5E0D"/>
    <w:rsid w:val="004E6644"/>
    <w:rsid w:val="004E6931"/>
    <w:rsid w:val="004E6DF8"/>
    <w:rsid w:val="004E7815"/>
    <w:rsid w:val="004F0B3F"/>
    <w:rsid w:val="004F0DF9"/>
    <w:rsid w:val="004F1D02"/>
    <w:rsid w:val="004F1DFE"/>
    <w:rsid w:val="004F1F60"/>
    <w:rsid w:val="004F25A4"/>
    <w:rsid w:val="004F2679"/>
    <w:rsid w:val="004F2724"/>
    <w:rsid w:val="004F2C55"/>
    <w:rsid w:val="004F2F21"/>
    <w:rsid w:val="004F38C7"/>
    <w:rsid w:val="004F3DE5"/>
    <w:rsid w:val="004F4260"/>
    <w:rsid w:val="004F4404"/>
    <w:rsid w:val="004F61DA"/>
    <w:rsid w:val="004F6843"/>
    <w:rsid w:val="004F6913"/>
    <w:rsid w:val="004F6D05"/>
    <w:rsid w:val="004F7337"/>
    <w:rsid w:val="004F7525"/>
    <w:rsid w:val="004F7865"/>
    <w:rsid w:val="004F789B"/>
    <w:rsid w:val="004F7D4A"/>
    <w:rsid w:val="004F7FCB"/>
    <w:rsid w:val="00500332"/>
    <w:rsid w:val="00500378"/>
    <w:rsid w:val="00501074"/>
    <w:rsid w:val="00501097"/>
    <w:rsid w:val="00501453"/>
    <w:rsid w:val="005016FF"/>
    <w:rsid w:val="0050174E"/>
    <w:rsid w:val="00501854"/>
    <w:rsid w:val="0050219B"/>
    <w:rsid w:val="00502500"/>
    <w:rsid w:val="00502BC6"/>
    <w:rsid w:val="00502FA1"/>
    <w:rsid w:val="005036AF"/>
    <w:rsid w:val="00503BE3"/>
    <w:rsid w:val="00503F17"/>
    <w:rsid w:val="00503F3A"/>
    <w:rsid w:val="0050415B"/>
    <w:rsid w:val="005043D8"/>
    <w:rsid w:val="0050469C"/>
    <w:rsid w:val="005046DA"/>
    <w:rsid w:val="005056D1"/>
    <w:rsid w:val="0050570F"/>
    <w:rsid w:val="00505BD7"/>
    <w:rsid w:val="00505FA3"/>
    <w:rsid w:val="005067DB"/>
    <w:rsid w:val="00506928"/>
    <w:rsid w:val="005075A3"/>
    <w:rsid w:val="005077EF"/>
    <w:rsid w:val="00510829"/>
    <w:rsid w:val="00511AD5"/>
    <w:rsid w:val="00511B1B"/>
    <w:rsid w:val="00511DC7"/>
    <w:rsid w:val="00511E46"/>
    <w:rsid w:val="00511ECC"/>
    <w:rsid w:val="00511FAB"/>
    <w:rsid w:val="00512A2A"/>
    <w:rsid w:val="005131BE"/>
    <w:rsid w:val="00513915"/>
    <w:rsid w:val="00513DE6"/>
    <w:rsid w:val="005142C5"/>
    <w:rsid w:val="00514F27"/>
    <w:rsid w:val="0051501B"/>
    <w:rsid w:val="005152B5"/>
    <w:rsid w:val="00515886"/>
    <w:rsid w:val="00515A18"/>
    <w:rsid w:val="00515C5E"/>
    <w:rsid w:val="0051665E"/>
    <w:rsid w:val="0051685E"/>
    <w:rsid w:val="005168C9"/>
    <w:rsid w:val="00516BE0"/>
    <w:rsid w:val="00517260"/>
    <w:rsid w:val="00517284"/>
    <w:rsid w:val="00517B0F"/>
    <w:rsid w:val="00517B8C"/>
    <w:rsid w:val="00517CE2"/>
    <w:rsid w:val="00517DBD"/>
    <w:rsid w:val="00520382"/>
    <w:rsid w:val="005208F1"/>
    <w:rsid w:val="0052123C"/>
    <w:rsid w:val="00521319"/>
    <w:rsid w:val="00521CC5"/>
    <w:rsid w:val="0052200F"/>
    <w:rsid w:val="005221CC"/>
    <w:rsid w:val="0052281B"/>
    <w:rsid w:val="00522A5A"/>
    <w:rsid w:val="00522BC8"/>
    <w:rsid w:val="005235A8"/>
    <w:rsid w:val="00523C28"/>
    <w:rsid w:val="00523DD1"/>
    <w:rsid w:val="005247F0"/>
    <w:rsid w:val="00524941"/>
    <w:rsid w:val="00524E7B"/>
    <w:rsid w:val="00525523"/>
    <w:rsid w:val="00525E05"/>
    <w:rsid w:val="00526978"/>
    <w:rsid w:val="0052708E"/>
    <w:rsid w:val="005271E3"/>
    <w:rsid w:val="0052733B"/>
    <w:rsid w:val="0052737B"/>
    <w:rsid w:val="00527A1B"/>
    <w:rsid w:val="0053034E"/>
    <w:rsid w:val="00530683"/>
    <w:rsid w:val="00530A2E"/>
    <w:rsid w:val="00530F81"/>
    <w:rsid w:val="00531632"/>
    <w:rsid w:val="0053176B"/>
    <w:rsid w:val="0053192D"/>
    <w:rsid w:val="00531AA5"/>
    <w:rsid w:val="00532231"/>
    <w:rsid w:val="0053223A"/>
    <w:rsid w:val="005327A0"/>
    <w:rsid w:val="00532BA1"/>
    <w:rsid w:val="00532C20"/>
    <w:rsid w:val="005332A7"/>
    <w:rsid w:val="005338FC"/>
    <w:rsid w:val="0053392F"/>
    <w:rsid w:val="00533C16"/>
    <w:rsid w:val="005341B3"/>
    <w:rsid w:val="00534455"/>
    <w:rsid w:val="005344EE"/>
    <w:rsid w:val="00534951"/>
    <w:rsid w:val="00534BF2"/>
    <w:rsid w:val="005357A8"/>
    <w:rsid w:val="005357C4"/>
    <w:rsid w:val="00535AD0"/>
    <w:rsid w:val="00536F42"/>
    <w:rsid w:val="00537082"/>
    <w:rsid w:val="00537182"/>
    <w:rsid w:val="005375E7"/>
    <w:rsid w:val="00537829"/>
    <w:rsid w:val="00537958"/>
    <w:rsid w:val="00537A3C"/>
    <w:rsid w:val="0054031E"/>
    <w:rsid w:val="00540362"/>
    <w:rsid w:val="00540490"/>
    <w:rsid w:val="0054095A"/>
    <w:rsid w:val="00540FAB"/>
    <w:rsid w:val="00541183"/>
    <w:rsid w:val="0054120D"/>
    <w:rsid w:val="005419B6"/>
    <w:rsid w:val="00541CFA"/>
    <w:rsid w:val="00541EDD"/>
    <w:rsid w:val="00542743"/>
    <w:rsid w:val="00542C2D"/>
    <w:rsid w:val="00542D86"/>
    <w:rsid w:val="0054337D"/>
    <w:rsid w:val="005440E9"/>
    <w:rsid w:val="0054481F"/>
    <w:rsid w:val="00544CD0"/>
    <w:rsid w:val="00545016"/>
    <w:rsid w:val="00545820"/>
    <w:rsid w:val="005478BD"/>
    <w:rsid w:val="005479E3"/>
    <w:rsid w:val="00547C0D"/>
    <w:rsid w:val="00547D18"/>
    <w:rsid w:val="00550761"/>
    <w:rsid w:val="0055079D"/>
    <w:rsid w:val="00550A98"/>
    <w:rsid w:val="00550E30"/>
    <w:rsid w:val="00550F90"/>
    <w:rsid w:val="00551701"/>
    <w:rsid w:val="00551757"/>
    <w:rsid w:val="00551985"/>
    <w:rsid w:val="00551E6A"/>
    <w:rsid w:val="0055226B"/>
    <w:rsid w:val="005527F8"/>
    <w:rsid w:val="00552BD3"/>
    <w:rsid w:val="005531C6"/>
    <w:rsid w:val="0055329D"/>
    <w:rsid w:val="005532A0"/>
    <w:rsid w:val="005534E0"/>
    <w:rsid w:val="00553662"/>
    <w:rsid w:val="00553667"/>
    <w:rsid w:val="005539EF"/>
    <w:rsid w:val="00553D16"/>
    <w:rsid w:val="00554394"/>
    <w:rsid w:val="00554D93"/>
    <w:rsid w:val="00555109"/>
    <w:rsid w:val="005551CE"/>
    <w:rsid w:val="00555FB3"/>
    <w:rsid w:val="005562B8"/>
    <w:rsid w:val="00556436"/>
    <w:rsid w:val="00556B35"/>
    <w:rsid w:val="00557200"/>
    <w:rsid w:val="0055741A"/>
    <w:rsid w:val="005578FA"/>
    <w:rsid w:val="00557CC3"/>
    <w:rsid w:val="00560965"/>
    <w:rsid w:val="00560BAF"/>
    <w:rsid w:val="00560BF9"/>
    <w:rsid w:val="0056113C"/>
    <w:rsid w:val="005611B7"/>
    <w:rsid w:val="005616A1"/>
    <w:rsid w:val="005618D4"/>
    <w:rsid w:val="00561AAD"/>
    <w:rsid w:val="00561AE6"/>
    <w:rsid w:val="00561AFB"/>
    <w:rsid w:val="00562232"/>
    <w:rsid w:val="00562297"/>
    <w:rsid w:val="005625FD"/>
    <w:rsid w:val="00562D5D"/>
    <w:rsid w:val="005630BF"/>
    <w:rsid w:val="005637AA"/>
    <w:rsid w:val="005642A0"/>
    <w:rsid w:val="005643F8"/>
    <w:rsid w:val="00564867"/>
    <w:rsid w:val="0056495D"/>
    <w:rsid w:val="005651F5"/>
    <w:rsid w:val="00565C79"/>
    <w:rsid w:val="00565DF0"/>
    <w:rsid w:val="0056696F"/>
    <w:rsid w:val="00566B01"/>
    <w:rsid w:val="00566BA7"/>
    <w:rsid w:val="00566E42"/>
    <w:rsid w:val="005676DD"/>
    <w:rsid w:val="005679B3"/>
    <w:rsid w:val="005704C0"/>
    <w:rsid w:val="005708BC"/>
    <w:rsid w:val="005708C4"/>
    <w:rsid w:val="00570E20"/>
    <w:rsid w:val="00570E57"/>
    <w:rsid w:val="00571255"/>
    <w:rsid w:val="005716FA"/>
    <w:rsid w:val="00571D58"/>
    <w:rsid w:val="005721D7"/>
    <w:rsid w:val="00572269"/>
    <w:rsid w:val="0057242C"/>
    <w:rsid w:val="0057244A"/>
    <w:rsid w:val="00572F26"/>
    <w:rsid w:val="00573161"/>
    <w:rsid w:val="00573B73"/>
    <w:rsid w:val="00573C5F"/>
    <w:rsid w:val="0057404E"/>
    <w:rsid w:val="00574454"/>
    <w:rsid w:val="005750C5"/>
    <w:rsid w:val="005752DE"/>
    <w:rsid w:val="005758B7"/>
    <w:rsid w:val="005759D5"/>
    <w:rsid w:val="00575B48"/>
    <w:rsid w:val="00575B58"/>
    <w:rsid w:val="00575CAD"/>
    <w:rsid w:val="00575D60"/>
    <w:rsid w:val="00575D8D"/>
    <w:rsid w:val="00576972"/>
    <w:rsid w:val="00576AD1"/>
    <w:rsid w:val="005771F1"/>
    <w:rsid w:val="00577248"/>
    <w:rsid w:val="0057731F"/>
    <w:rsid w:val="005802FA"/>
    <w:rsid w:val="005805C5"/>
    <w:rsid w:val="005809F0"/>
    <w:rsid w:val="00581375"/>
    <w:rsid w:val="00581535"/>
    <w:rsid w:val="005818EC"/>
    <w:rsid w:val="00581AFF"/>
    <w:rsid w:val="00582767"/>
    <w:rsid w:val="00582B66"/>
    <w:rsid w:val="00583342"/>
    <w:rsid w:val="00583699"/>
    <w:rsid w:val="005837A4"/>
    <w:rsid w:val="005839A7"/>
    <w:rsid w:val="00583B7F"/>
    <w:rsid w:val="00583DE5"/>
    <w:rsid w:val="00583F1D"/>
    <w:rsid w:val="00583F70"/>
    <w:rsid w:val="005840BC"/>
    <w:rsid w:val="00584349"/>
    <w:rsid w:val="0058460D"/>
    <w:rsid w:val="0058472F"/>
    <w:rsid w:val="00584AEC"/>
    <w:rsid w:val="00585076"/>
    <w:rsid w:val="005857EF"/>
    <w:rsid w:val="00585CDD"/>
    <w:rsid w:val="00585F89"/>
    <w:rsid w:val="00586200"/>
    <w:rsid w:val="005864B5"/>
    <w:rsid w:val="00586663"/>
    <w:rsid w:val="00586A20"/>
    <w:rsid w:val="00586AEA"/>
    <w:rsid w:val="00586C7F"/>
    <w:rsid w:val="00587058"/>
    <w:rsid w:val="00587BCC"/>
    <w:rsid w:val="00587FDC"/>
    <w:rsid w:val="005900E6"/>
    <w:rsid w:val="005904CE"/>
    <w:rsid w:val="00590738"/>
    <w:rsid w:val="0059080C"/>
    <w:rsid w:val="005908AA"/>
    <w:rsid w:val="00590967"/>
    <w:rsid w:val="005909E0"/>
    <w:rsid w:val="00591957"/>
    <w:rsid w:val="00592185"/>
    <w:rsid w:val="00592A5C"/>
    <w:rsid w:val="00592E32"/>
    <w:rsid w:val="00593296"/>
    <w:rsid w:val="00594007"/>
    <w:rsid w:val="00594BC6"/>
    <w:rsid w:val="00594F67"/>
    <w:rsid w:val="005953A4"/>
    <w:rsid w:val="00596A31"/>
    <w:rsid w:val="00596CFC"/>
    <w:rsid w:val="00597197"/>
    <w:rsid w:val="00597BF9"/>
    <w:rsid w:val="005A04E5"/>
    <w:rsid w:val="005A052D"/>
    <w:rsid w:val="005A0992"/>
    <w:rsid w:val="005A0C11"/>
    <w:rsid w:val="005A0D82"/>
    <w:rsid w:val="005A0F1E"/>
    <w:rsid w:val="005A1129"/>
    <w:rsid w:val="005A1D27"/>
    <w:rsid w:val="005A2A84"/>
    <w:rsid w:val="005A309A"/>
    <w:rsid w:val="005A330E"/>
    <w:rsid w:val="005A373D"/>
    <w:rsid w:val="005A409E"/>
    <w:rsid w:val="005A459D"/>
    <w:rsid w:val="005A486E"/>
    <w:rsid w:val="005A4FB0"/>
    <w:rsid w:val="005A5079"/>
    <w:rsid w:val="005A56F4"/>
    <w:rsid w:val="005A57CB"/>
    <w:rsid w:val="005A5C27"/>
    <w:rsid w:val="005A5E0A"/>
    <w:rsid w:val="005A5F3E"/>
    <w:rsid w:val="005A68BE"/>
    <w:rsid w:val="005A6F14"/>
    <w:rsid w:val="005A6F47"/>
    <w:rsid w:val="005A6FB8"/>
    <w:rsid w:val="005A732E"/>
    <w:rsid w:val="005B03D0"/>
    <w:rsid w:val="005B0B58"/>
    <w:rsid w:val="005B0BC4"/>
    <w:rsid w:val="005B2138"/>
    <w:rsid w:val="005B26AA"/>
    <w:rsid w:val="005B2888"/>
    <w:rsid w:val="005B2C0C"/>
    <w:rsid w:val="005B374F"/>
    <w:rsid w:val="005B39DB"/>
    <w:rsid w:val="005B3FC5"/>
    <w:rsid w:val="005B4473"/>
    <w:rsid w:val="005B48BB"/>
    <w:rsid w:val="005B4A08"/>
    <w:rsid w:val="005B4C67"/>
    <w:rsid w:val="005B4E53"/>
    <w:rsid w:val="005B52F1"/>
    <w:rsid w:val="005B5857"/>
    <w:rsid w:val="005B60D1"/>
    <w:rsid w:val="005B6174"/>
    <w:rsid w:val="005B64BD"/>
    <w:rsid w:val="005B6537"/>
    <w:rsid w:val="005B6561"/>
    <w:rsid w:val="005B6757"/>
    <w:rsid w:val="005C0835"/>
    <w:rsid w:val="005C0B2D"/>
    <w:rsid w:val="005C1023"/>
    <w:rsid w:val="005C16F8"/>
    <w:rsid w:val="005C1856"/>
    <w:rsid w:val="005C19C4"/>
    <w:rsid w:val="005C1B83"/>
    <w:rsid w:val="005C20F4"/>
    <w:rsid w:val="005C25FF"/>
    <w:rsid w:val="005C297C"/>
    <w:rsid w:val="005C2D55"/>
    <w:rsid w:val="005C2F46"/>
    <w:rsid w:val="005C346B"/>
    <w:rsid w:val="005C361D"/>
    <w:rsid w:val="005C39E3"/>
    <w:rsid w:val="005C4AFC"/>
    <w:rsid w:val="005C4CAE"/>
    <w:rsid w:val="005C5740"/>
    <w:rsid w:val="005C5ABC"/>
    <w:rsid w:val="005C61DE"/>
    <w:rsid w:val="005C68E8"/>
    <w:rsid w:val="005C6A21"/>
    <w:rsid w:val="005C710C"/>
    <w:rsid w:val="005C7191"/>
    <w:rsid w:val="005D044D"/>
    <w:rsid w:val="005D0698"/>
    <w:rsid w:val="005D06DF"/>
    <w:rsid w:val="005D0ABD"/>
    <w:rsid w:val="005D0EFE"/>
    <w:rsid w:val="005D18AD"/>
    <w:rsid w:val="005D26B4"/>
    <w:rsid w:val="005D2975"/>
    <w:rsid w:val="005D2C32"/>
    <w:rsid w:val="005D359D"/>
    <w:rsid w:val="005D35FF"/>
    <w:rsid w:val="005D3DF6"/>
    <w:rsid w:val="005D4C68"/>
    <w:rsid w:val="005D4DB5"/>
    <w:rsid w:val="005D4E3B"/>
    <w:rsid w:val="005D5079"/>
    <w:rsid w:val="005D5AA0"/>
    <w:rsid w:val="005D5C5C"/>
    <w:rsid w:val="005D626D"/>
    <w:rsid w:val="005D63B2"/>
    <w:rsid w:val="005D6503"/>
    <w:rsid w:val="005D6685"/>
    <w:rsid w:val="005D68AB"/>
    <w:rsid w:val="005D7497"/>
    <w:rsid w:val="005D74C6"/>
    <w:rsid w:val="005D7FC6"/>
    <w:rsid w:val="005E0180"/>
    <w:rsid w:val="005E031E"/>
    <w:rsid w:val="005E0359"/>
    <w:rsid w:val="005E1995"/>
    <w:rsid w:val="005E20B7"/>
    <w:rsid w:val="005E2761"/>
    <w:rsid w:val="005E2765"/>
    <w:rsid w:val="005E2B59"/>
    <w:rsid w:val="005E36A7"/>
    <w:rsid w:val="005E3703"/>
    <w:rsid w:val="005E5181"/>
    <w:rsid w:val="005E5AB8"/>
    <w:rsid w:val="005E5C8B"/>
    <w:rsid w:val="005E6CBC"/>
    <w:rsid w:val="005E72FF"/>
    <w:rsid w:val="005E73C0"/>
    <w:rsid w:val="005F060B"/>
    <w:rsid w:val="005F07ED"/>
    <w:rsid w:val="005F0BCF"/>
    <w:rsid w:val="005F0D81"/>
    <w:rsid w:val="005F141B"/>
    <w:rsid w:val="005F2016"/>
    <w:rsid w:val="005F22BE"/>
    <w:rsid w:val="005F2706"/>
    <w:rsid w:val="005F29C9"/>
    <w:rsid w:val="005F2AA1"/>
    <w:rsid w:val="005F2F98"/>
    <w:rsid w:val="005F35B1"/>
    <w:rsid w:val="005F38B8"/>
    <w:rsid w:val="005F3A71"/>
    <w:rsid w:val="005F3EB7"/>
    <w:rsid w:val="005F43E1"/>
    <w:rsid w:val="005F4412"/>
    <w:rsid w:val="005F4751"/>
    <w:rsid w:val="005F4C1A"/>
    <w:rsid w:val="005F53A9"/>
    <w:rsid w:val="005F5700"/>
    <w:rsid w:val="005F5DD0"/>
    <w:rsid w:val="005F61DD"/>
    <w:rsid w:val="005F6A8F"/>
    <w:rsid w:val="005F6BB7"/>
    <w:rsid w:val="005F7588"/>
    <w:rsid w:val="005F7C73"/>
    <w:rsid w:val="00600B57"/>
    <w:rsid w:val="00602469"/>
    <w:rsid w:val="00603248"/>
    <w:rsid w:val="006033B3"/>
    <w:rsid w:val="00603575"/>
    <w:rsid w:val="006035CF"/>
    <w:rsid w:val="00603612"/>
    <w:rsid w:val="0060379B"/>
    <w:rsid w:val="00603DB9"/>
    <w:rsid w:val="006045E9"/>
    <w:rsid w:val="0060525D"/>
    <w:rsid w:val="006052F9"/>
    <w:rsid w:val="006056D1"/>
    <w:rsid w:val="0060686A"/>
    <w:rsid w:val="00606BE4"/>
    <w:rsid w:val="00606FBA"/>
    <w:rsid w:val="006072CD"/>
    <w:rsid w:val="0060736F"/>
    <w:rsid w:val="00607669"/>
    <w:rsid w:val="006076A1"/>
    <w:rsid w:val="006076F4"/>
    <w:rsid w:val="00607AFD"/>
    <w:rsid w:val="00610202"/>
    <w:rsid w:val="00610423"/>
    <w:rsid w:val="00610577"/>
    <w:rsid w:val="0061082A"/>
    <w:rsid w:val="006109FA"/>
    <w:rsid w:val="00610BB8"/>
    <w:rsid w:val="00611B12"/>
    <w:rsid w:val="00612B46"/>
    <w:rsid w:val="00612F97"/>
    <w:rsid w:val="0061345D"/>
    <w:rsid w:val="00613834"/>
    <w:rsid w:val="00613A64"/>
    <w:rsid w:val="00613D0C"/>
    <w:rsid w:val="00614530"/>
    <w:rsid w:val="006146DE"/>
    <w:rsid w:val="00614B85"/>
    <w:rsid w:val="00615408"/>
    <w:rsid w:val="0061549B"/>
    <w:rsid w:val="00615540"/>
    <w:rsid w:val="006155B6"/>
    <w:rsid w:val="00615D67"/>
    <w:rsid w:val="00615DE7"/>
    <w:rsid w:val="006161FD"/>
    <w:rsid w:val="00616802"/>
    <w:rsid w:val="00616A41"/>
    <w:rsid w:val="00616E38"/>
    <w:rsid w:val="00617B5E"/>
    <w:rsid w:val="00617E12"/>
    <w:rsid w:val="00620416"/>
    <w:rsid w:val="006207A4"/>
    <w:rsid w:val="0062089A"/>
    <w:rsid w:val="00620C25"/>
    <w:rsid w:val="00620CB5"/>
    <w:rsid w:val="00621477"/>
    <w:rsid w:val="00621A20"/>
    <w:rsid w:val="00621ADA"/>
    <w:rsid w:val="006221B6"/>
    <w:rsid w:val="00622212"/>
    <w:rsid w:val="0062266E"/>
    <w:rsid w:val="00622754"/>
    <w:rsid w:val="00622866"/>
    <w:rsid w:val="00623469"/>
    <w:rsid w:val="006235D4"/>
    <w:rsid w:val="0062392E"/>
    <w:rsid w:val="00623983"/>
    <w:rsid w:val="00623F7B"/>
    <w:rsid w:val="00624295"/>
    <w:rsid w:val="006243A9"/>
    <w:rsid w:val="006243EB"/>
    <w:rsid w:val="00624BD4"/>
    <w:rsid w:val="00624F10"/>
    <w:rsid w:val="00624F7D"/>
    <w:rsid w:val="00624FEA"/>
    <w:rsid w:val="00625116"/>
    <w:rsid w:val="00625BCE"/>
    <w:rsid w:val="006264EE"/>
    <w:rsid w:val="006268F7"/>
    <w:rsid w:val="006273F3"/>
    <w:rsid w:val="006309F8"/>
    <w:rsid w:val="00630DC7"/>
    <w:rsid w:val="006310AD"/>
    <w:rsid w:val="006311ED"/>
    <w:rsid w:val="0063158F"/>
    <w:rsid w:val="00631AFC"/>
    <w:rsid w:val="00631D6B"/>
    <w:rsid w:val="00631D6D"/>
    <w:rsid w:val="00632183"/>
    <w:rsid w:val="006326B3"/>
    <w:rsid w:val="006327A8"/>
    <w:rsid w:val="006327DA"/>
    <w:rsid w:val="00632B3C"/>
    <w:rsid w:val="00632E50"/>
    <w:rsid w:val="006330A1"/>
    <w:rsid w:val="006330CF"/>
    <w:rsid w:val="006331D2"/>
    <w:rsid w:val="00633B85"/>
    <w:rsid w:val="00633D5C"/>
    <w:rsid w:val="0063479F"/>
    <w:rsid w:val="00634FAF"/>
    <w:rsid w:val="006353F0"/>
    <w:rsid w:val="006353F6"/>
    <w:rsid w:val="00635772"/>
    <w:rsid w:val="006357B5"/>
    <w:rsid w:val="00636055"/>
    <w:rsid w:val="006364A1"/>
    <w:rsid w:val="0063678E"/>
    <w:rsid w:val="006377FA"/>
    <w:rsid w:val="00637967"/>
    <w:rsid w:val="00637BFD"/>
    <w:rsid w:val="00637C5C"/>
    <w:rsid w:val="006406AD"/>
    <w:rsid w:val="006407B7"/>
    <w:rsid w:val="00640F99"/>
    <w:rsid w:val="0064119C"/>
    <w:rsid w:val="00641B8A"/>
    <w:rsid w:val="00641C4E"/>
    <w:rsid w:val="00641FB3"/>
    <w:rsid w:val="006429F4"/>
    <w:rsid w:val="00643ACF"/>
    <w:rsid w:val="00643D4B"/>
    <w:rsid w:val="00643D92"/>
    <w:rsid w:val="0064434C"/>
    <w:rsid w:val="0064556E"/>
    <w:rsid w:val="00645DF9"/>
    <w:rsid w:val="00646244"/>
    <w:rsid w:val="0064624A"/>
    <w:rsid w:val="00646693"/>
    <w:rsid w:val="00646912"/>
    <w:rsid w:val="00646F23"/>
    <w:rsid w:val="006471CC"/>
    <w:rsid w:val="006472FE"/>
    <w:rsid w:val="006479EB"/>
    <w:rsid w:val="00647A29"/>
    <w:rsid w:val="006503EB"/>
    <w:rsid w:val="0065079F"/>
    <w:rsid w:val="006509D5"/>
    <w:rsid w:val="00651CC8"/>
    <w:rsid w:val="00651FA8"/>
    <w:rsid w:val="00652A28"/>
    <w:rsid w:val="00652BCF"/>
    <w:rsid w:val="00653797"/>
    <w:rsid w:val="0065379F"/>
    <w:rsid w:val="006549A3"/>
    <w:rsid w:val="00654ACC"/>
    <w:rsid w:val="00654AE5"/>
    <w:rsid w:val="00654F5C"/>
    <w:rsid w:val="00655988"/>
    <w:rsid w:val="00655C42"/>
    <w:rsid w:val="00656188"/>
    <w:rsid w:val="0065642C"/>
    <w:rsid w:val="00656CBC"/>
    <w:rsid w:val="0065715A"/>
    <w:rsid w:val="00657DDE"/>
    <w:rsid w:val="006602BE"/>
    <w:rsid w:val="006609A7"/>
    <w:rsid w:val="00660A89"/>
    <w:rsid w:val="006610F1"/>
    <w:rsid w:val="00661C6B"/>
    <w:rsid w:val="00661D37"/>
    <w:rsid w:val="006627CC"/>
    <w:rsid w:val="00662A28"/>
    <w:rsid w:val="00662D3E"/>
    <w:rsid w:val="0066338B"/>
    <w:rsid w:val="00663760"/>
    <w:rsid w:val="006645E5"/>
    <w:rsid w:val="00664642"/>
    <w:rsid w:val="006651A2"/>
    <w:rsid w:val="006652E9"/>
    <w:rsid w:val="00665C75"/>
    <w:rsid w:val="00665CE4"/>
    <w:rsid w:val="00665D53"/>
    <w:rsid w:val="00665E13"/>
    <w:rsid w:val="00665F5A"/>
    <w:rsid w:val="0066631E"/>
    <w:rsid w:val="00666604"/>
    <w:rsid w:val="00666769"/>
    <w:rsid w:val="00666C27"/>
    <w:rsid w:val="0066706B"/>
    <w:rsid w:val="00667170"/>
    <w:rsid w:val="006671BD"/>
    <w:rsid w:val="0066750B"/>
    <w:rsid w:val="00667867"/>
    <w:rsid w:val="00667BE3"/>
    <w:rsid w:val="00667CC5"/>
    <w:rsid w:val="00667D26"/>
    <w:rsid w:val="006709C0"/>
    <w:rsid w:val="00671004"/>
    <w:rsid w:val="00671151"/>
    <w:rsid w:val="006713BA"/>
    <w:rsid w:val="006718DA"/>
    <w:rsid w:val="00671A9A"/>
    <w:rsid w:val="00671BB2"/>
    <w:rsid w:val="00671DC4"/>
    <w:rsid w:val="00672646"/>
    <w:rsid w:val="00672B16"/>
    <w:rsid w:val="00672B7F"/>
    <w:rsid w:val="00672F10"/>
    <w:rsid w:val="0067311F"/>
    <w:rsid w:val="0067319F"/>
    <w:rsid w:val="0067344C"/>
    <w:rsid w:val="00673A37"/>
    <w:rsid w:val="00673B7C"/>
    <w:rsid w:val="00673CCC"/>
    <w:rsid w:val="00673F05"/>
    <w:rsid w:val="006742CA"/>
    <w:rsid w:val="006747C8"/>
    <w:rsid w:val="00674930"/>
    <w:rsid w:val="00674988"/>
    <w:rsid w:val="00674E42"/>
    <w:rsid w:val="00674E67"/>
    <w:rsid w:val="006754E1"/>
    <w:rsid w:val="006755D2"/>
    <w:rsid w:val="006757C5"/>
    <w:rsid w:val="00675D18"/>
    <w:rsid w:val="006760E3"/>
    <w:rsid w:val="006761D7"/>
    <w:rsid w:val="00676563"/>
    <w:rsid w:val="00676A60"/>
    <w:rsid w:val="00676F46"/>
    <w:rsid w:val="00677126"/>
    <w:rsid w:val="006772F6"/>
    <w:rsid w:val="00677403"/>
    <w:rsid w:val="00677EEB"/>
    <w:rsid w:val="006805B7"/>
    <w:rsid w:val="00680945"/>
    <w:rsid w:val="00680BE9"/>
    <w:rsid w:val="00680E3B"/>
    <w:rsid w:val="006812E6"/>
    <w:rsid w:val="0068132C"/>
    <w:rsid w:val="006813F8"/>
    <w:rsid w:val="00682112"/>
    <w:rsid w:val="00682BA6"/>
    <w:rsid w:val="0068316C"/>
    <w:rsid w:val="006836D4"/>
    <w:rsid w:val="006836EC"/>
    <w:rsid w:val="006839DC"/>
    <w:rsid w:val="0068490F"/>
    <w:rsid w:val="00684CEA"/>
    <w:rsid w:val="006868D9"/>
    <w:rsid w:val="00686957"/>
    <w:rsid w:val="00686B2B"/>
    <w:rsid w:val="006872BA"/>
    <w:rsid w:val="00690609"/>
    <w:rsid w:val="00690795"/>
    <w:rsid w:val="00691648"/>
    <w:rsid w:val="006917D7"/>
    <w:rsid w:val="00693198"/>
    <w:rsid w:val="0069398A"/>
    <w:rsid w:val="006939CB"/>
    <w:rsid w:val="00693E14"/>
    <w:rsid w:val="00693FC7"/>
    <w:rsid w:val="00694283"/>
    <w:rsid w:val="0069434C"/>
    <w:rsid w:val="00694F44"/>
    <w:rsid w:val="0069587A"/>
    <w:rsid w:val="00695F17"/>
    <w:rsid w:val="0069614D"/>
    <w:rsid w:val="00696224"/>
    <w:rsid w:val="00696EF9"/>
    <w:rsid w:val="00696F51"/>
    <w:rsid w:val="006972CF"/>
    <w:rsid w:val="006976BC"/>
    <w:rsid w:val="006979A5"/>
    <w:rsid w:val="006A00B7"/>
    <w:rsid w:val="006A016F"/>
    <w:rsid w:val="006A0BF9"/>
    <w:rsid w:val="006A0DF7"/>
    <w:rsid w:val="006A1D2E"/>
    <w:rsid w:val="006A1FC3"/>
    <w:rsid w:val="006A2FA9"/>
    <w:rsid w:val="006A333E"/>
    <w:rsid w:val="006A3427"/>
    <w:rsid w:val="006A3799"/>
    <w:rsid w:val="006A3AE9"/>
    <w:rsid w:val="006A3E08"/>
    <w:rsid w:val="006A4321"/>
    <w:rsid w:val="006A43D9"/>
    <w:rsid w:val="006A43DF"/>
    <w:rsid w:val="006A46FB"/>
    <w:rsid w:val="006A4D7A"/>
    <w:rsid w:val="006A505F"/>
    <w:rsid w:val="006A508A"/>
    <w:rsid w:val="006A51DD"/>
    <w:rsid w:val="006A57C4"/>
    <w:rsid w:val="006A5A0C"/>
    <w:rsid w:val="006A6B99"/>
    <w:rsid w:val="006A6CDF"/>
    <w:rsid w:val="006A6ED0"/>
    <w:rsid w:val="006A7538"/>
    <w:rsid w:val="006A75AD"/>
    <w:rsid w:val="006A7B9A"/>
    <w:rsid w:val="006A7E5F"/>
    <w:rsid w:val="006B0FEF"/>
    <w:rsid w:val="006B1303"/>
    <w:rsid w:val="006B1463"/>
    <w:rsid w:val="006B179C"/>
    <w:rsid w:val="006B1C14"/>
    <w:rsid w:val="006B1DD1"/>
    <w:rsid w:val="006B1F5F"/>
    <w:rsid w:val="006B2126"/>
    <w:rsid w:val="006B261B"/>
    <w:rsid w:val="006B265A"/>
    <w:rsid w:val="006B2C90"/>
    <w:rsid w:val="006B35E6"/>
    <w:rsid w:val="006B3ADC"/>
    <w:rsid w:val="006B40E3"/>
    <w:rsid w:val="006B42A2"/>
    <w:rsid w:val="006B465A"/>
    <w:rsid w:val="006B4A34"/>
    <w:rsid w:val="006B4C6E"/>
    <w:rsid w:val="006B4D3E"/>
    <w:rsid w:val="006B510B"/>
    <w:rsid w:val="006B5762"/>
    <w:rsid w:val="006B5A7A"/>
    <w:rsid w:val="006B6B1F"/>
    <w:rsid w:val="006B6DD0"/>
    <w:rsid w:val="006B71BE"/>
    <w:rsid w:val="006B726F"/>
    <w:rsid w:val="006B7711"/>
    <w:rsid w:val="006B7AED"/>
    <w:rsid w:val="006C0399"/>
    <w:rsid w:val="006C06A5"/>
    <w:rsid w:val="006C0DE2"/>
    <w:rsid w:val="006C16F3"/>
    <w:rsid w:val="006C1ED6"/>
    <w:rsid w:val="006C1F72"/>
    <w:rsid w:val="006C26E9"/>
    <w:rsid w:val="006C2A8E"/>
    <w:rsid w:val="006C2F91"/>
    <w:rsid w:val="006C3255"/>
    <w:rsid w:val="006C37A7"/>
    <w:rsid w:val="006C3D45"/>
    <w:rsid w:val="006C3F26"/>
    <w:rsid w:val="006C50E3"/>
    <w:rsid w:val="006C512E"/>
    <w:rsid w:val="006C54F0"/>
    <w:rsid w:val="006C5BFB"/>
    <w:rsid w:val="006C61D1"/>
    <w:rsid w:val="006C6836"/>
    <w:rsid w:val="006C6D1E"/>
    <w:rsid w:val="006C7050"/>
    <w:rsid w:val="006C74A2"/>
    <w:rsid w:val="006C76A0"/>
    <w:rsid w:val="006C7D12"/>
    <w:rsid w:val="006D095B"/>
    <w:rsid w:val="006D0D17"/>
    <w:rsid w:val="006D0E48"/>
    <w:rsid w:val="006D0F3B"/>
    <w:rsid w:val="006D10C6"/>
    <w:rsid w:val="006D11F9"/>
    <w:rsid w:val="006D1212"/>
    <w:rsid w:val="006D17DE"/>
    <w:rsid w:val="006D1CC7"/>
    <w:rsid w:val="006D1DFC"/>
    <w:rsid w:val="006D2707"/>
    <w:rsid w:val="006D280D"/>
    <w:rsid w:val="006D2939"/>
    <w:rsid w:val="006D2A81"/>
    <w:rsid w:val="006D323F"/>
    <w:rsid w:val="006D362B"/>
    <w:rsid w:val="006D3C73"/>
    <w:rsid w:val="006D3C7D"/>
    <w:rsid w:val="006D3EB3"/>
    <w:rsid w:val="006D43C6"/>
    <w:rsid w:val="006D4659"/>
    <w:rsid w:val="006D4CAF"/>
    <w:rsid w:val="006D52C3"/>
    <w:rsid w:val="006D575C"/>
    <w:rsid w:val="006D5B1B"/>
    <w:rsid w:val="006D5D5F"/>
    <w:rsid w:val="006D6186"/>
    <w:rsid w:val="006D6574"/>
    <w:rsid w:val="006D68FB"/>
    <w:rsid w:val="006D71E4"/>
    <w:rsid w:val="006D759A"/>
    <w:rsid w:val="006D7709"/>
    <w:rsid w:val="006D7796"/>
    <w:rsid w:val="006D7827"/>
    <w:rsid w:val="006D7865"/>
    <w:rsid w:val="006D7D75"/>
    <w:rsid w:val="006E0042"/>
    <w:rsid w:val="006E01B0"/>
    <w:rsid w:val="006E0E45"/>
    <w:rsid w:val="006E22AF"/>
    <w:rsid w:val="006E2627"/>
    <w:rsid w:val="006E2868"/>
    <w:rsid w:val="006E2A95"/>
    <w:rsid w:val="006E32CE"/>
    <w:rsid w:val="006E3902"/>
    <w:rsid w:val="006E4C94"/>
    <w:rsid w:val="006E4D1F"/>
    <w:rsid w:val="006E5372"/>
    <w:rsid w:val="006E550D"/>
    <w:rsid w:val="006E5622"/>
    <w:rsid w:val="006E5634"/>
    <w:rsid w:val="006E5758"/>
    <w:rsid w:val="006E5983"/>
    <w:rsid w:val="006E5BC1"/>
    <w:rsid w:val="006E5E60"/>
    <w:rsid w:val="006E61AE"/>
    <w:rsid w:val="006E7496"/>
    <w:rsid w:val="006E7618"/>
    <w:rsid w:val="006E7F3B"/>
    <w:rsid w:val="006E7F4C"/>
    <w:rsid w:val="006F0734"/>
    <w:rsid w:val="006F1E32"/>
    <w:rsid w:val="006F2514"/>
    <w:rsid w:val="006F306C"/>
    <w:rsid w:val="006F3D87"/>
    <w:rsid w:val="006F44DE"/>
    <w:rsid w:val="006F52BB"/>
    <w:rsid w:val="006F56E1"/>
    <w:rsid w:val="006F576D"/>
    <w:rsid w:val="006F583D"/>
    <w:rsid w:val="006F591E"/>
    <w:rsid w:val="006F5CD0"/>
    <w:rsid w:val="006F5E2C"/>
    <w:rsid w:val="006F6108"/>
    <w:rsid w:val="006F63A5"/>
    <w:rsid w:val="006F6C62"/>
    <w:rsid w:val="006F70BD"/>
    <w:rsid w:val="006F7297"/>
    <w:rsid w:val="006F7804"/>
    <w:rsid w:val="0070060B"/>
    <w:rsid w:val="0070116B"/>
    <w:rsid w:val="0070142B"/>
    <w:rsid w:val="00701931"/>
    <w:rsid w:val="00701DB1"/>
    <w:rsid w:val="00702695"/>
    <w:rsid w:val="0070276E"/>
    <w:rsid w:val="007027A1"/>
    <w:rsid w:val="007027AC"/>
    <w:rsid w:val="00702C50"/>
    <w:rsid w:val="00702E79"/>
    <w:rsid w:val="00702F8F"/>
    <w:rsid w:val="00703DC7"/>
    <w:rsid w:val="007042CB"/>
    <w:rsid w:val="007043E0"/>
    <w:rsid w:val="007065CA"/>
    <w:rsid w:val="00706D04"/>
    <w:rsid w:val="00706ED7"/>
    <w:rsid w:val="00706F9E"/>
    <w:rsid w:val="00707918"/>
    <w:rsid w:val="007079FC"/>
    <w:rsid w:val="007104B9"/>
    <w:rsid w:val="007108AF"/>
    <w:rsid w:val="00710D1F"/>
    <w:rsid w:val="00710DBE"/>
    <w:rsid w:val="00711323"/>
    <w:rsid w:val="007114F2"/>
    <w:rsid w:val="00711766"/>
    <w:rsid w:val="00711A36"/>
    <w:rsid w:val="007125D3"/>
    <w:rsid w:val="0071306E"/>
    <w:rsid w:val="00713637"/>
    <w:rsid w:val="00713A2A"/>
    <w:rsid w:val="00714707"/>
    <w:rsid w:val="00714C26"/>
    <w:rsid w:val="00714CD9"/>
    <w:rsid w:val="0071529C"/>
    <w:rsid w:val="00715621"/>
    <w:rsid w:val="007161A6"/>
    <w:rsid w:val="007168DB"/>
    <w:rsid w:val="00716C9A"/>
    <w:rsid w:val="007170DA"/>
    <w:rsid w:val="007172A3"/>
    <w:rsid w:val="007172AD"/>
    <w:rsid w:val="00717546"/>
    <w:rsid w:val="00717948"/>
    <w:rsid w:val="007179CB"/>
    <w:rsid w:val="007179CE"/>
    <w:rsid w:val="00717BB4"/>
    <w:rsid w:val="00717D30"/>
    <w:rsid w:val="0072028A"/>
    <w:rsid w:val="0072057D"/>
    <w:rsid w:val="00720666"/>
    <w:rsid w:val="00720801"/>
    <w:rsid w:val="00720DBD"/>
    <w:rsid w:val="00721337"/>
    <w:rsid w:val="0072197D"/>
    <w:rsid w:val="00721EA3"/>
    <w:rsid w:val="007221B5"/>
    <w:rsid w:val="00722AE0"/>
    <w:rsid w:val="00722B1B"/>
    <w:rsid w:val="00722C84"/>
    <w:rsid w:val="00722E46"/>
    <w:rsid w:val="00723160"/>
    <w:rsid w:val="00723B0E"/>
    <w:rsid w:val="00723B9A"/>
    <w:rsid w:val="0072416F"/>
    <w:rsid w:val="00724453"/>
    <w:rsid w:val="00724997"/>
    <w:rsid w:val="00724A39"/>
    <w:rsid w:val="0072530E"/>
    <w:rsid w:val="00725446"/>
    <w:rsid w:val="00726F86"/>
    <w:rsid w:val="00726FAC"/>
    <w:rsid w:val="00727B9C"/>
    <w:rsid w:val="00727C94"/>
    <w:rsid w:val="00730503"/>
    <w:rsid w:val="007305BC"/>
    <w:rsid w:val="00730E41"/>
    <w:rsid w:val="00730E9E"/>
    <w:rsid w:val="00731211"/>
    <w:rsid w:val="00731B0A"/>
    <w:rsid w:val="00731EAE"/>
    <w:rsid w:val="00732204"/>
    <w:rsid w:val="00732238"/>
    <w:rsid w:val="00732536"/>
    <w:rsid w:val="00733073"/>
    <w:rsid w:val="00733852"/>
    <w:rsid w:val="007341CC"/>
    <w:rsid w:val="0073432F"/>
    <w:rsid w:val="00734578"/>
    <w:rsid w:val="007346FF"/>
    <w:rsid w:val="00734C4E"/>
    <w:rsid w:val="00735033"/>
    <w:rsid w:val="00735328"/>
    <w:rsid w:val="00735673"/>
    <w:rsid w:val="00735774"/>
    <w:rsid w:val="0073621F"/>
    <w:rsid w:val="00736659"/>
    <w:rsid w:val="0073685B"/>
    <w:rsid w:val="00736A47"/>
    <w:rsid w:val="00736B31"/>
    <w:rsid w:val="00736D57"/>
    <w:rsid w:val="007374C7"/>
    <w:rsid w:val="00737B7B"/>
    <w:rsid w:val="00737DBB"/>
    <w:rsid w:val="00740071"/>
    <w:rsid w:val="00740130"/>
    <w:rsid w:val="007409DC"/>
    <w:rsid w:val="0074123E"/>
    <w:rsid w:val="00741548"/>
    <w:rsid w:val="00741623"/>
    <w:rsid w:val="00741D85"/>
    <w:rsid w:val="00741E9B"/>
    <w:rsid w:val="007424BA"/>
    <w:rsid w:val="007427E1"/>
    <w:rsid w:val="00744027"/>
    <w:rsid w:val="007449BF"/>
    <w:rsid w:val="00744B43"/>
    <w:rsid w:val="007451C4"/>
    <w:rsid w:val="007452CC"/>
    <w:rsid w:val="00745532"/>
    <w:rsid w:val="00745BFB"/>
    <w:rsid w:val="00746288"/>
    <w:rsid w:val="007463FE"/>
    <w:rsid w:val="00746BC0"/>
    <w:rsid w:val="00746F40"/>
    <w:rsid w:val="00747511"/>
    <w:rsid w:val="00747802"/>
    <w:rsid w:val="00747FCF"/>
    <w:rsid w:val="007500A3"/>
    <w:rsid w:val="00750FD8"/>
    <w:rsid w:val="007510B4"/>
    <w:rsid w:val="00751D0B"/>
    <w:rsid w:val="00752142"/>
    <w:rsid w:val="0075225F"/>
    <w:rsid w:val="00752318"/>
    <w:rsid w:val="007523F9"/>
    <w:rsid w:val="00752536"/>
    <w:rsid w:val="00752563"/>
    <w:rsid w:val="00752D95"/>
    <w:rsid w:val="0075357E"/>
    <w:rsid w:val="007535A3"/>
    <w:rsid w:val="007537AB"/>
    <w:rsid w:val="00753B29"/>
    <w:rsid w:val="00753C83"/>
    <w:rsid w:val="00754911"/>
    <w:rsid w:val="00754B68"/>
    <w:rsid w:val="00755421"/>
    <w:rsid w:val="00755705"/>
    <w:rsid w:val="00755820"/>
    <w:rsid w:val="00755902"/>
    <w:rsid w:val="00755D2B"/>
    <w:rsid w:val="007564A3"/>
    <w:rsid w:val="00756705"/>
    <w:rsid w:val="00756B77"/>
    <w:rsid w:val="007573E8"/>
    <w:rsid w:val="00757A53"/>
    <w:rsid w:val="00760300"/>
    <w:rsid w:val="00760AB3"/>
    <w:rsid w:val="00760C4E"/>
    <w:rsid w:val="00760CBA"/>
    <w:rsid w:val="00760F9E"/>
    <w:rsid w:val="00760FDF"/>
    <w:rsid w:val="0076104B"/>
    <w:rsid w:val="00761465"/>
    <w:rsid w:val="007616E6"/>
    <w:rsid w:val="00762212"/>
    <w:rsid w:val="00762382"/>
    <w:rsid w:val="007623A6"/>
    <w:rsid w:val="007623FF"/>
    <w:rsid w:val="007627BE"/>
    <w:rsid w:val="007634D0"/>
    <w:rsid w:val="007641A3"/>
    <w:rsid w:val="007644B1"/>
    <w:rsid w:val="007648C0"/>
    <w:rsid w:val="00764CA3"/>
    <w:rsid w:val="00764F03"/>
    <w:rsid w:val="0076520D"/>
    <w:rsid w:val="00765B1A"/>
    <w:rsid w:val="00765DC1"/>
    <w:rsid w:val="00765FE4"/>
    <w:rsid w:val="00766017"/>
    <w:rsid w:val="00766222"/>
    <w:rsid w:val="00766EC9"/>
    <w:rsid w:val="0077032F"/>
    <w:rsid w:val="00770341"/>
    <w:rsid w:val="0077038F"/>
    <w:rsid w:val="00770B76"/>
    <w:rsid w:val="00770EF9"/>
    <w:rsid w:val="007713D9"/>
    <w:rsid w:val="00771782"/>
    <w:rsid w:val="00773AB6"/>
    <w:rsid w:val="00773E3E"/>
    <w:rsid w:val="007743EC"/>
    <w:rsid w:val="0077523B"/>
    <w:rsid w:val="00775661"/>
    <w:rsid w:val="0077616F"/>
    <w:rsid w:val="00776369"/>
    <w:rsid w:val="00777335"/>
    <w:rsid w:val="007779B3"/>
    <w:rsid w:val="007779CF"/>
    <w:rsid w:val="0078067A"/>
    <w:rsid w:val="007807AB"/>
    <w:rsid w:val="00780985"/>
    <w:rsid w:val="00780A5D"/>
    <w:rsid w:val="00780ED0"/>
    <w:rsid w:val="007815E1"/>
    <w:rsid w:val="00781829"/>
    <w:rsid w:val="00781B75"/>
    <w:rsid w:val="00781DA6"/>
    <w:rsid w:val="00781FD9"/>
    <w:rsid w:val="00783360"/>
    <w:rsid w:val="007835D4"/>
    <w:rsid w:val="007843F2"/>
    <w:rsid w:val="007846FA"/>
    <w:rsid w:val="00784A2F"/>
    <w:rsid w:val="00785015"/>
    <w:rsid w:val="007852C0"/>
    <w:rsid w:val="007857C4"/>
    <w:rsid w:val="00785A43"/>
    <w:rsid w:val="00785A9F"/>
    <w:rsid w:val="00785C11"/>
    <w:rsid w:val="00786704"/>
    <w:rsid w:val="007871A0"/>
    <w:rsid w:val="00787A20"/>
    <w:rsid w:val="00787DBF"/>
    <w:rsid w:val="007903DF"/>
    <w:rsid w:val="0079081D"/>
    <w:rsid w:val="0079099F"/>
    <w:rsid w:val="00790CD7"/>
    <w:rsid w:val="007912E7"/>
    <w:rsid w:val="0079142D"/>
    <w:rsid w:val="00791617"/>
    <w:rsid w:val="00791BFB"/>
    <w:rsid w:val="00791FC3"/>
    <w:rsid w:val="0079220F"/>
    <w:rsid w:val="00792489"/>
    <w:rsid w:val="0079249C"/>
    <w:rsid w:val="007925DF"/>
    <w:rsid w:val="007926B1"/>
    <w:rsid w:val="00793BC7"/>
    <w:rsid w:val="007940BB"/>
    <w:rsid w:val="0079463C"/>
    <w:rsid w:val="00794721"/>
    <w:rsid w:val="007947BA"/>
    <w:rsid w:val="007957FD"/>
    <w:rsid w:val="00795980"/>
    <w:rsid w:val="00795F23"/>
    <w:rsid w:val="0079607F"/>
    <w:rsid w:val="00796110"/>
    <w:rsid w:val="00796E23"/>
    <w:rsid w:val="0079728C"/>
    <w:rsid w:val="007976FD"/>
    <w:rsid w:val="0079770E"/>
    <w:rsid w:val="0079784C"/>
    <w:rsid w:val="00797A74"/>
    <w:rsid w:val="007A0877"/>
    <w:rsid w:val="007A08AA"/>
    <w:rsid w:val="007A0A12"/>
    <w:rsid w:val="007A0C40"/>
    <w:rsid w:val="007A0C63"/>
    <w:rsid w:val="007A0C7D"/>
    <w:rsid w:val="007A11AA"/>
    <w:rsid w:val="007A123C"/>
    <w:rsid w:val="007A132D"/>
    <w:rsid w:val="007A1345"/>
    <w:rsid w:val="007A16B1"/>
    <w:rsid w:val="007A2047"/>
    <w:rsid w:val="007A21BC"/>
    <w:rsid w:val="007A2245"/>
    <w:rsid w:val="007A2763"/>
    <w:rsid w:val="007A2900"/>
    <w:rsid w:val="007A2DDB"/>
    <w:rsid w:val="007A3FC0"/>
    <w:rsid w:val="007A4710"/>
    <w:rsid w:val="007A4CE4"/>
    <w:rsid w:val="007A5431"/>
    <w:rsid w:val="007A5775"/>
    <w:rsid w:val="007A5BFC"/>
    <w:rsid w:val="007A5C5C"/>
    <w:rsid w:val="007A6409"/>
    <w:rsid w:val="007A6958"/>
    <w:rsid w:val="007A6A0F"/>
    <w:rsid w:val="007A6C86"/>
    <w:rsid w:val="007A70BA"/>
    <w:rsid w:val="007A72F7"/>
    <w:rsid w:val="007B03BA"/>
    <w:rsid w:val="007B04DE"/>
    <w:rsid w:val="007B0653"/>
    <w:rsid w:val="007B0D68"/>
    <w:rsid w:val="007B0E06"/>
    <w:rsid w:val="007B14F0"/>
    <w:rsid w:val="007B1946"/>
    <w:rsid w:val="007B196C"/>
    <w:rsid w:val="007B1E0A"/>
    <w:rsid w:val="007B251D"/>
    <w:rsid w:val="007B2C1F"/>
    <w:rsid w:val="007B3533"/>
    <w:rsid w:val="007B354F"/>
    <w:rsid w:val="007B3755"/>
    <w:rsid w:val="007B44E7"/>
    <w:rsid w:val="007B46BF"/>
    <w:rsid w:val="007B46EF"/>
    <w:rsid w:val="007B48D8"/>
    <w:rsid w:val="007B4AC5"/>
    <w:rsid w:val="007B4F58"/>
    <w:rsid w:val="007B528D"/>
    <w:rsid w:val="007B5362"/>
    <w:rsid w:val="007B5C34"/>
    <w:rsid w:val="007B5C9D"/>
    <w:rsid w:val="007B635A"/>
    <w:rsid w:val="007B6365"/>
    <w:rsid w:val="007B63CA"/>
    <w:rsid w:val="007B64E5"/>
    <w:rsid w:val="007B66F5"/>
    <w:rsid w:val="007B67A1"/>
    <w:rsid w:val="007B6951"/>
    <w:rsid w:val="007B6BBD"/>
    <w:rsid w:val="007B6C55"/>
    <w:rsid w:val="007B7259"/>
    <w:rsid w:val="007B7728"/>
    <w:rsid w:val="007B77D1"/>
    <w:rsid w:val="007B7FE6"/>
    <w:rsid w:val="007C0083"/>
    <w:rsid w:val="007C07C7"/>
    <w:rsid w:val="007C094E"/>
    <w:rsid w:val="007C0BAB"/>
    <w:rsid w:val="007C0BD8"/>
    <w:rsid w:val="007C0D15"/>
    <w:rsid w:val="007C0F8B"/>
    <w:rsid w:val="007C1278"/>
    <w:rsid w:val="007C13AA"/>
    <w:rsid w:val="007C17E9"/>
    <w:rsid w:val="007C1A30"/>
    <w:rsid w:val="007C1CD9"/>
    <w:rsid w:val="007C215A"/>
    <w:rsid w:val="007C23BB"/>
    <w:rsid w:val="007C2474"/>
    <w:rsid w:val="007C32EF"/>
    <w:rsid w:val="007C3336"/>
    <w:rsid w:val="007C336E"/>
    <w:rsid w:val="007C361D"/>
    <w:rsid w:val="007C3AA8"/>
    <w:rsid w:val="007C3FBA"/>
    <w:rsid w:val="007C47B2"/>
    <w:rsid w:val="007C4A4C"/>
    <w:rsid w:val="007C4B84"/>
    <w:rsid w:val="007C4C88"/>
    <w:rsid w:val="007C4CE1"/>
    <w:rsid w:val="007C5ECC"/>
    <w:rsid w:val="007C640E"/>
    <w:rsid w:val="007C67C5"/>
    <w:rsid w:val="007C6853"/>
    <w:rsid w:val="007C69AE"/>
    <w:rsid w:val="007C6B9E"/>
    <w:rsid w:val="007C70FF"/>
    <w:rsid w:val="007C753A"/>
    <w:rsid w:val="007C7567"/>
    <w:rsid w:val="007C7A6E"/>
    <w:rsid w:val="007C7B76"/>
    <w:rsid w:val="007C7C25"/>
    <w:rsid w:val="007D004F"/>
    <w:rsid w:val="007D0281"/>
    <w:rsid w:val="007D035F"/>
    <w:rsid w:val="007D05BA"/>
    <w:rsid w:val="007D06B2"/>
    <w:rsid w:val="007D0B38"/>
    <w:rsid w:val="007D1AF9"/>
    <w:rsid w:val="007D1DFE"/>
    <w:rsid w:val="007D2046"/>
    <w:rsid w:val="007D2CC0"/>
    <w:rsid w:val="007D2F25"/>
    <w:rsid w:val="007D2FA9"/>
    <w:rsid w:val="007D3338"/>
    <w:rsid w:val="007D3B43"/>
    <w:rsid w:val="007D3E9F"/>
    <w:rsid w:val="007D4C33"/>
    <w:rsid w:val="007D516D"/>
    <w:rsid w:val="007D5440"/>
    <w:rsid w:val="007D56FE"/>
    <w:rsid w:val="007D5BA4"/>
    <w:rsid w:val="007D6297"/>
    <w:rsid w:val="007D62EF"/>
    <w:rsid w:val="007D69EB"/>
    <w:rsid w:val="007D72F2"/>
    <w:rsid w:val="007D7B54"/>
    <w:rsid w:val="007E0412"/>
    <w:rsid w:val="007E07A0"/>
    <w:rsid w:val="007E128F"/>
    <w:rsid w:val="007E19C1"/>
    <w:rsid w:val="007E1FC2"/>
    <w:rsid w:val="007E2CB0"/>
    <w:rsid w:val="007E2D11"/>
    <w:rsid w:val="007E30F6"/>
    <w:rsid w:val="007E34C4"/>
    <w:rsid w:val="007E37E8"/>
    <w:rsid w:val="007E397D"/>
    <w:rsid w:val="007E3BF3"/>
    <w:rsid w:val="007E3FD0"/>
    <w:rsid w:val="007E4479"/>
    <w:rsid w:val="007E4AD2"/>
    <w:rsid w:val="007E4BC6"/>
    <w:rsid w:val="007E4D56"/>
    <w:rsid w:val="007E4F00"/>
    <w:rsid w:val="007E52CB"/>
    <w:rsid w:val="007E534C"/>
    <w:rsid w:val="007E5B1A"/>
    <w:rsid w:val="007E66D8"/>
    <w:rsid w:val="007E6E09"/>
    <w:rsid w:val="007E70B7"/>
    <w:rsid w:val="007F0209"/>
    <w:rsid w:val="007F0373"/>
    <w:rsid w:val="007F048C"/>
    <w:rsid w:val="007F1017"/>
    <w:rsid w:val="007F1938"/>
    <w:rsid w:val="007F1D50"/>
    <w:rsid w:val="007F221D"/>
    <w:rsid w:val="007F3323"/>
    <w:rsid w:val="007F4071"/>
    <w:rsid w:val="007F4270"/>
    <w:rsid w:val="007F49B6"/>
    <w:rsid w:val="007F4A3F"/>
    <w:rsid w:val="007F4A61"/>
    <w:rsid w:val="007F5105"/>
    <w:rsid w:val="007F5255"/>
    <w:rsid w:val="007F56CC"/>
    <w:rsid w:val="007F58BD"/>
    <w:rsid w:val="007F5C84"/>
    <w:rsid w:val="007F5F2B"/>
    <w:rsid w:val="007F61C2"/>
    <w:rsid w:val="007F66B3"/>
    <w:rsid w:val="007F79C0"/>
    <w:rsid w:val="007F7CF0"/>
    <w:rsid w:val="0080018B"/>
    <w:rsid w:val="008007EF"/>
    <w:rsid w:val="00800971"/>
    <w:rsid w:val="00801856"/>
    <w:rsid w:val="00801BA9"/>
    <w:rsid w:val="00801C2C"/>
    <w:rsid w:val="00801FAA"/>
    <w:rsid w:val="00802218"/>
    <w:rsid w:val="0080223A"/>
    <w:rsid w:val="00802EAD"/>
    <w:rsid w:val="008031FE"/>
    <w:rsid w:val="008036D3"/>
    <w:rsid w:val="00803ECD"/>
    <w:rsid w:val="00804A75"/>
    <w:rsid w:val="00804FC4"/>
    <w:rsid w:val="00805142"/>
    <w:rsid w:val="00805FCE"/>
    <w:rsid w:val="00806695"/>
    <w:rsid w:val="00806E9B"/>
    <w:rsid w:val="0080737C"/>
    <w:rsid w:val="00807789"/>
    <w:rsid w:val="00807A6B"/>
    <w:rsid w:val="00807A8B"/>
    <w:rsid w:val="00807ABA"/>
    <w:rsid w:val="00807CAF"/>
    <w:rsid w:val="00810304"/>
    <w:rsid w:val="00810DE9"/>
    <w:rsid w:val="00810F4A"/>
    <w:rsid w:val="00811383"/>
    <w:rsid w:val="0081180D"/>
    <w:rsid w:val="00811E85"/>
    <w:rsid w:val="00812149"/>
    <w:rsid w:val="00812907"/>
    <w:rsid w:val="00812CAC"/>
    <w:rsid w:val="00812D4F"/>
    <w:rsid w:val="00812F3B"/>
    <w:rsid w:val="0081302D"/>
    <w:rsid w:val="0081332C"/>
    <w:rsid w:val="00813AA4"/>
    <w:rsid w:val="00813CCF"/>
    <w:rsid w:val="008158C8"/>
    <w:rsid w:val="0081593F"/>
    <w:rsid w:val="00815B31"/>
    <w:rsid w:val="00816361"/>
    <w:rsid w:val="008166EF"/>
    <w:rsid w:val="00816E57"/>
    <w:rsid w:val="00816FEF"/>
    <w:rsid w:val="00817232"/>
    <w:rsid w:val="00817722"/>
    <w:rsid w:val="00817E25"/>
    <w:rsid w:val="00820A8C"/>
    <w:rsid w:val="0082105D"/>
    <w:rsid w:val="008215FB"/>
    <w:rsid w:val="0082200C"/>
    <w:rsid w:val="008220CC"/>
    <w:rsid w:val="008225AA"/>
    <w:rsid w:val="0082297E"/>
    <w:rsid w:val="00822B37"/>
    <w:rsid w:val="00822E26"/>
    <w:rsid w:val="00823174"/>
    <w:rsid w:val="00823373"/>
    <w:rsid w:val="008235B4"/>
    <w:rsid w:val="00823B42"/>
    <w:rsid w:val="00823DBD"/>
    <w:rsid w:val="008248F8"/>
    <w:rsid w:val="00824F0E"/>
    <w:rsid w:val="00824FD9"/>
    <w:rsid w:val="00825751"/>
    <w:rsid w:val="00825ACB"/>
    <w:rsid w:val="008264EB"/>
    <w:rsid w:val="00826842"/>
    <w:rsid w:val="008268CE"/>
    <w:rsid w:val="00826E39"/>
    <w:rsid w:val="00827390"/>
    <w:rsid w:val="00827C23"/>
    <w:rsid w:val="00827E5E"/>
    <w:rsid w:val="008305EA"/>
    <w:rsid w:val="00830BD5"/>
    <w:rsid w:val="00830C3F"/>
    <w:rsid w:val="00831158"/>
    <w:rsid w:val="00831516"/>
    <w:rsid w:val="00831521"/>
    <w:rsid w:val="008315BE"/>
    <w:rsid w:val="00831B93"/>
    <w:rsid w:val="00831F1B"/>
    <w:rsid w:val="00832781"/>
    <w:rsid w:val="00832998"/>
    <w:rsid w:val="00832F0A"/>
    <w:rsid w:val="00833493"/>
    <w:rsid w:val="00833AD3"/>
    <w:rsid w:val="00833B05"/>
    <w:rsid w:val="00833E5F"/>
    <w:rsid w:val="00833F2F"/>
    <w:rsid w:val="008343B6"/>
    <w:rsid w:val="008344E0"/>
    <w:rsid w:val="00834A6B"/>
    <w:rsid w:val="00835C33"/>
    <w:rsid w:val="008362B4"/>
    <w:rsid w:val="00836457"/>
    <w:rsid w:val="00836ACA"/>
    <w:rsid w:val="00836D2F"/>
    <w:rsid w:val="00837260"/>
    <w:rsid w:val="00840100"/>
    <w:rsid w:val="00840CA2"/>
    <w:rsid w:val="0084144E"/>
    <w:rsid w:val="008414A1"/>
    <w:rsid w:val="00841705"/>
    <w:rsid w:val="008418F2"/>
    <w:rsid w:val="00841B1A"/>
    <w:rsid w:val="00841BAA"/>
    <w:rsid w:val="00841E20"/>
    <w:rsid w:val="00842ABD"/>
    <w:rsid w:val="008432A0"/>
    <w:rsid w:val="0084362B"/>
    <w:rsid w:val="0084374F"/>
    <w:rsid w:val="00843AB4"/>
    <w:rsid w:val="00843F95"/>
    <w:rsid w:val="00844A22"/>
    <w:rsid w:val="00844BE4"/>
    <w:rsid w:val="008453E0"/>
    <w:rsid w:val="008457D3"/>
    <w:rsid w:val="0084598C"/>
    <w:rsid w:val="00845D64"/>
    <w:rsid w:val="00846173"/>
    <w:rsid w:val="008461C3"/>
    <w:rsid w:val="00846231"/>
    <w:rsid w:val="00846241"/>
    <w:rsid w:val="008469D9"/>
    <w:rsid w:val="00846D9A"/>
    <w:rsid w:val="0084725C"/>
    <w:rsid w:val="0084743B"/>
    <w:rsid w:val="00847703"/>
    <w:rsid w:val="0084772E"/>
    <w:rsid w:val="00847DF5"/>
    <w:rsid w:val="00847EB5"/>
    <w:rsid w:val="00850BA1"/>
    <w:rsid w:val="00850D13"/>
    <w:rsid w:val="008511F3"/>
    <w:rsid w:val="00852D00"/>
    <w:rsid w:val="0085309D"/>
    <w:rsid w:val="008531B2"/>
    <w:rsid w:val="00853730"/>
    <w:rsid w:val="0085416C"/>
    <w:rsid w:val="008553DD"/>
    <w:rsid w:val="00855B44"/>
    <w:rsid w:val="0085669B"/>
    <w:rsid w:val="008566FE"/>
    <w:rsid w:val="00856897"/>
    <w:rsid w:val="00856E9A"/>
    <w:rsid w:val="00857465"/>
    <w:rsid w:val="00857937"/>
    <w:rsid w:val="00857BBA"/>
    <w:rsid w:val="00857DC3"/>
    <w:rsid w:val="00860742"/>
    <w:rsid w:val="0086075D"/>
    <w:rsid w:val="00860B07"/>
    <w:rsid w:val="00860BF3"/>
    <w:rsid w:val="00860DB9"/>
    <w:rsid w:val="008611D0"/>
    <w:rsid w:val="008614B6"/>
    <w:rsid w:val="00861AEF"/>
    <w:rsid w:val="00862502"/>
    <w:rsid w:val="00862C99"/>
    <w:rsid w:val="00862CAE"/>
    <w:rsid w:val="00862CC1"/>
    <w:rsid w:val="00862D41"/>
    <w:rsid w:val="008642A7"/>
    <w:rsid w:val="00864490"/>
    <w:rsid w:val="008649E7"/>
    <w:rsid w:val="0086518D"/>
    <w:rsid w:val="00865435"/>
    <w:rsid w:val="0086560A"/>
    <w:rsid w:val="00865A30"/>
    <w:rsid w:val="00865A4F"/>
    <w:rsid w:val="00865E73"/>
    <w:rsid w:val="008660D4"/>
    <w:rsid w:val="0086727F"/>
    <w:rsid w:val="00867722"/>
    <w:rsid w:val="00867C74"/>
    <w:rsid w:val="00870358"/>
    <w:rsid w:val="00870475"/>
    <w:rsid w:val="0087051F"/>
    <w:rsid w:val="00870561"/>
    <w:rsid w:val="008706D5"/>
    <w:rsid w:val="00870EED"/>
    <w:rsid w:val="0087176C"/>
    <w:rsid w:val="00871FA9"/>
    <w:rsid w:val="00872296"/>
    <w:rsid w:val="00872453"/>
    <w:rsid w:val="008727A8"/>
    <w:rsid w:val="008728E9"/>
    <w:rsid w:val="00872A92"/>
    <w:rsid w:val="00873B7D"/>
    <w:rsid w:val="00873EC5"/>
    <w:rsid w:val="00873F25"/>
    <w:rsid w:val="008742B6"/>
    <w:rsid w:val="00874AAC"/>
    <w:rsid w:val="00874BC9"/>
    <w:rsid w:val="00874DD2"/>
    <w:rsid w:val="00876256"/>
    <w:rsid w:val="00876A9E"/>
    <w:rsid w:val="00877017"/>
    <w:rsid w:val="00877801"/>
    <w:rsid w:val="008778E5"/>
    <w:rsid w:val="008801C1"/>
    <w:rsid w:val="00880470"/>
    <w:rsid w:val="0088052F"/>
    <w:rsid w:val="008805F7"/>
    <w:rsid w:val="008809BA"/>
    <w:rsid w:val="00880CB1"/>
    <w:rsid w:val="008811F4"/>
    <w:rsid w:val="008819D9"/>
    <w:rsid w:val="008825A1"/>
    <w:rsid w:val="00882649"/>
    <w:rsid w:val="0088271D"/>
    <w:rsid w:val="00882865"/>
    <w:rsid w:val="00882874"/>
    <w:rsid w:val="00882E3C"/>
    <w:rsid w:val="0088308A"/>
    <w:rsid w:val="00883787"/>
    <w:rsid w:val="0088470D"/>
    <w:rsid w:val="00884EFB"/>
    <w:rsid w:val="008851C1"/>
    <w:rsid w:val="008855E4"/>
    <w:rsid w:val="00885605"/>
    <w:rsid w:val="00885F90"/>
    <w:rsid w:val="00886200"/>
    <w:rsid w:val="00886B62"/>
    <w:rsid w:val="00886C54"/>
    <w:rsid w:val="00886CD2"/>
    <w:rsid w:val="00886F07"/>
    <w:rsid w:val="00887733"/>
    <w:rsid w:val="0088774A"/>
    <w:rsid w:val="00887A59"/>
    <w:rsid w:val="00890353"/>
    <w:rsid w:val="00890592"/>
    <w:rsid w:val="00890B51"/>
    <w:rsid w:val="00891650"/>
    <w:rsid w:val="00891E6F"/>
    <w:rsid w:val="00892297"/>
    <w:rsid w:val="0089275D"/>
    <w:rsid w:val="00892A36"/>
    <w:rsid w:val="00892C7F"/>
    <w:rsid w:val="00892E1B"/>
    <w:rsid w:val="00893239"/>
    <w:rsid w:val="00893354"/>
    <w:rsid w:val="0089411E"/>
    <w:rsid w:val="008941F1"/>
    <w:rsid w:val="00894489"/>
    <w:rsid w:val="008946B2"/>
    <w:rsid w:val="008946D0"/>
    <w:rsid w:val="00894CD6"/>
    <w:rsid w:val="00894E87"/>
    <w:rsid w:val="0089531C"/>
    <w:rsid w:val="0089555C"/>
    <w:rsid w:val="00895686"/>
    <w:rsid w:val="0089574D"/>
    <w:rsid w:val="0089601D"/>
    <w:rsid w:val="008963A5"/>
    <w:rsid w:val="00896574"/>
    <w:rsid w:val="00896D5D"/>
    <w:rsid w:val="00896E8F"/>
    <w:rsid w:val="00897A7F"/>
    <w:rsid w:val="00897BAF"/>
    <w:rsid w:val="008A006D"/>
    <w:rsid w:val="008A16EA"/>
    <w:rsid w:val="008A195E"/>
    <w:rsid w:val="008A1FA7"/>
    <w:rsid w:val="008A240A"/>
    <w:rsid w:val="008A24A7"/>
    <w:rsid w:val="008A24C4"/>
    <w:rsid w:val="008A28FF"/>
    <w:rsid w:val="008A2DC1"/>
    <w:rsid w:val="008A30E4"/>
    <w:rsid w:val="008A3158"/>
    <w:rsid w:val="008A3363"/>
    <w:rsid w:val="008A3371"/>
    <w:rsid w:val="008A355A"/>
    <w:rsid w:val="008A3C3E"/>
    <w:rsid w:val="008A3ECC"/>
    <w:rsid w:val="008A4387"/>
    <w:rsid w:val="008A4E63"/>
    <w:rsid w:val="008A530B"/>
    <w:rsid w:val="008A55EA"/>
    <w:rsid w:val="008A59B9"/>
    <w:rsid w:val="008A5F6A"/>
    <w:rsid w:val="008A6637"/>
    <w:rsid w:val="008A6A8B"/>
    <w:rsid w:val="008A7167"/>
    <w:rsid w:val="008A7418"/>
    <w:rsid w:val="008A7579"/>
    <w:rsid w:val="008A79DE"/>
    <w:rsid w:val="008B0596"/>
    <w:rsid w:val="008B073D"/>
    <w:rsid w:val="008B0A15"/>
    <w:rsid w:val="008B14D7"/>
    <w:rsid w:val="008B1757"/>
    <w:rsid w:val="008B1C33"/>
    <w:rsid w:val="008B21DC"/>
    <w:rsid w:val="008B2630"/>
    <w:rsid w:val="008B3BC9"/>
    <w:rsid w:val="008B43F6"/>
    <w:rsid w:val="008B4B6F"/>
    <w:rsid w:val="008B5021"/>
    <w:rsid w:val="008B5E54"/>
    <w:rsid w:val="008B5EBD"/>
    <w:rsid w:val="008B6C26"/>
    <w:rsid w:val="008B7992"/>
    <w:rsid w:val="008B7D7E"/>
    <w:rsid w:val="008C0203"/>
    <w:rsid w:val="008C048D"/>
    <w:rsid w:val="008C0B34"/>
    <w:rsid w:val="008C0CE6"/>
    <w:rsid w:val="008C1328"/>
    <w:rsid w:val="008C1CC8"/>
    <w:rsid w:val="008C1F29"/>
    <w:rsid w:val="008C1FA8"/>
    <w:rsid w:val="008C37DC"/>
    <w:rsid w:val="008C388C"/>
    <w:rsid w:val="008C3A64"/>
    <w:rsid w:val="008C3B01"/>
    <w:rsid w:val="008C3C69"/>
    <w:rsid w:val="008C3F7B"/>
    <w:rsid w:val="008C3FFF"/>
    <w:rsid w:val="008C4427"/>
    <w:rsid w:val="008C4566"/>
    <w:rsid w:val="008C463B"/>
    <w:rsid w:val="008C4F12"/>
    <w:rsid w:val="008C5610"/>
    <w:rsid w:val="008C5739"/>
    <w:rsid w:val="008C57A5"/>
    <w:rsid w:val="008C57B4"/>
    <w:rsid w:val="008C5865"/>
    <w:rsid w:val="008C5B1F"/>
    <w:rsid w:val="008C5B36"/>
    <w:rsid w:val="008C6512"/>
    <w:rsid w:val="008C65EB"/>
    <w:rsid w:val="008C6AEE"/>
    <w:rsid w:val="008C6B26"/>
    <w:rsid w:val="008C6DBD"/>
    <w:rsid w:val="008C721E"/>
    <w:rsid w:val="008C7282"/>
    <w:rsid w:val="008C73FC"/>
    <w:rsid w:val="008C7578"/>
    <w:rsid w:val="008C7E8D"/>
    <w:rsid w:val="008C7ECB"/>
    <w:rsid w:val="008C7F75"/>
    <w:rsid w:val="008D0173"/>
    <w:rsid w:val="008D228C"/>
    <w:rsid w:val="008D2518"/>
    <w:rsid w:val="008D26C0"/>
    <w:rsid w:val="008D2CB3"/>
    <w:rsid w:val="008D2D14"/>
    <w:rsid w:val="008D3116"/>
    <w:rsid w:val="008D3B54"/>
    <w:rsid w:val="008D3B86"/>
    <w:rsid w:val="008D43FD"/>
    <w:rsid w:val="008D4592"/>
    <w:rsid w:val="008D4755"/>
    <w:rsid w:val="008D486A"/>
    <w:rsid w:val="008D4C3D"/>
    <w:rsid w:val="008D4FA8"/>
    <w:rsid w:val="008D50DC"/>
    <w:rsid w:val="008D5366"/>
    <w:rsid w:val="008D5736"/>
    <w:rsid w:val="008D6BCC"/>
    <w:rsid w:val="008D7200"/>
    <w:rsid w:val="008D743C"/>
    <w:rsid w:val="008D74F0"/>
    <w:rsid w:val="008D7908"/>
    <w:rsid w:val="008E0023"/>
    <w:rsid w:val="008E0163"/>
    <w:rsid w:val="008E0475"/>
    <w:rsid w:val="008E066C"/>
    <w:rsid w:val="008E0D3C"/>
    <w:rsid w:val="008E1B9E"/>
    <w:rsid w:val="008E1DF4"/>
    <w:rsid w:val="008E1E2E"/>
    <w:rsid w:val="008E2AF3"/>
    <w:rsid w:val="008E3DC4"/>
    <w:rsid w:val="008E432C"/>
    <w:rsid w:val="008E4371"/>
    <w:rsid w:val="008E43F9"/>
    <w:rsid w:val="008E50BA"/>
    <w:rsid w:val="008E557C"/>
    <w:rsid w:val="008E55AB"/>
    <w:rsid w:val="008E59DC"/>
    <w:rsid w:val="008E59F6"/>
    <w:rsid w:val="008E650C"/>
    <w:rsid w:val="008E692E"/>
    <w:rsid w:val="008E6DE3"/>
    <w:rsid w:val="008E722B"/>
    <w:rsid w:val="008E73DD"/>
    <w:rsid w:val="008E7451"/>
    <w:rsid w:val="008E7E55"/>
    <w:rsid w:val="008F120A"/>
    <w:rsid w:val="008F2033"/>
    <w:rsid w:val="008F2121"/>
    <w:rsid w:val="008F22F6"/>
    <w:rsid w:val="008F27D9"/>
    <w:rsid w:val="008F27E0"/>
    <w:rsid w:val="008F34F4"/>
    <w:rsid w:val="008F3F60"/>
    <w:rsid w:val="008F4109"/>
    <w:rsid w:val="008F48EB"/>
    <w:rsid w:val="008F4AD6"/>
    <w:rsid w:val="008F4D44"/>
    <w:rsid w:val="008F4D87"/>
    <w:rsid w:val="008F4E46"/>
    <w:rsid w:val="008F4F0B"/>
    <w:rsid w:val="008F52F5"/>
    <w:rsid w:val="008F5F42"/>
    <w:rsid w:val="008F6484"/>
    <w:rsid w:val="008F658F"/>
    <w:rsid w:val="008F6735"/>
    <w:rsid w:val="008F73DA"/>
    <w:rsid w:val="008F787D"/>
    <w:rsid w:val="00900047"/>
    <w:rsid w:val="009008B8"/>
    <w:rsid w:val="00901C82"/>
    <w:rsid w:val="009027D6"/>
    <w:rsid w:val="00902F5B"/>
    <w:rsid w:val="00902FEC"/>
    <w:rsid w:val="00903224"/>
    <w:rsid w:val="0090376B"/>
    <w:rsid w:val="00903B4E"/>
    <w:rsid w:val="00903D3D"/>
    <w:rsid w:val="009044B9"/>
    <w:rsid w:val="009046C4"/>
    <w:rsid w:val="009047D2"/>
    <w:rsid w:val="009049D6"/>
    <w:rsid w:val="00904B2B"/>
    <w:rsid w:val="0090539F"/>
    <w:rsid w:val="009053CD"/>
    <w:rsid w:val="00905611"/>
    <w:rsid w:val="009056FB"/>
    <w:rsid w:val="00905A5C"/>
    <w:rsid w:val="00905C0A"/>
    <w:rsid w:val="009062A5"/>
    <w:rsid w:val="00906FAF"/>
    <w:rsid w:val="00907007"/>
    <w:rsid w:val="00907699"/>
    <w:rsid w:val="00910054"/>
    <w:rsid w:val="00910838"/>
    <w:rsid w:val="00910CFD"/>
    <w:rsid w:val="00910FA7"/>
    <w:rsid w:val="00911272"/>
    <w:rsid w:val="00911339"/>
    <w:rsid w:val="009114AE"/>
    <w:rsid w:val="00911583"/>
    <w:rsid w:val="00911DD0"/>
    <w:rsid w:val="00911F5C"/>
    <w:rsid w:val="00911F75"/>
    <w:rsid w:val="009126BE"/>
    <w:rsid w:val="00912D91"/>
    <w:rsid w:val="009135D6"/>
    <w:rsid w:val="00913E14"/>
    <w:rsid w:val="0091418A"/>
    <w:rsid w:val="00914C77"/>
    <w:rsid w:val="00914E26"/>
    <w:rsid w:val="00915848"/>
    <w:rsid w:val="009158C9"/>
    <w:rsid w:val="0091773B"/>
    <w:rsid w:val="00920278"/>
    <w:rsid w:val="00920366"/>
    <w:rsid w:val="009206B3"/>
    <w:rsid w:val="0092080A"/>
    <w:rsid w:val="00921ACB"/>
    <w:rsid w:val="00921C2B"/>
    <w:rsid w:val="0092223A"/>
    <w:rsid w:val="0092281E"/>
    <w:rsid w:val="009235CE"/>
    <w:rsid w:val="0092369B"/>
    <w:rsid w:val="00924269"/>
    <w:rsid w:val="009251C3"/>
    <w:rsid w:val="00925679"/>
    <w:rsid w:val="009258CB"/>
    <w:rsid w:val="00925ACA"/>
    <w:rsid w:val="00925BE1"/>
    <w:rsid w:val="00925CF1"/>
    <w:rsid w:val="00925DD8"/>
    <w:rsid w:val="00926036"/>
    <w:rsid w:val="0092674A"/>
    <w:rsid w:val="0092775F"/>
    <w:rsid w:val="00927E7F"/>
    <w:rsid w:val="00930478"/>
    <w:rsid w:val="009326BE"/>
    <w:rsid w:val="009333F3"/>
    <w:rsid w:val="009335E7"/>
    <w:rsid w:val="00933708"/>
    <w:rsid w:val="00933A0C"/>
    <w:rsid w:val="00933E64"/>
    <w:rsid w:val="00933F41"/>
    <w:rsid w:val="00934988"/>
    <w:rsid w:val="00934CCB"/>
    <w:rsid w:val="00935C7B"/>
    <w:rsid w:val="00935D35"/>
    <w:rsid w:val="0093658C"/>
    <w:rsid w:val="00936C27"/>
    <w:rsid w:val="00937089"/>
    <w:rsid w:val="00937286"/>
    <w:rsid w:val="0093728F"/>
    <w:rsid w:val="00937A4E"/>
    <w:rsid w:val="0094044F"/>
    <w:rsid w:val="009409CA"/>
    <w:rsid w:val="00941F36"/>
    <w:rsid w:val="009423EB"/>
    <w:rsid w:val="009423F2"/>
    <w:rsid w:val="00942B08"/>
    <w:rsid w:val="00942B7B"/>
    <w:rsid w:val="00942C27"/>
    <w:rsid w:val="00942D86"/>
    <w:rsid w:val="009439F1"/>
    <w:rsid w:val="00944057"/>
    <w:rsid w:val="009443DE"/>
    <w:rsid w:val="0094461C"/>
    <w:rsid w:val="00944DAC"/>
    <w:rsid w:val="00944EF4"/>
    <w:rsid w:val="00944F8A"/>
    <w:rsid w:val="009456E7"/>
    <w:rsid w:val="0094637F"/>
    <w:rsid w:val="009466A2"/>
    <w:rsid w:val="009468C8"/>
    <w:rsid w:val="00946A04"/>
    <w:rsid w:val="00946ACE"/>
    <w:rsid w:val="00947372"/>
    <w:rsid w:val="00947E79"/>
    <w:rsid w:val="00950106"/>
    <w:rsid w:val="00950B1A"/>
    <w:rsid w:val="00950C82"/>
    <w:rsid w:val="009510A2"/>
    <w:rsid w:val="00951815"/>
    <w:rsid w:val="00951A24"/>
    <w:rsid w:val="00953066"/>
    <w:rsid w:val="00953257"/>
    <w:rsid w:val="0095344E"/>
    <w:rsid w:val="00953DF1"/>
    <w:rsid w:val="00954419"/>
    <w:rsid w:val="00954564"/>
    <w:rsid w:val="0095474C"/>
    <w:rsid w:val="009549FE"/>
    <w:rsid w:val="00954BFE"/>
    <w:rsid w:val="00954E5B"/>
    <w:rsid w:val="009554F2"/>
    <w:rsid w:val="009555C7"/>
    <w:rsid w:val="00955A1A"/>
    <w:rsid w:val="0095670D"/>
    <w:rsid w:val="009567B7"/>
    <w:rsid w:val="009568DD"/>
    <w:rsid w:val="00956B78"/>
    <w:rsid w:val="0095700F"/>
    <w:rsid w:val="009570E2"/>
    <w:rsid w:val="00957164"/>
    <w:rsid w:val="009571C2"/>
    <w:rsid w:val="009571CB"/>
    <w:rsid w:val="0095733C"/>
    <w:rsid w:val="00957343"/>
    <w:rsid w:val="00957D8C"/>
    <w:rsid w:val="00957D92"/>
    <w:rsid w:val="00957E78"/>
    <w:rsid w:val="009601E2"/>
    <w:rsid w:val="00960490"/>
    <w:rsid w:val="0096109D"/>
    <w:rsid w:val="00961AC1"/>
    <w:rsid w:val="009623E4"/>
    <w:rsid w:val="009625EF"/>
    <w:rsid w:val="009629CD"/>
    <w:rsid w:val="00962C18"/>
    <w:rsid w:val="00962CB9"/>
    <w:rsid w:val="00963A98"/>
    <w:rsid w:val="00963C59"/>
    <w:rsid w:val="0096400C"/>
    <w:rsid w:val="00964238"/>
    <w:rsid w:val="00964312"/>
    <w:rsid w:val="00964A33"/>
    <w:rsid w:val="00964C51"/>
    <w:rsid w:val="00964EB1"/>
    <w:rsid w:val="00964F64"/>
    <w:rsid w:val="009655A6"/>
    <w:rsid w:val="009655DB"/>
    <w:rsid w:val="00965617"/>
    <w:rsid w:val="009656DB"/>
    <w:rsid w:val="00965770"/>
    <w:rsid w:val="00965849"/>
    <w:rsid w:val="00965B8A"/>
    <w:rsid w:val="009660BD"/>
    <w:rsid w:val="0096620A"/>
    <w:rsid w:val="00966831"/>
    <w:rsid w:val="00966BC1"/>
    <w:rsid w:val="00966FCC"/>
    <w:rsid w:val="009677FE"/>
    <w:rsid w:val="009678D8"/>
    <w:rsid w:val="00967E00"/>
    <w:rsid w:val="00967E0C"/>
    <w:rsid w:val="00967E85"/>
    <w:rsid w:val="009706EF"/>
    <w:rsid w:val="0097071F"/>
    <w:rsid w:val="009717AC"/>
    <w:rsid w:val="00971B76"/>
    <w:rsid w:val="00971E72"/>
    <w:rsid w:val="00973B87"/>
    <w:rsid w:val="00974091"/>
    <w:rsid w:val="00974161"/>
    <w:rsid w:val="00974310"/>
    <w:rsid w:val="009748B6"/>
    <w:rsid w:val="0097497A"/>
    <w:rsid w:val="00974D52"/>
    <w:rsid w:val="009751C1"/>
    <w:rsid w:val="00975D48"/>
    <w:rsid w:val="0097636B"/>
    <w:rsid w:val="00976518"/>
    <w:rsid w:val="009772D2"/>
    <w:rsid w:val="00977C82"/>
    <w:rsid w:val="00977D76"/>
    <w:rsid w:val="009800E8"/>
    <w:rsid w:val="009806AB"/>
    <w:rsid w:val="00980E4C"/>
    <w:rsid w:val="009811F1"/>
    <w:rsid w:val="00981298"/>
    <w:rsid w:val="0098132C"/>
    <w:rsid w:val="0098160B"/>
    <w:rsid w:val="009822AF"/>
    <w:rsid w:val="0098232F"/>
    <w:rsid w:val="00982416"/>
    <w:rsid w:val="0098278B"/>
    <w:rsid w:val="00982CC4"/>
    <w:rsid w:val="00983204"/>
    <w:rsid w:val="009832B7"/>
    <w:rsid w:val="00983483"/>
    <w:rsid w:val="009838BF"/>
    <w:rsid w:val="00983E57"/>
    <w:rsid w:val="00984AF8"/>
    <w:rsid w:val="00984B0E"/>
    <w:rsid w:val="00984CD3"/>
    <w:rsid w:val="009850C2"/>
    <w:rsid w:val="009855FC"/>
    <w:rsid w:val="00985DE2"/>
    <w:rsid w:val="00985E80"/>
    <w:rsid w:val="0098675D"/>
    <w:rsid w:val="00986AC3"/>
    <w:rsid w:val="00986E4F"/>
    <w:rsid w:val="0098712A"/>
    <w:rsid w:val="009873F3"/>
    <w:rsid w:val="00987836"/>
    <w:rsid w:val="00987BA4"/>
    <w:rsid w:val="00990143"/>
    <w:rsid w:val="0099067D"/>
    <w:rsid w:val="009908C8"/>
    <w:rsid w:val="009926E0"/>
    <w:rsid w:val="00994073"/>
    <w:rsid w:val="00994155"/>
    <w:rsid w:val="0099451E"/>
    <w:rsid w:val="00994CC2"/>
    <w:rsid w:val="00994F0B"/>
    <w:rsid w:val="00995F2A"/>
    <w:rsid w:val="009966C9"/>
    <w:rsid w:val="00996B1A"/>
    <w:rsid w:val="009A0AA0"/>
    <w:rsid w:val="009A15FD"/>
    <w:rsid w:val="009A18F6"/>
    <w:rsid w:val="009A1DEE"/>
    <w:rsid w:val="009A1E14"/>
    <w:rsid w:val="009A2795"/>
    <w:rsid w:val="009A2941"/>
    <w:rsid w:val="009A2A07"/>
    <w:rsid w:val="009A2C4D"/>
    <w:rsid w:val="009A2DCC"/>
    <w:rsid w:val="009A3080"/>
    <w:rsid w:val="009A3412"/>
    <w:rsid w:val="009A36D9"/>
    <w:rsid w:val="009A3A14"/>
    <w:rsid w:val="009A3FA3"/>
    <w:rsid w:val="009A569D"/>
    <w:rsid w:val="009A5ABC"/>
    <w:rsid w:val="009A5BB9"/>
    <w:rsid w:val="009A618D"/>
    <w:rsid w:val="009A62DE"/>
    <w:rsid w:val="009A64A9"/>
    <w:rsid w:val="009A67EF"/>
    <w:rsid w:val="009A68FA"/>
    <w:rsid w:val="009A703F"/>
    <w:rsid w:val="009A709E"/>
    <w:rsid w:val="009A7295"/>
    <w:rsid w:val="009A734F"/>
    <w:rsid w:val="009A773E"/>
    <w:rsid w:val="009A77AC"/>
    <w:rsid w:val="009A7F10"/>
    <w:rsid w:val="009A7F18"/>
    <w:rsid w:val="009B012E"/>
    <w:rsid w:val="009B08BA"/>
    <w:rsid w:val="009B1654"/>
    <w:rsid w:val="009B186E"/>
    <w:rsid w:val="009B18AD"/>
    <w:rsid w:val="009B2198"/>
    <w:rsid w:val="009B25C6"/>
    <w:rsid w:val="009B282B"/>
    <w:rsid w:val="009B2A5F"/>
    <w:rsid w:val="009B2ED9"/>
    <w:rsid w:val="009B32EE"/>
    <w:rsid w:val="009B3553"/>
    <w:rsid w:val="009B3677"/>
    <w:rsid w:val="009B3860"/>
    <w:rsid w:val="009B3B9D"/>
    <w:rsid w:val="009B3E26"/>
    <w:rsid w:val="009B4151"/>
    <w:rsid w:val="009B4855"/>
    <w:rsid w:val="009B4D91"/>
    <w:rsid w:val="009B52BC"/>
    <w:rsid w:val="009B575D"/>
    <w:rsid w:val="009B5A7C"/>
    <w:rsid w:val="009B6B4C"/>
    <w:rsid w:val="009B6F61"/>
    <w:rsid w:val="009B7A8D"/>
    <w:rsid w:val="009B7BDC"/>
    <w:rsid w:val="009B7F4D"/>
    <w:rsid w:val="009B7FF1"/>
    <w:rsid w:val="009C0169"/>
    <w:rsid w:val="009C04DB"/>
    <w:rsid w:val="009C0706"/>
    <w:rsid w:val="009C0799"/>
    <w:rsid w:val="009C0E63"/>
    <w:rsid w:val="009C1271"/>
    <w:rsid w:val="009C147C"/>
    <w:rsid w:val="009C14D1"/>
    <w:rsid w:val="009C1742"/>
    <w:rsid w:val="009C1797"/>
    <w:rsid w:val="009C1A4B"/>
    <w:rsid w:val="009C1BA3"/>
    <w:rsid w:val="009C20BD"/>
    <w:rsid w:val="009C2487"/>
    <w:rsid w:val="009C2B38"/>
    <w:rsid w:val="009C35C5"/>
    <w:rsid w:val="009C364D"/>
    <w:rsid w:val="009C3706"/>
    <w:rsid w:val="009C3875"/>
    <w:rsid w:val="009C3A3A"/>
    <w:rsid w:val="009C4404"/>
    <w:rsid w:val="009C549F"/>
    <w:rsid w:val="009C56CD"/>
    <w:rsid w:val="009C5B76"/>
    <w:rsid w:val="009C61D9"/>
    <w:rsid w:val="009C6582"/>
    <w:rsid w:val="009C65AB"/>
    <w:rsid w:val="009C69CB"/>
    <w:rsid w:val="009C6CEA"/>
    <w:rsid w:val="009C6D37"/>
    <w:rsid w:val="009C7268"/>
    <w:rsid w:val="009C75BB"/>
    <w:rsid w:val="009C77AA"/>
    <w:rsid w:val="009C7B85"/>
    <w:rsid w:val="009C7FEF"/>
    <w:rsid w:val="009D0254"/>
    <w:rsid w:val="009D0B31"/>
    <w:rsid w:val="009D0D80"/>
    <w:rsid w:val="009D0FAA"/>
    <w:rsid w:val="009D0FDF"/>
    <w:rsid w:val="009D171E"/>
    <w:rsid w:val="009D1787"/>
    <w:rsid w:val="009D1A64"/>
    <w:rsid w:val="009D235C"/>
    <w:rsid w:val="009D2836"/>
    <w:rsid w:val="009D2959"/>
    <w:rsid w:val="009D2F86"/>
    <w:rsid w:val="009D2F9F"/>
    <w:rsid w:val="009D305C"/>
    <w:rsid w:val="009D3306"/>
    <w:rsid w:val="009D38C5"/>
    <w:rsid w:val="009D3944"/>
    <w:rsid w:val="009D3CC4"/>
    <w:rsid w:val="009D3DE3"/>
    <w:rsid w:val="009D451E"/>
    <w:rsid w:val="009D4538"/>
    <w:rsid w:val="009D4551"/>
    <w:rsid w:val="009D455E"/>
    <w:rsid w:val="009D4878"/>
    <w:rsid w:val="009D4C1F"/>
    <w:rsid w:val="009D5898"/>
    <w:rsid w:val="009D590A"/>
    <w:rsid w:val="009D5B91"/>
    <w:rsid w:val="009D5F1A"/>
    <w:rsid w:val="009D5FA5"/>
    <w:rsid w:val="009D64CD"/>
    <w:rsid w:val="009D65BF"/>
    <w:rsid w:val="009D759B"/>
    <w:rsid w:val="009D792E"/>
    <w:rsid w:val="009D7B49"/>
    <w:rsid w:val="009D7F14"/>
    <w:rsid w:val="009E0075"/>
    <w:rsid w:val="009E09EA"/>
    <w:rsid w:val="009E0D4D"/>
    <w:rsid w:val="009E0DFE"/>
    <w:rsid w:val="009E21EB"/>
    <w:rsid w:val="009E24DC"/>
    <w:rsid w:val="009E24EA"/>
    <w:rsid w:val="009E31F6"/>
    <w:rsid w:val="009E349A"/>
    <w:rsid w:val="009E3665"/>
    <w:rsid w:val="009E37DB"/>
    <w:rsid w:val="009E3CF5"/>
    <w:rsid w:val="009E4959"/>
    <w:rsid w:val="009E4C07"/>
    <w:rsid w:val="009E5F20"/>
    <w:rsid w:val="009E6B10"/>
    <w:rsid w:val="009E6F9D"/>
    <w:rsid w:val="009E777F"/>
    <w:rsid w:val="009F0158"/>
    <w:rsid w:val="009F01E7"/>
    <w:rsid w:val="009F0916"/>
    <w:rsid w:val="009F1772"/>
    <w:rsid w:val="009F1850"/>
    <w:rsid w:val="009F2386"/>
    <w:rsid w:val="009F241D"/>
    <w:rsid w:val="009F3051"/>
    <w:rsid w:val="009F30ED"/>
    <w:rsid w:val="009F333D"/>
    <w:rsid w:val="009F395D"/>
    <w:rsid w:val="009F3B82"/>
    <w:rsid w:val="009F43CD"/>
    <w:rsid w:val="009F4E8E"/>
    <w:rsid w:val="009F5178"/>
    <w:rsid w:val="009F586D"/>
    <w:rsid w:val="009F5D90"/>
    <w:rsid w:val="009F60A7"/>
    <w:rsid w:val="009F6120"/>
    <w:rsid w:val="009F6296"/>
    <w:rsid w:val="009F63B8"/>
    <w:rsid w:val="009F66E8"/>
    <w:rsid w:val="009F6FA1"/>
    <w:rsid w:val="009F7A14"/>
    <w:rsid w:val="00A00711"/>
    <w:rsid w:val="00A00BC8"/>
    <w:rsid w:val="00A00D54"/>
    <w:rsid w:val="00A00D76"/>
    <w:rsid w:val="00A01184"/>
    <w:rsid w:val="00A0126B"/>
    <w:rsid w:val="00A01449"/>
    <w:rsid w:val="00A017DF"/>
    <w:rsid w:val="00A017E8"/>
    <w:rsid w:val="00A01EF3"/>
    <w:rsid w:val="00A023A9"/>
    <w:rsid w:val="00A037C2"/>
    <w:rsid w:val="00A03D43"/>
    <w:rsid w:val="00A03D7D"/>
    <w:rsid w:val="00A03F45"/>
    <w:rsid w:val="00A03FD4"/>
    <w:rsid w:val="00A04380"/>
    <w:rsid w:val="00A04786"/>
    <w:rsid w:val="00A050AB"/>
    <w:rsid w:val="00A05185"/>
    <w:rsid w:val="00A05472"/>
    <w:rsid w:val="00A057BC"/>
    <w:rsid w:val="00A057C9"/>
    <w:rsid w:val="00A05C32"/>
    <w:rsid w:val="00A063AB"/>
    <w:rsid w:val="00A0653F"/>
    <w:rsid w:val="00A06602"/>
    <w:rsid w:val="00A068E8"/>
    <w:rsid w:val="00A06C95"/>
    <w:rsid w:val="00A06E84"/>
    <w:rsid w:val="00A07A37"/>
    <w:rsid w:val="00A103CB"/>
    <w:rsid w:val="00A10EE9"/>
    <w:rsid w:val="00A11280"/>
    <w:rsid w:val="00A11C3E"/>
    <w:rsid w:val="00A11CD0"/>
    <w:rsid w:val="00A122CB"/>
    <w:rsid w:val="00A13838"/>
    <w:rsid w:val="00A13948"/>
    <w:rsid w:val="00A140BA"/>
    <w:rsid w:val="00A1555B"/>
    <w:rsid w:val="00A155C5"/>
    <w:rsid w:val="00A15B94"/>
    <w:rsid w:val="00A160F0"/>
    <w:rsid w:val="00A16410"/>
    <w:rsid w:val="00A16453"/>
    <w:rsid w:val="00A1649C"/>
    <w:rsid w:val="00A1679F"/>
    <w:rsid w:val="00A1699A"/>
    <w:rsid w:val="00A16AD8"/>
    <w:rsid w:val="00A170FC"/>
    <w:rsid w:val="00A17103"/>
    <w:rsid w:val="00A1748A"/>
    <w:rsid w:val="00A174F7"/>
    <w:rsid w:val="00A1781C"/>
    <w:rsid w:val="00A17EE3"/>
    <w:rsid w:val="00A2021E"/>
    <w:rsid w:val="00A214C8"/>
    <w:rsid w:val="00A2168C"/>
    <w:rsid w:val="00A21A18"/>
    <w:rsid w:val="00A21C3D"/>
    <w:rsid w:val="00A21C95"/>
    <w:rsid w:val="00A21CF3"/>
    <w:rsid w:val="00A21E7D"/>
    <w:rsid w:val="00A22551"/>
    <w:rsid w:val="00A22779"/>
    <w:rsid w:val="00A23B94"/>
    <w:rsid w:val="00A23F00"/>
    <w:rsid w:val="00A245BE"/>
    <w:rsid w:val="00A24813"/>
    <w:rsid w:val="00A24E13"/>
    <w:rsid w:val="00A24E69"/>
    <w:rsid w:val="00A24FF8"/>
    <w:rsid w:val="00A25297"/>
    <w:rsid w:val="00A25430"/>
    <w:rsid w:val="00A25777"/>
    <w:rsid w:val="00A26203"/>
    <w:rsid w:val="00A26549"/>
    <w:rsid w:val="00A26A6A"/>
    <w:rsid w:val="00A271E2"/>
    <w:rsid w:val="00A27289"/>
    <w:rsid w:val="00A27AEC"/>
    <w:rsid w:val="00A3081A"/>
    <w:rsid w:val="00A30B18"/>
    <w:rsid w:val="00A30E22"/>
    <w:rsid w:val="00A311DA"/>
    <w:rsid w:val="00A31DD8"/>
    <w:rsid w:val="00A320DB"/>
    <w:rsid w:val="00A322BD"/>
    <w:rsid w:val="00A3233F"/>
    <w:rsid w:val="00A32517"/>
    <w:rsid w:val="00A328E7"/>
    <w:rsid w:val="00A329A6"/>
    <w:rsid w:val="00A337C8"/>
    <w:rsid w:val="00A33E39"/>
    <w:rsid w:val="00A35077"/>
    <w:rsid w:val="00A351B3"/>
    <w:rsid w:val="00A35D16"/>
    <w:rsid w:val="00A36681"/>
    <w:rsid w:val="00A3668D"/>
    <w:rsid w:val="00A36878"/>
    <w:rsid w:val="00A36983"/>
    <w:rsid w:val="00A37A08"/>
    <w:rsid w:val="00A37A1F"/>
    <w:rsid w:val="00A37BCD"/>
    <w:rsid w:val="00A4008B"/>
    <w:rsid w:val="00A4061A"/>
    <w:rsid w:val="00A40E17"/>
    <w:rsid w:val="00A41689"/>
    <w:rsid w:val="00A41ABC"/>
    <w:rsid w:val="00A41E7C"/>
    <w:rsid w:val="00A420F3"/>
    <w:rsid w:val="00A42592"/>
    <w:rsid w:val="00A42F34"/>
    <w:rsid w:val="00A43017"/>
    <w:rsid w:val="00A43C59"/>
    <w:rsid w:val="00A43E3C"/>
    <w:rsid w:val="00A443D7"/>
    <w:rsid w:val="00A44A0D"/>
    <w:rsid w:val="00A44E26"/>
    <w:rsid w:val="00A450C5"/>
    <w:rsid w:val="00A453C7"/>
    <w:rsid w:val="00A46CB7"/>
    <w:rsid w:val="00A46E6F"/>
    <w:rsid w:val="00A47526"/>
    <w:rsid w:val="00A50908"/>
    <w:rsid w:val="00A50ECD"/>
    <w:rsid w:val="00A513E5"/>
    <w:rsid w:val="00A518F3"/>
    <w:rsid w:val="00A5195A"/>
    <w:rsid w:val="00A51AD5"/>
    <w:rsid w:val="00A51C66"/>
    <w:rsid w:val="00A52286"/>
    <w:rsid w:val="00A52428"/>
    <w:rsid w:val="00A52446"/>
    <w:rsid w:val="00A52729"/>
    <w:rsid w:val="00A52A0B"/>
    <w:rsid w:val="00A5313A"/>
    <w:rsid w:val="00A53393"/>
    <w:rsid w:val="00A5342C"/>
    <w:rsid w:val="00A53675"/>
    <w:rsid w:val="00A537FC"/>
    <w:rsid w:val="00A54134"/>
    <w:rsid w:val="00A541DE"/>
    <w:rsid w:val="00A54774"/>
    <w:rsid w:val="00A5521B"/>
    <w:rsid w:val="00A552DE"/>
    <w:rsid w:val="00A556A7"/>
    <w:rsid w:val="00A55B7B"/>
    <w:rsid w:val="00A561FA"/>
    <w:rsid w:val="00A564D7"/>
    <w:rsid w:val="00A567A4"/>
    <w:rsid w:val="00A56838"/>
    <w:rsid w:val="00A56B6A"/>
    <w:rsid w:val="00A5704A"/>
    <w:rsid w:val="00A57612"/>
    <w:rsid w:val="00A578DC"/>
    <w:rsid w:val="00A60598"/>
    <w:rsid w:val="00A6064A"/>
    <w:rsid w:val="00A60E99"/>
    <w:rsid w:val="00A61223"/>
    <w:rsid w:val="00A61BC4"/>
    <w:rsid w:val="00A61F83"/>
    <w:rsid w:val="00A62D3F"/>
    <w:rsid w:val="00A63D83"/>
    <w:rsid w:val="00A640E2"/>
    <w:rsid w:val="00A643E6"/>
    <w:rsid w:val="00A64D65"/>
    <w:rsid w:val="00A65845"/>
    <w:rsid w:val="00A658E1"/>
    <w:rsid w:val="00A665AC"/>
    <w:rsid w:val="00A667F3"/>
    <w:rsid w:val="00A66A4D"/>
    <w:rsid w:val="00A66BEC"/>
    <w:rsid w:val="00A67239"/>
    <w:rsid w:val="00A6725B"/>
    <w:rsid w:val="00A7044A"/>
    <w:rsid w:val="00A70605"/>
    <w:rsid w:val="00A709FA"/>
    <w:rsid w:val="00A71463"/>
    <w:rsid w:val="00A71591"/>
    <w:rsid w:val="00A71E35"/>
    <w:rsid w:val="00A7295C"/>
    <w:rsid w:val="00A72AB1"/>
    <w:rsid w:val="00A72E0D"/>
    <w:rsid w:val="00A72E70"/>
    <w:rsid w:val="00A73134"/>
    <w:rsid w:val="00A731D9"/>
    <w:rsid w:val="00A73503"/>
    <w:rsid w:val="00A7365A"/>
    <w:rsid w:val="00A73B3B"/>
    <w:rsid w:val="00A73F1A"/>
    <w:rsid w:val="00A74212"/>
    <w:rsid w:val="00A74652"/>
    <w:rsid w:val="00A74689"/>
    <w:rsid w:val="00A749E6"/>
    <w:rsid w:val="00A74DB9"/>
    <w:rsid w:val="00A76001"/>
    <w:rsid w:val="00A768FD"/>
    <w:rsid w:val="00A772C3"/>
    <w:rsid w:val="00A773CB"/>
    <w:rsid w:val="00A777A1"/>
    <w:rsid w:val="00A777B2"/>
    <w:rsid w:val="00A77CD9"/>
    <w:rsid w:val="00A80410"/>
    <w:rsid w:val="00A8174A"/>
    <w:rsid w:val="00A81D70"/>
    <w:rsid w:val="00A82254"/>
    <w:rsid w:val="00A825D4"/>
    <w:rsid w:val="00A828F6"/>
    <w:rsid w:val="00A82B73"/>
    <w:rsid w:val="00A84868"/>
    <w:rsid w:val="00A84A7F"/>
    <w:rsid w:val="00A84F4B"/>
    <w:rsid w:val="00A854FB"/>
    <w:rsid w:val="00A863FE"/>
    <w:rsid w:val="00A8641B"/>
    <w:rsid w:val="00A8646F"/>
    <w:rsid w:val="00A86D7E"/>
    <w:rsid w:val="00A86E32"/>
    <w:rsid w:val="00A86E8B"/>
    <w:rsid w:val="00A87164"/>
    <w:rsid w:val="00A871A9"/>
    <w:rsid w:val="00A876D0"/>
    <w:rsid w:val="00A904D3"/>
    <w:rsid w:val="00A90DF6"/>
    <w:rsid w:val="00A91207"/>
    <w:rsid w:val="00A92203"/>
    <w:rsid w:val="00A92F6C"/>
    <w:rsid w:val="00A93072"/>
    <w:rsid w:val="00A9326D"/>
    <w:rsid w:val="00A9351E"/>
    <w:rsid w:val="00A93733"/>
    <w:rsid w:val="00A938BD"/>
    <w:rsid w:val="00A93953"/>
    <w:rsid w:val="00A939E3"/>
    <w:rsid w:val="00A93FF3"/>
    <w:rsid w:val="00A94F54"/>
    <w:rsid w:val="00A9567B"/>
    <w:rsid w:val="00A959D8"/>
    <w:rsid w:val="00A95A23"/>
    <w:rsid w:val="00A95A82"/>
    <w:rsid w:val="00A9658B"/>
    <w:rsid w:val="00A967BD"/>
    <w:rsid w:val="00A968BA"/>
    <w:rsid w:val="00A968E5"/>
    <w:rsid w:val="00A96B35"/>
    <w:rsid w:val="00A9742B"/>
    <w:rsid w:val="00A9794F"/>
    <w:rsid w:val="00A97DC5"/>
    <w:rsid w:val="00AA0229"/>
    <w:rsid w:val="00AA113D"/>
    <w:rsid w:val="00AA11E5"/>
    <w:rsid w:val="00AA1BD6"/>
    <w:rsid w:val="00AA1C9A"/>
    <w:rsid w:val="00AA27B1"/>
    <w:rsid w:val="00AA30F1"/>
    <w:rsid w:val="00AA392A"/>
    <w:rsid w:val="00AA3EDD"/>
    <w:rsid w:val="00AA3EEE"/>
    <w:rsid w:val="00AA41F6"/>
    <w:rsid w:val="00AA4665"/>
    <w:rsid w:val="00AA4BB6"/>
    <w:rsid w:val="00AA4C47"/>
    <w:rsid w:val="00AA50FF"/>
    <w:rsid w:val="00AA5691"/>
    <w:rsid w:val="00AA6848"/>
    <w:rsid w:val="00AA6BD2"/>
    <w:rsid w:val="00AA6BD5"/>
    <w:rsid w:val="00AA6BD8"/>
    <w:rsid w:val="00AA6C7D"/>
    <w:rsid w:val="00AA7148"/>
    <w:rsid w:val="00AA7E4E"/>
    <w:rsid w:val="00AA7FD6"/>
    <w:rsid w:val="00AB042A"/>
    <w:rsid w:val="00AB0591"/>
    <w:rsid w:val="00AB0DCB"/>
    <w:rsid w:val="00AB11AD"/>
    <w:rsid w:val="00AB13CC"/>
    <w:rsid w:val="00AB165B"/>
    <w:rsid w:val="00AB18A3"/>
    <w:rsid w:val="00AB19EF"/>
    <w:rsid w:val="00AB241E"/>
    <w:rsid w:val="00AB2495"/>
    <w:rsid w:val="00AB25A2"/>
    <w:rsid w:val="00AB2A7A"/>
    <w:rsid w:val="00AB2D34"/>
    <w:rsid w:val="00AB2F8B"/>
    <w:rsid w:val="00AB30F2"/>
    <w:rsid w:val="00AB3430"/>
    <w:rsid w:val="00AB3468"/>
    <w:rsid w:val="00AB37B9"/>
    <w:rsid w:val="00AB3C4A"/>
    <w:rsid w:val="00AB3CF6"/>
    <w:rsid w:val="00AB41DB"/>
    <w:rsid w:val="00AB4726"/>
    <w:rsid w:val="00AB4ABF"/>
    <w:rsid w:val="00AB4AD1"/>
    <w:rsid w:val="00AB4DA9"/>
    <w:rsid w:val="00AB5E07"/>
    <w:rsid w:val="00AB6013"/>
    <w:rsid w:val="00AB6445"/>
    <w:rsid w:val="00AB680F"/>
    <w:rsid w:val="00AB692F"/>
    <w:rsid w:val="00AB6C92"/>
    <w:rsid w:val="00AB7CFA"/>
    <w:rsid w:val="00AB7F6E"/>
    <w:rsid w:val="00AC01D9"/>
    <w:rsid w:val="00AC0752"/>
    <w:rsid w:val="00AC0823"/>
    <w:rsid w:val="00AC0C9C"/>
    <w:rsid w:val="00AC10B0"/>
    <w:rsid w:val="00AC1605"/>
    <w:rsid w:val="00AC161A"/>
    <w:rsid w:val="00AC1697"/>
    <w:rsid w:val="00AC2868"/>
    <w:rsid w:val="00AC2C22"/>
    <w:rsid w:val="00AC3462"/>
    <w:rsid w:val="00AC36E8"/>
    <w:rsid w:val="00AC397D"/>
    <w:rsid w:val="00AC4E9F"/>
    <w:rsid w:val="00AC4EA6"/>
    <w:rsid w:val="00AC50D2"/>
    <w:rsid w:val="00AC5389"/>
    <w:rsid w:val="00AC5B42"/>
    <w:rsid w:val="00AC5B48"/>
    <w:rsid w:val="00AC5BE1"/>
    <w:rsid w:val="00AC5C39"/>
    <w:rsid w:val="00AC5CB9"/>
    <w:rsid w:val="00AC606E"/>
    <w:rsid w:val="00AC6221"/>
    <w:rsid w:val="00AC706F"/>
    <w:rsid w:val="00AC7358"/>
    <w:rsid w:val="00AC75DE"/>
    <w:rsid w:val="00AC76F0"/>
    <w:rsid w:val="00AC7818"/>
    <w:rsid w:val="00AD0286"/>
    <w:rsid w:val="00AD03DD"/>
    <w:rsid w:val="00AD107F"/>
    <w:rsid w:val="00AD1450"/>
    <w:rsid w:val="00AD15E8"/>
    <w:rsid w:val="00AD1D0D"/>
    <w:rsid w:val="00AD1DB3"/>
    <w:rsid w:val="00AD22B4"/>
    <w:rsid w:val="00AD2CC7"/>
    <w:rsid w:val="00AD2D94"/>
    <w:rsid w:val="00AD2E51"/>
    <w:rsid w:val="00AD32DE"/>
    <w:rsid w:val="00AD356D"/>
    <w:rsid w:val="00AD37CA"/>
    <w:rsid w:val="00AD3910"/>
    <w:rsid w:val="00AD3C14"/>
    <w:rsid w:val="00AD3E48"/>
    <w:rsid w:val="00AD44F3"/>
    <w:rsid w:val="00AD590C"/>
    <w:rsid w:val="00AD59F4"/>
    <w:rsid w:val="00AD5D5B"/>
    <w:rsid w:val="00AD6502"/>
    <w:rsid w:val="00AD65CD"/>
    <w:rsid w:val="00AD6937"/>
    <w:rsid w:val="00AD6BC8"/>
    <w:rsid w:val="00AD7410"/>
    <w:rsid w:val="00AD745C"/>
    <w:rsid w:val="00AE001A"/>
    <w:rsid w:val="00AE00A6"/>
    <w:rsid w:val="00AE00DB"/>
    <w:rsid w:val="00AE0695"/>
    <w:rsid w:val="00AE0B2F"/>
    <w:rsid w:val="00AE12A8"/>
    <w:rsid w:val="00AE1308"/>
    <w:rsid w:val="00AE1D8C"/>
    <w:rsid w:val="00AE23A4"/>
    <w:rsid w:val="00AE28F0"/>
    <w:rsid w:val="00AE2920"/>
    <w:rsid w:val="00AE2AE1"/>
    <w:rsid w:val="00AE3E7E"/>
    <w:rsid w:val="00AE481F"/>
    <w:rsid w:val="00AE4A6C"/>
    <w:rsid w:val="00AE4EFB"/>
    <w:rsid w:val="00AE5280"/>
    <w:rsid w:val="00AE5959"/>
    <w:rsid w:val="00AE622C"/>
    <w:rsid w:val="00AE6534"/>
    <w:rsid w:val="00AE65FA"/>
    <w:rsid w:val="00AE7739"/>
    <w:rsid w:val="00AE7E53"/>
    <w:rsid w:val="00AF0247"/>
    <w:rsid w:val="00AF0326"/>
    <w:rsid w:val="00AF1315"/>
    <w:rsid w:val="00AF154B"/>
    <w:rsid w:val="00AF19BF"/>
    <w:rsid w:val="00AF1D1F"/>
    <w:rsid w:val="00AF2519"/>
    <w:rsid w:val="00AF2C35"/>
    <w:rsid w:val="00AF2DC3"/>
    <w:rsid w:val="00AF3334"/>
    <w:rsid w:val="00AF3494"/>
    <w:rsid w:val="00AF38A2"/>
    <w:rsid w:val="00AF3C01"/>
    <w:rsid w:val="00AF3DA8"/>
    <w:rsid w:val="00AF4188"/>
    <w:rsid w:val="00AF46CE"/>
    <w:rsid w:val="00AF51D2"/>
    <w:rsid w:val="00AF53DD"/>
    <w:rsid w:val="00AF57D9"/>
    <w:rsid w:val="00AF58F6"/>
    <w:rsid w:val="00AF6295"/>
    <w:rsid w:val="00AF6434"/>
    <w:rsid w:val="00AF679F"/>
    <w:rsid w:val="00AF7359"/>
    <w:rsid w:val="00AF7C86"/>
    <w:rsid w:val="00AF7E56"/>
    <w:rsid w:val="00AF7F50"/>
    <w:rsid w:val="00B00028"/>
    <w:rsid w:val="00B000A9"/>
    <w:rsid w:val="00B006DD"/>
    <w:rsid w:val="00B00C33"/>
    <w:rsid w:val="00B00CA0"/>
    <w:rsid w:val="00B010D2"/>
    <w:rsid w:val="00B011BD"/>
    <w:rsid w:val="00B01274"/>
    <w:rsid w:val="00B013ED"/>
    <w:rsid w:val="00B016A9"/>
    <w:rsid w:val="00B01BC2"/>
    <w:rsid w:val="00B01E28"/>
    <w:rsid w:val="00B01FCD"/>
    <w:rsid w:val="00B0244D"/>
    <w:rsid w:val="00B0287B"/>
    <w:rsid w:val="00B02E89"/>
    <w:rsid w:val="00B03012"/>
    <w:rsid w:val="00B033E5"/>
    <w:rsid w:val="00B038C6"/>
    <w:rsid w:val="00B03A63"/>
    <w:rsid w:val="00B049E9"/>
    <w:rsid w:val="00B056C5"/>
    <w:rsid w:val="00B05866"/>
    <w:rsid w:val="00B05C46"/>
    <w:rsid w:val="00B05C97"/>
    <w:rsid w:val="00B07349"/>
    <w:rsid w:val="00B0786B"/>
    <w:rsid w:val="00B100C8"/>
    <w:rsid w:val="00B10339"/>
    <w:rsid w:val="00B10497"/>
    <w:rsid w:val="00B106B3"/>
    <w:rsid w:val="00B10B11"/>
    <w:rsid w:val="00B10E2C"/>
    <w:rsid w:val="00B11815"/>
    <w:rsid w:val="00B129A4"/>
    <w:rsid w:val="00B13CC8"/>
    <w:rsid w:val="00B13E76"/>
    <w:rsid w:val="00B13FAC"/>
    <w:rsid w:val="00B1455E"/>
    <w:rsid w:val="00B150E3"/>
    <w:rsid w:val="00B15422"/>
    <w:rsid w:val="00B15784"/>
    <w:rsid w:val="00B1636B"/>
    <w:rsid w:val="00B163CC"/>
    <w:rsid w:val="00B16554"/>
    <w:rsid w:val="00B16695"/>
    <w:rsid w:val="00B166BC"/>
    <w:rsid w:val="00B16784"/>
    <w:rsid w:val="00B168E8"/>
    <w:rsid w:val="00B16A84"/>
    <w:rsid w:val="00B1735D"/>
    <w:rsid w:val="00B1746B"/>
    <w:rsid w:val="00B1796A"/>
    <w:rsid w:val="00B201A4"/>
    <w:rsid w:val="00B201D1"/>
    <w:rsid w:val="00B20A7D"/>
    <w:rsid w:val="00B20F0B"/>
    <w:rsid w:val="00B210AA"/>
    <w:rsid w:val="00B213A6"/>
    <w:rsid w:val="00B21705"/>
    <w:rsid w:val="00B218C1"/>
    <w:rsid w:val="00B21A6B"/>
    <w:rsid w:val="00B21B16"/>
    <w:rsid w:val="00B21EC4"/>
    <w:rsid w:val="00B227C2"/>
    <w:rsid w:val="00B229B0"/>
    <w:rsid w:val="00B232DC"/>
    <w:rsid w:val="00B23554"/>
    <w:rsid w:val="00B235B0"/>
    <w:rsid w:val="00B24570"/>
    <w:rsid w:val="00B2482E"/>
    <w:rsid w:val="00B24DF6"/>
    <w:rsid w:val="00B255A6"/>
    <w:rsid w:val="00B260D5"/>
    <w:rsid w:val="00B26195"/>
    <w:rsid w:val="00B26BF7"/>
    <w:rsid w:val="00B26CB7"/>
    <w:rsid w:val="00B27A61"/>
    <w:rsid w:val="00B30DF7"/>
    <w:rsid w:val="00B31620"/>
    <w:rsid w:val="00B317FA"/>
    <w:rsid w:val="00B31FD3"/>
    <w:rsid w:val="00B32A85"/>
    <w:rsid w:val="00B3326F"/>
    <w:rsid w:val="00B33636"/>
    <w:rsid w:val="00B33AC8"/>
    <w:rsid w:val="00B33AF1"/>
    <w:rsid w:val="00B33C66"/>
    <w:rsid w:val="00B33F23"/>
    <w:rsid w:val="00B34034"/>
    <w:rsid w:val="00B3416A"/>
    <w:rsid w:val="00B34619"/>
    <w:rsid w:val="00B34660"/>
    <w:rsid w:val="00B34A29"/>
    <w:rsid w:val="00B34FE2"/>
    <w:rsid w:val="00B35166"/>
    <w:rsid w:val="00B357D8"/>
    <w:rsid w:val="00B35BC9"/>
    <w:rsid w:val="00B360F4"/>
    <w:rsid w:val="00B3613A"/>
    <w:rsid w:val="00B36747"/>
    <w:rsid w:val="00B36A00"/>
    <w:rsid w:val="00B36C2A"/>
    <w:rsid w:val="00B3792B"/>
    <w:rsid w:val="00B37945"/>
    <w:rsid w:val="00B37BFC"/>
    <w:rsid w:val="00B37E12"/>
    <w:rsid w:val="00B40193"/>
    <w:rsid w:val="00B40358"/>
    <w:rsid w:val="00B40C7D"/>
    <w:rsid w:val="00B40D34"/>
    <w:rsid w:val="00B415BD"/>
    <w:rsid w:val="00B41614"/>
    <w:rsid w:val="00B4161A"/>
    <w:rsid w:val="00B41B46"/>
    <w:rsid w:val="00B41DB7"/>
    <w:rsid w:val="00B42851"/>
    <w:rsid w:val="00B42F80"/>
    <w:rsid w:val="00B43098"/>
    <w:rsid w:val="00B4320E"/>
    <w:rsid w:val="00B435CB"/>
    <w:rsid w:val="00B4413A"/>
    <w:rsid w:val="00B44C25"/>
    <w:rsid w:val="00B44DAC"/>
    <w:rsid w:val="00B457BC"/>
    <w:rsid w:val="00B45CB0"/>
    <w:rsid w:val="00B45DB8"/>
    <w:rsid w:val="00B45F83"/>
    <w:rsid w:val="00B46363"/>
    <w:rsid w:val="00B465EC"/>
    <w:rsid w:val="00B466FB"/>
    <w:rsid w:val="00B46B57"/>
    <w:rsid w:val="00B46DF8"/>
    <w:rsid w:val="00B4736C"/>
    <w:rsid w:val="00B474D4"/>
    <w:rsid w:val="00B476B6"/>
    <w:rsid w:val="00B50479"/>
    <w:rsid w:val="00B505C8"/>
    <w:rsid w:val="00B5072D"/>
    <w:rsid w:val="00B509FD"/>
    <w:rsid w:val="00B50DB8"/>
    <w:rsid w:val="00B512B2"/>
    <w:rsid w:val="00B51584"/>
    <w:rsid w:val="00B5176E"/>
    <w:rsid w:val="00B51846"/>
    <w:rsid w:val="00B51BB0"/>
    <w:rsid w:val="00B51E1D"/>
    <w:rsid w:val="00B53147"/>
    <w:rsid w:val="00B53409"/>
    <w:rsid w:val="00B53654"/>
    <w:rsid w:val="00B5370E"/>
    <w:rsid w:val="00B53711"/>
    <w:rsid w:val="00B53905"/>
    <w:rsid w:val="00B53B26"/>
    <w:rsid w:val="00B53F11"/>
    <w:rsid w:val="00B546DB"/>
    <w:rsid w:val="00B5486B"/>
    <w:rsid w:val="00B54B5B"/>
    <w:rsid w:val="00B54E6C"/>
    <w:rsid w:val="00B5562E"/>
    <w:rsid w:val="00B55794"/>
    <w:rsid w:val="00B55862"/>
    <w:rsid w:val="00B55AF9"/>
    <w:rsid w:val="00B55D65"/>
    <w:rsid w:val="00B55E8B"/>
    <w:rsid w:val="00B560B7"/>
    <w:rsid w:val="00B56291"/>
    <w:rsid w:val="00B56305"/>
    <w:rsid w:val="00B56829"/>
    <w:rsid w:val="00B56EC1"/>
    <w:rsid w:val="00B57000"/>
    <w:rsid w:val="00B57045"/>
    <w:rsid w:val="00B575A7"/>
    <w:rsid w:val="00B57AF7"/>
    <w:rsid w:val="00B57E6A"/>
    <w:rsid w:val="00B57F65"/>
    <w:rsid w:val="00B601D7"/>
    <w:rsid w:val="00B6027C"/>
    <w:rsid w:val="00B60939"/>
    <w:rsid w:val="00B60AFD"/>
    <w:rsid w:val="00B61BAE"/>
    <w:rsid w:val="00B62161"/>
    <w:rsid w:val="00B62715"/>
    <w:rsid w:val="00B627BF"/>
    <w:rsid w:val="00B62DB9"/>
    <w:rsid w:val="00B62F05"/>
    <w:rsid w:val="00B62F74"/>
    <w:rsid w:val="00B6370A"/>
    <w:rsid w:val="00B63E66"/>
    <w:rsid w:val="00B64943"/>
    <w:rsid w:val="00B65611"/>
    <w:rsid w:val="00B657B7"/>
    <w:rsid w:val="00B65CAD"/>
    <w:rsid w:val="00B66BC1"/>
    <w:rsid w:val="00B6761E"/>
    <w:rsid w:val="00B7005C"/>
    <w:rsid w:val="00B7053C"/>
    <w:rsid w:val="00B70E8E"/>
    <w:rsid w:val="00B70F83"/>
    <w:rsid w:val="00B7189D"/>
    <w:rsid w:val="00B71EBF"/>
    <w:rsid w:val="00B7209D"/>
    <w:rsid w:val="00B726CB"/>
    <w:rsid w:val="00B7311A"/>
    <w:rsid w:val="00B7379F"/>
    <w:rsid w:val="00B74417"/>
    <w:rsid w:val="00B74BEC"/>
    <w:rsid w:val="00B74FE6"/>
    <w:rsid w:val="00B75282"/>
    <w:rsid w:val="00B75429"/>
    <w:rsid w:val="00B755A6"/>
    <w:rsid w:val="00B75714"/>
    <w:rsid w:val="00B75A9B"/>
    <w:rsid w:val="00B75EB2"/>
    <w:rsid w:val="00B75F62"/>
    <w:rsid w:val="00B767A6"/>
    <w:rsid w:val="00B76C92"/>
    <w:rsid w:val="00B77EB1"/>
    <w:rsid w:val="00B80050"/>
    <w:rsid w:val="00B80C2B"/>
    <w:rsid w:val="00B80CA0"/>
    <w:rsid w:val="00B80EFD"/>
    <w:rsid w:val="00B81108"/>
    <w:rsid w:val="00B818A4"/>
    <w:rsid w:val="00B81951"/>
    <w:rsid w:val="00B8251D"/>
    <w:rsid w:val="00B82A5A"/>
    <w:rsid w:val="00B82A8D"/>
    <w:rsid w:val="00B82E01"/>
    <w:rsid w:val="00B8339C"/>
    <w:rsid w:val="00B83739"/>
    <w:rsid w:val="00B8380C"/>
    <w:rsid w:val="00B83A79"/>
    <w:rsid w:val="00B83AD9"/>
    <w:rsid w:val="00B83D98"/>
    <w:rsid w:val="00B83E29"/>
    <w:rsid w:val="00B84117"/>
    <w:rsid w:val="00B84816"/>
    <w:rsid w:val="00B85625"/>
    <w:rsid w:val="00B85712"/>
    <w:rsid w:val="00B858F0"/>
    <w:rsid w:val="00B85AA2"/>
    <w:rsid w:val="00B8649C"/>
    <w:rsid w:val="00B86503"/>
    <w:rsid w:val="00B8695D"/>
    <w:rsid w:val="00B86D56"/>
    <w:rsid w:val="00B87552"/>
    <w:rsid w:val="00B87E35"/>
    <w:rsid w:val="00B87F0A"/>
    <w:rsid w:val="00B90467"/>
    <w:rsid w:val="00B90BB3"/>
    <w:rsid w:val="00B90C5B"/>
    <w:rsid w:val="00B90F6D"/>
    <w:rsid w:val="00B912DC"/>
    <w:rsid w:val="00B91E25"/>
    <w:rsid w:val="00B929E7"/>
    <w:rsid w:val="00B92A9D"/>
    <w:rsid w:val="00B92D0B"/>
    <w:rsid w:val="00B92D9B"/>
    <w:rsid w:val="00B93397"/>
    <w:rsid w:val="00B93841"/>
    <w:rsid w:val="00B94237"/>
    <w:rsid w:val="00B94945"/>
    <w:rsid w:val="00B94DD6"/>
    <w:rsid w:val="00B94E0F"/>
    <w:rsid w:val="00B956B4"/>
    <w:rsid w:val="00B960DB"/>
    <w:rsid w:val="00B96379"/>
    <w:rsid w:val="00B96952"/>
    <w:rsid w:val="00B9699D"/>
    <w:rsid w:val="00B97511"/>
    <w:rsid w:val="00B97A1A"/>
    <w:rsid w:val="00B97C5C"/>
    <w:rsid w:val="00BA014B"/>
    <w:rsid w:val="00BA03BB"/>
    <w:rsid w:val="00BA0B94"/>
    <w:rsid w:val="00BA153E"/>
    <w:rsid w:val="00BA1A2C"/>
    <w:rsid w:val="00BA2736"/>
    <w:rsid w:val="00BA2985"/>
    <w:rsid w:val="00BA322D"/>
    <w:rsid w:val="00BA458A"/>
    <w:rsid w:val="00BA48C5"/>
    <w:rsid w:val="00BA4AD3"/>
    <w:rsid w:val="00BA5595"/>
    <w:rsid w:val="00BA581E"/>
    <w:rsid w:val="00BA63B7"/>
    <w:rsid w:val="00BA63FA"/>
    <w:rsid w:val="00BA6672"/>
    <w:rsid w:val="00BA6D6F"/>
    <w:rsid w:val="00BA7689"/>
    <w:rsid w:val="00BA7DA0"/>
    <w:rsid w:val="00BA7E22"/>
    <w:rsid w:val="00BA7E2E"/>
    <w:rsid w:val="00BB00B3"/>
    <w:rsid w:val="00BB027A"/>
    <w:rsid w:val="00BB03F9"/>
    <w:rsid w:val="00BB04D2"/>
    <w:rsid w:val="00BB0BDD"/>
    <w:rsid w:val="00BB0C93"/>
    <w:rsid w:val="00BB0D82"/>
    <w:rsid w:val="00BB0DD9"/>
    <w:rsid w:val="00BB176C"/>
    <w:rsid w:val="00BB1946"/>
    <w:rsid w:val="00BB1EAB"/>
    <w:rsid w:val="00BB20F7"/>
    <w:rsid w:val="00BB2A73"/>
    <w:rsid w:val="00BB2D77"/>
    <w:rsid w:val="00BB2EA5"/>
    <w:rsid w:val="00BB2FF2"/>
    <w:rsid w:val="00BB39BD"/>
    <w:rsid w:val="00BB3A45"/>
    <w:rsid w:val="00BB4011"/>
    <w:rsid w:val="00BB44DB"/>
    <w:rsid w:val="00BB4ACC"/>
    <w:rsid w:val="00BB4B62"/>
    <w:rsid w:val="00BB4EC5"/>
    <w:rsid w:val="00BB5451"/>
    <w:rsid w:val="00BB54A6"/>
    <w:rsid w:val="00BB5744"/>
    <w:rsid w:val="00BB5A3F"/>
    <w:rsid w:val="00BB6313"/>
    <w:rsid w:val="00BB6347"/>
    <w:rsid w:val="00BB6BCB"/>
    <w:rsid w:val="00BB6D16"/>
    <w:rsid w:val="00BB6E70"/>
    <w:rsid w:val="00BB703E"/>
    <w:rsid w:val="00BB7118"/>
    <w:rsid w:val="00BB732D"/>
    <w:rsid w:val="00BB7405"/>
    <w:rsid w:val="00BB749B"/>
    <w:rsid w:val="00BB76D8"/>
    <w:rsid w:val="00BB7B9D"/>
    <w:rsid w:val="00BC04A3"/>
    <w:rsid w:val="00BC082C"/>
    <w:rsid w:val="00BC0EE9"/>
    <w:rsid w:val="00BC1100"/>
    <w:rsid w:val="00BC1217"/>
    <w:rsid w:val="00BC1677"/>
    <w:rsid w:val="00BC17D3"/>
    <w:rsid w:val="00BC192E"/>
    <w:rsid w:val="00BC1D0D"/>
    <w:rsid w:val="00BC221F"/>
    <w:rsid w:val="00BC3631"/>
    <w:rsid w:val="00BC4020"/>
    <w:rsid w:val="00BC4605"/>
    <w:rsid w:val="00BC4A50"/>
    <w:rsid w:val="00BC58FF"/>
    <w:rsid w:val="00BC591F"/>
    <w:rsid w:val="00BC5E33"/>
    <w:rsid w:val="00BC5FAA"/>
    <w:rsid w:val="00BC6003"/>
    <w:rsid w:val="00BC640B"/>
    <w:rsid w:val="00BC648C"/>
    <w:rsid w:val="00BC6A95"/>
    <w:rsid w:val="00BC6FA0"/>
    <w:rsid w:val="00BC7D6D"/>
    <w:rsid w:val="00BC7EE8"/>
    <w:rsid w:val="00BD028B"/>
    <w:rsid w:val="00BD0383"/>
    <w:rsid w:val="00BD0779"/>
    <w:rsid w:val="00BD1115"/>
    <w:rsid w:val="00BD1205"/>
    <w:rsid w:val="00BD1454"/>
    <w:rsid w:val="00BD2108"/>
    <w:rsid w:val="00BD280E"/>
    <w:rsid w:val="00BD28C6"/>
    <w:rsid w:val="00BD2A22"/>
    <w:rsid w:val="00BD32BD"/>
    <w:rsid w:val="00BD3C4C"/>
    <w:rsid w:val="00BD3D86"/>
    <w:rsid w:val="00BD4089"/>
    <w:rsid w:val="00BD4140"/>
    <w:rsid w:val="00BD4978"/>
    <w:rsid w:val="00BD4CDB"/>
    <w:rsid w:val="00BD5AF8"/>
    <w:rsid w:val="00BD5CD8"/>
    <w:rsid w:val="00BD6880"/>
    <w:rsid w:val="00BD68A3"/>
    <w:rsid w:val="00BD6938"/>
    <w:rsid w:val="00BD6CF3"/>
    <w:rsid w:val="00BD7763"/>
    <w:rsid w:val="00BD78DD"/>
    <w:rsid w:val="00BD7F72"/>
    <w:rsid w:val="00BE00D7"/>
    <w:rsid w:val="00BE092E"/>
    <w:rsid w:val="00BE0A8D"/>
    <w:rsid w:val="00BE0ECA"/>
    <w:rsid w:val="00BE0F86"/>
    <w:rsid w:val="00BE102D"/>
    <w:rsid w:val="00BE188D"/>
    <w:rsid w:val="00BE1BD7"/>
    <w:rsid w:val="00BE2150"/>
    <w:rsid w:val="00BE2180"/>
    <w:rsid w:val="00BE21F2"/>
    <w:rsid w:val="00BE2411"/>
    <w:rsid w:val="00BE251F"/>
    <w:rsid w:val="00BE2550"/>
    <w:rsid w:val="00BE2814"/>
    <w:rsid w:val="00BE299C"/>
    <w:rsid w:val="00BE2A0E"/>
    <w:rsid w:val="00BE37DE"/>
    <w:rsid w:val="00BE3CCB"/>
    <w:rsid w:val="00BE3E11"/>
    <w:rsid w:val="00BE3EC4"/>
    <w:rsid w:val="00BE4275"/>
    <w:rsid w:val="00BE43B7"/>
    <w:rsid w:val="00BE466A"/>
    <w:rsid w:val="00BE51D8"/>
    <w:rsid w:val="00BE53AA"/>
    <w:rsid w:val="00BE555B"/>
    <w:rsid w:val="00BE58DE"/>
    <w:rsid w:val="00BE5A64"/>
    <w:rsid w:val="00BE5DF8"/>
    <w:rsid w:val="00BE6E11"/>
    <w:rsid w:val="00BE73B0"/>
    <w:rsid w:val="00BE785F"/>
    <w:rsid w:val="00BE795A"/>
    <w:rsid w:val="00BE7EA5"/>
    <w:rsid w:val="00BF0451"/>
    <w:rsid w:val="00BF0472"/>
    <w:rsid w:val="00BF06AE"/>
    <w:rsid w:val="00BF0886"/>
    <w:rsid w:val="00BF0F55"/>
    <w:rsid w:val="00BF0F95"/>
    <w:rsid w:val="00BF2175"/>
    <w:rsid w:val="00BF2433"/>
    <w:rsid w:val="00BF2676"/>
    <w:rsid w:val="00BF2E5A"/>
    <w:rsid w:val="00BF2E6E"/>
    <w:rsid w:val="00BF3738"/>
    <w:rsid w:val="00BF5380"/>
    <w:rsid w:val="00BF55BB"/>
    <w:rsid w:val="00BF5CBF"/>
    <w:rsid w:val="00BF61C9"/>
    <w:rsid w:val="00BF6C94"/>
    <w:rsid w:val="00BF72A2"/>
    <w:rsid w:val="00BF7329"/>
    <w:rsid w:val="00BF7796"/>
    <w:rsid w:val="00BF7B9F"/>
    <w:rsid w:val="00BF7CAE"/>
    <w:rsid w:val="00C00424"/>
    <w:rsid w:val="00C00BB0"/>
    <w:rsid w:val="00C01BA7"/>
    <w:rsid w:val="00C02095"/>
    <w:rsid w:val="00C03EC1"/>
    <w:rsid w:val="00C042D3"/>
    <w:rsid w:val="00C044F4"/>
    <w:rsid w:val="00C0600E"/>
    <w:rsid w:val="00C0649A"/>
    <w:rsid w:val="00C06854"/>
    <w:rsid w:val="00C06D6D"/>
    <w:rsid w:val="00C07721"/>
    <w:rsid w:val="00C07806"/>
    <w:rsid w:val="00C07B57"/>
    <w:rsid w:val="00C1107B"/>
    <w:rsid w:val="00C1179F"/>
    <w:rsid w:val="00C124A4"/>
    <w:rsid w:val="00C12634"/>
    <w:rsid w:val="00C127B9"/>
    <w:rsid w:val="00C128FA"/>
    <w:rsid w:val="00C12C14"/>
    <w:rsid w:val="00C13C0C"/>
    <w:rsid w:val="00C13C2D"/>
    <w:rsid w:val="00C13E87"/>
    <w:rsid w:val="00C14842"/>
    <w:rsid w:val="00C15852"/>
    <w:rsid w:val="00C15F04"/>
    <w:rsid w:val="00C161A8"/>
    <w:rsid w:val="00C16213"/>
    <w:rsid w:val="00C168AF"/>
    <w:rsid w:val="00C169CA"/>
    <w:rsid w:val="00C179B3"/>
    <w:rsid w:val="00C17E3F"/>
    <w:rsid w:val="00C17EB5"/>
    <w:rsid w:val="00C17F62"/>
    <w:rsid w:val="00C200AA"/>
    <w:rsid w:val="00C20337"/>
    <w:rsid w:val="00C20C86"/>
    <w:rsid w:val="00C20CD0"/>
    <w:rsid w:val="00C21001"/>
    <w:rsid w:val="00C21E60"/>
    <w:rsid w:val="00C22388"/>
    <w:rsid w:val="00C22842"/>
    <w:rsid w:val="00C22A1B"/>
    <w:rsid w:val="00C22BB3"/>
    <w:rsid w:val="00C22EC7"/>
    <w:rsid w:val="00C237ED"/>
    <w:rsid w:val="00C244F5"/>
    <w:rsid w:val="00C24632"/>
    <w:rsid w:val="00C246CD"/>
    <w:rsid w:val="00C24AF1"/>
    <w:rsid w:val="00C24E17"/>
    <w:rsid w:val="00C25418"/>
    <w:rsid w:val="00C2595B"/>
    <w:rsid w:val="00C25CEE"/>
    <w:rsid w:val="00C25D9C"/>
    <w:rsid w:val="00C27156"/>
    <w:rsid w:val="00C2769E"/>
    <w:rsid w:val="00C2778B"/>
    <w:rsid w:val="00C279B4"/>
    <w:rsid w:val="00C27B21"/>
    <w:rsid w:val="00C27C74"/>
    <w:rsid w:val="00C30F02"/>
    <w:rsid w:val="00C3100E"/>
    <w:rsid w:val="00C31649"/>
    <w:rsid w:val="00C31761"/>
    <w:rsid w:val="00C31C8E"/>
    <w:rsid w:val="00C31CCE"/>
    <w:rsid w:val="00C32885"/>
    <w:rsid w:val="00C33159"/>
    <w:rsid w:val="00C33533"/>
    <w:rsid w:val="00C33806"/>
    <w:rsid w:val="00C339A7"/>
    <w:rsid w:val="00C33EA5"/>
    <w:rsid w:val="00C342E7"/>
    <w:rsid w:val="00C3434C"/>
    <w:rsid w:val="00C344C6"/>
    <w:rsid w:val="00C349B4"/>
    <w:rsid w:val="00C35163"/>
    <w:rsid w:val="00C3549C"/>
    <w:rsid w:val="00C360CB"/>
    <w:rsid w:val="00C3695B"/>
    <w:rsid w:val="00C36A73"/>
    <w:rsid w:val="00C36DAA"/>
    <w:rsid w:val="00C36F91"/>
    <w:rsid w:val="00C373A9"/>
    <w:rsid w:val="00C37473"/>
    <w:rsid w:val="00C374FF"/>
    <w:rsid w:val="00C37C76"/>
    <w:rsid w:val="00C37D60"/>
    <w:rsid w:val="00C40385"/>
    <w:rsid w:val="00C40B75"/>
    <w:rsid w:val="00C40EE7"/>
    <w:rsid w:val="00C41142"/>
    <w:rsid w:val="00C41768"/>
    <w:rsid w:val="00C41DEC"/>
    <w:rsid w:val="00C42697"/>
    <w:rsid w:val="00C4287F"/>
    <w:rsid w:val="00C428BF"/>
    <w:rsid w:val="00C42BC2"/>
    <w:rsid w:val="00C4320D"/>
    <w:rsid w:val="00C43300"/>
    <w:rsid w:val="00C433FB"/>
    <w:rsid w:val="00C4346D"/>
    <w:rsid w:val="00C43520"/>
    <w:rsid w:val="00C436FF"/>
    <w:rsid w:val="00C44DE9"/>
    <w:rsid w:val="00C44EA6"/>
    <w:rsid w:val="00C45983"/>
    <w:rsid w:val="00C45AB5"/>
    <w:rsid w:val="00C4604D"/>
    <w:rsid w:val="00C4635E"/>
    <w:rsid w:val="00C4677E"/>
    <w:rsid w:val="00C4744F"/>
    <w:rsid w:val="00C475AA"/>
    <w:rsid w:val="00C47D80"/>
    <w:rsid w:val="00C50072"/>
    <w:rsid w:val="00C501ED"/>
    <w:rsid w:val="00C502BA"/>
    <w:rsid w:val="00C50716"/>
    <w:rsid w:val="00C51781"/>
    <w:rsid w:val="00C518FD"/>
    <w:rsid w:val="00C51B4A"/>
    <w:rsid w:val="00C527C7"/>
    <w:rsid w:val="00C52A9A"/>
    <w:rsid w:val="00C52F45"/>
    <w:rsid w:val="00C53367"/>
    <w:rsid w:val="00C534BA"/>
    <w:rsid w:val="00C53667"/>
    <w:rsid w:val="00C53C98"/>
    <w:rsid w:val="00C54116"/>
    <w:rsid w:val="00C542F1"/>
    <w:rsid w:val="00C54C5C"/>
    <w:rsid w:val="00C550EA"/>
    <w:rsid w:val="00C55546"/>
    <w:rsid w:val="00C55D54"/>
    <w:rsid w:val="00C561D8"/>
    <w:rsid w:val="00C56590"/>
    <w:rsid w:val="00C5669A"/>
    <w:rsid w:val="00C56BBB"/>
    <w:rsid w:val="00C56FCF"/>
    <w:rsid w:val="00C5710E"/>
    <w:rsid w:val="00C577C4"/>
    <w:rsid w:val="00C578FF"/>
    <w:rsid w:val="00C57B6C"/>
    <w:rsid w:val="00C57BCF"/>
    <w:rsid w:val="00C57D40"/>
    <w:rsid w:val="00C60EFE"/>
    <w:rsid w:val="00C6102A"/>
    <w:rsid w:val="00C61377"/>
    <w:rsid w:val="00C61A59"/>
    <w:rsid w:val="00C62015"/>
    <w:rsid w:val="00C62275"/>
    <w:rsid w:val="00C628A6"/>
    <w:rsid w:val="00C628AD"/>
    <w:rsid w:val="00C62C8B"/>
    <w:rsid w:val="00C632F8"/>
    <w:rsid w:val="00C63EFD"/>
    <w:rsid w:val="00C641A0"/>
    <w:rsid w:val="00C64344"/>
    <w:rsid w:val="00C645CE"/>
    <w:rsid w:val="00C64D01"/>
    <w:rsid w:val="00C65108"/>
    <w:rsid w:val="00C6518E"/>
    <w:rsid w:val="00C65576"/>
    <w:rsid w:val="00C65E57"/>
    <w:rsid w:val="00C66165"/>
    <w:rsid w:val="00C663E2"/>
    <w:rsid w:val="00C66BF5"/>
    <w:rsid w:val="00C66FEB"/>
    <w:rsid w:val="00C6741D"/>
    <w:rsid w:val="00C70360"/>
    <w:rsid w:val="00C7060A"/>
    <w:rsid w:val="00C713B1"/>
    <w:rsid w:val="00C7151A"/>
    <w:rsid w:val="00C717E3"/>
    <w:rsid w:val="00C71B28"/>
    <w:rsid w:val="00C71F60"/>
    <w:rsid w:val="00C72241"/>
    <w:rsid w:val="00C7226E"/>
    <w:rsid w:val="00C72E01"/>
    <w:rsid w:val="00C72EDC"/>
    <w:rsid w:val="00C732CC"/>
    <w:rsid w:val="00C73306"/>
    <w:rsid w:val="00C736B3"/>
    <w:rsid w:val="00C73880"/>
    <w:rsid w:val="00C738AD"/>
    <w:rsid w:val="00C73A70"/>
    <w:rsid w:val="00C745AF"/>
    <w:rsid w:val="00C7497E"/>
    <w:rsid w:val="00C750C8"/>
    <w:rsid w:val="00C7560F"/>
    <w:rsid w:val="00C76B6F"/>
    <w:rsid w:val="00C772E1"/>
    <w:rsid w:val="00C774DA"/>
    <w:rsid w:val="00C777F5"/>
    <w:rsid w:val="00C77985"/>
    <w:rsid w:val="00C77BCA"/>
    <w:rsid w:val="00C80A0E"/>
    <w:rsid w:val="00C812D8"/>
    <w:rsid w:val="00C81D9D"/>
    <w:rsid w:val="00C8213F"/>
    <w:rsid w:val="00C82417"/>
    <w:rsid w:val="00C8303F"/>
    <w:rsid w:val="00C830AB"/>
    <w:rsid w:val="00C8366F"/>
    <w:rsid w:val="00C838FE"/>
    <w:rsid w:val="00C840B5"/>
    <w:rsid w:val="00C84134"/>
    <w:rsid w:val="00C8441F"/>
    <w:rsid w:val="00C845A1"/>
    <w:rsid w:val="00C85154"/>
    <w:rsid w:val="00C85A51"/>
    <w:rsid w:val="00C85A70"/>
    <w:rsid w:val="00C85B62"/>
    <w:rsid w:val="00C85CF1"/>
    <w:rsid w:val="00C86322"/>
    <w:rsid w:val="00C86327"/>
    <w:rsid w:val="00C86AE2"/>
    <w:rsid w:val="00C86E39"/>
    <w:rsid w:val="00C87842"/>
    <w:rsid w:val="00C8797A"/>
    <w:rsid w:val="00C90018"/>
    <w:rsid w:val="00C900B8"/>
    <w:rsid w:val="00C900D1"/>
    <w:rsid w:val="00C90197"/>
    <w:rsid w:val="00C906AB"/>
    <w:rsid w:val="00C90C71"/>
    <w:rsid w:val="00C90EB1"/>
    <w:rsid w:val="00C913BC"/>
    <w:rsid w:val="00C915A1"/>
    <w:rsid w:val="00C91611"/>
    <w:rsid w:val="00C91C43"/>
    <w:rsid w:val="00C91FD1"/>
    <w:rsid w:val="00C92035"/>
    <w:rsid w:val="00C9223F"/>
    <w:rsid w:val="00C9226C"/>
    <w:rsid w:val="00C9260A"/>
    <w:rsid w:val="00C931CF"/>
    <w:rsid w:val="00C937BB"/>
    <w:rsid w:val="00C938CF"/>
    <w:rsid w:val="00C94026"/>
    <w:rsid w:val="00C94053"/>
    <w:rsid w:val="00C94175"/>
    <w:rsid w:val="00C94195"/>
    <w:rsid w:val="00C94474"/>
    <w:rsid w:val="00C94786"/>
    <w:rsid w:val="00C947A0"/>
    <w:rsid w:val="00C949FA"/>
    <w:rsid w:val="00C94BBC"/>
    <w:rsid w:val="00C95232"/>
    <w:rsid w:val="00C9546E"/>
    <w:rsid w:val="00C9624D"/>
    <w:rsid w:val="00C964B8"/>
    <w:rsid w:val="00C96912"/>
    <w:rsid w:val="00C969DA"/>
    <w:rsid w:val="00C96FE9"/>
    <w:rsid w:val="00C97149"/>
    <w:rsid w:val="00C971EB"/>
    <w:rsid w:val="00C9748F"/>
    <w:rsid w:val="00C97A81"/>
    <w:rsid w:val="00CA09A4"/>
    <w:rsid w:val="00CA0A3A"/>
    <w:rsid w:val="00CA212F"/>
    <w:rsid w:val="00CA22BB"/>
    <w:rsid w:val="00CA26AC"/>
    <w:rsid w:val="00CA2AE3"/>
    <w:rsid w:val="00CA2C77"/>
    <w:rsid w:val="00CA38B3"/>
    <w:rsid w:val="00CA396F"/>
    <w:rsid w:val="00CA3C16"/>
    <w:rsid w:val="00CA3C60"/>
    <w:rsid w:val="00CA3DFB"/>
    <w:rsid w:val="00CA444F"/>
    <w:rsid w:val="00CA471B"/>
    <w:rsid w:val="00CA4BD4"/>
    <w:rsid w:val="00CA4CF0"/>
    <w:rsid w:val="00CA4E7A"/>
    <w:rsid w:val="00CA5245"/>
    <w:rsid w:val="00CA5408"/>
    <w:rsid w:val="00CA55D2"/>
    <w:rsid w:val="00CA5C1B"/>
    <w:rsid w:val="00CA6429"/>
    <w:rsid w:val="00CA6DE6"/>
    <w:rsid w:val="00CA6E54"/>
    <w:rsid w:val="00CA7106"/>
    <w:rsid w:val="00CA71F4"/>
    <w:rsid w:val="00CA73D8"/>
    <w:rsid w:val="00CA78FE"/>
    <w:rsid w:val="00CA7B09"/>
    <w:rsid w:val="00CB1076"/>
    <w:rsid w:val="00CB12A5"/>
    <w:rsid w:val="00CB19D8"/>
    <w:rsid w:val="00CB1C08"/>
    <w:rsid w:val="00CB1CAC"/>
    <w:rsid w:val="00CB1DBF"/>
    <w:rsid w:val="00CB2F2A"/>
    <w:rsid w:val="00CB3094"/>
    <w:rsid w:val="00CB3656"/>
    <w:rsid w:val="00CB495C"/>
    <w:rsid w:val="00CB4AC3"/>
    <w:rsid w:val="00CB52E0"/>
    <w:rsid w:val="00CB5B1A"/>
    <w:rsid w:val="00CB6432"/>
    <w:rsid w:val="00CB656B"/>
    <w:rsid w:val="00CB65C7"/>
    <w:rsid w:val="00CB6B22"/>
    <w:rsid w:val="00CB6D1E"/>
    <w:rsid w:val="00CB6EC2"/>
    <w:rsid w:val="00CB74B2"/>
    <w:rsid w:val="00CB762D"/>
    <w:rsid w:val="00CB7810"/>
    <w:rsid w:val="00CB7F5F"/>
    <w:rsid w:val="00CC06D2"/>
    <w:rsid w:val="00CC0EE2"/>
    <w:rsid w:val="00CC0EFB"/>
    <w:rsid w:val="00CC1563"/>
    <w:rsid w:val="00CC188B"/>
    <w:rsid w:val="00CC1B39"/>
    <w:rsid w:val="00CC1BFA"/>
    <w:rsid w:val="00CC250F"/>
    <w:rsid w:val="00CC2E9F"/>
    <w:rsid w:val="00CC35EA"/>
    <w:rsid w:val="00CC378D"/>
    <w:rsid w:val="00CC3848"/>
    <w:rsid w:val="00CC3B6E"/>
    <w:rsid w:val="00CC4698"/>
    <w:rsid w:val="00CC4917"/>
    <w:rsid w:val="00CC5915"/>
    <w:rsid w:val="00CC5C90"/>
    <w:rsid w:val="00CC6149"/>
    <w:rsid w:val="00CC6596"/>
    <w:rsid w:val="00CC6D1B"/>
    <w:rsid w:val="00CC6D5E"/>
    <w:rsid w:val="00CC6DAE"/>
    <w:rsid w:val="00CC76AA"/>
    <w:rsid w:val="00CC76B7"/>
    <w:rsid w:val="00CC79DE"/>
    <w:rsid w:val="00CC7FDA"/>
    <w:rsid w:val="00CD0200"/>
    <w:rsid w:val="00CD0433"/>
    <w:rsid w:val="00CD12E2"/>
    <w:rsid w:val="00CD1992"/>
    <w:rsid w:val="00CD1A20"/>
    <w:rsid w:val="00CD2351"/>
    <w:rsid w:val="00CD38F8"/>
    <w:rsid w:val="00CD3F77"/>
    <w:rsid w:val="00CD40B2"/>
    <w:rsid w:val="00CD40BA"/>
    <w:rsid w:val="00CD4128"/>
    <w:rsid w:val="00CD418C"/>
    <w:rsid w:val="00CD4F71"/>
    <w:rsid w:val="00CD5190"/>
    <w:rsid w:val="00CD523F"/>
    <w:rsid w:val="00CD66C8"/>
    <w:rsid w:val="00CD6A86"/>
    <w:rsid w:val="00CD6ADC"/>
    <w:rsid w:val="00CD6D3A"/>
    <w:rsid w:val="00CD706B"/>
    <w:rsid w:val="00CD7193"/>
    <w:rsid w:val="00CD75CD"/>
    <w:rsid w:val="00CE0137"/>
    <w:rsid w:val="00CE03A5"/>
    <w:rsid w:val="00CE0747"/>
    <w:rsid w:val="00CE0793"/>
    <w:rsid w:val="00CE0E61"/>
    <w:rsid w:val="00CE1D2F"/>
    <w:rsid w:val="00CE2F3D"/>
    <w:rsid w:val="00CE38C8"/>
    <w:rsid w:val="00CE4EF6"/>
    <w:rsid w:val="00CE522B"/>
    <w:rsid w:val="00CE524F"/>
    <w:rsid w:val="00CE58CC"/>
    <w:rsid w:val="00CE6274"/>
    <w:rsid w:val="00CE6CF2"/>
    <w:rsid w:val="00CE6D20"/>
    <w:rsid w:val="00CE6DCA"/>
    <w:rsid w:val="00CE6F14"/>
    <w:rsid w:val="00CE7634"/>
    <w:rsid w:val="00CE77B6"/>
    <w:rsid w:val="00CE77E7"/>
    <w:rsid w:val="00CE7A30"/>
    <w:rsid w:val="00CE7BB5"/>
    <w:rsid w:val="00CF041A"/>
    <w:rsid w:val="00CF0C0B"/>
    <w:rsid w:val="00CF0F0F"/>
    <w:rsid w:val="00CF0F25"/>
    <w:rsid w:val="00CF165F"/>
    <w:rsid w:val="00CF1AF5"/>
    <w:rsid w:val="00CF1B60"/>
    <w:rsid w:val="00CF2B8D"/>
    <w:rsid w:val="00CF2CEA"/>
    <w:rsid w:val="00CF2E45"/>
    <w:rsid w:val="00CF37CB"/>
    <w:rsid w:val="00CF3A1B"/>
    <w:rsid w:val="00CF422E"/>
    <w:rsid w:val="00CF456B"/>
    <w:rsid w:val="00CF4E0D"/>
    <w:rsid w:val="00CF5A22"/>
    <w:rsid w:val="00CF5A35"/>
    <w:rsid w:val="00CF5B2B"/>
    <w:rsid w:val="00CF5F48"/>
    <w:rsid w:val="00CF6817"/>
    <w:rsid w:val="00CF7033"/>
    <w:rsid w:val="00CF7AC4"/>
    <w:rsid w:val="00D0068B"/>
    <w:rsid w:val="00D0157A"/>
    <w:rsid w:val="00D0175A"/>
    <w:rsid w:val="00D017E0"/>
    <w:rsid w:val="00D018A4"/>
    <w:rsid w:val="00D01DD5"/>
    <w:rsid w:val="00D021CF"/>
    <w:rsid w:val="00D0247B"/>
    <w:rsid w:val="00D0262E"/>
    <w:rsid w:val="00D02D5B"/>
    <w:rsid w:val="00D03679"/>
    <w:rsid w:val="00D03E6A"/>
    <w:rsid w:val="00D04047"/>
    <w:rsid w:val="00D043BA"/>
    <w:rsid w:val="00D04B64"/>
    <w:rsid w:val="00D04E4E"/>
    <w:rsid w:val="00D05CBC"/>
    <w:rsid w:val="00D05CE2"/>
    <w:rsid w:val="00D05E3D"/>
    <w:rsid w:val="00D05FD6"/>
    <w:rsid w:val="00D06139"/>
    <w:rsid w:val="00D06C0C"/>
    <w:rsid w:val="00D0707D"/>
    <w:rsid w:val="00D103F5"/>
    <w:rsid w:val="00D110BD"/>
    <w:rsid w:val="00D112CD"/>
    <w:rsid w:val="00D11801"/>
    <w:rsid w:val="00D11CCE"/>
    <w:rsid w:val="00D12725"/>
    <w:rsid w:val="00D12BCB"/>
    <w:rsid w:val="00D132BF"/>
    <w:rsid w:val="00D133BB"/>
    <w:rsid w:val="00D13675"/>
    <w:rsid w:val="00D139D2"/>
    <w:rsid w:val="00D13F4E"/>
    <w:rsid w:val="00D141E1"/>
    <w:rsid w:val="00D1476E"/>
    <w:rsid w:val="00D14967"/>
    <w:rsid w:val="00D1530E"/>
    <w:rsid w:val="00D15314"/>
    <w:rsid w:val="00D15B48"/>
    <w:rsid w:val="00D15BBF"/>
    <w:rsid w:val="00D1601C"/>
    <w:rsid w:val="00D16077"/>
    <w:rsid w:val="00D16A54"/>
    <w:rsid w:val="00D16BFF"/>
    <w:rsid w:val="00D16D7E"/>
    <w:rsid w:val="00D17D6C"/>
    <w:rsid w:val="00D17D87"/>
    <w:rsid w:val="00D205B9"/>
    <w:rsid w:val="00D20B3A"/>
    <w:rsid w:val="00D20B59"/>
    <w:rsid w:val="00D2155B"/>
    <w:rsid w:val="00D21827"/>
    <w:rsid w:val="00D21C6D"/>
    <w:rsid w:val="00D21D50"/>
    <w:rsid w:val="00D22066"/>
    <w:rsid w:val="00D221E4"/>
    <w:rsid w:val="00D22B5D"/>
    <w:rsid w:val="00D23188"/>
    <w:rsid w:val="00D232DE"/>
    <w:rsid w:val="00D23548"/>
    <w:rsid w:val="00D23A5D"/>
    <w:rsid w:val="00D23D11"/>
    <w:rsid w:val="00D244B6"/>
    <w:rsid w:val="00D251B9"/>
    <w:rsid w:val="00D2527A"/>
    <w:rsid w:val="00D253D5"/>
    <w:rsid w:val="00D254CC"/>
    <w:rsid w:val="00D25D9D"/>
    <w:rsid w:val="00D2695F"/>
    <w:rsid w:val="00D2754D"/>
    <w:rsid w:val="00D276A9"/>
    <w:rsid w:val="00D2778C"/>
    <w:rsid w:val="00D27B22"/>
    <w:rsid w:val="00D27B27"/>
    <w:rsid w:val="00D3094E"/>
    <w:rsid w:val="00D30A38"/>
    <w:rsid w:val="00D30D5B"/>
    <w:rsid w:val="00D312C4"/>
    <w:rsid w:val="00D316CD"/>
    <w:rsid w:val="00D318C3"/>
    <w:rsid w:val="00D31E74"/>
    <w:rsid w:val="00D31FA3"/>
    <w:rsid w:val="00D324E1"/>
    <w:rsid w:val="00D32BF3"/>
    <w:rsid w:val="00D32CAF"/>
    <w:rsid w:val="00D33028"/>
    <w:rsid w:val="00D33294"/>
    <w:rsid w:val="00D339AB"/>
    <w:rsid w:val="00D33BE9"/>
    <w:rsid w:val="00D33DDC"/>
    <w:rsid w:val="00D33EBB"/>
    <w:rsid w:val="00D33F93"/>
    <w:rsid w:val="00D34D3B"/>
    <w:rsid w:val="00D354BC"/>
    <w:rsid w:val="00D354BE"/>
    <w:rsid w:val="00D3577F"/>
    <w:rsid w:val="00D357FF"/>
    <w:rsid w:val="00D35B30"/>
    <w:rsid w:val="00D35FEF"/>
    <w:rsid w:val="00D3786F"/>
    <w:rsid w:val="00D37C4A"/>
    <w:rsid w:val="00D40178"/>
    <w:rsid w:val="00D40A35"/>
    <w:rsid w:val="00D410E4"/>
    <w:rsid w:val="00D41ED1"/>
    <w:rsid w:val="00D424C7"/>
    <w:rsid w:val="00D42EA6"/>
    <w:rsid w:val="00D43525"/>
    <w:rsid w:val="00D4371F"/>
    <w:rsid w:val="00D437A4"/>
    <w:rsid w:val="00D43B2A"/>
    <w:rsid w:val="00D43CF1"/>
    <w:rsid w:val="00D43D77"/>
    <w:rsid w:val="00D43D83"/>
    <w:rsid w:val="00D44132"/>
    <w:rsid w:val="00D4419C"/>
    <w:rsid w:val="00D44C0B"/>
    <w:rsid w:val="00D44C85"/>
    <w:rsid w:val="00D450BA"/>
    <w:rsid w:val="00D4625F"/>
    <w:rsid w:val="00D46335"/>
    <w:rsid w:val="00D4676A"/>
    <w:rsid w:val="00D468F6"/>
    <w:rsid w:val="00D46A1C"/>
    <w:rsid w:val="00D47106"/>
    <w:rsid w:val="00D4729D"/>
    <w:rsid w:val="00D472C3"/>
    <w:rsid w:val="00D472D7"/>
    <w:rsid w:val="00D47575"/>
    <w:rsid w:val="00D477CB"/>
    <w:rsid w:val="00D47A49"/>
    <w:rsid w:val="00D47A7A"/>
    <w:rsid w:val="00D47E13"/>
    <w:rsid w:val="00D47E17"/>
    <w:rsid w:val="00D5002F"/>
    <w:rsid w:val="00D510A7"/>
    <w:rsid w:val="00D5135E"/>
    <w:rsid w:val="00D51A29"/>
    <w:rsid w:val="00D51AA8"/>
    <w:rsid w:val="00D51B03"/>
    <w:rsid w:val="00D52137"/>
    <w:rsid w:val="00D52143"/>
    <w:rsid w:val="00D5225C"/>
    <w:rsid w:val="00D522C4"/>
    <w:rsid w:val="00D5243B"/>
    <w:rsid w:val="00D52793"/>
    <w:rsid w:val="00D533EC"/>
    <w:rsid w:val="00D537E7"/>
    <w:rsid w:val="00D53B97"/>
    <w:rsid w:val="00D53D3D"/>
    <w:rsid w:val="00D53D84"/>
    <w:rsid w:val="00D540C0"/>
    <w:rsid w:val="00D5446F"/>
    <w:rsid w:val="00D55579"/>
    <w:rsid w:val="00D55DC7"/>
    <w:rsid w:val="00D55F76"/>
    <w:rsid w:val="00D56A95"/>
    <w:rsid w:val="00D57F8C"/>
    <w:rsid w:val="00D60035"/>
    <w:rsid w:val="00D60056"/>
    <w:rsid w:val="00D602E9"/>
    <w:rsid w:val="00D6076E"/>
    <w:rsid w:val="00D60CCA"/>
    <w:rsid w:val="00D60E55"/>
    <w:rsid w:val="00D60F63"/>
    <w:rsid w:val="00D60FB2"/>
    <w:rsid w:val="00D610EC"/>
    <w:rsid w:val="00D62A23"/>
    <w:rsid w:val="00D62AFC"/>
    <w:rsid w:val="00D632FB"/>
    <w:rsid w:val="00D63AB9"/>
    <w:rsid w:val="00D63B5D"/>
    <w:rsid w:val="00D63D3D"/>
    <w:rsid w:val="00D63FA9"/>
    <w:rsid w:val="00D64561"/>
    <w:rsid w:val="00D64CCA"/>
    <w:rsid w:val="00D65380"/>
    <w:rsid w:val="00D65E8B"/>
    <w:rsid w:val="00D663AD"/>
    <w:rsid w:val="00D66AE5"/>
    <w:rsid w:val="00D66B73"/>
    <w:rsid w:val="00D66DDE"/>
    <w:rsid w:val="00D67089"/>
    <w:rsid w:val="00D67990"/>
    <w:rsid w:val="00D7010F"/>
    <w:rsid w:val="00D70A75"/>
    <w:rsid w:val="00D70B8E"/>
    <w:rsid w:val="00D70CBC"/>
    <w:rsid w:val="00D70F16"/>
    <w:rsid w:val="00D71031"/>
    <w:rsid w:val="00D71E22"/>
    <w:rsid w:val="00D71F25"/>
    <w:rsid w:val="00D72147"/>
    <w:rsid w:val="00D72442"/>
    <w:rsid w:val="00D72617"/>
    <w:rsid w:val="00D7280C"/>
    <w:rsid w:val="00D72943"/>
    <w:rsid w:val="00D72994"/>
    <w:rsid w:val="00D72DB7"/>
    <w:rsid w:val="00D72F57"/>
    <w:rsid w:val="00D73451"/>
    <w:rsid w:val="00D73A50"/>
    <w:rsid w:val="00D73C41"/>
    <w:rsid w:val="00D74644"/>
    <w:rsid w:val="00D74B09"/>
    <w:rsid w:val="00D74EED"/>
    <w:rsid w:val="00D753A9"/>
    <w:rsid w:val="00D762A2"/>
    <w:rsid w:val="00D76A44"/>
    <w:rsid w:val="00D76CE0"/>
    <w:rsid w:val="00D76FB1"/>
    <w:rsid w:val="00D7733B"/>
    <w:rsid w:val="00D776BA"/>
    <w:rsid w:val="00D77A25"/>
    <w:rsid w:val="00D77C43"/>
    <w:rsid w:val="00D801DD"/>
    <w:rsid w:val="00D802B1"/>
    <w:rsid w:val="00D8046E"/>
    <w:rsid w:val="00D80691"/>
    <w:rsid w:val="00D80B3E"/>
    <w:rsid w:val="00D80E4F"/>
    <w:rsid w:val="00D812B3"/>
    <w:rsid w:val="00D815C2"/>
    <w:rsid w:val="00D815EF"/>
    <w:rsid w:val="00D816FE"/>
    <w:rsid w:val="00D8178B"/>
    <w:rsid w:val="00D81949"/>
    <w:rsid w:val="00D81BF7"/>
    <w:rsid w:val="00D81F26"/>
    <w:rsid w:val="00D822E2"/>
    <w:rsid w:val="00D825DA"/>
    <w:rsid w:val="00D82B15"/>
    <w:rsid w:val="00D841AC"/>
    <w:rsid w:val="00D843F2"/>
    <w:rsid w:val="00D848C5"/>
    <w:rsid w:val="00D85CF9"/>
    <w:rsid w:val="00D86231"/>
    <w:rsid w:val="00D86ECD"/>
    <w:rsid w:val="00D86FD7"/>
    <w:rsid w:val="00D87162"/>
    <w:rsid w:val="00D871D3"/>
    <w:rsid w:val="00D8747F"/>
    <w:rsid w:val="00D878FD"/>
    <w:rsid w:val="00D87A05"/>
    <w:rsid w:val="00D87F8F"/>
    <w:rsid w:val="00D90596"/>
    <w:rsid w:val="00D90A4D"/>
    <w:rsid w:val="00D912AB"/>
    <w:rsid w:val="00D91923"/>
    <w:rsid w:val="00D919BA"/>
    <w:rsid w:val="00D92773"/>
    <w:rsid w:val="00D92FF2"/>
    <w:rsid w:val="00D93166"/>
    <w:rsid w:val="00D93753"/>
    <w:rsid w:val="00D93E61"/>
    <w:rsid w:val="00D94838"/>
    <w:rsid w:val="00D94D77"/>
    <w:rsid w:val="00D95B36"/>
    <w:rsid w:val="00D95FDB"/>
    <w:rsid w:val="00D962BC"/>
    <w:rsid w:val="00D96718"/>
    <w:rsid w:val="00D96DB8"/>
    <w:rsid w:val="00D96EA9"/>
    <w:rsid w:val="00D96FE9"/>
    <w:rsid w:val="00D97A4D"/>
    <w:rsid w:val="00D97C8D"/>
    <w:rsid w:val="00D97DFE"/>
    <w:rsid w:val="00DA0140"/>
    <w:rsid w:val="00DA05FB"/>
    <w:rsid w:val="00DA0952"/>
    <w:rsid w:val="00DA0C07"/>
    <w:rsid w:val="00DA1242"/>
    <w:rsid w:val="00DA1327"/>
    <w:rsid w:val="00DA177B"/>
    <w:rsid w:val="00DA1919"/>
    <w:rsid w:val="00DA1E1F"/>
    <w:rsid w:val="00DA28F6"/>
    <w:rsid w:val="00DA3167"/>
    <w:rsid w:val="00DA32CD"/>
    <w:rsid w:val="00DA3800"/>
    <w:rsid w:val="00DA3846"/>
    <w:rsid w:val="00DA39F0"/>
    <w:rsid w:val="00DA459C"/>
    <w:rsid w:val="00DA4B79"/>
    <w:rsid w:val="00DA4CC8"/>
    <w:rsid w:val="00DA4DC3"/>
    <w:rsid w:val="00DA539C"/>
    <w:rsid w:val="00DA5A60"/>
    <w:rsid w:val="00DA5CD3"/>
    <w:rsid w:val="00DA6019"/>
    <w:rsid w:val="00DA65A8"/>
    <w:rsid w:val="00DA6EA8"/>
    <w:rsid w:val="00DA77A5"/>
    <w:rsid w:val="00DA7E31"/>
    <w:rsid w:val="00DA7FF2"/>
    <w:rsid w:val="00DB0020"/>
    <w:rsid w:val="00DB0216"/>
    <w:rsid w:val="00DB081D"/>
    <w:rsid w:val="00DB09B3"/>
    <w:rsid w:val="00DB0A07"/>
    <w:rsid w:val="00DB0E36"/>
    <w:rsid w:val="00DB1438"/>
    <w:rsid w:val="00DB1E2D"/>
    <w:rsid w:val="00DB228D"/>
    <w:rsid w:val="00DB33B5"/>
    <w:rsid w:val="00DB3DBF"/>
    <w:rsid w:val="00DB457E"/>
    <w:rsid w:val="00DB45F9"/>
    <w:rsid w:val="00DB484F"/>
    <w:rsid w:val="00DB4E7A"/>
    <w:rsid w:val="00DB5053"/>
    <w:rsid w:val="00DB51A9"/>
    <w:rsid w:val="00DB523B"/>
    <w:rsid w:val="00DB5258"/>
    <w:rsid w:val="00DB5997"/>
    <w:rsid w:val="00DB5A75"/>
    <w:rsid w:val="00DB5CE9"/>
    <w:rsid w:val="00DB6266"/>
    <w:rsid w:val="00DB62DF"/>
    <w:rsid w:val="00DB636D"/>
    <w:rsid w:val="00DB6393"/>
    <w:rsid w:val="00DB659D"/>
    <w:rsid w:val="00DB65D2"/>
    <w:rsid w:val="00DB6F97"/>
    <w:rsid w:val="00DB780F"/>
    <w:rsid w:val="00DB7A62"/>
    <w:rsid w:val="00DB7A6F"/>
    <w:rsid w:val="00DB7C68"/>
    <w:rsid w:val="00DB7DE9"/>
    <w:rsid w:val="00DC04F6"/>
    <w:rsid w:val="00DC0690"/>
    <w:rsid w:val="00DC06DD"/>
    <w:rsid w:val="00DC0890"/>
    <w:rsid w:val="00DC0E57"/>
    <w:rsid w:val="00DC10F5"/>
    <w:rsid w:val="00DC16A8"/>
    <w:rsid w:val="00DC1D65"/>
    <w:rsid w:val="00DC1EB6"/>
    <w:rsid w:val="00DC20CD"/>
    <w:rsid w:val="00DC25BB"/>
    <w:rsid w:val="00DC286D"/>
    <w:rsid w:val="00DC3A09"/>
    <w:rsid w:val="00DC3C57"/>
    <w:rsid w:val="00DC4456"/>
    <w:rsid w:val="00DC4D74"/>
    <w:rsid w:val="00DC4D80"/>
    <w:rsid w:val="00DC5501"/>
    <w:rsid w:val="00DC5D00"/>
    <w:rsid w:val="00DC5DE4"/>
    <w:rsid w:val="00DC5F8C"/>
    <w:rsid w:val="00DC63F5"/>
    <w:rsid w:val="00DC679A"/>
    <w:rsid w:val="00DC70BB"/>
    <w:rsid w:val="00DC7154"/>
    <w:rsid w:val="00DC755E"/>
    <w:rsid w:val="00DC78DB"/>
    <w:rsid w:val="00DC7D67"/>
    <w:rsid w:val="00DC7E8A"/>
    <w:rsid w:val="00DD0814"/>
    <w:rsid w:val="00DD0B45"/>
    <w:rsid w:val="00DD0F78"/>
    <w:rsid w:val="00DD1375"/>
    <w:rsid w:val="00DD1BCD"/>
    <w:rsid w:val="00DD1CA7"/>
    <w:rsid w:val="00DD2168"/>
    <w:rsid w:val="00DD273C"/>
    <w:rsid w:val="00DD2800"/>
    <w:rsid w:val="00DD2A8B"/>
    <w:rsid w:val="00DD2E0D"/>
    <w:rsid w:val="00DD3264"/>
    <w:rsid w:val="00DD34D5"/>
    <w:rsid w:val="00DD38DB"/>
    <w:rsid w:val="00DD3B60"/>
    <w:rsid w:val="00DD3C36"/>
    <w:rsid w:val="00DD3F28"/>
    <w:rsid w:val="00DD4092"/>
    <w:rsid w:val="00DD4399"/>
    <w:rsid w:val="00DD4446"/>
    <w:rsid w:val="00DD4537"/>
    <w:rsid w:val="00DD4E15"/>
    <w:rsid w:val="00DD525B"/>
    <w:rsid w:val="00DD5348"/>
    <w:rsid w:val="00DD64CA"/>
    <w:rsid w:val="00DD6D06"/>
    <w:rsid w:val="00DD6E47"/>
    <w:rsid w:val="00DD7635"/>
    <w:rsid w:val="00DD7D4A"/>
    <w:rsid w:val="00DD7FD8"/>
    <w:rsid w:val="00DE0DD3"/>
    <w:rsid w:val="00DE0E3B"/>
    <w:rsid w:val="00DE1AC1"/>
    <w:rsid w:val="00DE1C42"/>
    <w:rsid w:val="00DE2304"/>
    <w:rsid w:val="00DE24F2"/>
    <w:rsid w:val="00DE27B5"/>
    <w:rsid w:val="00DE295F"/>
    <w:rsid w:val="00DE3138"/>
    <w:rsid w:val="00DE3622"/>
    <w:rsid w:val="00DE37F8"/>
    <w:rsid w:val="00DE394F"/>
    <w:rsid w:val="00DE3A24"/>
    <w:rsid w:val="00DE3CBF"/>
    <w:rsid w:val="00DE4196"/>
    <w:rsid w:val="00DE4273"/>
    <w:rsid w:val="00DE464F"/>
    <w:rsid w:val="00DE46D3"/>
    <w:rsid w:val="00DE4FCB"/>
    <w:rsid w:val="00DE5124"/>
    <w:rsid w:val="00DE541B"/>
    <w:rsid w:val="00DE5D07"/>
    <w:rsid w:val="00DE6B03"/>
    <w:rsid w:val="00DE72A7"/>
    <w:rsid w:val="00DE7724"/>
    <w:rsid w:val="00DE7832"/>
    <w:rsid w:val="00DE7E8E"/>
    <w:rsid w:val="00DE7EE9"/>
    <w:rsid w:val="00DF00C7"/>
    <w:rsid w:val="00DF0832"/>
    <w:rsid w:val="00DF0B9E"/>
    <w:rsid w:val="00DF0E45"/>
    <w:rsid w:val="00DF0E8D"/>
    <w:rsid w:val="00DF0F96"/>
    <w:rsid w:val="00DF135D"/>
    <w:rsid w:val="00DF146C"/>
    <w:rsid w:val="00DF18FC"/>
    <w:rsid w:val="00DF1A3A"/>
    <w:rsid w:val="00DF1B2B"/>
    <w:rsid w:val="00DF204A"/>
    <w:rsid w:val="00DF2113"/>
    <w:rsid w:val="00DF2150"/>
    <w:rsid w:val="00DF39C8"/>
    <w:rsid w:val="00DF3D06"/>
    <w:rsid w:val="00DF3E74"/>
    <w:rsid w:val="00DF455C"/>
    <w:rsid w:val="00DF460D"/>
    <w:rsid w:val="00DF476E"/>
    <w:rsid w:val="00DF51EF"/>
    <w:rsid w:val="00DF547E"/>
    <w:rsid w:val="00DF5D2B"/>
    <w:rsid w:val="00DF6146"/>
    <w:rsid w:val="00DF6276"/>
    <w:rsid w:val="00DF6341"/>
    <w:rsid w:val="00DF6A40"/>
    <w:rsid w:val="00DF6B39"/>
    <w:rsid w:val="00DF7347"/>
    <w:rsid w:val="00DF772D"/>
    <w:rsid w:val="00DF7DD3"/>
    <w:rsid w:val="00E00203"/>
    <w:rsid w:val="00E008AF"/>
    <w:rsid w:val="00E00E45"/>
    <w:rsid w:val="00E00E8E"/>
    <w:rsid w:val="00E0106D"/>
    <w:rsid w:val="00E01115"/>
    <w:rsid w:val="00E013DA"/>
    <w:rsid w:val="00E014DE"/>
    <w:rsid w:val="00E01ACF"/>
    <w:rsid w:val="00E01CD1"/>
    <w:rsid w:val="00E02338"/>
    <w:rsid w:val="00E02466"/>
    <w:rsid w:val="00E025B5"/>
    <w:rsid w:val="00E02B95"/>
    <w:rsid w:val="00E0337E"/>
    <w:rsid w:val="00E03966"/>
    <w:rsid w:val="00E03A12"/>
    <w:rsid w:val="00E04F63"/>
    <w:rsid w:val="00E04FC4"/>
    <w:rsid w:val="00E0513B"/>
    <w:rsid w:val="00E055E0"/>
    <w:rsid w:val="00E05630"/>
    <w:rsid w:val="00E05DCC"/>
    <w:rsid w:val="00E06197"/>
    <w:rsid w:val="00E06792"/>
    <w:rsid w:val="00E06DBB"/>
    <w:rsid w:val="00E06FBB"/>
    <w:rsid w:val="00E0711B"/>
    <w:rsid w:val="00E07D4C"/>
    <w:rsid w:val="00E10149"/>
    <w:rsid w:val="00E11202"/>
    <w:rsid w:val="00E11340"/>
    <w:rsid w:val="00E1225B"/>
    <w:rsid w:val="00E1227C"/>
    <w:rsid w:val="00E122A1"/>
    <w:rsid w:val="00E12870"/>
    <w:rsid w:val="00E1314C"/>
    <w:rsid w:val="00E13839"/>
    <w:rsid w:val="00E14040"/>
    <w:rsid w:val="00E1453A"/>
    <w:rsid w:val="00E1473B"/>
    <w:rsid w:val="00E150EB"/>
    <w:rsid w:val="00E158D3"/>
    <w:rsid w:val="00E15947"/>
    <w:rsid w:val="00E15A3D"/>
    <w:rsid w:val="00E16056"/>
    <w:rsid w:val="00E16372"/>
    <w:rsid w:val="00E16AD8"/>
    <w:rsid w:val="00E16F12"/>
    <w:rsid w:val="00E17C49"/>
    <w:rsid w:val="00E17DC1"/>
    <w:rsid w:val="00E17DEA"/>
    <w:rsid w:val="00E17FFA"/>
    <w:rsid w:val="00E20016"/>
    <w:rsid w:val="00E20506"/>
    <w:rsid w:val="00E207EF"/>
    <w:rsid w:val="00E20810"/>
    <w:rsid w:val="00E20E4D"/>
    <w:rsid w:val="00E20ED6"/>
    <w:rsid w:val="00E21358"/>
    <w:rsid w:val="00E217D7"/>
    <w:rsid w:val="00E21ABA"/>
    <w:rsid w:val="00E21BB9"/>
    <w:rsid w:val="00E21EB3"/>
    <w:rsid w:val="00E2249B"/>
    <w:rsid w:val="00E22A0D"/>
    <w:rsid w:val="00E22B6C"/>
    <w:rsid w:val="00E22BFA"/>
    <w:rsid w:val="00E23F18"/>
    <w:rsid w:val="00E244F6"/>
    <w:rsid w:val="00E24F67"/>
    <w:rsid w:val="00E25091"/>
    <w:rsid w:val="00E258DB"/>
    <w:rsid w:val="00E25AF1"/>
    <w:rsid w:val="00E25E24"/>
    <w:rsid w:val="00E2638C"/>
    <w:rsid w:val="00E26420"/>
    <w:rsid w:val="00E26791"/>
    <w:rsid w:val="00E27178"/>
    <w:rsid w:val="00E272F6"/>
    <w:rsid w:val="00E2771E"/>
    <w:rsid w:val="00E27AAB"/>
    <w:rsid w:val="00E3001F"/>
    <w:rsid w:val="00E3034B"/>
    <w:rsid w:val="00E30C71"/>
    <w:rsid w:val="00E311EF"/>
    <w:rsid w:val="00E3133F"/>
    <w:rsid w:val="00E3186E"/>
    <w:rsid w:val="00E31C7B"/>
    <w:rsid w:val="00E32180"/>
    <w:rsid w:val="00E326E7"/>
    <w:rsid w:val="00E333B2"/>
    <w:rsid w:val="00E34948"/>
    <w:rsid w:val="00E352A1"/>
    <w:rsid w:val="00E354F4"/>
    <w:rsid w:val="00E35F6D"/>
    <w:rsid w:val="00E36984"/>
    <w:rsid w:val="00E36D48"/>
    <w:rsid w:val="00E36DD8"/>
    <w:rsid w:val="00E372C1"/>
    <w:rsid w:val="00E37569"/>
    <w:rsid w:val="00E37BC5"/>
    <w:rsid w:val="00E401B2"/>
    <w:rsid w:val="00E404FF"/>
    <w:rsid w:val="00E40A0B"/>
    <w:rsid w:val="00E40ADE"/>
    <w:rsid w:val="00E40DF1"/>
    <w:rsid w:val="00E41493"/>
    <w:rsid w:val="00E4149B"/>
    <w:rsid w:val="00E415F0"/>
    <w:rsid w:val="00E41E30"/>
    <w:rsid w:val="00E41E71"/>
    <w:rsid w:val="00E422E0"/>
    <w:rsid w:val="00E42375"/>
    <w:rsid w:val="00E42C77"/>
    <w:rsid w:val="00E42F73"/>
    <w:rsid w:val="00E43005"/>
    <w:rsid w:val="00E43D70"/>
    <w:rsid w:val="00E44BA9"/>
    <w:rsid w:val="00E44D22"/>
    <w:rsid w:val="00E44E30"/>
    <w:rsid w:val="00E45471"/>
    <w:rsid w:val="00E45FE0"/>
    <w:rsid w:val="00E466F3"/>
    <w:rsid w:val="00E47292"/>
    <w:rsid w:val="00E47B2C"/>
    <w:rsid w:val="00E47F79"/>
    <w:rsid w:val="00E51560"/>
    <w:rsid w:val="00E51709"/>
    <w:rsid w:val="00E51821"/>
    <w:rsid w:val="00E51939"/>
    <w:rsid w:val="00E51E7E"/>
    <w:rsid w:val="00E52907"/>
    <w:rsid w:val="00E52F06"/>
    <w:rsid w:val="00E53FC8"/>
    <w:rsid w:val="00E540A8"/>
    <w:rsid w:val="00E54347"/>
    <w:rsid w:val="00E549E5"/>
    <w:rsid w:val="00E55148"/>
    <w:rsid w:val="00E55424"/>
    <w:rsid w:val="00E554F6"/>
    <w:rsid w:val="00E555E6"/>
    <w:rsid w:val="00E55915"/>
    <w:rsid w:val="00E55BB5"/>
    <w:rsid w:val="00E55D58"/>
    <w:rsid w:val="00E56032"/>
    <w:rsid w:val="00E5621C"/>
    <w:rsid w:val="00E56779"/>
    <w:rsid w:val="00E5729F"/>
    <w:rsid w:val="00E57563"/>
    <w:rsid w:val="00E57646"/>
    <w:rsid w:val="00E57B21"/>
    <w:rsid w:val="00E57E38"/>
    <w:rsid w:val="00E60D4A"/>
    <w:rsid w:val="00E611DF"/>
    <w:rsid w:val="00E6149B"/>
    <w:rsid w:val="00E61CEF"/>
    <w:rsid w:val="00E61EC0"/>
    <w:rsid w:val="00E620B0"/>
    <w:rsid w:val="00E630EC"/>
    <w:rsid w:val="00E63A75"/>
    <w:rsid w:val="00E63B5D"/>
    <w:rsid w:val="00E647B9"/>
    <w:rsid w:val="00E649EC"/>
    <w:rsid w:val="00E64E3B"/>
    <w:rsid w:val="00E655F0"/>
    <w:rsid w:val="00E65683"/>
    <w:rsid w:val="00E65E79"/>
    <w:rsid w:val="00E661AA"/>
    <w:rsid w:val="00E66650"/>
    <w:rsid w:val="00E66936"/>
    <w:rsid w:val="00E66A65"/>
    <w:rsid w:val="00E66BA2"/>
    <w:rsid w:val="00E66EF2"/>
    <w:rsid w:val="00E67416"/>
    <w:rsid w:val="00E67446"/>
    <w:rsid w:val="00E67810"/>
    <w:rsid w:val="00E7004E"/>
    <w:rsid w:val="00E7062D"/>
    <w:rsid w:val="00E70656"/>
    <w:rsid w:val="00E70B9A"/>
    <w:rsid w:val="00E715DE"/>
    <w:rsid w:val="00E718B0"/>
    <w:rsid w:val="00E718B6"/>
    <w:rsid w:val="00E723B0"/>
    <w:rsid w:val="00E723BA"/>
    <w:rsid w:val="00E7240C"/>
    <w:rsid w:val="00E72F7C"/>
    <w:rsid w:val="00E73581"/>
    <w:rsid w:val="00E73B39"/>
    <w:rsid w:val="00E74037"/>
    <w:rsid w:val="00E7473F"/>
    <w:rsid w:val="00E75400"/>
    <w:rsid w:val="00E756F5"/>
    <w:rsid w:val="00E75DB3"/>
    <w:rsid w:val="00E76157"/>
    <w:rsid w:val="00E761F7"/>
    <w:rsid w:val="00E765B9"/>
    <w:rsid w:val="00E77C91"/>
    <w:rsid w:val="00E80060"/>
    <w:rsid w:val="00E8013F"/>
    <w:rsid w:val="00E806D6"/>
    <w:rsid w:val="00E808AA"/>
    <w:rsid w:val="00E80BFC"/>
    <w:rsid w:val="00E80D70"/>
    <w:rsid w:val="00E80F59"/>
    <w:rsid w:val="00E8136D"/>
    <w:rsid w:val="00E8142E"/>
    <w:rsid w:val="00E81696"/>
    <w:rsid w:val="00E81DE2"/>
    <w:rsid w:val="00E821C2"/>
    <w:rsid w:val="00E823C4"/>
    <w:rsid w:val="00E82A37"/>
    <w:rsid w:val="00E82C77"/>
    <w:rsid w:val="00E83071"/>
    <w:rsid w:val="00E8331C"/>
    <w:rsid w:val="00E833F7"/>
    <w:rsid w:val="00E83601"/>
    <w:rsid w:val="00E83AAC"/>
    <w:rsid w:val="00E83BDF"/>
    <w:rsid w:val="00E83D4B"/>
    <w:rsid w:val="00E841DD"/>
    <w:rsid w:val="00E8517E"/>
    <w:rsid w:val="00E8565B"/>
    <w:rsid w:val="00E8574C"/>
    <w:rsid w:val="00E85FEA"/>
    <w:rsid w:val="00E860B4"/>
    <w:rsid w:val="00E86224"/>
    <w:rsid w:val="00E864F0"/>
    <w:rsid w:val="00E865BC"/>
    <w:rsid w:val="00E86FCC"/>
    <w:rsid w:val="00E878B5"/>
    <w:rsid w:val="00E87A1D"/>
    <w:rsid w:val="00E9094A"/>
    <w:rsid w:val="00E9104D"/>
    <w:rsid w:val="00E91148"/>
    <w:rsid w:val="00E91374"/>
    <w:rsid w:val="00E91D35"/>
    <w:rsid w:val="00E91D8E"/>
    <w:rsid w:val="00E9267E"/>
    <w:rsid w:val="00E926A5"/>
    <w:rsid w:val="00E92CA4"/>
    <w:rsid w:val="00E92EF8"/>
    <w:rsid w:val="00E936DE"/>
    <w:rsid w:val="00E93A66"/>
    <w:rsid w:val="00E93B16"/>
    <w:rsid w:val="00E93EA4"/>
    <w:rsid w:val="00E9430F"/>
    <w:rsid w:val="00E9445C"/>
    <w:rsid w:val="00E94624"/>
    <w:rsid w:val="00E9493A"/>
    <w:rsid w:val="00E9497E"/>
    <w:rsid w:val="00E94F74"/>
    <w:rsid w:val="00E9562C"/>
    <w:rsid w:val="00E95925"/>
    <w:rsid w:val="00E95935"/>
    <w:rsid w:val="00E95F6E"/>
    <w:rsid w:val="00E9621B"/>
    <w:rsid w:val="00E962CC"/>
    <w:rsid w:val="00E96339"/>
    <w:rsid w:val="00E963E4"/>
    <w:rsid w:val="00E964FB"/>
    <w:rsid w:val="00E96B0E"/>
    <w:rsid w:val="00E96D8D"/>
    <w:rsid w:val="00E974CB"/>
    <w:rsid w:val="00E97905"/>
    <w:rsid w:val="00EA013D"/>
    <w:rsid w:val="00EA033C"/>
    <w:rsid w:val="00EA04F6"/>
    <w:rsid w:val="00EA06F9"/>
    <w:rsid w:val="00EA11D1"/>
    <w:rsid w:val="00EA17C3"/>
    <w:rsid w:val="00EA180E"/>
    <w:rsid w:val="00EA188D"/>
    <w:rsid w:val="00EA1C11"/>
    <w:rsid w:val="00EA2996"/>
    <w:rsid w:val="00EA2CAA"/>
    <w:rsid w:val="00EA3308"/>
    <w:rsid w:val="00EA36CB"/>
    <w:rsid w:val="00EA3864"/>
    <w:rsid w:val="00EA3E5B"/>
    <w:rsid w:val="00EA4845"/>
    <w:rsid w:val="00EA531C"/>
    <w:rsid w:val="00EA5A01"/>
    <w:rsid w:val="00EA7136"/>
    <w:rsid w:val="00EA73E9"/>
    <w:rsid w:val="00EA7E22"/>
    <w:rsid w:val="00EA7F1C"/>
    <w:rsid w:val="00EB05CD"/>
    <w:rsid w:val="00EB05F0"/>
    <w:rsid w:val="00EB1050"/>
    <w:rsid w:val="00EB15B6"/>
    <w:rsid w:val="00EB194F"/>
    <w:rsid w:val="00EB1AC6"/>
    <w:rsid w:val="00EB3173"/>
    <w:rsid w:val="00EB331F"/>
    <w:rsid w:val="00EB3D06"/>
    <w:rsid w:val="00EB40BF"/>
    <w:rsid w:val="00EB447B"/>
    <w:rsid w:val="00EB46FC"/>
    <w:rsid w:val="00EB4916"/>
    <w:rsid w:val="00EB4B9F"/>
    <w:rsid w:val="00EB537E"/>
    <w:rsid w:val="00EB5E7C"/>
    <w:rsid w:val="00EB6008"/>
    <w:rsid w:val="00EB674B"/>
    <w:rsid w:val="00EB69FC"/>
    <w:rsid w:val="00EB73B8"/>
    <w:rsid w:val="00EB77F5"/>
    <w:rsid w:val="00EB7C4A"/>
    <w:rsid w:val="00EB7CEF"/>
    <w:rsid w:val="00EB7DC9"/>
    <w:rsid w:val="00EC00C9"/>
    <w:rsid w:val="00EC019B"/>
    <w:rsid w:val="00EC01C9"/>
    <w:rsid w:val="00EC0626"/>
    <w:rsid w:val="00EC06BF"/>
    <w:rsid w:val="00EC0779"/>
    <w:rsid w:val="00EC0DD9"/>
    <w:rsid w:val="00EC11FD"/>
    <w:rsid w:val="00EC1258"/>
    <w:rsid w:val="00EC1501"/>
    <w:rsid w:val="00EC1BC5"/>
    <w:rsid w:val="00EC2373"/>
    <w:rsid w:val="00EC2649"/>
    <w:rsid w:val="00EC26F9"/>
    <w:rsid w:val="00EC2793"/>
    <w:rsid w:val="00EC31ED"/>
    <w:rsid w:val="00EC37B6"/>
    <w:rsid w:val="00EC3A8C"/>
    <w:rsid w:val="00EC3BD9"/>
    <w:rsid w:val="00EC4191"/>
    <w:rsid w:val="00EC47C6"/>
    <w:rsid w:val="00EC485E"/>
    <w:rsid w:val="00EC4D75"/>
    <w:rsid w:val="00EC5472"/>
    <w:rsid w:val="00EC5836"/>
    <w:rsid w:val="00EC5E98"/>
    <w:rsid w:val="00EC5EAE"/>
    <w:rsid w:val="00EC6174"/>
    <w:rsid w:val="00EC688C"/>
    <w:rsid w:val="00EC7FEF"/>
    <w:rsid w:val="00ED12E3"/>
    <w:rsid w:val="00ED142E"/>
    <w:rsid w:val="00ED1501"/>
    <w:rsid w:val="00ED186D"/>
    <w:rsid w:val="00ED19F8"/>
    <w:rsid w:val="00ED1A30"/>
    <w:rsid w:val="00ED1EC7"/>
    <w:rsid w:val="00ED24FB"/>
    <w:rsid w:val="00ED2AE6"/>
    <w:rsid w:val="00ED2BBB"/>
    <w:rsid w:val="00ED3304"/>
    <w:rsid w:val="00ED3779"/>
    <w:rsid w:val="00ED37EA"/>
    <w:rsid w:val="00ED44DA"/>
    <w:rsid w:val="00ED45AE"/>
    <w:rsid w:val="00ED468B"/>
    <w:rsid w:val="00ED4B04"/>
    <w:rsid w:val="00ED50A5"/>
    <w:rsid w:val="00ED57EA"/>
    <w:rsid w:val="00ED5B49"/>
    <w:rsid w:val="00ED5BD4"/>
    <w:rsid w:val="00ED5D26"/>
    <w:rsid w:val="00ED6AB8"/>
    <w:rsid w:val="00ED75AF"/>
    <w:rsid w:val="00EE07D3"/>
    <w:rsid w:val="00EE0813"/>
    <w:rsid w:val="00EE0B4F"/>
    <w:rsid w:val="00EE114E"/>
    <w:rsid w:val="00EE1267"/>
    <w:rsid w:val="00EE1996"/>
    <w:rsid w:val="00EE1A72"/>
    <w:rsid w:val="00EE1C01"/>
    <w:rsid w:val="00EE1DA0"/>
    <w:rsid w:val="00EE22AF"/>
    <w:rsid w:val="00EE2324"/>
    <w:rsid w:val="00EE23B5"/>
    <w:rsid w:val="00EE24E5"/>
    <w:rsid w:val="00EE26AC"/>
    <w:rsid w:val="00EE2838"/>
    <w:rsid w:val="00EE290A"/>
    <w:rsid w:val="00EE328C"/>
    <w:rsid w:val="00EE3B15"/>
    <w:rsid w:val="00EE462F"/>
    <w:rsid w:val="00EE474F"/>
    <w:rsid w:val="00EE4980"/>
    <w:rsid w:val="00EE49CD"/>
    <w:rsid w:val="00EE4FB3"/>
    <w:rsid w:val="00EE5192"/>
    <w:rsid w:val="00EE58FC"/>
    <w:rsid w:val="00EE5DAF"/>
    <w:rsid w:val="00EE6760"/>
    <w:rsid w:val="00EE693D"/>
    <w:rsid w:val="00EE7310"/>
    <w:rsid w:val="00EE79A8"/>
    <w:rsid w:val="00EE7C38"/>
    <w:rsid w:val="00EF0171"/>
    <w:rsid w:val="00EF1B25"/>
    <w:rsid w:val="00EF1DA0"/>
    <w:rsid w:val="00EF1E03"/>
    <w:rsid w:val="00EF1EBA"/>
    <w:rsid w:val="00EF2151"/>
    <w:rsid w:val="00EF25A0"/>
    <w:rsid w:val="00EF2647"/>
    <w:rsid w:val="00EF2C40"/>
    <w:rsid w:val="00EF2E97"/>
    <w:rsid w:val="00EF3C54"/>
    <w:rsid w:val="00EF44B5"/>
    <w:rsid w:val="00EF4506"/>
    <w:rsid w:val="00EF4747"/>
    <w:rsid w:val="00EF4BF8"/>
    <w:rsid w:val="00EF5046"/>
    <w:rsid w:val="00EF52C0"/>
    <w:rsid w:val="00EF5799"/>
    <w:rsid w:val="00EF6305"/>
    <w:rsid w:val="00EF6C54"/>
    <w:rsid w:val="00EF6CDB"/>
    <w:rsid w:val="00EF7EA0"/>
    <w:rsid w:val="00F0035B"/>
    <w:rsid w:val="00F008FE"/>
    <w:rsid w:val="00F00B3E"/>
    <w:rsid w:val="00F00B46"/>
    <w:rsid w:val="00F00B56"/>
    <w:rsid w:val="00F00FC8"/>
    <w:rsid w:val="00F013E0"/>
    <w:rsid w:val="00F01939"/>
    <w:rsid w:val="00F01A26"/>
    <w:rsid w:val="00F01BB4"/>
    <w:rsid w:val="00F01F1E"/>
    <w:rsid w:val="00F01FBC"/>
    <w:rsid w:val="00F02253"/>
    <w:rsid w:val="00F0317A"/>
    <w:rsid w:val="00F036C3"/>
    <w:rsid w:val="00F03C2E"/>
    <w:rsid w:val="00F0411E"/>
    <w:rsid w:val="00F048F8"/>
    <w:rsid w:val="00F04940"/>
    <w:rsid w:val="00F04A66"/>
    <w:rsid w:val="00F04AA0"/>
    <w:rsid w:val="00F04B4B"/>
    <w:rsid w:val="00F0516C"/>
    <w:rsid w:val="00F051A9"/>
    <w:rsid w:val="00F053F0"/>
    <w:rsid w:val="00F05851"/>
    <w:rsid w:val="00F063C7"/>
    <w:rsid w:val="00F067A2"/>
    <w:rsid w:val="00F0739A"/>
    <w:rsid w:val="00F074E3"/>
    <w:rsid w:val="00F07B9E"/>
    <w:rsid w:val="00F07E16"/>
    <w:rsid w:val="00F10834"/>
    <w:rsid w:val="00F10A32"/>
    <w:rsid w:val="00F10BBC"/>
    <w:rsid w:val="00F1116F"/>
    <w:rsid w:val="00F11FFE"/>
    <w:rsid w:val="00F1263A"/>
    <w:rsid w:val="00F12B26"/>
    <w:rsid w:val="00F12B5F"/>
    <w:rsid w:val="00F12F4A"/>
    <w:rsid w:val="00F13430"/>
    <w:rsid w:val="00F139A6"/>
    <w:rsid w:val="00F139C5"/>
    <w:rsid w:val="00F13AA6"/>
    <w:rsid w:val="00F14286"/>
    <w:rsid w:val="00F14717"/>
    <w:rsid w:val="00F14851"/>
    <w:rsid w:val="00F1493C"/>
    <w:rsid w:val="00F14E9C"/>
    <w:rsid w:val="00F154E5"/>
    <w:rsid w:val="00F15887"/>
    <w:rsid w:val="00F159A7"/>
    <w:rsid w:val="00F15B77"/>
    <w:rsid w:val="00F15D52"/>
    <w:rsid w:val="00F16031"/>
    <w:rsid w:val="00F16296"/>
    <w:rsid w:val="00F1661D"/>
    <w:rsid w:val="00F16ED5"/>
    <w:rsid w:val="00F1704E"/>
    <w:rsid w:val="00F170B6"/>
    <w:rsid w:val="00F17C84"/>
    <w:rsid w:val="00F2026A"/>
    <w:rsid w:val="00F2067B"/>
    <w:rsid w:val="00F20D99"/>
    <w:rsid w:val="00F211A0"/>
    <w:rsid w:val="00F21236"/>
    <w:rsid w:val="00F2125A"/>
    <w:rsid w:val="00F21759"/>
    <w:rsid w:val="00F221A2"/>
    <w:rsid w:val="00F22645"/>
    <w:rsid w:val="00F22A42"/>
    <w:rsid w:val="00F22DB6"/>
    <w:rsid w:val="00F22F15"/>
    <w:rsid w:val="00F2396D"/>
    <w:rsid w:val="00F239DF"/>
    <w:rsid w:val="00F24837"/>
    <w:rsid w:val="00F24FA7"/>
    <w:rsid w:val="00F2513B"/>
    <w:rsid w:val="00F2544E"/>
    <w:rsid w:val="00F2575F"/>
    <w:rsid w:val="00F271C7"/>
    <w:rsid w:val="00F27565"/>
    <w:rsid w:val="00F2798C"/>
    <w:rsid w:val="00F30539"/>
    <w:rsid w:val="00F30757"/>
    <w:rsid w:val="00F30C51"/>
    <w:rsid w:val="00F30E2A"/>
    <w:rsid w:val="00F310D4"/>
    <w:rsid w:val="00F310D6"/>
    <w:rsid w:val="00F311F1"/>
    <w:rsid w:val="00F314E7"/>
    <w:rsid w:val="00F315D5"/>
    <w:rsid w:val="00F31D5A"/>
    <w:rsid w:val="00F32520"/>
    <w:rsid w:val="00F33918"/>
    <w:rsid w:val="00F33975"/>
    <w:rsid w:val="00F33C36"/>
    <w:rsid w:val="00F33DE9"/>
    <w:rsid w:val="00F33F41"/>
    <w:rsid w:val="00F342D9"/>
    <w:rsid w:val="00F349A5"/>
    <w:rsid w:val="00F34C72"/>
    <w:rsid w:val="00F3501B"/>
    <w:rsid w:val="00F35D38"/>
    <w:rsid w:val="00F35E6D"/>
    <w:rsid w:val="00F3619A"/>
    <w:rsid w:val="00F3638B"/>
    <w:rsid w:val="00F3662B"/>
    <w:rsid w:val="00F36A6A"/>
    <w:rsid w:val="00F37221"/>
    <w:rsid w:val="00F3796A"/>
    <w:rsid w:val="00F40034"/>
    <w:rsid w:val="00F40310"/>
    <w:rsid w:val="00F403CD"/>
    <w:rsid w:val="00F4052B"/>
    <w:rsid w:val="00F40713"/>
    <w:rsid w:val="00F40AAA"/>
    <w:rsid w:val="00F40B67"/>
    <w:rsid w:val="00F40BA7"/>
    <w:rsid w:val="00F40C07"/>
    <w:rsid w:val="00F40F9D"/>
    <w:rsid w:val="00F41519"/>
    <w:rsid w:val="00F4165D"/>
    <w:rsid w:val="00F41ACD"/>
    <w:rsid w:val="00F41DCC"/>
    <w:rsid w:val="00F42421"/>
    <w:rsid w:val="00F427A4"/>
    <w:rsid w:val="00F4365B"/>
    <w:rsid w:val="00F43CB8"/>
    <w:rsid w:val="00F43D83"/>
    <w:rsid w:val="00F44C13"/>
    <w:rsid w:val="00F456E8"/>
    <w:rsid w:val="00F45DEA"/>
    <w:rsid w:val="00F45E6B"/>
    <w:rsid w:val="00F460BE"/>
    <w:rsid w:val="00F46641"/>
    <w:rsid w:val="00F46937"/>
    <w:rsid w:val="00F46B70"/>
    <w:rsid w:val="00F46CB6"/>
    <w:rsid w:val="00F4717E"/>
    <w:rsid w:val="00F47567"/>
    <w:rsid w:val="00F4756D"/>
    <w:rsid w:val="00F47618"/>
    <w:rsid w:val="00F4767E"/>
    <w:rsid w:val="00F47BB4"/>
    <w:rsid w:val="00F47DE8"/>
    <w:rsid w:val="00F47FD0"/>
    <w:rsid w:val="00F5011C"/>
    <w:rsid w:val="00F501C3"/>
    <w:rsid w:val="00F50B99"/>
    <w:rsid w:val="00F50E90"/>
    <w:rsid w:val="00F52375"/>
    <w:rsid w:val="00F53288"/>
    <w:rsid w:val="00F5343D"/>
    <w:rsid w:val="00F53771"/>
    <w:rsid w:val="00F542C1"/>
    <w:rsid w:val="00F550E3"/>
    <w:rsid w:val="00F552EB"/>
    <w:rsid w:val="00F55314"/>
    <w:rsid w:val="00F553A5"/>
    <w:rsid w:val="00F5593B"/>
    <w:rsid w:val="00F559C9"/>
    <w:rsid w:val="00F55E56"/>
    <w:rsid w:val="00F55E73"/>
    <w:rsid w:val="00F55EDA"/>
    <w:rsid w:val="00F56C80"/>
    <w:rsid w:val="00F60092"/>
    <w:rsid w:val="00F610F0"/>
    <w:rsid w:val="00F61331"/>
    <w:rsid w:val="00F61531"/>
    <w:rsid w:val="00F61C18"/>
    <w:rsid w:val="00F61FF2"/>
    <w:rsid w:val="00F62B7F"/>
    <w:rsid w:val="00F62C42"/>
    <w:rsid w:val="00F63142"/>
    <w:rsid w:val="00F637A5"/>
    <w:rsid w:val="00F63928"/>
    <w:rsid w:val="00F63D90"/>
    <w:rsid w:val="00F64053"/>
    <w:rsid w:val="00F65439"/>
    <w:rsid w:val="00F65459"/>
    <w:rsid w:val="00F65F4B"/>
    <w:rsid w:val="00F6672D"/>
    <w:rsid w:val="00F667BB"/>
    <w:rsid w:val="00F66D30"/>
    <w:rsid w:val="00F671FF"/>
    <w:rsid w:val="00F673AA"/>
    <w:rsid w:val="00F67A69"/>
    <w:rsid w:val="00F702D7"/>
    <w:rsid w:val="00F709A0"/>
    <w:rsid w:val="00F70BFF"/>
    <w:rsid w:val="00F70C9D"/>
    <w:rsid w:val="00F713C5"/>
    <w:rsid w:val="00F72CF7"/>
    <w:rsid w:val="00F72D00"/>
    <w:rsid w:val="00F73E08"/>
    <w:rsid w:val="00F74CD9"/>
    <w:rsid w:val="00F750FB"/>
    <w:rsid w:val="00F75223"/>
    <w:rsid w:val="00F75284"/>
    <w:rsid w:val="00F75499"/>
    <w:rsid w:val="00F7569A"/>
    <w:rsid w:val="00F758C7"/>
    <w:rsid w:val="00F75E61"/>
    <w:rsid w:val="00F777DE"/>
    <w:rsid w:val="00F77F31"/>
    <w:rsid w:val="00F809CA"/>
    <w:rsid w:val="00F80A7B"/>
    <w:rsid w:val="00F80C01"/>
    <w:rsid w:val="00F80E5D"/>
    <w:rsid w:val="00F8102C"/>
    <w:rsid w:val="00F81383"/>
    <w:rsid w:val="00F81442"/>
    <w:rsid w:val="00F81457"/>
    <w:rsid w:val="00F81E63"/>
    <w:rsid w:val="00F81E78"/>
    <w:rsid w:val="00F82062"/>
    <w:rsid w:val="00F82132"/>
    <w:rsid w:val="00F82ADA"/>
    <w:rsid w:val="00F83097"/>
    <w:rsid w:val="00F83120"/>
    <w:rsid w:val="00F83916"/>
    <w:rsid w:val="00F83EC4"/>
    <w:rsid w:val="00F842EB"/>
    <w:rsid w:val="00F84784"/>
    <w:rsid w:val="00F8482A"/>
    <w:rsid w:val="00F850C4"/>
    <w:rsid w:val="00F851CE"/>
    <w:rsid w:val="00F85220"/>
    <w:rsid w:val="00F85488"/>
    <w:rsid w:val="00F86682"/>
    <w:rsid w:val="00F8738C"/>
    <w:rsid w:val="00F900CB"/>
    <w:rsid w:val="00F90B39"/>
    <w:rsid w:val="00F90EF4"/>
    <w:rsid w:val="00F91219"/>
    <w:rsid w:val="00F923E1"/>
    <w:rsid w:val="00F92444"/>
    <w:rsid w:val="00F929A8"/>
    <w:rsid w:val="00F92C30"/>
    <w:rsid w:val="00F93052"/>
    <w:rsid w:val="00F930D6"/>
    <w:rsid w:val="00F9393E"/>
    <w:rsid w:val="00F93A12"/>
    <w:rsid w:val="00F93BEA"/>
    <w:rsid w:val="00F93F2D"/>
    <w:rsid w:val="00F948FA"/>
    <w:rsid w:val="00F94F8F"/>
    <w:rsid w:val="00F9598D"/>
    <w:rsid w:val="00F959AD"/>
    <w:rsid w:val="00F959EE"/>
    <w:rsid w:val="00F966EA"/>
    <w:rsid w:val="00F967E4"/>
    <w:rsid w:val="00F96925"/>
    <w:rsid w:val="00F96FD0"/>
    <w:rsid w:val="00F9711A"/>
    <w:rsid w:val="00F975FB"/>
    <w:rsid w:val="00F9779D"/>
    <w:rsid w:val="00F97A78"/>
    <w:rsid w:val="00F97C3A"/>
    <w:rsid w:val="00F97F5A"/>
    <w:rsid w:val="00FA036E"/>
    <w:rsid w:val="00FA059F"/>
    <w:rsid w:val="00FA0805"/>
    <w:rsid w:val="00FA0B20"/>
    <w:rsid w:val="00FA13AD"/>
    <w:rsid w:val="00FA146E"/>
    <w:rsid w:val="00FA17BF"/>
    <w:rsid w:val="00FA1C71"/>
    <w:rsid w:val="00FA1EEB"/>
    <w:rsid w:val="00FA2137"/>
    <w:rsid w:val="00FA24E7"/>
    <w:rsid w:val="00FA2C28"/>
    <w:rsid w:val="00FA2C77"/>
    <w:rsid w:val="00FA2F8C"/>
    <w:rsid w:val="00FA2F8D"/>
    <w:rsid w:val="00FA30A5"/>
    <w:rsid w:val="00FA345D"/>
    <w:rsid w:val="00FA3804"/>
    <w:rsid w:val="00FA4402"/>
    <w:rsid w:val="00FA482F"/>
    <w:rsid w:val="00FA4A3E"/>
    <w:rsid w:val="00FA5511"/>
    <w:rsid w:val="00FA5968"/>
    <w:rsid w:val="00FA5EE6"/>
    <w:rsid w:val="00FA5FCC"/>
    <w:rsid w:val="00FA6A76"/>
    <w:rsid w:val="00FA71A1"/>
    <w:rsid w:val="00FA763E"/>
    <w:rsid w:val="00FA7715"/>
    <w:rsid w:val="00FA7956"/>
    <w:rsid w:val="00FB0792"/>
    <w:rsid w:val="00FB0824"/>
    <w:rsid w:val="00FB0AD0"/>
    <w:rsid w:val="00FB0E23"/>
    <w:rsid w:val="00FB0FC3"/>
    <w:rsid w:val="00FB131F"/>
    <w:rsid w:val="00FB2B9B"/>
    <w:rsid w:val="00FB2FCB"/>
    <w:rsid w:val="00FB3073"/>
    <w:rsid w:val="00FB366D"/>
    <w:rsid w:val="00FB3E4A"/>
    <w:rsid w:val="00FB445B"/>
    <w:rsid w:val="00FB4619"/>
    <w:rsid w:val="00FB48D0"/>
    <w:rsid w:val="00FB4C9C"/>
    <w:rsid w:val="00FB4D57"/>
    <w:rsid w:val="00FB5D09"/>
    <w:rsid w:val="00FB6766"/>
    <w:rsid w:val="00FB69E1"/>
    <w:rsid w:val="00FB6BFA"/>
    <w:rsid w:val="00FB6D1E"/>
    <w:rsid w:val="00FB703B"/>
    <w:rsid w:val="00FB7398"/>
    <w:rsid w:val="00FB7AB1"/>
    <w:rsid w:val="00FB7C55"/>
    <w:rsid w:val="00FB7E30"/>
    <w:rsid w:val="00FC0602"/>
    <w:rsid w:val="00FC06A0"/>
    <w:rsid w:val="00FC0D0C"/>
    <w:rsid w:val="00FC0EB8"/>
    <w:rsid w:val="00FC1074"/>
    <w:rsid w:val="00FC1884"/>
    <w:rsid w:val="00FC1D4E"/>
    <w:rsid w:val="00FC2117"/>
    <w:rsid w:val="00FC24F0"/>
    <w:rsid w:val="00FC371D"/>
    <w:rsid w:val="00FC3C8F"/>
    <w:rsid w:val="00FC3E4D"/>
    <w:rsid w:val="00FC401F"/>
    <w:rsid w:val="00FC5504"/>
    <w:rsid w:val="00FC5F0B"/>
    <w:rsid w:val="00FC6853"/>
    <w:rsid w:val="00FC6B16"/>
    <w:rsid w:val="00FC7B5D"/>
    <w:rsid w:val="00FD1406"/>
    <w:rsid w:val="00FD1655"/>
    <w:rsid w:val="00FD1BD3"/>
    <w:rsid w:val="00FD2100"/>
    <w:rsid w:val="00FD2855"/>
    <w:rsid w:val="00FD29FC"/>
    <w:rsid w:val="00FD2E9D"/>
    <w:rsid w:val="00FD2F0C"/>
    <w:rsid w:val="00FD436C"/>
    <w:rsid w:val="00FD446D"/>
    <w:rsid w:val="00FD4649"/>
    <w:rsid w:val="00FD48A4"/>
    <w:rsid w:val="00FD4C95"/>
    <w:rsid w:val="00FD4ED6"/>
    <w:rsid w:val="00FD4F2C"/>
    <w:rsid w:val="00FD5678"/>
    <w:rsid w:val="00FD56D1"/>
    <w:rsid w:val="00FD6394"/>
    <w:rsid w:val="00FD6EF3"/>
    <w:rsid w:val="00FD72E4"/>
    <w:rsid w:val="00FE0006"/>
    <w:rsid w:val="00FE004C"/>
    <w:rsid w:val="00FE007A"/>
    <w:rsid w:val="00FE01C8"/>
    <w:rsid w:val="00FE05FE"/>
    <w:rsid w:val="00FE0BEF"/>
    <w:rsid w:val="00FE0E6C"/>
    <w:rsid w:val="00FE1504"/>
    <w:rsid w:val="00FE171D"/>
    <w:rsid w:val="00FE18CD"/>
    <w:rsid w:val="00FE1ABC"/>
    <w:rsid w:val="00FE1CDC"/>
    <w:rsid w:val="00FE1F52"/>
    <w:rsid w:val="00FE2575"/>
    <w:rsid w:val="00FE2AFA"/>
    <w:rsid w:val="00FE310B"/>
    <w:rsid w:val="00FE39BB"/>
    <w:rsid w:val="00FE3AE0"/>
    <w:rsid w:val="00FE4112"/>
    <w:rsid w:val="00FE46A3"/>
    <w:rsid w:val="00FE5896"/>
    <w:rsid w:val="00FE5C94"/>
    <w:rsid w:val="00FE60C4"/>
    <w:rsid w:val="00FE638D"/>
    <w:rsid w:val="00FE63A0"/>
    <w:rsid w:val="00FE6407"/>
    <w:rsid w:val="00FE6C0A"/>
    <w:rsid w:val="00FE70C3"/>
    <w:rsid w:val="00FE73F6"/>
    <w:rsid w:val="00FE7733"/>
    <w:rsid w:val="00FE7AD0"/>
    <w:rsid w:val="00FE7D23"/>
    <w:rsid w:val="00FF0536"/>
    <w:rsid w:val="00FF0BF9"/>
    <w:rsid w:val="00FF0E2C"/>
    <w:rsid w:val="00FF10EE"/>
    <w:rsid w:val="00FF1236"/>
    <w:rsid w:val="00FF1756"/>
    <w:rsid w:val="00FF1A55"/>
    <w:rsid w:val="00FF1A8B"/>
    <w:rsid w:val="00FF25C1"/>
    <w:rsid w:val="00FF2AD9"/>
    <w:rsid w:val="00FF359F"/>
    <w:rsid w:val="00FF3DCF"/>
    <w:rsid w:val="00FF410B"/>
    <w:rsid w:val="00FF4465"/>
    <w:rsid w:val="00FF492C"/>
    <w:rsid w:val="00FF4A21"/>
    <w:rsid w:val="00FF4FEB"/>
    <w:rsid w:val="00FF5321"/>
    <w:rsid w:val="00FF53F3"/>
    <w:rsid w:val="00FF5517"/>
    <w:rsid w:val="00FF59D5"/>
    <w:rsid w:val="00FF5AA3"/>
    <w:rsid w:val="00FF5AD8"/>
    <w:rsid w:val="00FF62E5"/>
    <w:rsid w:val="00FF65C1"/>
    <w:rsid w:val="00FF6942"/>
    <w:rsid w:val="00FF6F99"/>
    <w:rsid w:val="00FF6FAA"/>
    <w:rsid w:val="00FF7051"/>
    <w:rsid w:val="00FF726A"/>
    <w:rsid w:val="00FF727D"/>
    <w:rsid w:val="00FF7E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5CF9"/>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next w:val="Normal"/>
    <w:link w:val="Heading2Char"/>
    <w:rsid w:val="00D410E4"/>
    <w:pPr>
      <w:outlineLvl w:val="1"/>
    </w:pPr>
    <w:rPr>
      <w:rFonts w:ascii="Calibri" w:hAnsi="Calibri" w:cs="Arial"/>
      <w:b/>
      <w:i/>
      <w:sz w:val="28"/>
      <w:szCs w:val="24"/>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410E4"/>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execsummbulletlist">
    <w:name w:val="COM exec summ bullet list"/>
    <w:basedOn w:val="ListParagraph"/>
    <w:link w:val="COMexecsummbulletlistChar"/>
    <w:qFormat/>
    <w:rsid w:val="00DB0020"/>
    <w:pPr>
      <w:ind w:left="1134"/>
    </w:pPr>
  </w:style>
  <w:style w:type="paragraph" w:customStyle="1" w:styleId="COMexecsummmainissuesbullets">
    <w:name w:val="COM exec summ main issues bullets"/>
    <w:basedOn w:val="ListParagraph"/>
    <w:link w:val="COMexecsummmainissuesbulletsChar"/>
    <w:qFormat/>
    <w:rsid w:val="00023AB6"/>
    <w:pPr>
      <w:numPr>
        <w:numId w:val="5"/>
      </w:numPr>
    </w:pPr>
    <w:rPr>
      <w:color w:val="0066FF"/>
    </w:rPr>
  </w:style>
  <w:style w:type="character" w:customStyle="1" w:styleId="COMexecsummbulletlistChar">
    <w:name w:val="COM exec summ bullet list Char"/>
    <w:basedOn w:val="ListParagraphChar"/>
    <w:link w:val="COMexecsummbulletlist"/>
    <w:rsid w:val="00DB0020"/>
    <w:rPr>
      <w:rFonts w:asciiTheme="minorHAnsi" w:hAnsiTheme="minorHAnsi" w:cs="Arial"/>
      <w:snapToGrid w:val="0"/>
      <w:sz w:val="24"/>
      <w:szCs w:val="24"/>
    </w:rPr>
  </w:style>
  <w:style w:type="paragraph" w:customStyle="1" w:styleId="COMH3">
    <w:name w:val="COM H3"/>
    <w:basedOn w:val="Heading3"/>
    <w:next w:val="Normal"/>
    <w:link w:val="COMH3Char"/>
    <w:qFormat/>
    <w:rsid w:val="00954E5B"/>
    <w:pPr>
      <w:keepNext/>
      <w:spacing w:after="240"/>
    </w:pPr>
    <w:rPr>
      <w:b/>
      <w:iCs/>
      <w:sz w:val="28"/>
      <w:u w:val="none"/>
    </w:rPr>
  </w:style>
  <w:style w:type="paragraph" w:styleId="ListParagraph">
    <w:name w:val="List Paragraph"/>
    <w:aliases w:val="Numbered para,BulletPoints,Footnote,Bullet point,List Paragraph1,List Paragraph11,Recommendation,ES Paragraph,PBAC ES Paragraph,PBAC normal points,Bullet List,Figure_name,Numbered Indented Text,Bullet- First level,List NUmber,Table Legend"/>
    <w:next w:val="ListBullet"/>
    <w:link w:val="ListParagraphChar"/>
    <w:uiPriority w:val="34"/>
    <w:qFormat/>
    <w:rsid w:val="00BB00B3"/>
    <w:pPr>
      <w:spacing w:after="120"/>
      <w:jc w:val="both"/>
    </w:pPr>
    <w:rPr>
      <w:rFonts w:asciiTheme="minorHAnsi" w:hAnsiTheme="minorHAnsi" w:cs="Arial"/>
      <w:snapToGrid w:val="0"/>
      <w:sz w:val="24"/>
      <w:szCs w:val="24"/>
    </w:rPr>
  </w:style>
  <w:style w:type="paragraph" w:styleId="ListBullet">
    <w:name w:val="List Bullet"/>
    <w:aliases w:val="zz List Bullet"/>
    <w:basedOn w:val="Normal"/>
    <w:link w:val="ListBulletChar"/>
    <w:unhideWhenUsed/>
    <w:rsid w:val="00EE1996"/>
    <w:pPr>
      <w:numPr>
        <w:numId w:val="3"/>
      </w:numPr>
      <w:contextualSpacing/>
    </w:pPr>
  </w:style>
  <w:style w:type="character" w:customStyle="1" w:styleId="ListParagraphChar">
    <w:name w:val="List Paragraph Char"/>
    <w:aliases w:val="Numbered para Char,BulletPoints Char,Footnote Char,Bullet point Char,List Paragraph1 Char,List Paragraph11 Char,Recommendation Char,ES Paragraph Char,PBAC ES Paragraph Char,PBAC normal points Char,Bullet List Char,Figure_name Char"/>
    <w:basedOn w:val="DefaultParagraphFont"/>
    <w:link w:val="ListParagraph"/>
    <w:uiPriority w:val="34"/>
    <w:qFormat/>
    <w:locked/>
    <w:rsid w:val="00BB00B3"/>
    <w:rPr>
      <w:rFonts w:asciiTheme="minorHAnsi" w:hAnsiTheme="minorHAnsi" w:cs="Arial"/>
      <w:snapToGrid w:val="0"/>
      <w:sz w:val="24"/>
      <w:szCs w:val="24"/>
    </w:rPr>
  </w:style>
  <w:style w:type="table" w:styleId="TableGrid">
    <w:name w:val="Table Grid"/>
    <w:aliases w:val="Summary box,Table Gridbeth,CMA Table Template,ASD Table,Lash Style Table,PBAC table,new style,MSD Table Grid,HTAtableplain,RTI AMCP Table,Conclusion box,Table Grid nm,Dossier table,Section 3- footnotes,Summary Table"/>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2-numbered">
    <w:name w:val="COM H2 - numbered"/>
    <w:basedOn w:val="Heading2"/>
    <w:link w:val="COMH2-numberedChar"/>
    <w:qFormat/>
    <w:rsid w:val="00721EA3"/>
    <w:pPr>
      <w:keepNext/>
      <w:spacing w:after="240"/>
    </w:p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customStyle="1" w:styleId="COMexecsummmainissuesbulletsChar">
    <w:name w:val="COM exec summ main issues bullets Char"/>
    <w:basedOn w:val="ListParagraphChar"/>
    <w:link w:val="COMexecsummmainissuesbullets"/>
    <w:rsid w:val="00023AB6"/>
    <w:rPr>
      <w:rFonts w:asciiTheme="minorHAnsi" w:hAnsiTheme="minorHAnsi" w:cs="Arial"/>
      <w:snapToGrid w:val="0"/>
      <w:color w:val="0066FF"/>
      <w:sz w:val="24"/>
      <w:szCs w:val="24"/>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character" w:customStyle="1" w:styleId="COMH2-numberedChar">
    <w:name w:val="COM H2 - numbered Char"/>
    <w:basedOn w:val="Heading2Char"/>
    <w:link w:val="COMH2-numbered"/>
    <w:rsid w:val="00721EA3"/>
    <w:rPr>
      <w:rFonts w:ascii="Calibri" w:hAnsi="Calibri" w:cs="Arial"/>
      <w:b/>
      <w:i/>
      <w:sz w:val="28"/>
      <w:szCs w:val="24"/>
    </w:rPr>
  </w:style>
  <w:style w:type="paragraph" w:customStyle="1" w:styleId="COMH4">
    <w:name w:val="COM H4"/>
    <w:basedOn w:val="Normal"/>
    <w:link w:val="COMH4Char"/>
    <w:qFormat/>
    <w:rsid w:val="00C042D3"/>
    <w:pPr>
      <w:spacing w:after="120"/>
    </w:pPr>
    <w:rPr>
      <w:b/>
      <w:i/>
    </w:rPr>
  </w:style>
  <w:style w:type="character" w:customStyle="1" w:styleId="COMH3Char">
    <w:name w:val="COM H3 Char"/>
    <w:basedOn w:val="DefaultParagraphFont"/>
    <w:link w:val="COMH3"/>
    <w:rsid w:val="00954E5B"/>
    <w:rPr>
      <w:rFonts w:ascii="Calibri" w:hAnsi="Calibri" w:cs="Arial"/>
      <w:b/>
      <w:iCs/>
      <w:sz w:val="28"/>
      <w:szCs w:val="24"/>
    </w:rPr>
  </w:style>
  <w:style w:type="paragraph" w:customStyle="1" w:styleId="COMbodybulletlist">
    <w:name w:val="COM body bullet list"/>
    <w:basedOn w:val="ListBullet"/>
    <w:link w:val="COMbodybulletlistChar"/>
    <w:qFormat/>
    <w:rsid w:val="004B5876"/>
    <w:pPr>
      <w:tabs>
        <w:tab w:val="clear" w:pos="360"/>
        <w:tab w:val="num" w:pos="1080"/>
      </w:tabs>
      <w:spacing w:after="120"/>
      <w:ind w:left="1077" w:hanging="357"/>
      <w:contextualSpacing w:val="0"/>
    </w:pPr>
  </w:style>
  <w:style w:type="character" w:customStyle="1" w:styleId="COMH4Char">
    <w:name w:val="COM H4 Char"/>
    <w:basedOn w:val="DefaultParagraphFont"/>
    <w:link w:val="COMH4"/>
    <w:rsid w:val="00C042D3"/>
    <w:rPr>
      <w:rFonts w:ascii="Calibri" w:hAnsi="Calibri" w:cs="Arial"/>
      <w:b/>
      <w:i/>
      <w:sz w:val="24"/>
      <w:szCs w:val="24"/>
    </w:rPr>
  </w:style>
  <w:style w:type="paragraph" w:customStyle="1" w:styleId="zzBulletpoints">
    <w:name w:val="zz Bullet points"/>
    <w:basedOn w:val="ListParagraph"/>
    <w:rsid w:val="00B70E8E"/>
    <w:pPr>
      <w:numPr>
        <w:numId w:val="2"/>
      </w:numPr>
      <w:contextualSpacing/>
    </w:pPr>
  </w:style>
  <w:style w:type="paragraph" w:customStyle="1" w:styleId="COMBody">
    <w:name w:val="COM Body"/>
    <w:basedOn w:val="Normal"/>
    <w:link w:val="COMBodyChar"/>
    <w:qFormat/>
    <w:rsid w:val="00894E87"/>
  </w:style>
  <w:style w:type="character" w:customStyle="1" w:styleId="ListBulletChar">
    <w:name w:val="List Bullet Char"/>
    <w:aliases w:val="zz List Bullet Char"/>
    <w:basedOn w:val="DefaultParagraphFont"/>
    <w:link w:val="ListBullet"/>
    <w:rsid w:val="00894E87"/>
    <w:rPr>
      <w:rFonts w:ascii="Calibri" w:hAnsi="Calibri" w:cs="Arial"/>
      <w:sz w:val="24"/>
      <w:szCs w:val="24"/>
    </w:rPr>
  </w:style>
  <w:style w:type="paragraph" w:styleId="Revision">
    <w:name w:val="Revision"/>
    <w:hidden/>
    <w:uiPriority w:val="99"/>
    <w:semiHidden/>
    <w:rsid w:val="00043C37"/>
    <w:rPr>
      <w:rFonts w:ascii="Arial" w:hAnsi="Arial" w:cs="Arial"/>
      <w:snapToGrid w:val="0"/>
      <w:sz w:val="22"/>
      <w:lang w:eastAsia="en-US"/>
    </w:rPr>
  </w:style>
  <w:style w:type="character" w:customStyle="1" w:styleId="COMbodybulletlistChar">
    <w:name w:val="COM body bullet list Char"/>
    <w:basedOn w:val="ListBulletChar"/>
    <w:link w:val="COMbodybulletlist"/>
    <w:rsid w:val="004B5876"/>
    <w:rPr>
      <w:rFonts w:ascii="Calibri" w:hAnsi="Calibri" w:cs="Arial"/>
      <w:sz w:val="24"/>
      <w:szCs w:val="24"/>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character" w:customStyle="1" w:styleId="COMBodyChar">
    <w:name w:val="COM Body Char"/>
    <w:basedOn w:val="DefaultParagraphFont"/>
    <w:link w:val="COMBody"/>
    <w:rsid w:val="00894E87"/>
    <w:rPr>
      <w:rFonts w:ascii="Calibri" w:hAnsi="Calibri" w:cs="Arial"/>
      <w:sz w:val="24"/>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Tabletext">
    <w:name w:val="COM Table text"/>
    <w:link w:val="COMTabletextChar"/>
    <w:qFormat/>
    <w:rsid w:val="00EE1996"/>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EE1996"/>
    <w:rPr>
      <w:rFonts w:ascii="Arial Narrow" w:eastAsiaTheme="majorEastAsia" w:hAnsi="Arial Narrow" w:cstheme="majorBidi"/>
      <w:bCs/>
      <w:szCs w:val="24"/>
    </w:rPr>
  </w:style>
  <w:style w:type="paragraph" w:customStyle="1" w:styleId="COMTableheadingrow">
    <w:name w:val="COM Table heading row"/>
    <w:qFormat/>
    <w:rsid w:val="009772D2"/>
    <w:pPr>
      <w:keepNext/>
      <w:jc w:val="both"/>
    </w:pPr>
    <w:rPr>
      <w:rFonts w:ascii="Arial Narrow" w:eastAsiaTheme="majorEastAsia" w:hAnsi="Arial Narrow"/>
      <w:b/>
      <w:szCs w:val="24"/>
      <w:lang w:val="en-US"/>
    </w:rPr>
  </w:style>
  <w:style w:type="paragraph" w:customStyle="1" w:styleId="COMH1numbered">
    <w:name w:val="COM H1 numbered"/>
    <w:next w:val="Normal"/>
    <w:link w:val="COMH1numberedChar"/>
    <w:qFormat/>
    <w:rsid w:val="00163E81"/>
    <w:pPr>
      <w:keepNext/>
      <w:numPr>
        <w:numId w:val="4"/>
      </w:numPr>
      <w:spacing w:before="240" w:after="120"/>
      <w:outlineLvl w:val="0"/>
    </w:pPr>
    <w:rPr>
      <w:rFonts w:asciiTheme="minorHAnsi" w:hAnsiTheme="minorHAnsi" w:cs="Arial"/>
      <w:b/>
      <w:snapToGrid w:val="0"/>
      <w:sz w:val="32"/>
      <w:szCs w:val="32"/>
    </w:rPr>
  </w:style>
  <w:style w:type="paragraph" w:customStyle="1" w:styleId="COMH1-non-numbered">
    <w:name w:val="COM H1 - non-numbered"/>
    <w:next w:val="Normal"/>
    <w:link w:val="COMH1-non-numberedChar"/>
    <w:qFormat/>
    <w:rsid w:val="00603248"/>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603248"/>
    <w:rPr>
      <w:rFonts w:asciiTheme="minorHAnsi" w:eastAsiaTheme="majorEastAsia" w:hAnsiTheme="minorHAnsi" w:cstheme="majorBidi"/>
      <w:b/>
      <w:spacing w:val="5"/>
      <w:kern w:val="28"/>
      <w:sz w:val="32"/>
      <w:szCs w:val="36"/>
    </w:rPr>
  </w:style>
  <w:style w:type="paragraph" w:customStyle="1" w:styleId="COMtablefigcaption">
    <w:name w:val="COM table/fig caption"/>
    <w:next w:val="COMTableheadingrow"/>
    <w:link w:val="COMtablefigcaptionChar"/>
    <w:qFormat/>
    <w:rsid w:val="005478BD"/>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5478BD"/>
    <w:rPr>
      <w:rFonts w:ascii="Arial Narrow" w:eastAsiaTheme="majorEastAsia" w:hAnsi="Arial Narrow" w:cstheme="majorBidi"/>
      <w:b/>
      <w:bCs/>
      <w:szCs w:val="24"/>
    </w:rPr>
  </w:style>
  <w:style w:type="paragraph" w:customStyle="1" w:styleId="COMexecsumnumberedpara">
    <w:name w:val="COM exec sum numbered para"/>
    <w:basedOn w:val="ListParagraph"/>
    <w:link w:val="COMexecsumnumberedparaChar"/>
    <w:qFormat/>
    <w:rsid w:val="00B5370E"/>
    <w:pPr>
      <w:numPr>
        <w:ilvl w:val="1"/>
        <w:numId w:val="1"/>
      </w:numPr>
    </w:pPr>
  </w:style>
  <w:style w:type="character" w:customStyle="1" w:styleId="COMexecsumnumberedparaChar">
    <w:name w:val="COM exec sum numbered para Char"/>
    <w:basedOn w:val="ListParagraphChar"/>
    <w:link w:val="COMexecsumnumberedpara"/>
    <w:rsid w:val="00B5370E"/>
    <w:rPr>
      <w:rFonts w:asciiTheme="minorHAnsi" w:hAnsiTheme="minorHAnsi" w:cs="Arial"/>
      <w:snapToGrid w:val="0"/>
      <w:sz w:val="24"/>
      <w:szCs w:val="24"/>
    </w:rPr>
  </w:style>
  <w:style w:type="paragraph" w:customStyle="1" w:styleId="COMTablefooter">
    <w:name w:val="COM Table footer"/>
    <w:basedOn w:val="Normal"/>
    <w:next w:val="Normal"/>
    <w:link w:val="COMTablefooterChar"/>
    <w:qFormat/>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H2-non-numbered">
    <w:name w:val="COM H2 - non-numbered"/>
    <w:basedOn w:val="Heading2"/>
    <w:next w:val="Normal"/>
    <w:link w:val="COMH2-non-numbered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COMH2-non-numberedChar">
    <w:name w:val="COM H2 - non-numbered Char"/>
    <w:basedOn w:val="Heading2Char"/>
    <w:link w:val="COMH2-non-numbered"/>
    <w:rsid w:val="00EE1996"/>
    <w:rPr>
      <w:rFonts w:asciiTheme="minorHAnsi" w:eastAsiaTheme="majorEastAsia" w:hAnsiTheme="minorHAnsi" w:cstheme="majorBidi"/>
      <w:b/>
      <w:i/>
      <w:snapToGrid w:val="0"/>
      <w:spacing w:val="5"/>
      <w:kern w:val="28"/>
      <w:sz w:val="28"/>
      <w:szCs w:val="36"/>
      <w:lang w:eastAsia="en-US"/>
    </w:rPr>
  </w:style>
  <w:style w:type="character" w:customStyle="1" w:styleId="COMH1numberedChar">
    <w:name w:val="COM H1 numbered Char"/>
    <w:basedOn w:val="DefaultParagraphFont"/>
    <w:link w:val="COMH1numbered"/>
    <w:rsid w:val="00163E81"/>
    <w:rPr>
      <w:rFonts w:asciiTheme="minorHAnsi" w:hAnsiTheme="minorHAnsi" w:cs="Arial"/>
      <w:b/>
      <w:snapToGrid w:val="0"/>
      <w:sz w:val="32"/>
      <w:szCs w:val="32"/>
    </w:rPr>
  </w:style>
  <w:style w:type="character" w:styleId="Hyperlink">
    <w:name w:val="Hyperlink"/>
    <w:basedOn w:val="DefaultParagraphFont"/>
    <w:uiPriority w:val="99"/>
    <w:unhideWhenUsed/>
    <w:rsid w:val="00E718B0"/>
    <w:rPr>
      <w:color w:val="0000FF" w:themeColor="hyperlink"/>
      <w:u w:val="single"/>
    </w:rPr>
  </w:style>
  <w:style w:type="paragraph" w:styleId="Header">
    <w:name w:val="header"/>
    <w:aliases w:val="Page Header,Header title,he=header,cntr/bld"/>
    <w:basedOn w:val="Normal"/>
    <w:link w:val="HeaderChar"/>
    <w:unhideWhenUsed/>
    <w:qFormat/>
    <w:rsid w:val="00825ACB"/>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825ACB"/>
    <w:rPr>
      <w:rFonts w:ascii="Calibri" w:hAnsi="Calibri" w:cs="Arial"/>
      <w:sz w:val="24"/>
      <w:szCs w:val="24"/>
    </w:rPr>
  </w:style>
  <w:style w:type="paragraph" w:styleId="Footer">
    <w:name w:val="footer"/>
    <w:basedOn w:val="Normal"/>
    <w:link w:val="FooterChar"/>
    <w:uiPriority w:val="99"/>
    <w:unhideWhenUsed/>
    <w:rsid w:val="00825ACB"/>
    <w:pPr>
      <w:tabs>
        <w:tab w:val="center" w:pos="4513"/>
        <w:tab w:val="right" w:pos="9026"/>
      </w:tabs>
    </w:pPr>
  </w:style>
  <w:style w:type="character" w:customStyle="1" w:styleId="FooterChar">
    <w:name w:val="Footer Char"/>
    <w:basedOn w:val="DefaultParagraphFont"/>
    <w:link w:val="Footer"/>
    <w:uiPriority w:val="99"/>
    <w:rsid w:val="00825ACB"/>
    <w:rPr>
      <w:rFonts w:ascii="Calibri" w:hAnsi="Calibri" w:cs="Arial"/>
      <w:sz w:val="24"/>
      <w:szCs w:val="24"/>
    </w:rPr>
  </w:style>
  <w:style w:type="character" w:styleId="CommentReference">
    <w:name w:val="annotation reference"/>
    <w:basedOn w:val="DefaultParagraphFont"/>
    <w:uiPriority w:val="99"/>
    <w:semiHidden/>
    <w:unhideWhenUsed/>
    <w:rsid w:val="00B40C7D"/>
    <w:rPr>
      <w:sz w:val="16"/>
      <w:szCs w:val="16"/>
    </w:rPr>
  </w:style>
  <w:style w:type="paragraph" w:styleId="CommentText">
    <w:name w:val="annotation text"/>
    <w:basedOn w:val="Normal"/>
    <w:link w:val="CommentTextChar"/>
    <w:uiPriority w:val="99"/>
    <w:unhideWhenUsed/>
    <w:rsid w:val="00B40C7D"/>
    <w:rPr>
      <w:sz w:val="20"/>
      <w:szCs w:val="20"/>
    </w:rPr>
  </w:style>
  <w:style w:type="character" w:customStyle="1" w:styleId="CommentTextChar">
    <w:name w:val="Comment Text Char"/>
    <w:basedOn w:val="DefaultParagraphFont"/>
    <w:link w:val="CommentText"/>
    <w:uiPriority w:val="99"/>
    <w:rsid w:val="00B40C7D"/>
    <w:rPr>
      <w:rFonts w:ascii="Calibri" w:hAnsi="Calibri" w:cs="Arial"/>
    </w:rPr>
  </w:style>
  <w:style w:type="paragraph" w:styleId="CommentSubject">
    <w:name w:val="annotation subject"/>
    <w:basedOn w:val="CommentText"/>
    <w:next w:val="CommentText"/>
    <w:link w:val="CommentSubjectChar"/>
    <w:semiHidden/>
    <w:unhideWhenUsed/>
    <w:rsid w:val="00B40C7D"/>
    <w:rPr>
      <w:b/>
      <w:bCs/>
    </w:rPr>
  </w:style>
  <w:style w:type="character" w:customStyle="1" w:styleId="CommentSubjectChar">
    <w:name w:val="Comment Subject Char"/>
    <w:basedOn w:val="CommentTextChar"/>
    <w:link w:val="CommentSubject"/>
    <w:semiHidden/>
    <w:rsid w:val="00B40C7D"/>
    <w:rPr>
      <w:rFonts w:ascii="Calibri" w:hAnsi="Calibri" w:cs="Arial"/>
      <w:b/>
      <w:bCs/>
    </w:rPr>
  </w:style>
  <w:style w:type="character" w:styleId="UnresolvedMention">
    <w:name w:val="Unresolved Mention"/>
    <w:basedOn w:val="DefaultParagraphFont"/>
    <w:uiPriority w:val="99"/>
    <w:semiHidden/>
    <w:unhideWhenUsed/>
    <w:rsid w:val="00D73C41"/>
    <w:rPr>
      <w:color w:val="605E5C"/>
      <w:shd w:val="clear" w:color="auto" w:fill="E1DFDD"/>
    </w:rPr>
  </w:style>
  <w:style w:type="paragraph" w:customStyle="1" w:styleId="TableText">
    <w:name w:val="Table Text"/>
    <w:link w:val="TableTextChar"/>
    <w:qFormat/>
    <w:rsid w:val="00807789"/>
    <w:pPr>
      <w:keepNext/>
    </w:pPr>
    <w:rPr>
      <w:rFonts w:ascii="Arial Narrow" w:eastAsiaTheme="majorEastAsia" w:hAnsi="Arial Narrow" w:cstheme="majorBidi"/>
      <w:bCs/>
      <w:szCs w:val="24"/>
    </w:rPr>
  </w:style>
  <w:style w:type="paragraph" w:customStyle="1" w:styleId="Tableheadingrow">
    <w:name w:val="Table heading row"/>
    <w:qFormat/>
    <w:rsid w:val="00807789"/>
    <w:pPr>
      <w:keepNext/>
    </w:pPr>
    <w:rPr>
      <w:rFonts w:ascii="Arial Narrow" w:eastAsiaTheme="majorEastAsia" w:hAnsi="Arial Narrow"/>
      <w:b/>
      <w:szCs w:val="24"/>
      <w:lang w:val="en-US"/>
    </w:rPr>
  </w:style>
  <w:style w:type="character" w:customStyle="1" w:styleId="TableTextChar">
    <w:name w:val="Table Text Char"/>
    <w:basedOn w:val="DefaultParagraphFont"/>
    <w:link w:val="TableText"/>
    <w:rsid w:val="00807789"/>
    <w:rPr>
      <w:rFonts w:ascii="Arial Narrow" w:eastAsiaTheme="majorEastAsia" w:hAnsi="Arial Narrow" w:cstheme="majorBidi"/>
      <w:bCs/>
      <w:szCs w:val="24"/>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COMTableheadingrow"/>
    <w:next w:val="Normal"/>
    <w:link w:val="CaptionChar"/>
    <w:uiPriority w:val="35"/>
    <w:unhideWhenUsed/>
    <w:qFormat/>
    <w:rsid w:val="007179CB"/>
    <w:rPr>
      <w:lang w:val="en-AU"/>
    </w:rPr>
  </w:style>
  <w:style w:type="table" w:customStyle="1" w:styleId="IQVIAManual">
    <w:name w:val="IQVIA Manual"/>
    <w:basedOn w:val="TableNormal"/>
    <w:uiPriority w:val="99"/>
    <w:rsid w:val="004C42D2"/>
    <w:pPr>
      <w:spacing w:before="60" w:after="60"/>
    </w:pPr>
    <w:rPr>
      <w:rFonts w:ascii="Arial" w:eastAsiaTheme="minorHAnsi" w:hAnsi="Arial" w:cs="Arial"/>
      <w:color w:val="2B3A42"/>
      <w:szCs w:val="22"/>
      <w:lang w:val="en-US" w:eastAsia="en-US"/>
    </w:rPr>
    <w:tblPr>
      <w:tblBorders>
        <w:top w:val="single" w:sz="4" w:space="0" w:color="2B3A42"/>
        <w:left w:val="single" w:sz="4" w:space="0" w:color="2B3A42"/>
        <w:bottom w:val="single" w:sz="4" w:space="0" w:color="2B3A42"/>
        <w:right w:val="single" w:sz="4" w:space="0" w:color="2B3A42"/>
        <w:insideH w:val="single" w:sz="4" w:space="0" w:color="2B3A42"/>
        <w:insideV w:val="single" w:sz="4" w:space="0" w:color="2B3A42"/>
      </w:tblBorders>
    </w:tblPr>
    <w:tblStylePr w:type="firstRow">
      <w:pPr>
        <w:wordWrap/>
        <w:spacing w:beforeLines="0" w:before="60" w:beforeAutospacing="0" w:afterLines="0" w:after="60" w:afterAutospacing="0" w:line="240" w:lineRule="auto"/>
        <w:contextualSpacing w:val="0"/>
        <w:jc w:val="center"/>
      </w:pPr>
      <w:rPr>
        <w:rFonts w:asciiTheme="minorHAnsi" w:hAnsiTheme="minorHAnsi"/>
        <w:b/>
        <w:color w:val="FFFFFF" w:themeColor="background1"/>
        <w:sz w:val="22"/>
      </w:rPr>
      <w:tblPr/>
      <w:tcPr>
        <w:shd w:val="clear" w:color="auto" w:fill="00A3E0"/>
      </w:tcPr>
    </w:tblStylePr>
  </w:style>
  <w:style w:type="table" w:customStyle="1" w:styleId="TableGrid5">
    <w:name w:val="Table Grid5"/>
    <w:basedOn w:val="TableNormal"/>
    <w:next w:val="TableGrid"/>
    <w:rsid w:val="002D28EA"/>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
    <w:name w:val="Table notes"/>
    <w:basedOn w:val="Normal"/>
    <w:qFormat/>
    <w:rsid w:val="00B35BC9"/>
    <w:pPr>
      <w:jc w:val="left"/>
    </w:pPr>
    <w:rPr>
      <w:rFonts w:asciiTheme="minorHAnsi" w:hAnsiTheme="minorHAnsi"/>
      <w:sz w:val="18"/>
      <w:szCs w:val="22"/>
    </w:rPr>
  </w:style>
  <w:style w:type="paragraph" w:styleId="BodyText">
    <w:name w:val="Body Text"/>
    <w:basedOn w:val="Normal"/>
    <w:link w:val="BodyTextChar"/>
    <w:uiPriority w:val="99"/>
    <w:qFormat/>
    <w:rsid w:val="00095B2F"/>
    <w:pPr>
      <w:spacing w:before="120" w:after="120" w:line="360" w:lineRule="auto"/>
    </w:pPr>
    <w:rPr>
      <w:rFonts w:asciiTheme="minorHAnsi" w:hAnsiTheme="minorHAnsi" w:cs="Times New Roman"/>
      <w:sz w:val="22"/>
    </w:rPr>
  </w:style>
  <w:style w:type="character" w:customStyle="1" w:styleId="BodyTextChar">
    <w:name w:val="Body Text Char"/>
    <w:basedOn w:val="DefaultParagraphFont"/>
    <w:link w:val="BodyText"/>
    <w:uiPriority w:val="99"/>
    <w:rsid w:val="00095B2F"/>
    <w:rPr>
      <w:rFonts w:asciiTheme="minorHAnsi" w:hAnsiTheme="minorHAnsi"/>
      <w:sz w:val="22"/>
      <w:szCs w:val="24"/>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basedOn w:val="DefaultParagraphFont"/>
    <w:link w:val="Caption"/>
    <w:uiPriority w:val="35"/>
    <w:rsid w:val="007179CB"/>
    <w:rPr>
      <w:rFonts w:ascii="Arial Narrow" w:eastAsiaTheme="majorEastAsia" w:hAnsi="Arial Narrow"/>
      <w:b/>
      <w:szCs w:val="24"/>
    </w:rPr>
  </w:style>
  <w:style w:type="numbering" w:customStyle="1" w:styleId="SectionBi">
    <w:name w:val="Section B(i)"/>
    <w:uiPriority w:val="99"/>
    <w:rsid w:val="00095B2F"/>
    <w:pPr>
      <w:numPr>
        <w:numId w:val="6"/>
      </w:numPr>
    </w:pPr>
  </w:style>
  <w:style w:type="table" w:customStyle="1" w:styleId="TableGrid6">
    <w:name w:val="Table Grid6"/>
    <w:basedOn w:val="TableNormal"/>
    <w:rsid w:val="00095B2F"/>
    <w:pPr>
      <w:tabs>
        <w:tab w:val="left" w:pos="416"/>
        <w:tab w:val="left" w:pos="582"/>
      </w:tabs>
      <w:spacing w:line="360" w:lineRule="auto"/>
      <w:jc w:val="both"/>
    </w:pPr>
    <w:rPr>
      <w:rFonts w:ascii="Times"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link w:val="TabletextChar0"/>
    <w:uiPriority w:val="99"/>
    <w:qFormat/>
    <w:rsid w:val="00896574"/>
    <w:pPr>
      <w:jc w:val="left"/>
    </w:pPr>
    <w:rPr>
      <w:rFonts w:ascii="Arial Narrow" w:hAnsi="Arial Narrow" w:cs="Times New Roman"/>
      <w:sz w:val="20"/>
      <w:szCs w:val="22"/>
      <w:lang w:eastAsia="en-US"/>
    </w:rPr>
  </w:style>
  <w:style w:type="character" w:customStyle="1" w:styleId="TabletextChar0">
    <w:name w:val="Table text Char"/>
    <w:link w:val="Tabletext0"/>
    <w:uiPriority w:val="99"/>
    <w:rsid w:val="00896574"/>
    <w:rPr>
      <w:rFonts w:ascii="Arial Narrow" w:hAnsi="Arial Narrow"/>
      <w:szCs w:val="22"/>
      <w:lang w:eastAsia="en-US"/>
    </w:rPr>
  </w:style>
  <w:style w:type="paragraph" w:customStyle="1" w:styleId="ListBullet-SmallType">
    <w:name w:val="List Bullet - Small Type"/>
    <w:basedOn w:val="Normal"/>
    <w:uiPriority w:val="1"/>
    <w:rsid w:val="0019673C"/>
    <w:pPr>
      <w:numPr>
        <w:numId w:val="7"/>
      </w:numPr>
      <w:spacing w:after="60"/>
      <w:ind w:left="187" w:hanging="187"/>
      <w:jc w:val="left"/>
    </w:pPr>
    <w:rPr>
      <w:rFonts w:ascii="Arial Nova Light" w:eastAsiaTheme="minorHAnsi" w:hAnsi="Arial Nova Light"/>
      <w:color w:val="2B3A42"/>
      <w:sz w:val="20"/>
      <w:szCs w:val="20"/>
      <w:lang w:val="en-GB" w:eastAsia="en-US"/>
    </w:rPr>
  </w:style>
  <w:style w:type="paragraph" w:styleId="TOC4">
    <w:name w:val="toc 4"/>
    <w:basedOn w:val="Normal"/>
    <w:next w:val="Normal"/>
    <w:autoRedefine/>
    <w:uiPriority w:val="39"/>
    <w:unhideWhenUsed/>
    <w:rsid w:val="00015E34"/>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015E34"/>
    <w:pPr>
      <w:spacing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015E34"/>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015E34"/>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15E34"/>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15E34"/>
    <w:pPr>
      <w:spacing w:after="100" w:line="259" w:lineRule="auto"/>
      <w:ind w:left="1760"/>
      <w:jc w:val="left"/>
    </w:pPr>
    <w:rPr>
      <w:rFonts w:asciiTheme="minorHAnsi" w:eastAsiaTheme="minorEastAsia" w:hAnsiTheme="minorHAnsi" w:cstheme="minorBidi"/>
      <w:sz w:val="22"/>
      <w:szCs w:val="22"/>
    </w:rPr>
  </w:style>
  <w:style w:type="paragraph" w:customStyle="1" w:styleId="TableFootnotes">
    <w:name w:val="Table Footnotes"/>
    <w:basedOn w:val="Normal"/>
    <w:qFormat/>
    <w:rsid w:val="00015E34"/>
    <w:pPr>
      <w:spacing w:after="360"/>
      <w:contextualSpacing/>
      <w:jc w:val="left"/>
    </w:pPr>
    <w:rPr>
      <w:rFonts w:ascii="Arial" w:hAnsi="Arial"/>
      <w:sz w:val="18"/>
      <w:szCs w:val="22"/>
    </w:rPr>
  </w:style>
  <w:style w:type="table" w:customStyle="1" w:styleId="Summarybox74">
    <w:name w:val="Summary box74"/>
    <w:basedOn w:val="TableNormal"/>
    <w:next w:val="TableGrid"/>
    <w:uiPriority w:val="59"/>
    <w:rsid w:val="00015E3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15E34"/>
    <w:rPr>
      <w:rFonts w:ascii="Segoe UI" w:hAnsi="Segoe UI" w:cs="Segoe UI" w:hint="default"/>
      <w:sz w:val="18"/>
      <w:szCs w:val="18"/>
    </w:rPr>
  </w:style>
  <w:style w:type="table" w:customStyle="1" w:styleId="TableGrid4">
    <w:name w:val="Table Grid4"/>
    <w:basedOn w:val="TableNormal"/>
    <w:next w:val="TableGrid"/>
    <w:rsid w:val="00015E34"/>
    <w:pPr>
      <w:keepNext/>
      <w:jc w:val="center"/>
    </w:pPr>
    <w:rPr>
      <w:rFonts w:ascii="Arial" w:hAnsi="Arial"/>
    </w:rPr>
    <w:tblPr>
      <w:tblBorders>
        <w:top w:val="single" w:sz="4" w:space="0" w:color="auto"/>
        <w:bottom w:val="single" w:sz="4" w:space="0" w:color="auto"/>
      </w:tblBorders>
    </w:tblPr>
    <w:tcPr>
      <w:vAlign w:val="center"/>
    </w:tcPr>
  </w:style>
  <w:style w:type="paragraph" w:customStyle="1" w:styleId="TableFigureCaption">
    <w:name w:val="Table/Figure Caption"/>
    <w:next w:val="Tableheadingrow"/>
    <w:link w:val="TableFigureCaptionChar"/>
    <w:qFormat/>
    <w:rsid w:val="00015E34"/>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015E34"/>
    <w:rPr>
      <w:rFonts w:ascii="Arial Narrow" w:eastAsiaTheme="majorEastAsia" w:hAnsi="Arial Narrow" w:cstheme="majorBidi"/>
      <w:b/>
      <w:bCs/>
      <w:szCs w:val="24"/>
    </w:rPr>
  </w:style>
  <w:style w:type="paragraph" w:customStyle="1" w:styleId="TableFigureFooter">
    <w:name w:val="Table/Figure Footer"/>
    <w:basedOn w:val="Normal"/>
    <w:link w:val="TableFigureFooterChar"/>
    <w:qFormat/>
    <w:rsid w:val="00015E34"/>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015E34"/>
    <w:rPr>
      <w:rFonts w:ascii="Arial Narrow" w:hAnsi="Arial Narrow" w:cs="Arial"/>
      <w:snapToGrid w:val="0"/>
      <w:sz w:val="18"/>
      <w:szCs w:val="22"/>
    </w:rPr>
  </w:style>
  <w:style w:type="character" w:customStyle="1" w:styleId="UnresolvedMention1">
    <w:name w:val="Unresolved Mention1"/>
    <w:basedOn w:val="DefaultParagraphFont"/>
    <w:uiPriority w:val="99"/>
    <w:semiHidden/>
    <w:unhideWhenUsed/>
    <w:rsid w:val="004F6D05"/>
    <w:rPr>
      <w:color w:val="605E5C"/>
      <w:shd w:val="clear" w:color="auto" w:fill="E1DFDD"/>
    </w:rPr>
  </w:style>
  <w:style w:type="paragraph" w:customStyle="1" w:styleId="TableHeading">
    <w:name w:val="Table Heading"/>
    <w:basedOn w:val="Normal"/>
    <w:link w:val="TableHeadingChar"/>
    <w:qFormat/>
    <w:rsid w:val="004F6D05"/>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4F6D05"/>
    <w:rPr>
      <w:rFonts w:ascii="Arial Narrow" w:eastAsiaTheme="minorHAnsi" w:hAnsi="Arial Narrow" w:cstheme="minorBidi"/>
      <w:b/>
      <w:szCs w:val="22"/>
      <w:lang w:eastAsia="en-US"/>
    </w:rPr>
  </w:style>
  <w:style w:type="paragraph" w:customStyle="1" w:styleId="TableFooter">
    <w:name w:val="Table Footer"/>
    <w:basedOn w:val="Normal"/>
    <w:link w:val="TableFooterChar"/>
    <w:qFormat/>
    <w:rsid w:val="004C10D7"/>
    <w:pPr>
      <w:widowControl w:val="0"/>
      <w:spacing w:after="120"/>
      <w:contextualSpacing/>
    </w:pPr>
    <w:rPr>
      <w:rFonts w:ascii="Arial Narrow" w:hAnsi="Arial Narrow"/>
      <w:snapToGrid w:val="0"/>
      <w:sz w:val="18"/>
      <w:szCs w:val="22"/>
      <w:lang w:eastAsia="en-US"/>
    </w:rPr>
  </w:style>
  <w:style w:type="character" w:customStyle="1" w:styleId="TableFooterChar">
    <w:name w:val="Table Footer Char"/>
    <w:link w:val="TableFooter"/>
    <w:rsid w:val="004C10D7"/>
    <w:rPr>
      <w:rFonts w:ascii="Arial Narrow" w:hAnsi="Arial Narrow" w:cs="Arial"/>
      <w:snapToGrid w:val="0"/>
      <w:sz w:val="18"/>
      <w:szCs w:val="22"/>
      <w:lang w:eastAsia="en-US"/>
    </w:rPr>
  </w:style>
  <w:style w:type="paragraph" w:customStyle="1" w:styleId="2-SectionHeading">
    <w:name w:val="2-Section Heading"/>
    <w:qFormat/>
    <w:rsid w:val="000D48FB"/>
    <w:pPr>
      <w:keepNext/>
      <w:numPr>
        <w:numId w:val="8"/>
      </w:numPr>
      <w:spacing w:before="240" w:after="120"/>
      <w:outlineLvl w:val="0"/>
    </w:pPr>
    <w:rPr>
      <w:rFonts w:asciiTheme="minorHAnsi" w:hAnsiTheme="minorHAnsi" w:cs="Arial"/>
      <w:b/>
      <w:snapToGrid w:val="0"/>
      <w:sz w:val="32"/>
      <w:szCs w:val="32"/>
    </w:rPr>
  </w:style>
  <w:style w:type="paragraph" w:customStyle="1" w:styleId="ExecSumBodyText">
    <w:name w:val="Exec Sum Body Text"/>
    <w:basedOn w:val="Normal"/>
    <w:link w:val="ExecSumBodyTextChar"/>
    <w:qFormat/>
    <w:rsid w:val="000D48FB"/>
    <w:pPr>
      <w:numPr>
        <w:ilvl w:val="1"/>
        <w:numId w:val="8"/>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0D48FB"/>
    <w:rPr>
      <w:rFonts w:asciiTheme="minorHAnsi" w:hAnsiTheme="minorHAnsi" w:cs="Arial"/>
      <w:snapToGrid w:val="0"/>
      <w:sz w:val="24"/>
      <w:szCs w:val="24"/>
    </w:rPr>
  </w:style>
  <w:style w:type="paragraph" w:customStyle="1" w:styleId="4-SubsectSubhead">
    <w:name w:val="4-Subsect Subhead"/>
    <w:basedOn w:val="Heading3"/>
    <w:next w:val="ExecSumBodyText"/>
    <w:link w:val="4-SubsectSubheadChar"/>
    <w:qFormat/>
    <w:rsid w:val="00801856"/>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01856"/>
    <w:rPr>
      <w:rFonts w:asciiTheme="minorHAnsi" w:eastAsiaTheme="majorEastAsia" w:hAnsiTheme="minorHAnsi" w:cstheme="majorBidi"/>
      <w:b/>
      <w:color w:val="000000" w:themeColor="text1"/>
      <w:sz w:val="28"/>
      <w:szCs w:val="28"/>
    </w:rPr>
  </w:style>
  <w:style w:type="paragraph" w:customStyle="1" w:styleId="5-SubSubSubHead">
    <w:name w:val="5-Sub Sub Sub Head"/>
    <w:basedOn w:val="Heading4"/>
    <w:qFormat/>
    <w:rsid w:val="00801856"/>
  </w:style>
  <w:style w:type="table" w:customStyle="1" w:styleId="Summarybox1">
    <w:name w:val="Summary box1"/>
    <w:basedOn w:val="TableNormal"/>
    <w:next w:val="TableGrid"/>
    <w:rsid w:val="000C5592"/>
    <w:pPr>
      <w:jc w:val="both"/>
    </w:pPr>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0C5592"/>
    <w:pPr>
      <w:autoSpaceDE w:val="0"/>
      <w:autoSpaceDN w:val="0"/>
      <w:adjustRightInd w:val="0"/>
      <w:jc w:val="left"/>
    </w:pPr>
    <w:rPr>
      <w:rFonts w:ascii="Times New Roman" w:hAnsi="Times New Roman" w:cs="Times New Roman"/>
    </w:rPr>
  </w:style>
  <w:style w:type="character" w:customStyle="1" w:styleId="TitleChar">
    <w:name w:val="Title Char"/>
    <w:basedOn w:val="DefaultParagraphFont"/>
    <w:link w:val="Title"/>
    <w:uiPriority w:val="1"/>
    <w:rsid w:val="000C5592"/>
    <w:rPr>
      <w:sz w:val="24"/>
      <w:szCs w:val="24"/>
    </w:rPr>
  </w:style>
  <w:style w:type="paragraph" w:customStyle="1" w:styleId="Commentitalics">
    <w:name w:val="Comment (italics)"/>
    <w:basedOn w:val="Normal"/>
    <w:next w:val="Normal"/>
    <w:rsid w:val="00DD3B60"/>
    <w:rPr>
      <w:i/>
    </w:rPr>
  </w:style>
  <w:style w:type="table" w:styleId="TableTheme">
    <w:name w:val="Table Theme"/>
    <w:basedOn w:val="TableNormal"/>
    <w:rsid w:val="00DD3B60"/>
    <w:pPr>
      <w:jc w:val="center"/>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StylePr>
    <w:tblStylePr w:type="firstCol">
      <w:pPr>
        <w:jc w:val="left"/>
      </w:pPr>
    </w:tblStylePr>
  </w:style>
  <w:style w:type="paragraph" w:customStyle="1" w:styleId="Default">
    <w:name w:val="Default"/>
    <w:rsid w:val="00DD3B60"/>
    <w:pPr>
      <w:autoSpaceDE w:val="0"/>
      <w:autoSpaceDN w:val="0"/>
      <w:adjustRightInd w:val="0"/>
    </w:pPr>
    <w:rPr>
      <w:rFonts w:ascii="Calibri" w:hAnsi="Calibri" w:cs="Calibri"/>
      <w:color w:val="000000"/>
      <w:sz w:val="24"/>
      <w:szCs w:val="24"/>
    </w:rPr>
  </w:style>
  <w:style w:type="paragraph" w:customStyle="1" w:styleId="3-BodyText">
    <w:name w:val="3-Body Text"/>
    <w:basedOn w:val="ListParagraph"/>
    <w:link w:val="3-BodyTextChar"/>
    <w:qFormat/>
    <w:rsid w:val="008432A0"/>
    <w:pPr>
      <w:ind w:left="720" w:hanging="720"/>
    </w:pPr>
  </w:style>
  <w:style w:type="table" w:customStyle="1" w:styleId="TableGrid3">
    <w:name w:val="Table Grid3"/>
    <w:basedOn w:val="TableNormal"/>
    <w:next w:val="TableGrid"/>
    <w:uiPriority w:val="39"/>
    <w:rsid w:val="008432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rsid w:val="00C937BB"/>
    <w:pPr>
      <w:spacing w:after="120"/>
      <w:ind w:left="720"/>
      <w:contextualSpacing/>
    </w:pPr>
    <w:rPr>
      <w:snapToGrid w:val="0"/>
    </w:rPr>
  </w:style>
  <w:style w:type="paragraph" w:customStyle="1" w:styleId="3-SubsectionHeading">
    <w:name w:val="3-Subsection Heading"/>
    <w:basedOn w:val="Heading2"/>
    <w:next w:val="Normal"/>
    <w:link w:val="3-SubsectionHeadingChar"/>
    <w:qFormat/>
    <w:rsid w:val="007D7B54"/>
    <w:pPr>
      <w:keepNext/>
      <w:spacing w:before="120" w:after="120"/>
      <w:jc w:val="both"/>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7D7B54"/>
    <w:rPr>
      <w:rFonts w:asciiTheme="minorHAnsi" w:eastAsiaTheme="majorEastAsia" w:hAnsiTheme="minorHAnsi" w:cstheme="majorBidi"/>
      <w:b/>
      <w:i/>
      <w:spacing w:val="5"/>
      <w:kern w:val="28"/>
      <w:sz w:val="28"/>
      <w:szCs w:val="36"/>
      <w:lang w:eastAsia="en-US"/>
    </w:rPr>
  </w:style>
  <w:style w:type="paragraph" w:customStyle="1" w:styleId="Tabletitle">
    <w:name w:val="Table title"/>
    <w:basedOn w:val="Tabletext0"/>
    <w:link w:val="TabletitleChar"/>
    <w:qFormat/>
    <w:rsid w:val="001178E8"/>
    <w:rPr>
      <w:rFonts w:eastAsia="Calibri" w:cs="Arial"/>
      <w:b/>
    </w:rPr>
  </w:style>
  <w:style w:type="character" w:customStyle="1" w:styleId="TabletitleChar">
    <w:name w:val="Table title Char"/>
    <w:basedOn w:val="TabletextChar0"/>
    <w:link w:val="Tabletitle"/>
    <w:rsid w:val="001178E8"/>
    <w:rPr>
      <w:rFonts w:ascii="Arial Narrow" w:eastAsia="Calibri" w:hAnsi="Arial Narrow" w:cs="Arial"/>
      <w:b/>
      <w:szCs w:val="22"/>
      <w:lang w:eastAsia="en-US"/>
    </w:rPr>
  </w:style>
  <w:style w:type="character" w:customStyle="1" w:styleId="3-BodyTextChar">
    <w:name w:val="3-Body Text Char"/>
    <w:basedOn w:val="DefaultParagraphFont"/>
    <w:link w:val="3-BodyText"/>
    <w:rsid w:val="007C4C88"/>
    <w:rPr>
      <w:rFonts w:asciiTheme="minorHAnsi" w:hAnsiTheme="minorHAnsi" w:cs="Arial"/>
      <w:snapToGrid w:val="0"/>
      <w:sz w:val="24"/>
      <w:szCs w:val="24"/>
    </w:rPr>
  </w:style>
  <w:style w:type="paragraph" w:customStyle="1" w:styleId="PBACHeading1">
    <w:name w:val="PBAC Heading 1"/>
    <w:qFormat/>
    <w:rsid w:val="00732238"/>
    <w:pPr>
      <w:keepNext/>
      <w:keepLines/>
      <w:spacing w:after="120"/>
      <w:ind w:left="720" w:hanging="720"/>
      <w:outlineLvl w:val="0"/>
    </w:pPr>
    <w:rPr>
      <w:rFonts w:asciiTheme="minorHAnsi" w:hAnsiTheme="minorHAnsi" w:cstheme="minorHAnsi"/>
      <w:b/>
      <w:snapToGrid w:val="0"/>
      <w:sz w:val="32"/>
      <w:szCs w:val="28"/>
      <w:lang w:eastAsia="en-US"/>
    </w:rPr>
  </w:style>
  <w:style w:type="paragraph" w:customStyle="1" w:styleId="FooterTableFigure">
    <w:name w:val="Footer Table/Figure"/>
    <w:basedOn w:val="Normal"/>
    <w:link w:val="FooterTableFigureChar"/>
    <w:qFormat/>
    <w:rsid w:val="00FE1F52"/>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FE1F52"/>
    <w:rPr>
      <w:rFonts w:ascii="Arial Narrow" w:hAnsi="Arial Narrow" w:cs="Arial"/>
      <w:snapToGrid w:val="0"/>
      <w:sz w:val="18"/>
      <w:szCs w:val="22"/>
    </w:rPr>
  </w:style>
  <w:style w:type="paragraph" w:customStyle="1" w:styleId="pf0">
    <w:name w:val="pf0"/>
    <w:basedOn w:val="Normal"/>
    <w:rsid w:val="0029767E"/>
    <w:pPr>
      <w:spacing w:before="100" w:beforeAutospacing="1" w:after="100" w:afterAutospacing="1"/>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8489">
      <w:bodyDiv w:val="1"/>
      <w:marLeft w:val="0"/>
      <w:marRight w:val="0"/>
      <w:marTop w:val="0"/>
      <w:marBottom w:val="0"/>
      <w:divBdr>
        <w:top w:val="none" w:sz="0" w:space="0" w:color="auto"/>
        <w:left w:val="none" w:sz="0" w:space="0" w:color="auto"/>
        <w:bottom w:val="none" w:sz="0" w:space="0" w:color="auto"/>
        <w:right w:val="none" w:sz="0" w:space="0" w:color="auto"/>
      </w:divBdr>
    </w:div>
    <w:div w:id="86775989">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83393058">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51217559">
      <w:bodyDiv w:val="1"/>
      <w:marLeft w:val="0"/>
      <w:marRight w:val="0"/>
      <w:marTop w:val="0"/>
      <w:marBottom w:val="0"/>
      <w:divBdr>
        <w:top w:val="none" w:sz="0" w:space="0" w:color="auto"/>
        <w:left w:val="none" w:sz="0" w:space="0" w:color="auto"/>
        <w:bottom w:val="none" w:sz="0" w:space="0" w:color="auto"/>
        <w:right w:val="none" w:sz="0" w:space="0" w:color="auto"/>
      </w:divBdr>
      <w:divsChild>
        <w:div w:id="1061977955">
          <w:marLeft w:val="360"/>
          <w:marRight w:val="0"/>
          <w:marTop w:val="200"/>
          <w:marBottom w:val="0"/>
          <w:divBdr>
            <w:top w:val="none" w:sz="0" w:space="0" w:color="auto"/>
            <w:left w:val="none" w:sz="0" w:space="0" w:color="auto"/>
            <w:bottom w:val="none" w:sz="0" w:space="0" w:color="auto"/>
            <w:right w:val="none" w:sz="0" w:space="0" w:color="auto"/>
          </w:divBdr>
        </w:div>
      </w:divsChild>
    </w:div>
    <w:div w:id="522281979">
      <w:bodyDiv w:val="1"/>
      <w:marLeft w:val="0"/>
      <w:marRight w:val="0"/>
      <w:marTop w:val="0"/>
      <w:marBottom w:val="0"/>
      <w:divBdr>
        <w:top w:val="none" w:sz="0" w:space="0" w:color="auto"/>
        <w:left w:val="none" w:sz="0" w:space="0" w:color="auto"/>
        <w:bottom w:val="none" w:sz="0" w:space="0" w:color="auto"/>
        <w:right w:val="none" w:sz="0" w:space="0" w:color="auto"/>
      </w:divBdr>
    </w:div>
    <w:div w:id="529729862">
      <w:bodyDiv w:val="1"/>
      <w:marLeft w:val="0"/>
      <w:marRight w:val="0"/>
      <w:marTop w:val="0"/>
      <w:marBottom w:val="0"/>
      <w:divBdr>
        <w:top w:val="none" w:sz="0" w:space="0" w:color="auto"/>
        <w:left w:val="none" w:sz="0" w:space="0" w:color="auto"/>
        <w:bottom w:val="none" w:sz="0" w:space="0" w:color="auto"/>
        <w:right w:val="none" w:sz="0" w:space="0" w:color="auto"/>
      </w:divBdr>
    </w:div>
    <w:div w:id="565382576">
      <w:bodyDiv w:val="1"/>
      <w:marLeft w:val="0"/>
      <w:marRight w:val="0"/>
      <w:marTop w:val="0"/>
      <w:marBottom w:val="0"/>
      <w:divBdr>
        <w:top w:val="none" w:sz="0" w:space="0" w:color="auto"/>
        <w:left w:val="none" w:sz="0" w:space="0" w:color="auto"/>
        <w:bottom w:val="none" w:sz="0" w:space="0" w:color="auto"/>
        <w:right w:val="none" w:sz="0" w:space="0" w:color="auto"/>
      </w:divBdr>
    </w:div>
    <w:div w:id="706301125">
      <w:bodyDiv w:val="1"/>
      <w:marLeft w:val="0"/>
      <w:marRight w:val="0"/>
      <w:marTop w:val="0"/>
      <w:marBottom w:val="0"/>
      <w:divBdr>
        <w:top w:val="none" w:sz="0" w:space="0" w:color="auto"/>
        <w:left w:val="none" w:sz="0" w:space="0" w:color="auto"/>
        <w:bottom w:val="none" w:sz="0" w:space="0" w:color="auto"/>
        <w:right w:val="none" w:sz="0" w:space="0" w:color="auto"/>
      </w:divBdr>
      <w:divsChild>
        <w:div w:id="2118332867">
          <w:marLeft w:val="360"/>
          <w:marRight w:val="0"/>
          <w:marTop w:val="200"/>
          <w:marBottom w:val="0"/>
          <w:divBdr>
            <w:top w:val="none" w:sz="0" w:space="0" w:color="auto"/>
            <w:left w:val="none" w:sz="0" w:space="0" w:color="auto"/>
            <w:bottom w:val="none" w:sz="0" w:space="0" w:color="auto"/>
            <w:right w:val="none" w:sz="0" w:space="0" w:color="auto"/>
          </w:divBdr>
        </w:div>
      </w:divsChild>
    </w:div>
    <w:div w:id="753863015">
      <w:bodyDiv w:val="1"/>
      <w:marLeft w:val="0"/>
      <w:marRight w:val="0"/>
      <w:marTop w:val="0"/>
      <w:marBottom w:val="0"/>
      <w:divBdr>
        <w:top w:val="none" w:sz="0" w:space="0" w:color="auto"/>
        <w:left w:val="none" w:sz="0" w:space="0" w:color="auto"/>
        <w:bottom w:val="none" w:sz="0" w:space="0" w:color="auto"/>
        <w:right w:val="none" w:sz="0" w:space="0" w:color="auto"/>
      </w:divBdr>
    </w:div>
    <w:div w:id="826479734">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46821744">
      <w:bodyDiv w:val="1"/>
      <w:marLeft w:val="0"/>
      <w:marRight w:val="0"/>
      <w:marTop w:val="0"/>
      <w:marBottom w:val="0"/>
      <w:divBdr>
        <w:top w:val="none" w:sz="0" w:space="0" w:color="auto"/>
        <w:left w:val="none" w:sz="0" w:space="0" w:color="auto"/>
        <w:bottom w:val="none" w:sz="0" w:space="0" w:color="auto"/>
        <w:right w:val="none" w:sz="0" w:space="0" w:color="auto"/>
      </w:divBdr>
    </w:div>
    <w:div w:id="938022136">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32764924">
      <w:bodyDiv w:val="1"/>
      <w:marLeft w:val="0"/>
      <w:marRight w:val="0"/>
      <w:marTop w:val="0"/>
      <w:marBottom w:val="0"/>
      <w:divBdr>
        <w:top w:val="none" w:sz="0" w:space="0" w:color="auto"/>
        <w:left w:val="none" w:sz="0" w:space="0" w:color="auto"/>
        <w:bottom w:val="none" w:sz="0" w:space="0" w:color="auto"/>
        <w:right w:val="none" w:sz="0" w:space="0" w:color="auto"/>
      </w:divBdr>
    </w:div>
    <w:div w:id="1475946979">
      <w:bodyDiv w:val="1"/>
      <w:marLeft w:val="0"/>
      <w:marRight w:val="0"/>
      <w:marTop w:val="0"/>
      <w:marBottom w:val="0"/>
      <w:divBdr>
        <w:top w:val="none" w:sz="0" w:space="0" w:color="auto"/>
        <w:left w:val="none" w:sz="0" w:space="0" w:color="auto"/>
        <w:bottom w:val="none" w:sz="0" w:space="0" w:color="auto"/>
        <w:right w:val="none" w:sz="0" w:space="0" w:color="auto"/>
      </w:divBdr>
    </w:div>
    <w:div w:id="1487893307">
      <w:bodyDiv w:val="1"/>
      <w:marLeft w:val="0"/>
      <w:marRight w:val="0"/>
      <w:marTop w:val="0"/>
      <w:marBottom w:val="0"/>
      <w:divBdr>
        <w:top w:val="none" w:sz="0" w:space="0" w:color="auto"/>
        <w:left w:val="none" w:sz="0" w:space="0" w:color="auto"/>
        <w:bottom w:val="none" w:sz="0" w:space="0" w:color="auto"/>
        <w:right w:val="none" w:sz="0" w:space="0" w:color="auto"/>
      </w:divBdr>
    </w:div>
    <w:div w:id="1525443621">
      <w:bodyDiv w:val="1"/>
      <w:marLeft w:val="0"/>
      <w:marRight w:val="0"/>
      <w:marTop w:val="0"/>
      <w:marBottom w:val="0"/>
      <w:divBdr>
        <w:top w:val="none" w:sz="0" w:space="0" w:color="auto"/>
        <w:left w:val="none" w:sz="0" w:space="0" w:color="auto"/>
        <w:bottom w:val="none" w:sz="0" w:space="0" w:color="auto"/>
        <w:right w:val="none" w:sz="0" w:space="0" w:color="auto"/>
      </w:divBdr>
    </w:div>
    <w:div w:id="1687363030">
      <w:bodyDiv w:val="1"/>
      <w:marLeft w:val="0"/>
      <w:marRight w:val="0"/>
      <w:marTop w:val="0"/>
      <w:marBottom w:val="0"/>
      <w:divBdr>
        <w:top w:val="none" w:sz="0" w:space="0" w:color="auto"/>
        <w:left w:val="none" w:sz="0" w:space="0" w:color="auto"/>
        <w:bottom w:val="none" w:sz="0" w:space="0" w:color="auto"/>
        <w:right w:val="none" w:sz="0" w:space="0" w:color="auto"/>
      </w:divBdr>
    </w:div>
    <w:div w:id="1695963468">
      <w:bodyDiv w:val="1"/>
      <w:marLeft w:val="0"/>
      <w:marRight w:val="0"/>
      <w:marTop w:val="0"/>
      <w:marBottom w:val="0"/>
      <w:divBdr>
        <w:top w:val="none" w:sz="0" w:space="0" w:color="auto"/>
        <w:left w:val="none" w:sz="0" w:space="0" w:color="auto"/>
        <w:bottom w:val="none" w:sz="0" w:space="0" w:color="auto"/>
        <w:right w:val="none" w:sz="0" w:space="0" w:color="auto"/>
      </w:divBdr>
      <w:divsChild>
        <w:div w:id="821387675">
          <w:marLeft w:val="360"/>
          <w:marRight w:val="0"/>
          <w:marTop w:val="200"/>
          <w:marBottom w:val="0"/>
          <w:divBdr>
            <w:top w:val="none" w:sz="0" w:space="0" w:color="auto"/>
            <w:left w:val="none" w:sz="0" w:space="0" w:color="auto"/>
            <w:bottom w:val="none" w:sz="0" w:space="0" w:color="auto"/>
            <w:right w:val="none" w:sz="0" w:space="0" w:color="auto"/>
          </w:divBdr>
        </w:div>
        <w:div w:id="1699818794">
          <w:marLeft w:val="360"/>
          <w:marRight w:val="0"/>
          <w:marTop w:val="200"/>
          <w:marBottom w:val="0"/>
          <w:divBdr>
            <w:top w:val="none" w:sz="0" w:space="0" w:color="auto"/>
            <w:left w:val="none" w:sz="0" w:space="0" w:color="auto"/>
            <w:bottom w:val="none" w:sz="0" w:space="0" w:color="auto"/>
            <w:right w:val="none" w:sz="0" w:space="0" w:color="auto"/>
          </w:divBdr>
        </w:div>
        <w:div w:id="1013537362">
          <w:marLeft w:val="360"/>
          <w:marRight w:val="0"/>
          <w:marTop w:val="200"/>
          <w:marBottom w:val="0"/>
          <w:divBdr>
            <w:top w:val="none" w:sz="0" w:space="0" w:color="auto"/>
            <w:left w:val="none" w:sz="0" w:space="0" w:color="auto"/>
            <w:bottom w:val="none" w:sz="0" w:space="0" w:color="auto"/>
            <w:right w:val="none" w:sz="0" w:space="0" w:color="auto"/>
          </w:divBdr>
        </w:div>
        <w:div w:id="2100440859">
          <w:marLeft w:val="360"/>
          <w:marRight w:val="0"/>
          <w:marTop w:val="200"/>
          <w:marBottom w:val="0"/>
          <w:divBdr>
            <w:top w:val="none" w:sz="0" w:space="0" w:color="auto"/>
            <w:left w:val="none" w:sz="0" w:space="0" w:color="auto"/>
            <w:bottom w:val="none" w:sz="0" w:space="0" w:color="auto"/>
            <w:right w:val="none" w:sz="0" w:space="0" w:color="auto"/>
          </w:divBdr>
        </w:div>
        <w:div w:id="1150633098">
          <w:marLeft w:val="360"/>
          <w:marRight w:val="0"/>
          <w:marTop w:val="200"/>
          <w:marBottom w:val="0"/>
          <w:divBdr>
            <w:top w:val="none" w:sz="0" w:space="0" w:color="auto"/>
            <w:left w:val="none" w:sz="0" w:space="0" w:color="auto"/>
            <w:bottom w:val="none" w:sz="0" w:space="0" w:color="auto"/>
            <w:right w:val="none" w:sz="0" w:space="0" w:color="auto"/>
          </w:divBdr>
        </w:div>
        <w:div w:id="498008542">
          <w:marLeft w:val="360"/>
          <w:marRight w:val="0"/>
          <w:marTop w:val="200"/>
          <w:marBottom w:val="0"/>
          <w:divBdr>
            <w:top w:val="none" w:sz="0" w:space="0" w:color="auto"/>
            <w:left w:val="none" w:sz="0" w:space="0" w:color="auto"/>
            <w:bottom w:val="none" w:sz="0" w:space="0" w:color="auto"/>
            <w:right w:val="none" w:sz="0" w:space="0" w:color="auto"/>
          </w:divBdr>
        </w:div>
        <w:div w:id="1153910144">
          <w:marLeft w:val="360"/>
          <w:marRight w:val="0"/>
          <w:marTop w:val="200"/>
          <w:marBottom w:val="0"/>
          <w:divBdr>
            <w:top w:val="none" w:sz="0" w:space="0" w:color="auto"/>
            <w:left w:val="none" w:sz="0" w:space="0" w:color="auto"/>
            <w:bottom w:val="none" w:sz="0" w:space="0" w:color="auto"/>
            <w:right w:val="none" w:sz="0" w:space="0" w:color="auto"/>
          </w:divBdr>
        </w:div>
      </w:divsChild>
    </w:div>
    <w:div w:id="1791778671">
      <w:bodyDiv w:val="1"/>
      <w:marLeft w:val="0"/>
      <w:marRight w:val="0"/>
      <w:marTop w:val="0"/>
      <w:marBottom w:val="0"/>
      <w:divBdr>
        <w:top w:val="none" w:sz="0" w:space="0" w:color="auto"/>
        <w:left w:val="none" w:sz="0" w:space="0" w:color="auto"/>
        <w:bottom w:val="none" w:sz="0" w:space="0" w:color="auto"/>
        <w:right w:val="none" w:sz="0" w:space="0" w:color="auto"/>
      </w:divBdr>
    </w:div>
    <w:div w:id="1922904849">
      <w:bodyDiv w:val="1"/>
      <w:marLeft w:val="0"/>
      <w:marRight w:val="0"/>
      <w:marTop w:val="0"/>
      <w:marBottom w:val="0"/>
      <w:divBdr>
        <w:top w:val="none" w:sz="0" w:space="0" w:color="auto"/>
        <w:left w:val="none" w:sz="0" w:space="0" w:color="auto"/>
        <w:bottom w:val="none" w:sz="0" w:space="0" w:color="auto"/>
        <w:right w:val="none" w:sz="0" w:space="0" w:color="auto"/>
      </w:divBdr>
      <w:divsChild>
        <w:div w:id="1580481619">
          <w:marLeft w:val="360"/>
          <w:marRight w:val="0"/>
          <w:marTop w:val="200"/>
          <w:marBottom w:val="0"/>
          <w:divBdr>
            <w:top w:val="none" w:sz="0" w:space="0" w:color="auto"/>
            <w:left w:val="none" w:sz="0" w:space="0" w:color="auto"/>
            <w:bottom w:val="none" w:sz="0" w:space="0" w:color="auto"/>
            <w:right w:val="none" w:sz="0" w:space="0" w:color="auto"/>
          </w:divBdr>
        </w:div>
        <w:div w:id="289868480">
          <w:marLeft w:val="360"/>
          <w:marRight w:val="0"/>
          <w:marTop w:val="2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92833443">
      <w:bodyDiv w:val="1"/>
      <w:marLeft w:val="0"/>
      <w:marRight w:val="0"/>
      <w:marTop w:val="0"/>
      <w:marBottom w:val="0"/>
      <w:divBdr>
        <w:top w:val="none" w:sz="0" w:space="0" w:color="auto"/>
        <w:left w:val="none" w:sz="0" w:space="0" w:color="auto"/>
        <w:bottom w:val="none" w:sz="0" w:space="0" w:color="auto"/>
        <w:right w:val="none" w:sz="0" w:space="0" w:color="auto"/>
      </w:divBdr>
    </w:div>
    <w:div w:id="2092727847">
      <w:bodyDiv w:val="1"/>
      <w:marLeft w:val="0"/>
      <w:marRight w:val="0"/>
      <w:marTop w:val="0"/>
      <w:marBottom w:val="0"/>
      <w:divBdr>
        <w:top w:val="none" w:sz="0" w:space="0" w:color="auto"/>
        <w:left w:val="none" w:sz="0" w:space="0" w:color="auto"/>
        <w:bottom w:val="none" w:sz="0" w:space="0" w:color="auto"/>
        <w:right w:val="none" w:sz="0" w:space="0" w:color="auto"/>
      </w:divBdr>
    </w:div>
    <w:div w:id="2139762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dustry/listing/elements/pbac-meetings/pbac-outcomes/2022-12/Increased-Dispensing-Quantities-List-of-Medicines.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18652</Words>
  <Characters>106323</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2024-02-28T03:56:00Z</dcterms:created>
  <dcterms:modified xsi:type="dcterms:W3CDTF">2024-03-01T01:13:00Z</dcterms:modified>
</cp:coreProperties>
</file>